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7471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7471410"/>
                    </a:xfrm>
                    <a:prstGeom prst="rect">
                      <a:avLst/>
                    </a:prstGeom>
                    <a:noFill/>
                  </pic:spPr>
                </pic:pic>
              </a:graphicData>
            </a:graphic>
          </wp:anchor>
        </w:drawing>
      </w:r>
    </w:p>
    <w:p>
      <w:pPr>
        <w:spacing w:after="0" w:line="1285" w:lineRule="exact"/>
        <w:rPr>
          <w:sz w:val="24"/>
          <w:szCs w:val="24"/>
          <w:color w:val="auto"/>
        </w:rPr>
      </w:pPr>
    </w:p>
    <w:p>
      <w:pPr>
        <w:sectPr>
          <w:pgSz w:w="11900" w:h="16867" w:orient="portrait"/>
          <w:cols w:equalWidth="0" w:num="2">
            <w:col w:w="2320" w:space="160"/>
            <w:col w:w="8520"/>
          </w:cols>
          <w:pgMar w:left="460" w:top="219"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Georgiadis Anthony</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tcPr>
          <w:p>
            <w:pPr>
              <w:ind w:left="220"/>
              <w:spacing w:after="0"/>
              <w:rPr>
                <w:sz w:val="20"/>
                <w:szCs w:val="20"/>
                <w:color w:val="auto"/>
              </w:rPr>
            </w:pPr>
            <w:r>
              <w:rPr>
                <w:rFonts w:ascii="Arial" w:cs="Arial" w:eastAsia="Arial" w:hAnsi="Arial"/>
                <w:sz w:val="13"/>
                <w:szCs w:val="13"/>
                <w:color w:val="auto"/>
              </w:rPr>
              <w:t>(First)</w:t>
            </w:r>
          </w:p>
        </w:tc>
        <w:tc>
          <w:tcPr>
            <w:tcW w:w="1360" w:type="dxa"/>
            <w:vAlign w:val="bottom"/>
          </w:tcPr>
          <w:p>
            <w:pPr>
              <w:ind w:left="1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2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325 WEST HURON STREET</w:t>
            </w:r>
          </w:p>
        </w:tc>
        <w:tc>
          <w:tcPr>
            <w:tcW w:w="136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SUITE 700</w:t>
            </w:r>
          </w:p>
        </w:tc>
        <w:tc>
          <w:tcPr>
            <w:tcW w:w="128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r>
      <w:tr>
        <w:trPr>
          <w:trHeight w:val="269"/>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28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3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220"/>
              <w:spacing w:after="0"/>
              <w:rPr>
                <w:sz w:val="20"/>
                <w:szCs w:val="20"/>
                <w:color w:val="auto"/>
              </w:rPr>
            </w:pPr>
            <w:r>
              <w:rPr>
                <w:rFonts w:ascii="Arial" w:cs="Arial" w:eastAsia="Arial" w:hAnsi="Arial"/>
                <w:sz w:val="13"/>
                <w:szCs w:val="13"/>
                <w:color w:val="auto"/>
              </w:rPr>
              <w:t>(State)</w:t>
            </w:r>
          </w:p>
        </w:tc>
        <w:tc>
          <w:tcPr>
            <w:tcW w:w="1360" w:type="dxa"/>
            <w:vAlign w:val="bottom"/>
          </w:tcPr>
          <w:p>
            <w:pPr>
              <w:ind w:left="1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27"/>
        </w:trPr>
        <w:tc>
          <w:tcPr>
            <w:tcW w:w="80" w:type="dxa"/>
            <w:vAlign w:val="bottom"/>
          </w:tcPr>
          <w:p>
            <w:pPr>
              <w:spacing w:after="0"/>
              <w:rPr>
                <w:sz w:val="19"/>
                <w:szCs w:val="19"/>
                <w:color w:val="auto"/>
              </w:rPr>
            </w:pPr>
          </w:p>
        </w:tc>
        <w:tc>
          <w:tcPr>
            <w:tcW w:w="3740" w:type="dxa"/>
            <w:vAlign w:val="bottom"/>
            <w:gridSpan w:val="3"/>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Green Thumb Industries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GTII/GTBIF</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214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9"/>
                <w:szCs w:val="19"/>
                <w:color w:val="auto"/>
              </w:rPr>
            </w:pPr>
          </w:p>
        </w:tc>
      </w:tr>
      <w:tr>
        <w:trPr>
          <w:trHeight w:val="155"/>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340" w:type="dxa"/>
            <w:vAlign w:val="bottom"/>
            <w:tcBorders>
              <w:top w:val="single" w:sz="8" w:color="0000EE"/>
            </w:tcBorders>
          </w:tcPr>
          <w:p>
            <w:pPr>
              <w:spacing w:after="0"/>
              <w:rPr>
                <w:sz w:val="13"/>
                <w:szCs w:val="13"/>
                <w:color w:val="auto"/>
              </w:rPr>
            </w:pPr>
          </w:p>
        </w:tc>
        <w:tc>
          <w:tcPr>
            <w:tcW w:w="1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4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20"/>
              <w:spacing w:after="0"/>
              <w:rPr>
                <w:sz w:val="20"/>
                <w:szCs w:val="20"/>
                <w:color w:val="auto"/>
              </w:rPr>
            </w:pPr>
            <w:r>
              <w:rPr>
                <w:rFonts w:ascii="Arial" w:cs="Arial" w:eastAsia="Arial" w:hAnsi="Arial"/>
                <w:sz w:val="13"/>
                <w:szCs w:val="13"/>
                <w:color w:val="auto"/>
              </w:rPr>
              <w:t>10% Owner</w:t>
            </w:r>
          </w:p>
        </w:tc>
      </w:tr>
      <w:tr>
        <w:trPr>
          <w:trHeight w:val="191"/>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340" w:type="dxa"/>
            <w:vAlign w:val="bottom"/>
            <w:tcBorders>
              <w:bottom w:val="single" w:sz="8" w:color="2C2C2C"/>
            </w:tcBorders>
          </w:tcPr>
          <w:p>
            <w:pPr>
              <w:spacing w:after="0"/>
              <w:rPr>
                <w:sz w:val="16"/>
                <w:szCs w:val="16"/>
                <w:color w:val="auto"/>
              </w:rPr>
            </w:pPr>
          </w:p>
        </w:tc>
        <w:tc>
          <w:tcPr>
            <w:tcW w:w="1280" w:type="dxa"/>
            <w:vAlign w:val="bottom"/>
            <w:tcBorders>
              <w:bottom w:val="single" w:sz="8" w:color="2C2C2C"/>
            </w:tcBorders>
          </w:tcPr>
          <w:p>
            <w:pPr>
              <w:spacing w:after="0"/>
              <w:rPr>
                <w:sz w:val="16"/>
                <w:szCs w:val="16"/>
                <w:color w:val="auto"/>
              </w:rPr>
            </w:pPr>
          </w:p>
        </w:tc>
        <w:tc>
          <w:tcPr>
            <w:tcW w:w="200" w:type="dxa"/>
            <w:vAlign w:val="bottom"/>
          </w:tcPr>
          <w:p>
            <w:pPr>
              <w:spacing w:after="0"/>
              <w:rPr>
                <w:sz w:val="16"/>
                <w:szCs w:val="16"/>
                <w:color w:val="auto"/>
              </w:rPr>
            </w:pPr>
          </w:p>
        </w:tc>
        <w:tc>
          <w:tcPr>
            <w:tcW w:w="19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20"/>
              <w:spacing w:after="0"/>
              <w:rPr>
                <w:sz w:val="20"/>
                <w:szCs w:val="20"/>
                <w:color w:val="auto"/>
              </w:rPr>
            </w:pPr>
            <w:r>
              <w:rPr>
                <w:rFonts w:ascii="Arial" w:cs="Arial" w:eastAsia="Arial" w:hAnsi="Arial"/>
                <w:sz w:val="13"/>
                <w:szCs w:val="13"/>
                <w:color w:val="auto"/>
              </w:rPr>
              <w:t>Other (specify</w:t>
            </w: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940" w:type="dxa"/>
            <w:vAlign w:val="bottom"/>
          </w:tcPr>
          <w:p>
            <w:pPr>
              <w:ind w:left="400"/>
              <w:spacing w:after="0"/>
              <w:rPr>
                <w:sz w:val="20"/>
                <w:szCs w:val="20"/>
                <w:color w:val="auto"/>
              </w:rPr>
            </w:pPr>
            <w:r>
              <w:rPr>
                <w:rFonts w:ascii="Arial" w:cs="Arial" w:eastAsia="Arial" w:hAnsi="Arial"/>
                <w:sz w:val="13"/>
                <w:szCs w:val="13"/>
                <w:color w:val="auto"/>
              </w:rPr>
              <w:t>below)</w:t>
            </w:r>
          </w:p>
        </w:tc>
        <w:tc>
          <w:tcPr>
            <w:tcW w:w="1160" w:type="dxa"/>
            <w:vAlign w:val="bottom"/>
          </w:tcPr>
          <w:p>
            <w:pPr>
              <w:ind w:left="20"/>
              <w:spacing w:after="0"/>
              <w:rPr>
                <w:sz w:val="20"/>
                <w:szCs w:val="20"/>
                <w:color w:val="auto"/>
              </w:rPr>
            </w:pPr>
            <w:r>
              <w:rPr>
                <w:rFonts w:ascii="Arial" w:cs="Arial" w:eastAsia="Arial" w:hAnsi="Arial"/>
                <w:sz w:val="13"/>
                <w:szCs w:val="13"/>
                <w:color w:val="auto"/>
              </w:rPr>
              <w:t>below)</w:t>
            </w:r>
          </w:p>
        </w:tc>
      </w:tr>
      <w:tr>
        <w:trPr>
          <w:trHeight w:val="226"/>
        </w:trPr>
        <w:tc>
          <w:tcPr>
            <w:tcW w:w="25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11/07/2025</w:t>
            </w: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tcPr>
          <w:p>
            <w:pPr>
              <w:ind w:left="980"/>
              <w:spacing w:after="0"/>
              <w:rPr>
                <w:sz w:val="20"/>
                <w:szCs w:val="20"/>
                <w:color w:val="auto"/>
              </w:rPr>
            </w:pPr>
            <w:r>
              <w:rPr>
                <w:rFonts w:ascii="Times New Roman" w:cs="Times New Roman" w:eastAsia="Times New Roman" w:hAnsi="Times New Roman"/>
                <w:sz w:val="17"/>
                <w:szCs w:val="17"/>
                <w:color w:val="0000FF"/>
              </w:rPr>
              <w:t>PRESIDENT</w:t>
            </w:r>
          </w:p>
        </w:tc>
        <w:tc>
          <w:tcPr>
            <w:tcW w:w="1160" w:type="dxa"/>
            <w:vAlign w:val="bottom"/>
          </w:tcPr>
          <w:p>
            <w:pPr>
              <w:spacing w:after="0"/>
              <w:rPr>
                <w:sz w:val="19"/>
                <w:szCs w:val="19"/>
                <w:color w:val="auto"/>
              </w:rPr>
            </w:pPr>
          </w:p>
        </w:tc>
      </w:tr>
      <w:tr>
        <w:trPr>
          <w:trHeight w:val="341"/>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3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67" w:orient="portrait"/>
          <w:cols w:equalWidth="0" w:num="2">
            <w:col w:w="3760" w:space="80"/>
            <w:col w:w="7160"/>
          </w:cols>
          <w:pgMar w:left="460" w:top="219" w:right="43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4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460" w:type="dxa"/>
            <w:vAlign w:val="bottom"/>
          </w:tcPr>
          <w:p>
            <w:pPr>
              <w:spacing w:after="0"/>
              <w:rPr>
                <w:sz w:val="11"/>
                <w:szCs w:val="11"/>
                <w:color w:val="auto"/>
              </w:rPr>
            </w:pPr>
          </w:p>
        </w:tc>
        <w:tc>
          <w:tcPr>
            <w:tcW w:w="160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460" w:type="dxa"/>
            <w:vAlign w:val="bottom"/>
          </w:tcPr>
          <w:p>
            <w:pPr>
              <w:spacing w:after="0"/>
              <w:rPr>
                <w:sz w:val="11"/>
                <w:szCs w:val="11"/>
                <w:color w:val="auto"/>
              </w:rPr>
            </w:pPr>
          </w:p>
        </w:tc>
        <w:tc>
          <w:tcPr>
            <w:tcW w:w="160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4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46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8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46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4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4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46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4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4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Subordinate Voting Shares</w:t>
            </w:r>
          </w:p>
        </w:tc>
        <w:tc>
          <w:tcPr>
            <w:tcW w:w="1600" w:type="dxa"/>
            <w:vAlign w:val="bottom"/>
            <w:tcBorders>
              <w:bottom w:val="single" w:sz="8" w:color="2C2C2C"/>
            </w:tcBorders>
          </w:tcPr>
          <w:p>
            <w:pPr>
              <w:jc w:val="right"/>
              <w:ind w:right="93"/>
              <w:spacing w:after="0"/>
              <w:rPr>
                <w:sz w:val="20"/>
                <w:szCs w:val="20"/>
                <w:color w:val="auto"/>
              </w:rPr>
            </w:pPr>
            <w:r>
              <w:rPr>
                <w:rFonts w:ascii="Times New Roman" w:cs="Times New Roman" w:eastAsia="Times New Roman" w:hAnsi="Times New Roman"/>
                <w:sz w:val="17"/>
                <w:szCs w:val="17"/>
                <w:color w:val="0000FF"/>
              </w:rPr>
              <w:t>11/07/2025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Borders>
              <w:bottom w:val="single" w:sz="8" w:color="2C2C2C"/>
            </w:tcBorders>
          </w:tcPr>
          <w:p>
            <w:pPr>
              <w:jc w:val="right"/>
              <w:ind w:right="33"/>
              <w:spacing w:after="0"/>
              <w:rPr>
                <w:sz w:val="20"/>
                <w:szCs w:val="20"/>
                <w:color w:val="auto"/>
              </w:rPr>
            </w:pPr>
            <w:r>
              <w:rPr>
                <w:rFonts w:ascii="Times New Roman" w:cs="Times New Roman" w:eastAsia="Times New Roman" w:hAnsi="Times New Roman"/>
                <w:sz w:val="17"/>
                <w:szCs w:val="17"/>
                <w:color w:val="0000FF"/>
              </w:rPr>
              <w:t>125,000</w:t>
            </w:r>
          </w:p>
        </w:tc>
        <w:tc>
          <w:tcPr>
            <w:tcW w:w="5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6.5006</w:t>
            </w:r>
            <w:r>
              <w:rPr>
                <w:rFonts w:ascii="Times New Roman" w:cs="Times New Roman" w:eastAsia="Times New Roman" w:hAnsi="Times New Roman"/>
                <w:sz w:val="22"/>
                <w:szCs w:val="22"/>
                <w:color w:val="008000"/>
                <w:vertAlign w:val="superscript"/>
              </w:rPr>
              <w:t>(1)</w:t>
            </w:r>
          </w:p>
        </w:tc>
        <w:tc>
          <w:tcPr>
            <w:tcW w:w="1140" w:type="dxa"/>
            <w:vAlign w:val="bottom"/>
            <w:tcBorders>
              <w:bottom w:val="single" w:sz="8" w:color="2C2C2C"/>
            </w:tcBorders>
          </w:tcPr>
          <w:p>
            <w:pPr>
              <w:jc w:val="right"/>
              <w:ind w:right="214"/>
              <w:spacing w:after="0"/>
              <w:rPr>
                <w:sz w:val="20"/>
                <w:szCs w:val="20"/>
                <w:color w:val="auto"/>
              </w:rPr>
            </w:pPr>
            <w:r>
              <w:rPr>
                <w:rFonts w:ascii="Times New Roman" w:cs="Times New Roman" w:eastAsia="Times New Roman" w:hAnsi="Times New Roman"/>
                <w:sz w:val="17"/>
                <w:szCs w:val="17"/>
                <w:color w:val="0000FF"/>
              </w:rPr>
              <w:t>760,576</w:t>
            </w:r>
          </w:p>
        </w:tc>
        <w:tc>
          <w:tcPr>
            <w:tcW w:w="90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Subordinate Voting Shares</w:t>
            </w:r>
          </w:p>
        </w:tc>
        <w:tc>
          <w:tcPr>
            <w:tcW w:w="1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140" w:type="dxa"/>
            <w:vAlign w:val="bottom"/>
            <w:vMerge w:val="restart"/>
          </w:tcPr>
          <w:p>
            <w:pPr>
              <w:jc w:val="right"/>
              <w:ind w:right="254"/>
              <w:spacing w:after="0"/>
              <w:rPr>
                <w:sz w:val="20"/>
                <w:szCs w:val="20"/>
                <w:color w:val="auto"/>
              </w:rPr>
            </w:pPr>
            <w:r>
              <w:rPr>
                <w:rFonts w:ascii="Times New Roman" w:cs="Times New Roman" w:eastAsia="Times New Roman" w:hAnsi="Times New Roman"/>
                <w:sz w:val="17"/>
                <w:szCs w:val="17"/>
                <w:color w:val="0000FF"/>
              </w:rPr>
              <w:t>18,364</w:t>
            </w:r>
          </w:p>
        </w:tc>
        <w:tc>
          <w:tcPr>
            <w:tcW w:w="90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ABG</w:t>
            </w:r>
          </w:p>
        </w:tc>
        <w:tc>
          <w:tcPr>
            <w:tcW w:w="0" w:type="dxa"/>
            <w:vAlign w:val="bottom"/>
          </w:tcPr>
          <w:p>
            <w:pPr>
              <w:spacing w:after="0"/>
              <w:rPr>
                <w:sz w:val="1"/>
                <w:szCs w:val="1"/>
                <w:color w:val="auto"/>
              </w:rPr>
            </w:pPr>
          </w:p>
        </w:tc>
      </w:tr>
      <w:tr>
        <w:trPr>
          <w:trHeight w:val="120"/>
        </w:trPr>
        <w:tc>
          <w:tcPr>
            <w:tcW w:w="2460" w:type="dxa"/>
            <w:vAlign w:val="bottom"/>
            <w:vMerge w:val="continue"/>
          </w:tcPr>
          <w:p>
            <w:pPr>
              <w:spacing w:after="0"/>
              <w:rPr>
                <w:sz w:val="10"/>
                <w:szCs w:val="10"/>
                <w:color w:val="auto"/>
              </w:rPr>
            </w:pPr>
          </w:p>
        </w:tc>
        <w:tc>
          <w:tcPr>
            <w:tcW w:w="16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7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LLC</w:t>
            </w:r>
          </w:p>
        </w:tc>
        <w:tc>
          <w:tcPr>
            <w:tcW w:w="0" w:type="dxa"/>
            <w:vAlign w:val="bottom"/>
          </w:tcPr>
          <w:p>
            <w:pPr>
              <w:spacing w:after="0"/>
              <w:rPr>
                <w:sz w:val="1"/>
                <w:szCs w:val="1"/>
                <w:color w:val="auto"/>
              </w:rPr>
            </w:pPr>
          </w:p>
        </w:tc>
      </w:tr>
      <w:tr>
        <w:trPr>
          <w:trHeight w:val="107"/>
        </w:trPr>
        <w:tc>
          <w:tcPr>
            <w:tcW w:w="24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120" w:lineRule="exact"/>
        <w:rPr>
          <w:sz w:val="24"/>
          <w:szCs w:val="24"/>
          <w:color w:val="auto"/>
        </w:rPr>
      </w:pPr>
    </w:p>
    <w:p>
      <w:pPr>
        <w:ind w:left="10260"/>
        <w:spacing w:after="0"/>
        <w:rPr>
          <w:sz w:val="20"/>
          <w:szCs w:val="20"/>
          <w:color w:val="auto"/>
        </w:rPr>
      </w:pPr>
      <w:r>
        <w:rPr>
          <w:rFonts w:ascii="Times New Roman" w:cs="Times New Roman" w:eastAsia="Times New Roman" w:hAnsi="Times New Roman"/>
          <w:sz w:val="17"/>
          <w:szCs w:val="17"/>
          <w:color w:val="0000FF"/>
        </w:rPr>
        <w:t>By</w:t>
      </w:r>
    </w:p>
    <w:p>
      <w:pPr>
        <w:spacing w:after="0" w:line="31" w:lineRule="exact"/>
        <w:rPr>
          <w:sz w:val="24"/>
          <w:szCs w:val="24"/>
          <w:color w:val="auto"/>
        </w:rPr>
      </w:pPr>
    </w:p>
    <w:p>
      <w:pPr>
        <w:ind w:left="10260"/>
        <w:spacing w:after="0"/>
        <w:rPr>
          <w:sz w:val="20"/>
          <w:szCs w:val="20"/>
          <w:color w:val="auto"/>
        </w:rPr>
      </w:pPr>
      <w:r>
        <w:rPr>
          <w:rFonts w:ascii="Times New Roman" w:cs="Times New Roman" w:eastAsia="Times New Roman" w:hAnsi="Times New Roman"/>
          <w:sz w:val="17"/>
          <w:szCs w:val="17"/>
          <w:color w:val="0000FF"/>
        </w:rPr>
        <w:t>Three</w:t>
      </w:r>
    </w:p>
    <w:p>
      <w:pPr>
        <w:ind w:left="80"/>
        <w:spacing w:after="0" w:line="198" w:lineRule="auto"/>
        <w:tabs>
          <w:tab w:leader="none" w:pos="8500" w:val="left"/>
          <w:tab w:leader="none" w:pos="9680" w:val="left"/>
          <w:tab w:leader="none" w:pos="10240" w:val="left"/>
        </w:tabs>
        <w:rPr>
          <w:sz w:val="20"/>
          <w:szCs w:val="20"/>
          <w:color w:val="auto"/>
        </w:rPr>
      </w:pPr>
      <w:r>
        <w:rPr>
          <w:rFonts w:ascii="Times New Roman" w:cs="Times New Roman" w:eastAsia="Times New Roman" w:hAnsi="Times New Roman"/>
          <w:sz w:val="16"/>
          <w:szCs w:val="16"/>
          <w:color w:val="0000FF"/>
        </w:rPr>
        <w:t>Subordinate Voting Shares</w:t>
      </w:r>
      <w:r>
        <w:rPr>
          <w:sz w:val="20"/>
          <w:szCs w:val="20"/>
          <w:color w:val="auto"/>
        </w:rPr>
        <w:tab/>
      </w:r>
      <w:r>
        <w:rPr>
          <w:rFonts w:ascii="Times New Roman" w:cs="Times New Roman" w:eastAsia="Times New Roman" w:hAnsi="Times New Roman"/>
          <w:sz w:val="16"/>
          <w:szCs w:val="16"/>
          <w:color w:val="0000FF"/>
        </w:rPr>
        <w:t>1,728</w:t>
      </w:r>
      <w:r>
        <w:rPr>
          <w:sz w:val="20"/>
          <w:szCs w:val="20"/>
          <w:color w:val="auto"/>
        </w:rPr>
        <w:tab/>
      </w:r>
      <w:r>
        <w:rPr>
          <w:rFonts w:ascii="Times New Roman" w:cs="Times New Roman" w:eastAsia="Times New Roman" w:hAnsi="Times New Roman"/>
          <w:sz w:val="16"/>
          <w:szCs w:val="16"/>
          <w:color w:val="0000FF"/>
        </w:rPr>
        <w:t>I</w:t>
      </w:r>
      <w:r>
        <w:rPr>
          <w:sz w:val="20"/>
          <w:szCs w:val="20"/>
          <w:color w:val="auto"/>
        </w:rPr>
        <w:tab/>
      </w:r>
      <w:r>
        <w:rPr>
          <w:rFonts w:ascii="Times New Roman" w:cs="Times New Roman" w:eastAsia="Times New Roman" w:hAnsi="Times New Roman"/>
          <w:sz w:val="25"/>
          <w:szCs w:val="25"/>
          <w:color w:val="0000FF"/>
          <w:vertAlign w:val="superscript"/>
        </w:rPr>
        <w:t>One</w:t>
      </w:r>
    </w:p>
    <w:p>
      <w:pPr>
        <w:spacing w:after="0" w:line="1" w:lineRule="exact"/>
        <w:rPr>
          <w:sz w:val="24"/>
          <w:szCs w:val="24"/>
          <w:color w:val="auto"/>
        </w:rPr>
      </w:pPr>
    </w:p>
    <w:p>
      <w:pPr>
        <w:ind w:left="10260"/>
        <w:spacing w:after="0"/>
        <w:rPr>
          <w:sz w:val="20"/>
          <w:szCs w:val="20"/>
          <w:color w:val="auto"/>
        </w:rPr>
      </w:pPr>
      <w:r>
        <w:rPr>
          <w:rFonts w:ascii="Times New Roman" w:cs="Times New Roman" w:eastAsia="Times New Roman" w:hAnsi="Times New Roman"/>
          <w:sz w:val="17"/>
          <w:szCs w:val="17"/>
          <w:color w:val="0000FF"/>
        </w:rPr>
        <w:t>Four</w:t>
      </w:r>
    </w:p>
    <w:p>
      <w:pPr>
        <w:spacing w:after="0" w:line="11" w:lineRule="exact"/>
        <w:rPr>
          <w:sz w:val="24"/>
          <w:szCs w:val="24"/>
          <w:color w:val="auto"/>
        </w:rPr>
      </w:pPr>
    </w:p>
    <w:p>
      <w:pPr>
        <w:ind w:left="10260"/>
        <w:spacing w:after="0"/>
        <w:rPr>
          <w:sz w:val="20"/>
          <w:szCs w:val="20"/>
          <w:color w:val="auto"/>
        </w:rPr>
      </w:pPr>
      <w:r>
        <w:rPr>
          <w:rFonts w:ascii="Times New Roman" w:cs="Times New Roman" w:eastAsia="Times New Roman" w:hAnsi="Times New Roman"/>
          <w:sz w:val="17"/>
          <w:szCs w:val="17"/>
          <w:color w:val="0000FF"/>
        </w:rPr>
        <w:t>Holdings</w:t>
      </w:r>
    </w:p>
    <w:p>
      <w:pPr>
        <w:spacing w:after="0" w:line="18" w:lineRule="exact"/>
        <w:rPr>
          <w:sz w:val="24"/>
          <w:szCs w:val="24"/>
          <w:color w:val="auto"/>
        </w:rPr>
      </w:pPr>
    </w:p>
    <w:p>
      <w:pPr>
        <w:ind w:left="10260"/>
        <w:spacing w:after="0"/>
        <w:rPr>
          <w:sz w:val="20"/>
          <w:szCs w:val="20"/>
          <w:color w:val="auto"/>
        </w:rPr>
      </w:pPr>
      <w:r>
        <w:rPr>
          <w:rFonts w:ascii="Times New Roman" w:cs="Times New Roman" w:eastAsia="Times New Roman" w:hAnsi="Times New Roman"/>
          <w:sz w:val="17"/>
          <w:szCs w:val="17"/>
          <w:color w:val="0000FF"/>
        </w:rPr>
        <w:t>LLC</w:t>
      </w:r>
    </w:p>
    <w:p>
      <w:pPr>
        <w:spacing w:after="0" w:line="138" w:lineRule="exact"/>
        <w:rPr>
          <w:sz w:val="24"/>
          <w:szCs w:val="24"/>
          <w:color w:val="auto"/>
        </w:rPr>
      </w:pPr>
    </w:p>
    <w:tbl>
      <w:tblPr>
        <w:tblLayout w:type="fixed"/>
        <w:tblInd w:w="20" w:type="dxa"/>
        <w:tblCellMar>
          <w:top w:w="0" w:type="dxa"/>
          <w:left w:w="0" w:type="dxa"/>
          <w:bottom w:w="0" w:type="dxa"/>
          <w:right w:w="0" w:type="dxa"/>
        </w:tblCellMar>
      </w:tblPr>
      <w:tr>
        <w:trPr>
          <w:trHeight w:val="226"/>
        </w:trPr>
        <w:tc>
          <w:tcPr>
            <w:tcW w:w="49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Super Voting Shares</w:t>
            </w:r>
          </w:p>
        </w:tc>
        <w:tc>
          <w:tcPr>
            <w:tcW w:w="434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0000FF"/>
              </w:rPr>
              <w:t>37,682</w:t>
            </w:r>
          </w:p>
        </w:tc>
        <w:tc>
          <w:tcPr>
            <w:tcW w:w="700" w:type="dxa"/>
            <w:vAlign w:val="bottom"/>
          </w:tcPr>
          <w:p>
            <w:pPr>
              <w:jc w:val="center"/>
              <w:ind w:left="53"/>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4960" w:type="dxa"/>
            <w:vAlign w:val="bottom"/>
            <w:tcBorders>
              <w:bottom w:val="single" w:sz="8" w:color="2C2C2C"/>
            </w:tcBorders>
          </w:tcPr>
          <w:p>
            <w:pPr>
              <w:spacing w:after="0"/>
              <w:rPr>
                <w:sz w:val="5"/>
                <w:szCs w:val="5"/>
                <w:color w:val="auto"/>
              </w:rPr>
            </w:pPr>
          </w:p>
        </w:tc>
        <w:tc>
          <w:tcPr>
            <w:tcW w:w="43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49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Super Voting Shares</w:t>
            </w:r>
          </w:p>
        </w:tc>
        <w:tc>
          <w:tcPr>
            <w:tcW w:w="4340" w:type="dxa"/>
            <w:vAlign w:val="bottom"/>
            <w:vMerge w:val="restart"/>
          </w:tcPr>
          <w:p>
            <w:pPr>
              <w:jc w:val="right"/>
              <w:ind w:right="333"/>
              <w:spacing w:after="0"/>
              <w:rPr>
                <w:sz w:val="20"/>
                <w:szCs w:val="20"/>
                <w:color w:val="auto"/>
              </w:rPr>
            </w:pPr>
            <w:r>
              <w:rPr>
                <w:rFonts w:ascii="Times New Roman" w:cs="Times New Roman" w:eastAsia="Times New Roman" w:hAnsi="Times New Roman"/>
                <w:sz w:val="17"/>
                <w:szCs w:val="17"/>
                <w:color w:val="0000FF"/>
              </w:rPr>
              <w:t>1,589</w:t>
            </w:r>
          </w:p>
        </w:tc>
        <w:tc>
          <w:tcPr>
            <w:tcW w:w="700" w:type="dxa"/>
            <w:vAlign w:val="bottom"/>
            <w:vMerge w:val="restart"/>
          </w:tcPr>
          <w:p>
            <w:pPr>
              <w:jc w:val="center"/>
              <w:ind w:left="33"/>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By ABG</w:t>
            </w:r>
          </w:p>
        </w:tc>
        <w:tc>
          <w:tcPr>
            <w:tcW w:w="0" w:type="dxa"/>
            <w:vAlign w:val="bottom"/>
          </w:tcPr>
          <w:p>
            <w:pPr>
              <w:spacing w:after="0"/>
              <w:rPr>
                <w:sz w:val="1"/>
                <w:szCs w:val="1"/>
                <w:color w:val="auto"/>
              </w:rPr>
            </w:pPr>
          </w:p>
        </w:tc>
      </w:tr>
      <w:tr>
        <w:trPr>
          <w:trHeight w:val="120"/>
        </w:trPr>
        <w:tc>
          <w:tcPr>
            <w:tcW w:w="4960" w:type="dxa"/>
            <w:vAlign w:val="bottom"/>
            <w:vMerge w:val="continue"/>
          </w:tcPr>
          <w:p>
            <w:pPr>
              <w:spacing w:after="0"/>
              <w:rPr>
                <w:sz w:val="10"/>
                <w:szCs w:val="10"/>
                <w:color w:val="auto"/>
              </w:rPr>
            </w:pPr>
          </w:p>
        </w:tc>
        <w:tc>
          <w:tcPr>
            <w:tcW w:w="434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94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LLC</w:t>
            </w:r>
          </w:p>
        </w:tc>
        <w:tc>
          <w:tcPr>
            <w:tcW w:w="0" w:type="dxa"/>
            <w:vAlign w:val="bottom"/>
          </w:tcPr>
          <w:p>
            <w:pPr>
              <w:spacing w:after="0"/>
              <w:rPr>
                <w:sz w:val="1"/>
                <w:szCs w:val="1"/>
                <w:color w:val="auto"/>
              </w:rPr>
            </w:pPr>
          </w:p>
        </w:tc>
      </w:tr>
      <w:tr>
        <w:trPr>
          <w:trHeight w:val="107"/>
        </w:trPr>
        <w:tc>
          <w:tcPr>
            <w:tcW w:w="4960" w:type="dxa"/>
            <w:vAlign w:val="bottom"/>
          </w:tcPr>
          <w:p>
            <w:pPr>
              <w:spacing w:after="0"/>
              <w:rPr>
                <w:sz w:val="9"/>
                <w:szCs w:val="9"/>
                <w:color w:val="auto"/>
              </w:rPr>
            </w:pPr>
          </w:p>
        </w:tc>
        <w:tc>
          <w:tcPr>
            <w:tcW w:w="4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120" w:lineRule="exact"/>
        <w:rPr>
          <w:sz w:val="24"/>
          <w:szCs w:val="24"/>
          <w:color w:val="auto"/>
        </w:rPr>
      </w:pPr>
    </w:p>
    <w:p>
      <w:pPr>
        <w:ind w:left="10260"/>
        <w:spacing w:after="0"/>
        <w:rPr>
          <w:sz w:val="20"/>
          <w:szCs w:val="20"/>
          <w:color w:val="auto"/>
        </w:rPr>
      </w:pPr>
      <w:r>
        <w:rPr>
          <w:rFonts w:ascii="Times New Roman" w:cs="Times New Roman" w:eastAsia="Times New Roman" w:hAnsi="Times New Roman"/>
          <w:sz w:val="17"/>
          <w:szCs w:val="17"/>
          <w:color w:val="0000FF"/>
        </w:rPr>
        <w:t>By</w:t>
      </w:r>
    </w:p>
    <w:p>
      <w:pPr>
        <w:spacing w:after="0" w:line="31" w:lineRule="exact"/>
        <w:rPr>
          <w:sz w:val="24"/>
          <w:szCs w:val="24"/>
          <w:color w:val="auto"/>
        </w:rPr>
      </w:pPr>
    </w:p>
    <w:p>
      <w:pPr>
        <w:ind w:left="10260"/>
        <w:spacing w:after="0"/>
        <w:rPr>
          <w:sz w:val="20"/>
          <w:szCs w:val="20"/>
          <w:color w:val="auto"/>
        </w:rPr>
      </w:pPr>
      <w:r>
        <w:rPr>
          <w:rFonts w:ascii="Times New Roman" w:cs="Times New Roman" w:eastAsia="Times New Roman" w:hAnsi="Times New Roman"/>
          <w:sz w:val="17"/>
          <w:szCs w:val="17"/>
          <w:color w:val="0000FF"/>
        </w:rPr>
        <w:t>Three</w:t>
      </w:r>
    </w:p>
    <w:p>
      <w:pPr>
        <w:ind w:left="80"/>
        <w:spacing w:after="0" w:line="198" w:lineRule="auto"/>
        <w:tabs>
          <w:tab w:leader="none" w:pos="8500" w:val="left"/>
          <w:tab w:leader="none" w:pos="9680" w:val="left"/>
          <w:tab w:leader="none" w:pos="10240" w:val="left"/>
        </w:tabs>
        <w:rPr>
          <w:sz w:val="20"/>
          <w:szCs w:val="20"/>
          <w:color w:val="auto"/>
        </w:rPr>
      </w:pPr>
      <w:r>
        <w:rPr>
          <w:rFonts w:ascii="Times New Roman" w:cs="Times New Roman" w:eastAsia="Times New Roman" w:hAnsi="Times New Roman"/>
          <w:sz w:val="16"/>
          <w:szCs w:val="16"/>
          <w:color w:val="0000FF"/>
        </w:rPr>
        <w:t>Super Voting Shares</w:t>
      </w:r>
      <w:r>
        <w:rPr>
          <w:sz w:val="20"/>
          <w:szCs w:val="20"/>
          <w:color w:val="auto"/>
        </w:rPr>
        <w:tab/>
      </w:r>
      <w:r>
        <w:rPr>
          <w:rFonts w:ascii="Times New Roman" w:cs="Times New Roman" w:eastAsia="Times New Roman" w:hAnsi="Times New Roman"/>
          <w:sz w:val="16"/>
          <w:szCs w:val="16"/>
          <w:color w:val="0000FF"/>
        </w:rPr>
        <w:t>1,333</w:t>
      </w:r>
      <w:r>
        <w:rPr>
          <w:sz w:val="20"/>
          <w:szCs w:val="20"/>
          <w:color w:val="auto"/>
        </w:rPr>
        <w:tab/>
      </w:r>
      <w:r>
        <w:rPr>
          <w:rFonts w:ascii="Times New Roman" w:cs="Times New Roman" w:eastAsia="Times New Roman" w:hAnsi="Times New Roman"/>
          <w:sz w:val="16"/>
          <w:szCs w:val="16"/>
          <w:color w:val="0000FF"/>
        </w:rPr>
        <w:t>I</w:t>
      </w:r>
      <w:r>
        <w:rPr>
          <w:sz w:val="20"/>
          <w:szCs w:val="20"/>
          <w:color w:val="auto"/>
        </w:rPr>
        <w:tab/>
      </w:r>
      <w:r>
        <w:rPr>
          <w:rFonts w:ascii="Times New Roman" w:cs="Times New Roman" w:eastAsia="Times New Roman" w:hAnsi="Times New Roman"/>
          <w:sz w:val="25"/>
          <w:szCs w:val="25"/>
          <w:color w:val="0000FF"/>
          <w:vertAlign w:val="superscript"/>
        </w:rPr>
        <w:t>One</w:t>
      </w:r>
    </w:p>
    <w:p>
      <w:pPr>
        <w:spacing w:after="0" w:line="1" w:lineRule="exact"/>
        <w:rPr>
          <w:sz w:val="24"/>
          <w:szCs w:val="24"/>
          <w:color w:val="auto"/>
        </w:rPr>
      </w:pPr>
    </w:p>
    <w:p>
      <w:pPr>
        <w:ind w:left="10260"/>
        <w:spacing w:after="0"/>
        <w:rPr>
          <w:sz w:val="20"/>
          <w:szCs w:val="20"/>
          <w:color w:val="auto"/>
        </w:rPr>
      </w:pPr>
      <w:r>
        <w:rPr>
          <w:rFonts w:ascii="Times New Roman" w:cs="Times New Roman" w:eastAsia="Times New Roman" w:hAnsi="Times New Roman"/>
          <w:sz w:val="17"/>
          <w:szCs w:val="17"/>
          <w:color w:val="0000FF"/>
        </w:rPr>
        <w:t>Four</w:t>
      </w:r>
    </w:p>
    <w:p>
      <w:pPr>
        <w:spacing w:after="0" w:line="11" w:lineRule="exact"/>
        <w:rPr>
          <w:sz w:val="24"/>
          <w:szCs w:val="24"/>
          <w:color w:val="auto"/>
        </w:rPr>
      </w:pPr>
    </w:p>
    <w:p>
      <w:pPr>
        <w:ind w:left="10260"/>
        <w:spacing w:after="0"/>
        <w:rPr>
          <w:sz w:val="20"/>
          <w:szCs w:val="20"/>
          <w:color w:val="auto"/>
        </w:rPr>
      </w:pPr>
      <w:r>
        <w:rPr>
          <w:rFonts w:ascii="Times New Roman" w:cs="Times New Roman" w:eastAsia="Times New Roman" w:hAnsi="Times New Roman"/>
          <w:sz w:val="17"/>
          <w:szCs w:val="17"/>
          <w:color w:val="0000FF"/>
        </w:rPr>
        <w:t>Holdings</w:t>
      </w:r>
    </w:p>
    <w:p>
      <w:pPr>
        <w:spacing w:after="0" w:line="18" w:lineRule="exact"/>
        <w:rPr>
          <w:sz w:val="24"/>
          <w:szCs w:val="24"/>
          <w:color w:val="auto"/>
        </w:rPr>
      </w:pPr>
    </w:p>
    <w:p>
      <w:pPr>
        <w:ind w:left="10260"/>
        <w:spacing w:after="0"/>
        <w:rPr>
          <w:sz w:val="20"/>
          <w:szCs w:val="20"/>
          <w:color w:val="auto"/>
        </w:rPr>
      </w:pPr>
      <w:r>
        <w:rPr>
          <w:rFonts w:ascii="Times New Roman" w:cs="Times New Roman" w:eastAsia="Times New Roman" w:hAnsi="Times New Roman"/>
          <w:sz w:val="17"/>
          <w:szCs w:val="17"/>
          <w:color w:val="0000FF"/>
        </w:rPr>
        <w:t>LLC</w:t>
      </w:r>
    </w:p>
    <w:p>
      <w:pPr>
        <w:spacing w:after="0" w:line="164"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$6.50 to $6.55, inclusive. The reporting person hereby undertakes to provide to the issuer, any security holder of the issuer, or the staff of the Securities and Exchange Commission, upon request, full information regarding the number of shares sold at each separate price within the ranges set forth in this footnote to this Form 4.</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Kathryn A. Lloyd,</w:t>
            </w:r>
          </w:p>
        </w:tc>
        <w:tc>
          <w:tcPr>
            <w:tcW w:w="58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11/10/2025</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ectPr>
          <w:pgSz w:w="11900" w:h="16867" w:orient="portrait"/>
          <w:cols w:equalWidth="0" w:num="1">
            <w:col w:w="11000"/>
          </w:cols>
          <w:pgMar w:left="460" w:top="219" w:right="439" w:bottom="0" w:gutter="0" w:footer="0" w:header="0"/>
          <w:type w:val="continuous"/>
        </w:sectPr>
      </w:pPr>
    </w:p>
    <w:bookmarkStart w:id="1" w:name="page2"/>
    <w:bookmarkEnd w:id="1"/>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40"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28557" TargetMode="External"/><Relationship Id="rId14" Type="http://schemas.openxmlformats.org/officeDocument/2006/relationships/hyperlink" Target="http://www.sec.gov/cgi-bin/browse-edgar?action=getcompany&amp;CIK=00017951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2025-11-10T15:20:38Z</dcterms:created>
  <dcterms:modified xsi:type="dcterms:W3CDTF">2025-11-10T15:20:38Z</dcterms:modified>
</cp:coreProperties>
</file>