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August 7, 2025</w:t>
      </w:r>
    </w:p>
    <w:p>
      <w:pPr>
        <w:spacing w:after="0" w:line="33" w:lineRule="exact"/>
        <w:rPr>
          <w:sz w:val="24"/>
          <w:szCs w:val="24"/>
          <w:color w:val="auto"/>
        </w:rPr>
      </w:pPr>
    </w:p>
    <w:p>
      <w:pPr>
        <w:ind w:left="9640"/>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5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3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40"/>
        <w:spacing w:after="0" w:line="232"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jc w:val="center"/>
        <w:ind w:right="40"/>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15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2"/>
          <w:szCs w:val="42"/>
          <w:b w:val="1"/>
          <w:bCs w:val="1"/>
          <w:color w:val="auto"/>
        </w:rPr>
        <w:t>GREEN THUMB INDUSTRIES INC.</w:t>
      </w:r>
    </w:p>
    <w:p>
      <w:pPr>
        <w:spacing w:after="0" w:line="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tbl>
      <w:tblPr>
        <w:tblLayout w:type="fixed"/>
        <w:tblInd w:w="1620" w:type="dxa"/>
        <w:tblCellMar>
          <w:top w:w="0" w:type="dxa"/>
          <w:left w:w="0" w:type="dxa"/>
          <w:bottom w:w="0" w:type="dxa"/>
          <w:right w:w="0" w:type="dxa"/>
        </w:tblCellMar>
      </w:tblPr>
      <w:tr>
        <w:trPr>
          <w:trHeight w:val="204"/>
        </w:trPr>
        <w:tc>
          <w:tcPr>
            <w:tcW w:w="4340" w:type="dxa"/>
            <w:vAlign w:val="bottom"/>
          </w:tcPr>
          <w:p>
            <w:pPr>
              <w:jc w:val="center"/>
              <w:ind w:right="1822"/>
              <w:spacing w:after="0"/>
              <w:rPr>
                <w:sz w:val="20"/>
                <w:szCs w:val="20"/>
                <w:color w:val="auto"/>
              </w:rPr>
            </w:pPr>
            <w:r>
              <w:rPr>
                <w:rFonts w:ascii="Times New Roman" w:cs="Times New Roman" w:eastAsia="Times New Roman" w:hAnsi="Times New Roman"/>
                <w:sz w:val="17"/>
                <w:szCs w:val="17"/>
                <w:b w:val="1"/>
                <w:bCs w:val="1"/>
                <w:color w:val="auto"/>
              </w:rPr>
              <w:t>British Columbia</w:t>
            </w:r>
          </w:p>
        </w:tc>
        <w:tc>
          <w:tcPr>
            <w:tcW w:w="3260" w:type="dxa"/>
            <w:vAlign w:val="bottom"/>
          </w:tcPr>
          <w:p>
            <w:pPr>
              <w:jc w:val="right"/>
              <w:ind w:right="204"/>
              <w:spacing w:after="0"/>
              <w:rPr>
                <w:sz w:val="20"/>
                <w:szCs w:val="20"/>
                <w:color w:val="auto"/>
              </w:rPr>
            </w:pPr>
            <w:r>
              <w:rPr>
                <w:rFonts w:ascii="Times New Roman" w:cs="Times New Roman" w:eastAsia="Times New Roman" w:hAnsi="Times New Roman"/>
                <w:sz w:val="17"/>
                <w:szCs w:val="17"/>
                <w:b w:val="1"/>
                <w:bCs w:val="1"/>
                <w:color w:val="auto"/>
              </w:rPr>
              <w:t>98-1437430</w:t>
            </w:r>
          </w:p>
        </w:tc>
      </w:tr>
      <w:tr>
        <w:trPr>
          <w:trHeight w:val="143"/>
        </w:trPr>
        <w:tc>
          <w:tcPr>
            <w:tcW w:w="4340" w:type="dxa"/>
            <w:vAlign w:val="bottom"/>
          </w:tcPr>
          <w:p>
            <w:pPr>
              <w:jc w:val="center"/>
              <w:ind w:right="1802"/>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3260" w:type="dxa"/>
            <w:vAlign w:val="bottom"/>
          </w:tcPr>
          <w:p>
            <w:pPr>
              <w:jc w:val="center"/>
              <w:ind w:left="1784"/>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434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3260" w:type="dxa"/>
            <w:vAlign w:val="bottom"/>
          </w:tcPr>
          <w:p>
            <w:pPr>
              <w:jc w:val="center"/>
              <w:ind w:left="1804"/>
              <w:spacing w:after="0"/>
              <w:rPr>
                <w:sz w:val="20"/>
                <w:szCs w:val="20"/>
                <w:color w:val="auto"/>
              </w:rPr>
            </w:pPr>
            <w:r>
              <w:rPr>
                <w:rFonts w:ascii="Times New Roman" w:cs="Times New Roman" w:eastAsia="Times New Roman" w:hAnsi="Times New Roman"/>
                <w:sz w:val="14"/>
                <w:szCs w:val="14"/>
                <w:b w:val="1"/>
                <w:bCs w:val="1"/>
                <w:color w:val="auto"/>
                <w:w w:val="99"/>
              </w:rPr>
              <w:t>Identification Number)</w:t>
            </w:r>
          </w:p>
        </w:tc>
      </w:tr>
      <w:tr>
        <w:trPr>
          <w:trHeight w:val="392"/>
        </w:trPr>
        <w:tc>
          <w:tcPr>
            <w:tcW w:w="4340" w:type="dxa"/>
            <w:vAlign w:val="bottom"/>
          </w:tcPr>
          <w:p>
            <w:pPr>
              <w:jc w:val="center"/>
              <w:ind w:right="1802"/>
              <w:spacing w:after="0"/>
              <w:rPr>
                <w:sz w:val="20"/>
                <w:szCs w:val="20"/>
                <w:color w:val="auto"/>
              </w:rPr>
            </w:pPr>
            <w:r>
              <w:rPr>
                <w:rFonts w:ascii="Times New Roman" w:cs="Times New Roman" w:eastAsia="Times New Roman" w:hAnsi="Times New Roman"/>
                <w:sz w:val="17"/>
                <w:szCs w:val="17"/>
                <w:b w:val="1"/>
                <w:bCs w:val="1"/>
                <w:color w:val="auto"/>
              </w:rPr>
              <w:t>325 West Huron Street, Suite 700</w:t>
            </w:r>
          </w:p>
        </w:tc>
        <w:tc>
          <w:tcPr>
            <w:tcW w:w="3260" w:type="dxa"/>
            <w:vAlign w:val="bottom"/>
          </w:tcPr>
          <w:p>
            <w:pPr>
              <w:spacing w:after="0"/>
              <w:rPr>
                <w:sz w:val="24"/>
                <w:szCs w:val="24"/>
                <w:color w:val="auto"/>
              </w:rPr>
            </w:pPr>
          </w:p>
        </w:tc>
      </w:tr>
      <w:tr>
        <w:trPr>
          <w:trHeight w:val="204"/>
        </w:trPr>
        <w:tc>
          <w:tcPr>
            <w:tcW w:w="4340" w:type="dxa"/>
            <w:vAlign w:val="bottom"/>
          </w:tcPr>
          <w:p>
            <w:pPr>
              <w:jc w:val="center"/>
              <w:ind w:right="1822"/>
              <w:spacing w:after="0"/>
              <w:rPr>
                <w:sz w:val="20"/>
                <w:szCs w:val="20"/>
                <w:color w:val="auto"/>
              </w:rPr>
            </w:pPr>
            <w:r>
              <w:rPr>
                <w:rFonts w:ascii="Times New Roman" w:cs="Times New Roman" w:eastAsia="Times New Roman" w:hAnsi="Times New Roman"/>
                <w:sz w:val="17"/>
                <w:szCs w:val="17"/>
                <w:b w:val="1"/>
                <w:bCs w:val="1"/>
                <w:color w:val="auto"/>
              </w:rPr>
              <w:t>Chicago, Illinois</w:t>
            </w:r>
          </w:p>
        </w:tc>
        <w:tc>
          <w:tcPr>
            <w:tcW w:w="3260" w:type="dxa"/>
            <w:vAlign w:val="bottom"/>
          </w:tcPr>
          <w:p>
            <w:pPr>
              <w:jc w:val="right"/>
              <w:ind w:right="404"/>
              <w:spacing w:after="0"/>
              <w:rPr>
                <w:sz w:val="20"/>
                <w:szCs w:val="20"/>
                <w:color w:val="auto"/>
              </w:rPr>
            </w:pPr>
            <w:r>
              <w:rPr>
                <w:rFonts w:ascii="Times New Roman" w:cs="Times New Roman" w:eastAsia="Times New Roman" w:hAnsi="Times New Roman"/>
                <w:sz w:val="17"/>
                <w:szCs w:val="17"/>
                <w:b w:val="1"/>
                <w:bCs w:val="1"/>
                <w:color w:val="auto"/>
              </w:rPr>
              <w:t>60654</w:t>
            </w:r>
          </w:p>
        </w:tc>
      </w:tr>
      <w:tr>
        <w:trPr>
          <w:trHeight w:val="183"/>
        </w:trPr>
        <w:tc>
          <w:tcPr>
            <w:tcW w:w="4340" w:type="dxa"/>
            <w:vAlign w:val="bottom"/>
          </w:tcPr>
          <w:p>
            <w:pPr>
              <w:jc w:val="center"/>
              <w:ind w:right="1822"/>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3260" w:type="dxa"/>
            <w:vAlign w:val="bottom"/>
          </w:tcPr>
          <w:p>
            <w:pPr>
              <w:jc w:val="center"/>
              <w:ind w:left="1784"/>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Green Thumb Industries Inc. 2018 Stock and Incentive Plan</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76"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Bret Kravitz</w:t>
      </w:r>
    </w:p>
    <w:p>
      <w:pPr>
        <w:spacing w:after="0" w:line="3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General Counsel &amp; Secretary</w:t>
      </w:r>
    </w:p>
    <w:p>
      <w:pPr>
        <w:spacing w:after="0" w:line="1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325 West Huron Street, Suite 700</w:t>
      </w:r>
    </w:p>
    <w:p>
      <w:pPr>
        <w:spacing w:after="0" w:line="1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Chicago, Illinois 60654</w:t>
      </w:r>
    </w:p>
    <w:p>
      <w:pPr>
        <w:spacing w:after="0" w:line="12"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(312) 471-6720</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78"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91"/>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5200" w:type="dxa"/>
            <w:vAlign w:val="bottom"/>
          </w:tcPr>
          <w:p>
            <w:pPr>
              <w:ind w:left="2800"/>
              <w:spacing w:after="0"/>
              <w:rPr>
                <w:sz w:val="20"/>
                <w:szCs w:val="20"/>
                <w:color w:val="auto"/>
              </w:rPr>
            </w:pPr>
            <w:r>
              <w:rPr>
                <w:rFonts w:ascii="Times New Roman" w:cs="Times New Roman" w:eastAsia="Times New Roman" w:hAnsi="Times New Roman"/>
                <w:sz w:val="17"/>
                <w:szCs w:val="17"/>
                <w:color w:val="auto"/>
              </w:rPr>
              <w:t>Accelerated filer</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2"/>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5200" w:type="dxa"/>
            <w:vAlign w:val="bottom"/>
          </w:tcPr>
          <w:p>
            <w:pPr>
              <w:ind w:left="28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2"/>
        </w:trPr>
        <w:tc>
          <w:tcPr>
            <w:tcW w:w="19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00" w:type="dxa"/>
            <w:vAlign w:val="bottom"/>
          </w:tcPr>
          <w:p>
            <w:pPr>
              <w:ind w:left="2800"/>
              <w:spacing w:after="0"/>
              <w:rPr>
                <w:sz w:val="20"/>
                <w:szCs w:val="20"/>
                <w:color w:val="auto"/>
              </w:rPr>
            </w:pPr>
            <w:r>
              <w:rPr>
                <w:rFonts w:ascii="Times New Roman" w:cs="Times New Roman" w:eastAsia="Times New Roman" w:hAnsi="Times New Roman"/>
                <w:sz w:val="17"/>
                <w:szCs w:val="17"/>
                <w:color w:val="auto"/>
              </w:rPr>
              <w:t>Emerging growth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0" w:lineRule="exact"/>
        <w:rPr>
          <w:sz w:val="24"/>
          <w:szCs w:val="24"/>
          <w:color w:val="auto"/>
        </w:rPr>
      </w:pPr>
    </w:p>
    <w:p>
      <w:pPr>
        <w:ind w:right="400"/>
        <w:spacing w:after="0" w:line="23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609600</wp:posOffset>
            </wp:positionV>
            <wp:extent cx="716280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0" w:lineRule="exact"/>
        <w:rPr>
          <w:sz w:val="20"/>
          <w:szCs w:val="20"/>
          <w:color w:val="auto"/>
        </w:rPr>
      </w:pPr>
    </w:p>
    <w:p>
      <w:pPr>
        <w:ind w:right="4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Green Thumb Industries Inc. a British Columbia, Canada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Registrant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our</w:t>
      </w:r>
      <w:r>
        <w:rPr>
          <w:rFonts w:ascii="Times New Roman" w:cs="Times New Roman" w:eastAsia="Times New Roman" w:hAnsi="Times New Roman"/>
          <w:sz w:val="17"/>
          <w:szCs w:val="17"/>
          <w:color w:val="auto"/>
        </w:rPr>
        <w:t>”), previously registered 19,511,409 of the Company’s Subordinate Voting Shares, no par value per share (the “</w:t>
      </w:r>
      <w:r>
        <w:rPr>
          <w:rFonts w:ascii="Times New Roman" w:cs="Times New Roman" w:eastAsia="Times New Roman" w:hAnsi="Times New Roman"/>
          <w:sz w:val="17"/>
          <w:szCs w:val="17"/>
          <w:b w:val="1"/>
          <w:bCs w:val="1"/>
          <w:color w:val="auto"/>
        </w:rPr>
        <w:t>Subordinate Voting Shares</w:t>
      </w:r>
      <w:r>
        <w:rPr>
          <w:rFonts w:ascii="Times New Roman" w:cs="Times New Roman" w:eastAsia="Times New Roman" w:hAnsi="Times New Roman"/>
          <w:sz w:val="17"/>
          <w:szCs w:val="17"/>
          <w:color w:val="auto"/>
        </w:rPr>
        <w:t>”), available for issuance pursuant to awards under the Green Thumb Industries Inc. 2018 Stock and Incentive Plan, as amended (the “</w:t>
      </w:r>
      <w:r>
        <w:rPr>
          <w:rFonts w:ascii="Times New Roman" w:cs="Times New Roman" w:eastAsia="Times New Roman" w:hAnsi="Times New Roman"/>
          <w:sz w:val="17"/>
          <w:szCs w:val="17"/>
          <w:b w:val="1"/>
          <w:bCs w:val="1"/>
          <w:color w:val="auto"/>
        </w:rPr>
        <w:t>Stock and Incentive Plan</w:t>
      </w:r>
      <w:r>
        <w:rPr>
          <w:rFonts w:ascii="Times New Roman" w:cs="Times New Roman" w:eastAsia="Times New Roman" w:hAnsi="Times New Roman"/>
          <w:sz w:val="17"/>
          <w:szCs w:val="17"/>
          <w:color w:val="auto"/>
        </w:rPr>
        <w:t xml:space="preserve">”). The Company registered such shares of Common Stock under the Plan on a </w:t>
      </w:r>
      <w:hyperlink r:id="rId9">
        <w:r>
          <w:rPr>
            <w:rFonts w:ascii="Times New Roman" w:cs="Times New Roman" w:eastAsia="Times New Roman" w:hAnsi="Times New Roman"/>
            <w:sz w:val="17"/>
            <w:szCs w:val="17"/>
            <w:u w:val="single" w:color="auto"/>
            <w:color w:val="0000FF"/>
          </w:rPr>
          <w:t>Form S-8</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Registration Statement filed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on February 19, 2020 (Registration Number 333-236522) in accordance with the Securities Act of 1933, as amended.</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On June 11, 2025, the Company’s shareholders approved an amendment to the Stock and Incentive Plan (the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to increase the number of Subordinate Voting Shares that may be issued pursuant to the Stock and Incentive Plan from 10% of the number of the Company's Subordinate Voting Shares outstanding as of the date of each award thereunder, including the number of Subordinate Voting Shares issuable on conversion of the Company’s Super Voting Shares and the Multiple Voting Shares (the “</w:t>
      </w:r>
      <w:r>
        <w:rPr>
          <w:rFonts w:ascii="Times New Roman" w:cs="Times New Roman" w:eastAsia="Times New Roman" w:hAnsi="Times New Roman"/>
          <w:sz w:val="17"/>
          <w:szCs w:val="17"/>
          <w:b w:val="1"/>
          <w:bCs w:val="1"/>
          <w:color w:val="auto"/>
        </w:rPr>
        <w:t>Outstanding Share Number</w:t>
      </w:r>
      <w:r>
        <w:rPr>
          <w:rFonts w:ascii="Times New Roman" w:cs="Times New Roman" w:eastAsia="Times New Roman" w:hAnsi="Times New Roman"/>
          <w:sz w:val="17"/>
          <w:szCs w:val="17"/>
          <w:color w:val="auto"/>
        </w:rPr>
        <w:t>”), to 15% of the Outstanding Share Number.</w:t>
      </w:r>
    </w:p>
    <w:p>
      <w:pPr>
        <w:spacing w:after="0" w:line="167" w:lineRule="exact"/>
        <w:rPr>
          <w:sz w:val="20"/>
          <w:szCs w:val="20"/>
          <w:color w:val="auto"/>
        </w:rPr>
      </w:pPr>
    </w:p>
    <w:p>
      <w:pPr>
        <w:ind w:right="260"/>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Pursuant to General Instruction E of Form S-8, the contents of the Registration Statement on </w:t>
      </w:r>
      <w:hyperlink r:id="rId9">
        <w:r>
          <w:rPr>
            <w:rFonts w:ascii="Times New Roman" w:cs="Times New Roman" w:eastAsia="Times New Roman" w:hAnsi="Times New Roman"/>
            <w:sz w:val="17"/>
            <w:szCs w:val="17"/>
            <w:u w:val="single" w:color="auto"/>
            <w:color w:val="0000FF"/>
          </w:rPr>
          <w:t>Form S-8</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with the SEC on February 19, 2020 (Registration Number 333-236522) are incorporated herein by reference, except to the extent supplemented, amended or superseded by the information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2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information called for by Part I of Form S-8 is omitted from this registration statement in accordance with Rule 428 of the Securities Act and the instructions to Form S-8. In accordance with the rules and regulations of the Commission and the instructions to Form S-8, the documents containing such information are not required to be, and are not, filed with the Commission either as part of this registration statement or as prospectuses or prospectus supplements pursuant to Rule 424 under the Securities Act. These documents will be sent or given to participants of the Stock and Incentive Plan, as specified by Rule 428(b)(1) under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37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0"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hereby incorporates by reference into this registration statement the following documents filed by it with the Commission:</w:t>
      </w:r>
    </w:p>
    <w:p>
      <w:pPr>
        <w:spacing w:after="0" w:line="218" w:lineRule="exact"/>
        <w:rPr>
          <w:sz w:val="20"/>
          <w:szCs w:val="20"/>
          <w:color w:val="auto"/>
        </w:rPr>
      </w:pPr>
    </w:p>
    <w:p>
      <w:pPr>
        <w:ind w:right="200" w:firstLine="4"/>
        <w:spacing w:after="0" w:line="295" w:lineRule="auto"/>
        <w:tabs>
          <w:tab w:leader="none" w:pos="2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w:t>
      </w:r>
      <w:hyperlink r:id="rId11">
        <w:r>
          <w:rPr>
            <w:rFonts w:ascii="Times New Roman" w:cs="Times New Roman" w:eastAsia="Times New Roman" w:hAnsi="Times New Roman"/>
            <w:sz w:val="17"/>
            <w:szCs w:val="17"/>
            <w:u w:val="single" w:color="auto"/>
            <w:color w:val="0000FF"/>
          </w:rPr>
          <w:t>Annual Report on Form 10-K for the year ended December 31, 2024</w:t>
        </w:r>
      </w:hyperlink>
      <w:r>
        <w:rPr>
          <w:rFonts w:ascii="Times New Roman" w:cs="Times New Roman" w:eastAsia="Times New Roman" w:hAnsi="Times New Roman"/>
          <w:sz w:val="17"/>
          <w:szCs w:val="17"/>
          <w:color w:val="auto"/>
        </w:rPr>
        <w:t>, filed with the Commission on February 27, 2025 (the “</w:t>
      </w:r>
      <w:r>
        <w:rPr>
          <w:rFonts w:ascii="Times New Roman" w:cs="Times New Roman" w:eastAsia="Times New Roman" w:hAnsi="Times New Roman"/>
          <w:sz w:val="17"/>
          <w:szCs w:val="17"/>
          <w:b w:val="1"/>
          <w:bCs w:val="1"/>
          <w:color w:val="auto"/>
        </w:rPr>
        <w:t>2024 Annual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Report</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right="140" w:firstLine="4"/>
        <w:spacing w:after="0" w:line="292" w:lineRule="auto"/>
        <w:tabs>
          <w:tab w:leader="none" w:pos="24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w:t>
      </w:r>
      <w:hyperlink r:id="rId12">
        <w:r>
          <w:rPr>
            <w:rFonts w:ascii="Times New Roman" w:cs="Times New Roman" w:eastAsia="Times New Roman" w:hAnsi="Times New Roman"/>
            <w:sz w:val="17"/>
            <w:szCs w:val="17"/>
            <w:u w:val="single" w:color="auto"/>
            <w:color w:val="0000FF"/>
          </w:rPr>
          <w:t>Quarterly Report on Form 10-Q for the quarter ended March 31, 2025</w:t>
        </w:r>
      </w:hyperlink>
      <w:r>
        <w:rPr>
          <w:rFonts w:ascii="Times New Roman" w:cs="Times New Roman" w:eastAsia="Times New Roman" w:hAnsi="Times New Roman"/>
          <w:sz w:val="17"/>
          <w:szCs w:val="17"/>
          <w:color w:val="auto"/>
        </w:rPr>
        <w:t>, filed with the Commission on May 8, 2025, as amended on May 20, 2025;</w:t>
      </w:r>
    </w:p>
    <w:p>
      <w:pPr>
        <w:spacing w:after="0" w:line="147"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Current Reports on Form 8-K filed with the Commission on </w:t>
      </w:r>
      <w:hyperlink r:id="rId13">
        <w:r>
          <w:rPr>
            <w:rFonts w:ascii="Times New Roman" w:cs="Times New Roman" w:eastAsia="Times New Roman" w:hAnsi="Times New Roman"/>
            <w:sz w:val="17"/>
            <w:szCs w:val="17"/>
            <w:u w:val="single" w:color="auto"/>
            <w:color w:val="0000FF"/>
          </w:rPr>
          <w:t>February 26, 2025</w:t>
        </w:r>
      </w:hyperlink>
      <w:r>
        <w:rPr>
          <w:rFonts w:ascii="Times New Roman" w:cs="Times New Roman" w:eastAsia="Times New Roman" w:hAnsi="Times New Roman"/>
          <w:sz w:val="17"/>
          <w:szCs w:val="17"/>
          <w:color w:val="auto"/>
        </w:rPr>
        <w:t xml:space="preserve">, </w:t>
      </w:r>
      <w:hyperlink r:id="rId14">
        <w:r>
          <w:rPr>
            <w:rFonts w:ascii="Times New Roman" w:cs="Times New Roman" w:eastAsia="Times New Roman" w:hAnsi="Times New Roman"/>
            <w:sz w:val="17"/>
            <w:szCs w:val="17"/>
            <w:u w:val="single" w:color="auto"/>
            <w:color w:val="0000FF"/>
          </w:rPr>
          <w:t>May 7, 2025</w:t>
        </w:r>
      </w:hyperlink>
      <w:r>
        <w:rPr>
          <w:rFonts w:ascii="Times New Roman" w:cs="Times New Roman" w:eastAsia="Times New Roman" w:hAnsi="Times New Roman"/>
          <w:sz w:val="17"/>
          <w:szCs w:val="17"/>
          <w:color w:val="auto"/>
        </w:rPr>
        <w:t xml:space="preserve">, </w:t>
      </w:r>
      <w:hyperlink r:id="rId15">
        <w:r>
          <w:rPr>
            <w:rFonts w:ascii="Times New Roman" w:cs="Times New Roman" w:eastAsia="Times New Roman" w:hAnsi="Times New Roman"/>
            <w:sz w:val="17"/>
            <w:szCs w:val="17"/>
            <w:u w:val="single" w:color="auto"/>
            <w:color w:val="0000FF"/>
          </w:rPr>
          <w:t>June 12,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16">
        <w:r>
          <w:rPr>
            <w:rFonts w:ascii="Times New Roman" w:cs="Times New Roman" w:eastAsia="Times New Roman" w:hAnsi="Times New Roman"/>
            <w:sz w:val="17"/>
            <w:szCs w:val="17"/>
            <w:u w:val="single" w:color="auto"/>
            <w:color w:val="0000FF"/>
          </w:rPr>
          <w:t>August 6, 2025</w:t>
        </w:r>
      </w:hyperlink>
      <w:r>
        <w:rPr>
          <w:rFonts w:ascii="Times New Roman" w:cs="Times New Roman" w:eastAsia="Times New Roman" w:hAnsi="Times New Roman"/>
          <w:sz w:val="17"/>
          <w:szCs w:val="17"/>
          <w:color w:val="auto"/>
        </w:rPr>
        <w:t>; and</w:t>
      </w:r>
    </w:p>
    <w:p>
      <w:pPr>
        <w:spacing w:after="0" w:line="219"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Subordinate Voting Shares filed with the Commission on February 27, 2025 as </w:t>
      </w:r>
      <w:hyperlink r:id="rId17">
        <w:r>
          <w:rPr>
            <w:rFonts w:ascii="Times New Roman" w:cs="Times New Roman" w:eastAsia="Times New Roman" w:hAnsi="Times New Roman"/>
            <w:sz w:val="17"/>
            <w:szCs w:val="17"/>
            <w:u w:val="single" w:color="auto"/>
            <w:color w:val="0000FF"/>
          </w:rPr>
          <w:t>Exhibit 4.2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2025 Annual Report.</w:t>
      </w:r>
    </w:p>
    <w:p>
      <w:pPr>
        <w:spacing w:after="0" w:line="200" w:lineRule="exact"/>
        <w:rPr>
          <w:rFonts w:ascii="Times New Roman" w:cs="Times New Roman" w:eastAsia="Times New Roman" w:hAnsi="Times New Roman"/>
          <w:sz w:val="17"/>
          <w:szCs w:val="17"/>
          <w:color w:val="auto"/>
        </w:rPr>
      </w:pPr>
    </w:p>
    <w:p>
      <w:pPr>
        <w:spacing w:after="0" w:line="374"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-9525</wp:posOffset>
            </wp:positionH>
            <wp:positionV relativeFrom="paragraph">
              <wp:posOffset>609600</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365" w:right="359" w:bottom="1440" w:gutter="0" w:footer="0" w:header="0"/>
        </w:sectPr>
      </w:pPr>
    </w:p>
    <w:bookmarkStart w:id="2" w:name="page3"/>
    <w:bookmarkEnd w:id="2"/>
    <w:p>
      <w:pPr>
        <w:spacing w:after="0" w:line="13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All documents filed by the Registrant pursuant to Section 13(a), 13(c), 14 or 15(d) of the Securities Exchange Act of 1934, as amended, subsequent to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commencing on the respective dates on which such documents are filed.</w:t>
      </w:r>
    </w:p>
    <w:p>
      <w:pPr>
        <w:spacing w:after="0" w:line="168"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7"/>
          <w:szCs w:val="17"/>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that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Notwithstanding the foregoing, nothing in this registration statement shall be deemed to incorporate (i) any information provided in documents incorporated by reference herein that is described in paragraph (d)(1), (d)(2), (d)(3) or (e)(5) of Item 407 of Regulation S-K promulgated by the Commission or Item 2.02 or Item 7.01 of any Form 8-K, or that is otherwise furnished under applicable Commission rules rather than filed, or (ii) any exhibits to the extent furnished in connection with such items.</w:t>
      </w:r>
    </w:p>
    <w:p>
      <w:pPr>
        <w:spacing w:after="0" w:line="374"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2"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2"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Registrant is subject to the provisions of Part 5, Division 5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(the “</w:t>
      </w:r>
      <w:r>
        <w:rPr>
          <w:rFonts w:ascii="Times New Roman" w:cs="Times New Roman" w:eastAsia="Times New Roman" w:hAnsi="Times New Roman"/>
          <w:sz w:val="17"/>
          <w:szCs w:val="17"/>
          <w:b w:val="1"/>
          <w:bCs w:val="1"/>
          <w:color w:val="auto"/>
        </w:rPr>
        <w:t>BCBCA</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Section 160 of the BCBCA, we may, subject to Section 163 of the BCBCA:</w:t>
      </w:r>
    </w:p>
    <w:p>
      <w:pPr>
        <w:spacing w:after="0" w:line="116" w:lineRule="exact"/>
        <w:rPr>
          <w:sz w:val="20"/>
          <w:szCs w:val="20"/>
          <w:color w:val="auto"/>
        </w:rPr>
      </w:pPr>
    </w:p>
    <w:p>
      <w:pPr>
        <w:ind w:left="1020" w:hanging="553"/>
        <w:spacing w:after="0"/>
        <w:tabs>
          <w:tab w:leader="none" w:pos="10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indemnify an individual who:</w:t>
      </w:r>
    </w:p>
    <w:p>
      <w:pPr>
        <w:spacing w:after="0" w:line="200" w:lineRule="exact"/>
        <w:rPr>
          <w:rFonts w:ascii="Times New Roman" w:cs="Times New Roman" w:eastAsia="Times New Roman" w:hAnsi="Times New Roman"/>
          <w:sz w:val="17"/>
          <w:szCs w:val="17"/>
          <w:color w:val="auto"/>
        </w:rPr>
      </w:pPr>
    </w:p>
    <w:p>
      <w:pPr>
        <w:spacing w:after="0" w:line="253" w:lineRule="exact"/>
        <w:rPr>
          <w:rFonts w:ascii="Times New Roman" w:cs="Times New Roman" w:eastAsia="Times New Roman" w:hAnsi="Times New Roman"/>
          <w:sz w:val="17"/>
          <w:szCs w:val="17"/>
          <w:color w:val="auto"/>
        </w:rPr>
      </w:pPr>
    </w:p>
    <w:p>
      <w:pPr>
        <w:ind w:left="1460" w:hanging="435"/>
        <w:spacing w:after="0"/>
        <w:tabs>
          <w:tab w:leader="none" w:pos="146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was a director or officer of our company,</w:t>
      </w:r>
    </w:p>
    <w:p>
      <w:pPr>
        <w:spacing w:after="0" w:line="200" w:lineRule="exact"/>
        <w:rPr>
          <w:rFonts w:ascii="Times New Roman" w:cs="Times New Roman" w:eastAsia="Times New Roman" w:hAnsi="Times New Roman"/>
          <w:sz w:val="17"/>
          <w:szCs w:val="17"/>
          <w:color w:val="auto"/>
        </w:rPr>
      </w:pPr>
    </w:p>
    <w:p>
      <w:pPr>
        <w:spacing w:after="0" w:line="253" w:lineRule="exact"/>
        <w:rPr>
          <w:rFonts w:ascii="Times New Roman" w:cs="Times New Roman" w:eastAsia="Times New Roman" w:hAnsi="Times New Roman"/>
          <w:sz w:val="17"/>
          <w:szCs w:val="17"/>
          <w:color w:val="auto"/>
        </w:rPr>
      </w:pPr>
    </w:p>
    <w:p>
      <w:pPr>
        <w:ind w:left="1460" w:right="380" w:hanging="435"/>
        <w:spacing w:after="0" w:line="292" w:lineRule="auto"/>
        <w:tabs>
          <w:tab w:leader="none" w:pos="146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was a director or officer of another corporation (A) at a time when such corporation is or was an affiliate of our company; or (B) at our request, or</w:t>
      </w:r>
    </w:p>
    <w:p>
      <w:pPr>
        <w:spacing w:after="0" w:line="380" w:lineRule="exact"/>
        <w:rPr>
          <w:rFonts w:ascii="Times New Roman" w:cs="Times New Roman" w:eastAsia="Times New Roman" w:hAnsi="Times New Roman"/>
          <w:sz w:val="17"/>
          <w:szCs w:val="17"/>
          <w:color w:val="auto"/>
        </w:rPr>
      </w:pPr>
    </w:p>
    <w:p>
      <w:pPr>
        <w:ind w:left="1460" w:right="300" w:hanging="435"/>
        <w:spacing w:after="0" w:line="292" w:lineRule="auto"/>
        <w:tabs>
          <w:tab w:leader="none" w:pos="146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our request, is or was, or holds or held a position equivalent to that of, a director or officer of a partnership, trust, joint venture or other unincorporated entity,</w:t>
      </w:r>
    </w:p>
    <w:p>
      <w:pPr>
        <w:spacing w:after="0" w:line="44" w:lineRule="exact"/>
        <w:rPr>
          <w:sz w:val="20"/>
          <w:szCs w:val="20"/>
          <w:color w:val="auto"/>
        </w:rPr>
      </w:pPr>
    </w:p>
    <w:p>
      <w:pPr>
        <w:ind w:left="840" w:right="480"/>
        <w:spacing w:after="0" w:line="292" w:lineRule="auto"/>
        <w:rPr>
          <w:sz w:val="20"/>
          <w:szCs w:val="20"/>
          <w:color w:val="auto"/>
        </w:rPr>
      </w:pPr>
      <w:r>
        <w:rPr>
          <w:rFonts w:ascii="Times New Roman" w:cs="Times New Roman" w:eastAsia="Times New Roman" w:hAnsi="Times New Roman"/>
          <w:sz w:val="17"/>
          <w:szCs w:val="17"/>
          <w:color w:val="auto"/>
        </w:rPr>
        <w:t>including, subject to certain limited exceptions, the heirs and personal or other legal representatives of that individual (collectively, an “eligible party”), against all eligible penalties, defined below, to which the eligible party is or may be liable; and</w:t>
      </w:r>
    </w:p>
    <w:p>
      <w:pPr>
        <w:spacing w:after="0" w:line="44" w:lineRule="exact"/>
        <w:rPr>
          <w:sz w:val="20"/>
          <w:szCs w:val="20"/>
          <w:color w:val="auto"/>
        </w:rPr>
      </w:pPr>
    </w:p>
    <w:p>
      <w:pPr>
        <w:ind w:left="1020" w:right="820" w:hanging="553"/>
        <w:spacing w:after="0" w:line="292"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final disposition of an eligible proceeding, pay the expenses actually and reasonably incurred by an eligible party in respect of that proceeding, where: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609600</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1" w:lineRule="exact"/>
        <w:rPr>
          <w:sz w:val="20"/>
          <w:szCs w:val="20"/>
          <w:color w:val="auto"/>
        </w:rPr>
      </w:pPr>
    </w:p>
    <w:p>
      <w:pPr>
        <w:ind w:left="1460" w:hanging="435"/>
        <w:spacing w:after="0"/>
        <w:tabs>
          <w:tab w:leader="none" w:pos="1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“eligible penalty” means a judgment, penalty or fine awarded or imposed in, or an amount paid in settlement of, an eligible proceeding,</w:t>
      </w:r>
    </w:p>
    <w:p>
      <w:pPr>
        <w:spacing w:after="0" w:line="200" w:lineRule="exact"/>
        <w:rPr>
          <w:rFonts w:ascii="Times New Roman" w:cs="Times New Roman" w:eastAsia="Times New Roman" w:hAnsi="Times New Roman"/>
          <w:sz w:val="17"/>
          <w:szCs w:val="17"/>
          <w:color w:val="auto"/>
        </w:rPr>
      </w:pPr>
    </w:p>
    <w:p>
      <w:pPr>
        <w:spacing w:after="0" w:line="253" w:lineRule="exact"/>
        <w:rPr>
          <w:rFonts w:ascii="Times New Roman" w:cs="Times New Roman" w:eastAsia="Times New Roman" w:hAnsi="Times New Roman"/>
          <w:sz w:val="17"/>
          <w:szCs w:val="17"/>
          <w:color w:val="auto"/>
        </w:rPr>
      </w:pPr>
    </w:p>
    <w:p>
      <w:pPr>
        <w:ind w:left="1460" w:right="120" w:hanging="435"/>
        <w:spacing w:after="0" w:line="267" w:lineRule="auto"/>
        <w:tabs>
          <w:tab w:leader="none" w:pos="1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“eligible proceeding” means a proceeding in which an eligible party or any of the heirs and personal or other legal representatives of the eligible party, by reason of the eligible party being or having been a director or officer of, or holding or having held a position equivalent to that of a director or officer of, our company or an associated corporation (A) is or may be joined as a party, or (B) is or may be liable for or in respect of a judgment, penalty or fine in, or expenses related to, the proceeding,</w:t>
      </w:r>
    </w:p>
    <w:p>
      <w:pPr>
        <w:spacing w:after="0" w:line="200" w:lineRule="exact"/>
        <w:rPr>
          <w:rFonts w:ascii="Times New Roman" w:cs="Times New Roman" w:eastAsia="Times New Roman" w:hAnsi="Times New Roman"/>
          <w:sz w:val="17"/>
          <w:szCs w:val="17"/>
          <w:color w:val="auto"/>
        </w:rPr>
      </w:pPr>
    </w:p>
    <w:p>
      <w:pPr>
        <w:spacing w:after="0" w:line="202" w:lineRule="exact"/>
        <w:rPr>
          <w:rFonts w:ascii="Times New Roman" w:cs="Times New Roman" w:eastAsia="Times New Roman" w:hAnsi="Times New Roman"/>
          <w:sz w:val="17"/>
          <w:szCs w:val="17"/>
          <w:color w:val="auto"/>
        </w:rPr>
      </w:pPr>
    </w:p>
    <w:p>
      <w:pPr>
        <w:ind w:left="1460" w:right="720" w:hanging="435"/>
        <w:spacing w:after="0" w:line="292" w:lineRule="auto"/>
        <w:tabs>
          <w:tab w:leader="none" w:pos="1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includes costs, charges and expenses, including legal and other fees, but does not include judgments, penalties, fines or amounts paid in settlement of a proceeding, and</w:t>
      </w:r>
    </w:p>
    <w:p>
      <w:pPr>
        <w:spacing w:after="0" w:line="380" w:lineRule="exact"/>
        <w:rPr>
          <w:rFonts w:ascii="Times New Roman" w:cs="Times New Roman" w:eastAsia="Times New Roman" w:hAnsi="Times New Roman"/>
          <w:sz w:val="17"/>
          <w:szCs w:val="17"/>
          <w:color w:val="auto"/>
        </w:rPr>
      </w:pPr>
    </w:p>
    <w:p>
      <w:pPr>
        <w:ind w:left="1460" w:hanging="435"/>
        <w:spacing w:after="0"/>
        <w:tabs>
          <w:tab w:leader="none" w:pos="1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“proceeding” includes any legal proceeding or investigative action, whether current, threatened, pending or completed.</w:t>
      </w:r>
    </w:p>
    <w:p>
      <w:pPr>
        <w:spacing w:after="0" w:line="116"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color w:val="auto"/>
        </w:rPr>
        <w:t>Under Section 161 of the BCBCA, and subject to Section 163 of the BCBCA, we must, after the final disposition of an eligible proceeding, pay the expenses actually and reasonably incurred by an eligible party in respect of that proceeding if the eligible party (a) has not been reimbursed for those expenses and (b) is wholly successful, on the merits or otherwise, in the outcome of the proceeding or is substantially successful on the merits in the outcome of the proceeding.</w:t>
      </w:r>
    </w:p>
    <w:p>
      <w:pPr>
        <w:spacing w:after="0" w:line="6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Under Section 162 of the BCBCA, and subject to Section 163 of the BCBCA, we may pay, as they are incurred in advance of the final disposition of an eligible proceeding, the expenses actually and reasonably incurred by an eligible party in respect of the proceeding, provided that we must not make such payments unless we first receive from the eligible party a written undertaking that, if it is ultimately determined that the payment of expenses is prohibited under Section 163 of the BCBCA, the eligible party will repay the amounts advanced.</w:t>
      </w:r>
    </w:p>
    <w:p>
      <w:pPr>
        <w:spacing w:after="0" w:line="65"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7"/>
          <w:szCs w:val="17"/>
          <w:color w:val="auto"/>
        </w:rPr>
        <w:t>Under Section 163 of the BCBCA, we must not indemnify an eligible party against eligible penalties to which the eligible party is or may be liable or pay the expenses of an eligible party in respect of that proceeding under Sections 160, 161 or 162 of the BCBCA, as the case may be, if any of the following circumstances apply:</w:t>
      </w:r>
    </w:p>
    <w:p>
      <w:pPr>
        <w:spacing w:after="0" w:line="60" w:lineRule="exact"/>
        <w:rPr>
          <w:sz w:val="20"/>
          <w:szCs w:val="20"/>
          <w:color w:val="auto"/>
        </w:rPr>
      </w:pPr>
    </w:p>
    <w:p>
      <w:pPr>
        <w:jc w:val="both"/>
        <w:ind w:left="1020" w:right="180" w:hanging="553"/>
        <w:spacing w:after="0" w:line="273"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indemnity or payment is made under an earlier agreement to indemnify or pay expenses and, at the time that the agreement to indemnify or pay expenses was made, we were prohibited from giving the indemnity or paying the expenses by our memorandum or articles of the Registrant (the “</w:t>
      </w:r>
      <w:r>
        <w:rPr>
          <w:rFonts w:ascii="Times New Roman" w:cs="Times New Roman" w:eastAsia="Times New Roman" w:hAnsi="Times New Roman"/>
          <w:sz w:val="17"/>
          <w:szCs w:val="17"/>
          <w:b w:val="1"/>
          <w:bCs w:val="1"/>
          <w:color w:val="auto"/>
        </w:rPr>
        <w:t>Articles</w:t>
      </w:r>
      <w:r>
        <w:rPr>
          <w:rFonts w:ascii="Times New Roman" w:cs="Times New Roman" w:eastAsia="Times New Roman" w:hAnsi="Times New Roman"/>
          <w:sz w:val="17"/>
          <w:szCs w:val="17"/>
          <w:color w:val="auto"/>
        </w:rPr>
        <w:t>”);</w:t>
      </w:r>
    </w:p>
    <w:p>
      <w:pPr>
        <w:spacing w:after="0" w:line="397" w:lineRule="exact"/>
        <w:rPr>
          <w:rFonts w:ascii="Times New Roman" w:cs="Times New Roman" w:eastAsia="Times New Roman" w:hAnsi="Times New Roman"/>
          <w:sz w:val="17"/>
          <w:szCs w:val="17"/>
          <w:color w:val="auto"/>
        </w:rPr>
      </w:pPr>
    </w:p>
    <w:p>
      <w:pPr>
        <w:ind w:left="1020" w:right="260" w:hanging="553"/>
        <w:spacing w:after="0" w:line="292"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indemnity or payment is made otherwise than under an earlier agreement to indemnify or pay expenses and, at the time that the indemnity or payment is made, we are prohibited from giving the indemnity or paying the expenses by our memorandum or Articles;</w:t>
      </w:r>
    </w:p>
    <w:p>
      <w:pPr>
        <w:spacing w:after="0" w:line="380" w:lineRule="exact"/>
        <w:rPr>
          <w:rFonts w:ascii="Times New Roman" w:cs="Times New Roman" w:eastAsia="Times New Roman" w:hAnsi="Times New Roman"/>
          <w:sz w:val="17"/>
          <w:szCs w:val="17"/>
          <w:color w:val="auto"/>
        </w:rPr>
      </w:pPr>
    </w:p>
    <w:p>
      <w:pPr>
        <w:ind w:left="1020" w:right="560" w:hanging="553"/>
        <w:spacing w:after="0" w:line="292"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relation to the subject matter of the eligible proceeding, the eligible party did not act honestly and in good faith with a view to the best interests of our company or the associated corporation, as the case may be; or</w:t>
      </w:r>
    </w:p>
    <w:p>
      <w:pPr>
        <w:spacing w:after="0" w:line="380" w:lineRule="exact"/>
        <w:rPr>
          <w:rFonts w:ascii="Times New Roman" w:cs="Times New Roman" w:eastAsia="Times New Roman" w:hAnsi="Times New Roman"/>
          <w:sz w:val="17"/>
          <w:szCs w:val="17"/>
          <w:color w:val="auto"/>
        </w:rPr>
      </w:pPr>
    </w:p>
    <w:p>
      <w:pPr>
        <w:ind w:left="1020" w:right="520" w:hanging="553"/>
        <w:spacing w:after="0" w:line="292"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eligible proceeding other than a civil proceeding, if the eligible party did not have reasonable grounds for believing that the eligible party’s conduct in respect of which the proceeding was brought was lawful.</w:t>
      </w:r>
    </w:p>
    <w:p>
      <w:pPr>
        <w:spacing w:after="0" w:line="44"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7"/>
          <w:szCs w:val="17"/>
          <w:color w:val="auto"/>
        </w:rPr>
        <w:t>If an eligible proceeding is brought against an eligible party by or on behalf of our company or by or on behalf of an associated corporation, we must not either indemnify the eligible party under Section 160(a) of the BCBCA against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609600</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eligible penalties to which the eligible party is or may be liable, or pay the expenses of the eligible party under Sections 160(b), 161 or 162 of the BCBCA, as the case may be, in respect of the proceeding.</w:t>
      </w:r>
    </w:p>
    <w:p>
      <w:pPr>
        <w:spacing w:after="0" w:line="44"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Under Section 164 of the BCBCA, and despite any other provision of Part 5, Division 5 of the BCBCA and whether or not payment of expenses or indemnification has been sought, authorized or declined under Part 5, Division 5 of the BCBCA, on application of our company or an eligible party, the court may do one or more of the following:</w:t>
      </w:r>
    </w:p>
    <w:p>
      <w:pPr>
        <w:spacing w:after="0" w:line="60" w:lineRule="exact"/>
        <w:rPr>
          <w:sz w:val="20"/>
          <w:szCs w:val="20"/>
          <w:color w:val="auto"/>
        </w:rPr>
      </w:pPr>
    </w:p>
    <w:p>
      <w:pPr>
        <w:ind w:left="1020" w:hanging="553"/>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 us to indemnify an eligible party against any liability incurred by the eligible party in respect of an eligible proceeding;</w:t>
      </w:r>
    </w:p>
    <w:p>
      <w:pPr>
        <w:spacing w:after="0" w:line="116" w:lineRule="exact"/>
        <w:rPr>
          <w:rFonts w:ascii="Times New Roman" w:cs="Times New Roman" w:eastAsia="Times New Roman" w:hAnsi="Times New Roman"/>
          <w:sz w:val="17"/>
          <w:szCs w:val="17"/>
          <w:color w:val="auto"/>
        </w:rPr>
      </w:pPr>
    </w:p>
    <w:p>
      <w:pPr>
        <w:ind w:left="1020" w:hanging="553"/>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 us to pay some or all of the expenses incurred by an eligible party in respect of an eligible proceeding;</w:t>
      </w:r>
    </w:p>
    <w:p>
      <w:pPr>
        <w:spacing w:after="0" w:line="116" w:lineRule="exact"/>
        <w:rPr>
          <w:rFonts w:ascii="Times New Roman" w:cs="Times New Roman" w:eastAsia="Times New Roman" w:hAnsi="Times New Roman"/>
          <w:sz w:val="17"/>
          <w:szCs w:val="17"/>
          <w:color w:val="auto"/>
        </w:rPr>
      </w:pPr>
    </w:p>
    <w:p>
      <w:pPr>
        <w:ind w:left="1020" w:hanging="553"/>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 the enforcement of, or any payment under, an agreement of indemnification entered into by us;</w:t>
      </w:r>
    </w:p>
    <w:p>
      <w:pPr>
        <w:spacing w:after="0" w:line="116" w:lineRule="exact"/>
        <w:rPr>
          <w:rFonts w:ascii="Times New Roman" w:cs="Times New Roman" w:eastAsia="Times New Roman" w:hAnsi="Times New Roman"/>
          <w:sz w:val="17"/>
          <w:szCs w:val="17"/>
          <w:color w:val="auto"/>
        </w:rPr>
      </w:pPr>
    </w:p>
    <w:p>
      <w:pPr>
        <w:ind w:left="1020" w:right="660" w:hanging="553"/>
        <w:spacing w:after="0" w:line="292"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 us to pay some or all of the expenses actually and reasonably incurred by any person in obtaining an order under Section 164 of the BCBCA; or</w:t>
      </w:r>
    </w:p>
    <w:p>
      <w:pPr>
        <w:spacing w:after="0" w:line="43" w:lineRule="exact"/>
        <w:rPr>
          <w:rFonts w:ascii="Times New Roman" w:cs="Times New Roman" w:eastAsia="Times New Roman" w:hAnsi="Times New Roman"/>
          <w:sz w:val="17"/>
          <w:szCs w:val="17"/>
          <w:color w:val="auto"/>
        </w:rPr>
      </w:pPr>
    </w:p>
    <w:p>
      <w:pPr>
        <w:ind w:left="1020" w:hanging="553"/>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other order the court considers appropriate.</w:t>
      </w:r>
    </w:p>
    <w:p>
      <w:pPr>
        <w:spacing w:after="0" w:line="116" w:lineRule="exact"/>
        <w:rPr>
          <w:sz w:val="20"/>
          <w:szCs w:val="20"/>
          <w:color w:val="auto"/>
        </w:rPr>
      </w:pPr>
    </w:p>
    <w:p>
      <w:pPr>
        <w:jc w:val="both"/>
        <w:ind w:right="360"/>
        <w:spacing w:after="0" w:line="273" w:lineRule="auto"/>
        <w:rPr>
          <w:sz w:val="20"/>
          <w:szCs w:val="20"/>
          <w:color w:val="auto"/>
        </w:rPr>
      </w:pPr>
      <w:r>
        <w:rPr>
          <w:rFonts w:ascii="Times New Roman" w:cs="Times New Roman" w:eastAsia="Times New Roman" w:hAnsi="Times New Roman"/>
          <w:sz w:val="17"/>
          <w:szCs w:val="17"/>
          <w:color w:val="auto"/>
        </w:rPr>
        <w:t>Section 165 of the BCBCA provides that we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our company or an associated corporation.</w:t>
      </w:r>
    </w:p>
    <w:p>
      <w:pPr>
        <w:spacing w:after="0" w:line="6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Under Part 21.2 of our Articles, and subject to the BCBCA, we must indemnify an eligible party and his or her heirs and legal personal representatives against all eligible penalties to which such person is or may be liable, and we must, after the final disposition of an eligible proceeding, pay the expenses actually and reasonably incurred by such person in respect of that proceeding. Each eligible party is deemed to have contracted with the Registrant on the terms of the indemnity contained in our Articles.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Part 21.3 of our Articles, and subject to any restrictions in the BCBCA, we may indemnify any person.</w:t>
      </w:r>
    </w:p>
    <w:p>
      <w:pPr>
        <w:spacing w:after="0" w:line="116"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directors and executive officers. Those indemnification agreements require that we, among other things, advance relevant expenses and indemnify our directors and officers against certain liabilities that may arise by reason of their status or service as directors or officers if the indemnitee (1) acted honestly and in good faith with a view to the best interests of the Company, and (2) in the case of a criminal or administrative action or proceeding that is enforced by a monetary penalty, the Indemnitee had reasonable grounds for believing that his or her conduct was lawful. We believe that these indemnification agreements are necessary to attract and retain qualified individuals to serve as directors and executive officers.</w:t>
      </w:r>
    </w:p>
    <w:p>
      <w:pPr>
        <w:spacing w:after="0" w:line="67"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7"/>
          <w:szCs w:val="17"/>
          <w:color w:val="auto"/>
        </w:rPr>
        <w:t>Pursuant to Part 21.4 of our Articles, the failure of an eligible party to comply with the BCBCA or our Articles does not invalidate any indemnity to which he or she is entitled under our Articles.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Part 21.5 of our Articles, we may purchase and maintain insurance for the benefit of any person (or his or her heirs or legal personal representatives) who:</w:t>
      </w:r>
    </w:p>
    <w:p>
      <w:pPr>
        <w:spacing w:after="0" w:line="31" w:lineRule="exact"/>
        <w:rPr>
          <w:sz w:val="20"/>
          <w:szCs w:val="20"/>
          <w:color w:val="auto"/>
        </w:rPr>
      </w:pPr>
    </w:p>
    <w:p>
      <w:pPr>
        <w:ind w:right="20" w:firstLine="4"/>
        <w:spacing w:after="0" w:line="258" w:lineRule="auto"/>
        <w:tabs>
          <w:tab w:leader="none" w:pos="24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was a director, alternate director, officer, employee or agent of the Registrant; (2) is or was a director, alternate director, officer, employee or agent of a corporation at a time when the corporation is or was an affiliate of the Registrant; (3) at the request of the Registrant, is or was a director, alternate director, officer, employee or agent of a corporation or of a partnership, trust, joint venture or other unincorporated entity; or (4) at the request of the Registrant, holds or held a position equivalent to that of a director, alternate director or officer of a partnership, trust, joint venture or other unincorporated entity, against any liability incurred by him or her by reason of having been a director, alternate director, officer, employee or agent or person who holds or held such equivalent position.</w:t>
      </w:r>
    </w:p>
    <w:p>
      <w:pPr>
        <w:spacing w:after="0" w:line="73"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7"/>
          <w:szCs w:val="17"/>
          <w:color w:val="auto"/>
        </w:rPr>
        <w:t>We have an insurance policy covering our directors and officers, within the limits and subject to the limitations of the policy, with respect to certain liabilities arising out of claims based on acts or omissions in their capacities as directors or officers.</w:t>
      </w:r>
    </w:p>
    <w:p>
      <w:pPr>
        <w:spacing w:after="0" w:line="249"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609600</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ind w:left="2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exhibits to this registration statement are listed below:</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980" w:type="dxa"/>
            <w:vAlign w:val="bottom"/>
            <w:gridSpan w:val="6"/>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3"/>
        </w:trPr>
        <w:tc>
          <w:tcPr>
            <w:tcW w:w="9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9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1032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Amended and Restated Articles of Green Thumb Industries Inc. (incorporated by reference to Exhibit 3.1 to the registration statement on Form 10 of</w:t>
              </w:r>
            </w:hyperlink>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5700" w:type="dxa"/>
            <w:vAlign w:val="bottom"/>
            <w:tcBorders>
              <w:bottom w:val="single" w:sz="8" w:color="0000EE"/>
            </w:tcBorders>
            <w:gridSpan w:val="5"/>
          </w:tcPr>
          <w:p>
            <w:pPr>
              <w:spacing w:after="0" w:line="188"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Green Thumb Industries Inc., filed on December 20, 2019) (File No. 000-56132).</w:t>
              </w:r>
            </w:hyperlink>
          </w:p>
        </w:tc>
        <w:tc>
          <w:tcPr>
            <w:tcW w:w="46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1026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Coattail Agreement, dated June 12, 2018, by and among the Shareholders, Green Thumb Industries Inc. and Odyssey Trust Company (incorporated</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10320" w:type="dxa"/>
            <w:vAlign w:val="bottom"/>
            <w:gridSpan w:val="9"/>
          </w:tcPr>
          <w:p>
            <w:pPr>
              <w:spacing w:after="0" w:line="188"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by reference to Exhibit 4.1 to the registration statement on Form 10 of Green Thumb Industries Inc., filed on December 20, 2019) (File No. 000-</w:t>
              </w:r>
            </w:hyperlink>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580" w:type="dxa"/>
            <w:vAlign w:val="bottom"/>
            <w:tcBorders>
              <w:top w:val="single" w:sz="8" w:color="0000EE"/>
              <w:bottom w:val="single" w:sz="8" w:color="0000EE"/>
            </w:tcBorders>
          </w:tcPr>
          <w:p>
            <w:pPr>
              <w:spacing w:after="0" w:line="188"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56132).</w:t>
              </w:r>
            </w:hyperlink>
          </w:p>
        </w:tc>
        <w:tc>
          <w:tcPr>
            <w:tcW w:w="17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3920" w:type="dxa"/>
            <w:vAlign w:val="bottom"/>
            <w:tcBorders>
              <w:top w:val="single" w:sz="8" w:color="0000EE"/>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2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Opinion of Dentons Canada LLP.</w:t>
            </w:r>
          </w:p>
        </w:tc>
        <w:tc>
          <w:tcPr>
            <w:tcW w:w="7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6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FF"/>
              </w:rPr>
              <w:t>Consent of Dentons Canada LLP (included in Exhibit 5.1 to this registration statement).</w:t>
            </w:r>
          </w:p>
        </w:tc>
        <w:tc>
          <w:tcPr>
            <w:tcW w:w="4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103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Consent of Baker Tilly US, LLP.</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103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Power of Attorney (included on the signature page of this registration statement).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4452620</wp:posOffset>
            </wp:positionH>
            <wp:positionV relativeFrom="paragraph">
              <wp:posOffset>-403225</wp:posOffset>
            </wp:positionV>
            <wp:extent cx="27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-205105</wp:posOffset>
            </wp:positionV>
            <wp:extent cx="27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-7620</wp:posOffset>
            </wp:positionV>
            <wp:extent cx="27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color w:val="auto"/>
        </w:rPr>
        <w:t>107*</w:t>
      </w:r>
      <w:r>
        <w:rPr>
          <w:sz w:val="20"/>
          <w:szCs w:val="20"/>
          <w:color w:val="auto"/>
        </w:rPr>
        <w:tab/>
      </w:r>
      <w:r>
        <w:rPr>
          <w:rFonts w:ascii="Times New Roman" w:cs="Times New Roman" w:eastAsia="Times New Roman" w:hAnsi="Times New Roman"/>
          <w:sz w:val="17"/>
          <w:szCs w:val="17"/>
          <w:color w:val="auto"/>
        </w:rPr>
        <w:t>Calculation of Filing Fees Table</w:t>
      </w:r>
    </w:p>
    <w:p>
      <w:pPr>
        <w:spacing w:after="0" w:line="220" w:lineRule="exact"/>
        <w:rPr>
          <w:sz w:val="20"/>
          <w:szCs w:val="20"/>
          <w:color w:val="auto"/>
        </w:rPr>
      </w:pPr>
    </w:p>
    <w:p>
      <w:pPr>
        <w:ind w:left="340" w:hanging="33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44"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The undersigned Registrant hereby undertakes:</w:t>
      </w:r>
    </w:p>
    <w:p>
      <w:pPr>
        <w:spacing w:after="0" w:line="220" w:lineRule="exact"/>
        <w:rPr>
          <w:sz w:val="20"/>
          <w:szCs w:val="20"/>
          <w:color w:val="auto"/>
        </w:rPr>
      </w:pPr>
    </w:p>
    <w:p>
      <w:pPr>
        <w:ind w:left="240" w:hanging="236"/>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1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To include any prospectus required by section 10(a)(3) of the Securities Act;</w:t>
      </w:r>
    </w:p>
    <w:p>
      <w:pPr>
        <w:spacing w:after="0" w:line="220" w:lineRule="exact"/>
        <w:rPr>
          <w:sz w:val="20"/>
          <w:szCs w:val="20"/>
          <w:color w:val="auto"/>
        </w:rPr>
      </w:pPr>
    </w:p>
    <w:p>
      <w:pPr>
        <w:ind w:right="100" w:firstLine="4"/>
        <w:spacing w:after="0" w:line="262" w:lineRule="auto"/>
        <w:tabs>
          <w:tab w:leader="none" w:pos="2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3" w:lineRule="exact"/>
        <w:rPr>
          <w:rFonts w:ascii="Times New Roman" w:cs="Times New Roman" w:eastAsia="Times New Roman" w:hAnsi="Times New Roman"/>
          <w:sz w:val="17"/>
          <w:szCs w:val="17"/>
          <w:color w:val="auto"/>
        </w:rPr>
      </w:pPr>
    </w:p>
    <w:p>
      <w:pPr>
        <w:ind w:right="240" w:firstLine="4"/>
        <w:spacing w:after="0" w:line="292" w:lineRule="auto"/>
        <w:tabs>
          <w:tab w:leader="none" w:pos="30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4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paragraphs A(1)(i) and A(1)(ii) do not apply if the information required to be included in a post-effective amendment by those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61" w:lineRule="exact"/>
        <w:rPr>
          <w:sz w:val="20"/>
          <w:szCs w:val="20"/>
          <w:color w:val="auto"/>
        </w:rPr>
      </w:pPr>
    </w:p>
    <w:p>
      <w:pPr>
        <w:jc w:val="both"/>
        <w:ind w:right="460" w:firstLine="4"/>
        <w:spacing w:after="0" w:line="292" w:lineRule="auto"/>
        <w:tabs>
          <w:tab w:leader="none" w:pos="24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6" w:name="page7"/>
    <w:bookmarkEnd w:id="6"/>
    <w:p>
      <w:pPr>
        <w:spacing w:after="0" w:line="135" w:lineRule="exact"/>
        <w:rPr>
          <w:sz w:val="20"/>
          <w:szCs w:val="20"/>
          <w:color w:val="auto"/>
        </w:rPr>
      </w:pPr>
    </w:p>
    <w:p>
      <w:pPr>
        <w:ind w:right="360" w:firstLine="4"/>
        <w:spacing w:after="0" w:line="292" w:lineRule="auto"/>
        <w:tabs>
          <w:tab w:leader="none" w:pos="24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4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609600</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August 7, 2025</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GREEN THUMB INDUSTRIES INC.</w:t>
      </w:r>
    </w:p>
    <w:p>
      <w:pPr>
        <w:spacing w:after="0" w:line="220"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7"/>
          <w:szCs w:val="17"/>
          <w:color w:val="auto"/>
        </w:rPr>
        <w:t>By:</w:t>
        <w:tab/>
        <w:t xml:space="preserve">/s/ </w:t>
      </w:r>
      <w:r>
        <w:rPr>
          <w:rFonts w:ascii="Times New Roman" w:cs="Times New Roman" w:eastAsia="Times New Roman" w:hAnsi="Times New Roman"/>
          <w:sz w:val="17"/>
          <w:szCs w:val="17"/>
          <w:i w:val="1"/>
          <w:iCs w:val="1"/>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20955</wp:posOffset>
            </wp:positionV>
            <wp:extent cx="25634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Name: Benjamin Kovler</w:t>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Title: Chairman and Chief Executive Officer</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609600</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365" w:right="359" w:bottom="1440" w:gutter="0" w:footer="0" w:header="0"/>
        </w:sectPr>
      </w:pPr>
    </w:p>
    <w:bookmarkStart w:id="8" w:name="page9"/>
    <w:bookmarkEnd w:id="8"/>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each of Benjamin Kovler and Anthony Georgiadis,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or her substitute or substitutes, may lawfully do or cause to be done by virtue hereof.</w:t>
      </w:r>
    </w:p>
    <w:p>
      <w:pPr>
        <w:spacing w:after="0" w:line="69"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on Form S-8 has been signed by the following persons in the capacities and on the dates indicated.</w:t>
      </w:r>
    </w:p>
    <w:p>
      <w:pPr>
        <w:spacing w:after="0" w:line="141" w:lineRule="exact"/>
        <w:rPr>
          <w:sz w:val="20"/>
          <w:szCs w:val="20"/>
          <w:color w:val="auto"/>
        </w:rPr>
      </w:pPr>
    </w:p>
    <w:p>
      <w:pPr>
        <w:spacing w:after="0"/>
        <w:tabs>
          <w:tab w:leader="none" w:pos="5640" w:val="left"/>
          <w:tab w:leader="none" w:pos="9520" w:val="left"/>
        </w:tabs>
        <w:rPr>
          <w:sz w:val="20"/>
          <w:szCs w:val="20"/>
          <w:color w:val="auto"/>
        </w:rPr>
      </w:pPr>
      <w:r>
        <w:rPr>
          <w:rFonts w:ascii="Times New Roman" w:cs="Times New Roman" w:eastAsia="Times New Roman" w:hAnsi="Times New Roman"/>
          <w:sz w:val="14"/>
          <w:szCs w:val="14"/>
          <w:b w:val="1"/>
          <w:bCs w:val="1"/>
          <w:color w:val="auto"/>
        </w:rPr>
        <w:t>Name and 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7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217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221742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Benjamin Kovler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Mathew Faulkner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217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221742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Mathew Faulkner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2174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221742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Georgiadis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Dawn Wilson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2174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221742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Dawn Wilson Barnes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Jeffrey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2174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221742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Goldman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Ethan Nadelmann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2174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221742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Ethan Nadelmann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Richard Reisin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2174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221742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Richard Reisin</w:t>
      </w:r>
    </w:p>
    <w:p>
      <w:pPr>
        <w:spacing w:after="0" w:line="218" w:lineRule="exact"/>
        <w:rPr>
          <w:sz w:val="20"/>
          <w:szCs w:val="20"/>
          <w:color w:val="auto"/>
        </w:rPr>
      </w:pPr>
    </w:p>
    <w:p>
      <w:pPr>
        <w:ind w:right="1080"/>
        <w:spacing w:after="0" w:line="311" w:lineRule="auto"/>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Hannah (Buchan) Ross</w:t>
      </w:r>
      <w:r>
        <w:rPr>
          <w:rFonts w:ascii="Times New Roman" w:cs="Times New Roman" w:eastAsia="Times New Roman" w:hAnsi="Times New Roman"/>
          <w:sz w:val="17"/>
          <w:szCs w:val="17"/>
          <w:color w:val="auto"/>
        </w:rPr>
        <w:t xml:space="preserve"> Hannah (Buchan)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-176530</wp:posOffset>
            </wp:positionV>
            <wp:extent cx="22174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2217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7"/>
          <w:szCs w:val="17"/>
          <w:color w:val="auto"/>
        </w:rPr>
        <w:t>Chairman of the Board and Chief Executive Officer</w:t>
      </w:r>
      <w:r>
        <w:rPr>
          <w:sz w:val="20"/>
          <w:szCs w:val="20"/>
          <w:color w:val="auto"/>
        </w:rPr>
        <w:tab/>
      </w:r>
      <w:r>
        <w:rPr>
          <w:rFonts w:ascii="Times New Roman" w:cs="Times New Roman" w:eastAsia="Times New Roman" w:hAnsi="Times New Roman"/>
          <w:sz w:val="17"/>
          <w:szCs w:val="17"/>
          <w:color w:val="auto"/>
        </w:rPr>
        <w:t>August 7,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7"/>
          <w:szCs w:val="17"/>
          <w:color w:val="auto"/>
        </w:rPr>
        <w:t>Chief Financial Officer</w:t>
      </w:r>
      <w:r>
        <w:rPr>
          <w:sz w:val="20"/>
          <w:szCs w:val="20"/>
          <w:color w:val="auto"/>
        </w:rPr>
        <w:tab/>
      </w:r>
      <w:r>
        <w:rPr>
          <w:rFonts w:ascii="Times New Roman" w:cs="Times New Roman" w:eastAsia="Times New Roman" w:hAnsi="Times New Roman"/>
          <w:sz w:val="17"/>
          <w:szCs w:val="17"/>
          <w:color w:val="auto"/>
        </w:rPr>
        <w:t>August 7,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7"/>
          <w:szCs w:val="17"/>
          <w:color w:val="auto"/>
        </w:rPr>
        <w:t>President and Director</w:t>
      </w:r>
      <w:r>
        <w:rPr>
          <w:sz w:val="20"/>
          <w:szCs w:val="20"/>
          <w:color w:val="auto"/>
        </w:rPr>
        <w:tab/>
      </w:r>
      <w:r>
        <w:rPr>
          <w:rFonts w:ascii="Times New Roman" w:cs="Times New Roman" w:eastAsia="Times New Roman" w:hAnsi="Times New Roman"/>
          <w:sz w:val="17"/>
          <w:szCs w:val="17"/>
          <w:color w:val="auto"/>
        </w:rPr>
        <w:t>August 7, 2025</w:t>
      </w:r>
    </w:p>
    <w:p>
      <w:pPr>
        <w:spacing w:after="0" w:line="200" w:lineRule="exact"/>
        <w:rPr>
          <w:sz w:val="20"/>
          <w:szCs w:val="20"/>
          <w:color w:val="auto"/>
        </w:rPr>
      </w:pPr>
    </w:p>
    <w:p>
      <w:pPr>
        <w:spacing w:after="0" w:line="253"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7, 2025</w:t>
      </w:r>
    </w:p>
    <w:p>
      <w:pPr>
        <w:spacing w:after="0" w:line="200" w:lineRule="exact"/>
        <w:rPr>
          <w:sz w:val="20"/>
          <w:szCs w:val="20"/>
          <w:color w:val="auto"/>
        </w:rPr>
      </w:pPr>
    </w:p>
    <w:p>
      <w:pPr>
        <w:spacing w:after="0" w:line="253"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7, 2025</w:t>
      </w:r>
    </w:p>
    <w:p>
      <w:pPr>
        <w:spacing w:after="0" w:line="200" w:lineRule="exact"/>
        <w:rPr>
          <w:sz w:val="20"/>
          <w:szCs w:val="20"/>
          <w:color w:val="auto"/>
        </w:rPr>
      </w:pPr>
    </w:p>
    <w:p>
      <w:pPr>
        <w:spacing w:after="0" w:line="253"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7, 2025</w:t>
      </w:r>
    </w:p>
    <w:p>
      <w:pPr>
        <w:spacing w:after="0" w:line="200" w:lineRule="exact"/>
        <w:rPr>
          <w:sz w:val="20"/>
          <w:szCs w:val="20"/>
          <w:color w:val="auto"/>
        </w:rPr>
      </w:pPr>
    </w:p>
    <w:p>
      <w:pPr>
        <w:spacing w:after="0" w:line="253"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7, 2025</w:t>
      </w:r>
    </w:p>
    <w:p>
      <w:pPr>
        <w:spacing w:after="0" w:line="200" w:lineRule="exact"/>
        <w:rPr>
          <w:sz w:val="20"/>
          <w:szCs w:val="20"/>
          <w:color w:val="auto"/>
        </w:rPr>
      </w:pPr>
    </w:p>
    <w:p>
      <w:pPr>
        <w:spacing w:after="0" w:line="241"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7, 2025</w:t>
      </w:r>
    </w:p>
    <w:p>
      <w:pPr>
        <w:spacing w:after="0" w:line="496" w:lineRule="exact"/>
        <w:rPr>
          <w:sz w:val="20"/>
          <w:szCs w:val="20"/>
          <w:color w:val="auto"/>
        </w:rPr>
      </w:pPr>
    </w:p>
    <w:p>
      <w:pPr>
        <w:sectPr>
          <w:pgSz w:w="11900" w:h="16838" w:orient="portrait"/>
          <w:cols w:equalWidth="0" w:num="2">
            <w:col w:w="2900" w:space="720"/>
            <w:col w:w="7560"/>
          </w:cols>
          <w:pgMar w:left="320" w:top="1440" w:right="399" w:bottom="1440" w:gutter="0" w:footer="0" w:header="0"/>
          <w:type w:val="continuous"/>
        </w:sect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616585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9" w:name="page10"/>
    <w:bookmarkEnd w:id="9"/>
    <w:p>
      <w:pPr>
        <w:ind w:left="86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7,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325 West Huron Street, Suite 700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 60654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 Registration on Form S-8</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 xml:space="preserve">We have acted as counsel to Green Thumb Industries Inc., a corporation organized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filing by the Company of a registration statement on Form S-8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filed on the date hereof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covering the issuance of 24,417,202 Subordinate Voting Shares, no par value per share (“</w:t>
      </w:r>
      <w:r>
        <w:rPr>
          <w:rFonts w:ascii="Times New Roman" w:cs="Times New Roman" w:eastAsia="Times New Roman" w:hAnsi="Times New Roman"/>
          <w:sz w:val="17"/>
          <w:szCs w:val="17"/>
          <w:b w:val="1"/>
          <w:bCs w:val="1"/>
          <w:i w:val="1"/>
          <w:iCs w:val="1"/>
          <w:color w:val="auto"/>
        </w:rPr>
        <w:t>Subordinate Voting Shares</w:t>
      </w:r>
      <w:r>
        <w:rPr>
          <w:rFonts w:ascii="Times New Roman" w:cs="Times New Roman" w:eastAsia="Times New Roman" w:hAnsi="Times New Roman"/>
          <w:sz w:val="17"/>
          <w:szCs w:val="17"/>
          <w:color w:val="auto"/>
        </w:rPr>
        <w:t>”), available for issuance pursuant to awards under the Green Thumb Industries Inc. 2018 Stock and Incentive Plan, as amended (the “</w:t>
      </w:r>
      <w:r>
        <w:rPr>
          <w:rFonts w:ascii="Times New Roman" w:cs="Times New Roman" w:eastAsia="Times New Roman" w:hAnsi="Times New Roman"/>
          <w:sz w:val="17"/>
          <w:szCs w:val="17"/>
          <w:b w:val="1"/>
          <w:bCs w:val="1"/>
          <w:i w:val="1"/>
          <w:iCs w:val="1"/>
          <w:color w:val="auto"/>
        </w:rPr>
        <w:t>Stock and Incentive Plan</w:t>
      </w:r>
      <w:r>
        <w:rPr>
          <w:rFonts w:ascii="Times New Roman" w:cs="Times New Roman" w:eastAsia="Times New Roman" w:hAnsi="Times New Roman"/>
          <w:sz w:val="17"/>
          <w:szCs w:val="17"/>
          <w:color w:val="auto"/>
        </w:rPr>
        <w:t>”). This opinion letter is being furnished to the Company in accordance with the requirements of Item 601(b)(5) of Regulation S-K of the Securities Act, and no opinion is expressed herein as to any matter other than as to the legality of the shares of Subordinate Voting Shares to be issued and sold pursuant to the Stock and Incentive Plan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In connection with this opinion,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rendering this opinion, including the Registration Statement, the Stock and Incentive Plan, the Company’s Amended and Restated Articles (the “</w:t>
      </w:r>
      <w:r>
        <w:rPr>
          <w:rFonts w:ascii="Times New Roman" w:cs="Times New Roman" w:eastAsia="Times New Roman" w:hAnsi="Times New Roman"/>
          <w:sz w:val="17"/>
          <w:szCs w:val="17"/>
          <w:b w:val="1"/>
          <w:bCs w:val="1"/>
          <w:i w:val="1"/>
          <w:iCs w:val="1"/>
          <w:color w:val="auto"/>
        </w:rPr>
        <w:t>Articles</w:t>
      </w:r>
      <w:r>
        <w:rPr>
          <w:rFonts w:ascii="Times New Roman" w:cs="Times New Roman" w:eastAsia="Times New Roman" w:hAnsi="Times New Roman"/>
          <w:sz w:val="17"/>
          <w:szCs w:val="17"/>
          <w:color w:val="auto"/>
        </w:rPr>
        <w:t>”) and the Company’s Notice of Articles, as amended (the “</w:t>
      </w:r>
      <w:r>
        <w:rPr>
          <w:rFonts w:ascii="Times New Roman" w:cs="Times New Roman" w:eastAsia="Times New Roman" w:hAnsi="Times New Roman"/>
          <w:sz w:val="17"/>
          <w:szCs w:val="17"/>
          <w:b w:val="1"/>
          <w:bCs w:val="1"/>
          <w:i w:val="1"/>
          <w:iCs w:val="1"/>
          <w:color w:val="auto"/>
        </w:rPr>
        <w:t>Notice of Articles</w:t>
      </w:r>
      <w:r>
        <w:rPr>
          <w:rFonts w:ascii="Times New Roman" w:cs="Times New Roman" w:eastAsia="Times New Roman" w:hAnsi="Times New Roman"/>
          <w:sz w:val="17"/>
          <w:szCs w:val="17"/>
          <w:color w:val="auto"/>
        </w:rPr>
        <w:t>”). We have assumed the genuineness of all signatures, the authenticity of all documents submitted to us as original documents, and the conformity to original documents of all documents submitted to us as copies, the legal capacity of natural persons who are signatories to the documents examined by us, and the legal power and authority of all persons signing on behalf of parties to all documents.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rendering the opinion expressed below, we have assumed that prior to the issuance of any of the Shares; there will exist under the Articles and the Notice of Articles the requisite number of authorized but unissued Subordinate Voting Shares. In addition, we have assumed that (i) option grants or stock awards under the Stock and Incentive Plan will have been duly authorized and issued by the Company in accordance with the terms of the Stock and Incentive Plan and any relevant agreements thereunder and in accordance with the Articles and the Notice of Articles and applicable British Columbia law, (ii) the resolutions authorizing the Company to issue the Shares in accordance with the terms and conditions of the Stock and Incentive Plan will remain in effect and unchanged at all times during which the Shares are issued by the Company, and (iii) the Registration Statement, and any amendments thereto, at the time of issuance of the Shares, will continue to be effective under the Securities Act.</w:t>
      </w:r>
    </w:p>
    <w:p>
      <w:pPr>
        <w:spacing w:after="0" w:line="17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color w:val="auto"/>
        </w:rPr>
        <w:t xml:space="preserve">Our opinion is expressed only with respect to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We express no opinion to the extent that any other laws are applicable to the subject matter hereof and express no opinion and provide no assurance as to compliance with any federal, provincial or state securities law, rule or regulation.</w:t>
      </w:r>
    </w:p>
    <w:p>
      <w:pPr>
        <w:spacing w:after="0" w:line="161"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7"/>
          <w:szCs w:val="17"/>
          <w:color w:val="auto"/>
        </w:rPr>
        <w:t>On the basis of the foregoing and subject to the assumptions and qualifications set forth in this letter, we are of the opinion that when (i) the Registration Statement has become effective under the Securities Act, and (ii) the Shares are issued and delivered against receipt by the Company of payment therefor in accordance with the terms of the Stock and Incentive Plan and any relevant agreements thereunder, the Shares will be validly issued, fully paid and nonassessable.</w:t>
      </w:r>
    </w:p>
    <w:p>
      <w:pPr>
        <w:spacing w:after="0" w:line="168"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color w:val="auto"/>
        </w:rPr>
        <w:t>This opinion letter has been prepared for your use solely in connection with the Registration Statement. We assume no obligation to advise you of any changes in the foregoing subsequent to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817880</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10" w:name="page11"/>
    <w:bookmarkEnd w:id="10"/>
    <w:p>
      <w:pPr>
        <w:ind w:left="86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Registration Statement and to the reference to this firm wherever appearing in the Registration Statement. In giving such consent, we do not thereby admit that we are in the category of persons whose consent is required under Section 7 of the Securities Act or the rules and regulations of the Commission thereunder.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Dentons Canada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Dentons Canada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852170</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742" w:right="41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9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We consent to the incorporation by reference in this Registration Statement on Form S-8 of Green Thumb Industries Inc. of our report dated February 27, 2025, relating to the consolidated financial statements and the effectiveness of internal control over financial reporting, appearing in the Annual Report on Form 10-K for the year ended December 31, 2024.</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/s/ Baker Tilly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2233295" cy="436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223329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581025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7"/>
          <w:szCs w:val="17"/>
          <w:b w:val="1"/>
          <w:bCs w:val="1"/>
          <w:color w:val="auto"/>
        </w:rPr>
        <w:t>E</w:t>
      </w:r>
    </w:p>
    <w:p>
      <w:pPr>
        <w:spacing w:after="0" w:line="33"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107</w:t>
      </w:r>
    </w:p>
    <w:p>
      <w:pPr>
        <w:spacing w:after="0" w:line="1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b w:val="1"/>
          <w:bCs w:val="1"/>
          <w:color w:val="auto"/>
        </w:rPr>
        <w:t>FEE TABLES FOR</w:t>
      </w:r>
    </w:p>
    <w:p>
      <w:pPr>
        <w:spacing w:after="0" w:line="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b w:val="1"/>
          <w:bCs w:val="1"/>
          <w:color w:val="auto"/>
        </w:rPr>
        <w:t>FORM S-8</w:t>
      </w:r>
    </w:p>
    <w:p>
      <w:pPr>
        <w:spacing w:after="0" w:line="27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b w:val="1"/>
          <w:bCs w:val="1"/>
          <w:color w:val="auto"/>
        </w:rPr>
        <w:t>Calculation of Filing Fee Tables</w:t>
      </w:r>
    </w:p>
    <w:p>
      <w:pPr>
        <w:spacing w:after="0" w:line="2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(Form</w:t>
      </w:r>
    </w:p>
    <w:p>
      <w:pPr>
        <w:spacing w:after="0" w:line="22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1"/>
          <w:szCs w:val="21"/>
          <w:color w:val="auto"/>
        </w:rPr>
        <w:t>Type)</w:t>
      </w:r>
    </w:p>
    <w:p>
      <w:pPr>
        <w:spacing w:after="0" w:line="200" w:lineRule="exact"/>
        <w:rPr>
          <w:sz w:val="20"/>
          <w:szCs w:val="20"/>
          <w:color w:val="auto"/>
        </w:rPr>
      </w:pPr>
    </w:p>
    <w:p>
      <w:pPr>
        <w:spacing w:after="0" w:line="26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b w:val="1"/>
          <w:bCs w:val="1"/>
          <w:color w:val="auto"/>
        </w:rPr>
        <w:t>GREEN THUMB INDUSTRIES INC.</w:t>
      </w:r>
    </w:p>
    <w:p>
      <w:pPr>
        <w:spacing w:after="0" w:line="23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(Exact Name of Registrant as Specified in its</w:t>
      </w:r>
    </w:p>
    <w:p>
      <w:pPr>
        <w:spacing w:after="0" w:line="1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Charter)</w:t>
      </w:r>
    </w:p>
    <w:p>
      <w:pPr>
        <w:spacing w:after="0" w:line="20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u w:val="single" w:color="auto"/>
          <w:color w:val="auto"/>
        </w:rPr>
        <w:t>Table 1: Newly Registered Securities</w:t>
      </w:r>
    </w:p>
    <w:p>
      <w:pPr>
        <w:spacing w:after="0" w:line="230" w:lineRule="exact"/>
        <w:rPr>
          <w:sz w:val="20"/>
          <w:szCs w:val="20"/>
          <w:color w:val="auto"/>
        </w:rPr>
      </w:pPr>
    </w:p>
    <w:tbl>
      <w:tblPr>
        <w:tblLayout w:type="fixed"/>
        <w:tblInd w:w="970" w:type="dxa"/>
        <w:tblCellMar>
          <w:top w:w="0" w:type="dxa"/>
          <w:left w:w="0" w:type="dxa"/>
          <w:bottom w:w="0" w:type="dxa"/>
          <w:right w:w="0" w:type="dxa"/>
        </w:tblCellMar>
      </w:tblPr>
      <w:tr>
        <w:trPr>
          <w:trHeight w:val="409"/>
        </w:trPr>
        <w:tc>
          <w:tcPr>
            <w:tcW w:w="1100" w:type="dxa"/>
            <w:vAlign w:val="bottom"/>
            <w:tcBorders>
              <w:top w:val="single" w:sz="8" w:color="auto"/>
              <w:left w:val="single" w:sz="8" w:color="auto"/>
              <w:right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Proposed</w:t>
            </w:r>
          </w:p>
        </w:tc>
        <w:tc>
          <w:tcPr>
            <w:tcW w:w="2380" w:type="dxa"/>
            <w:vAlign w:val="bottom"/>
            <w:tcBorders>
              <w:top w:val="single" w:sz="8" w:color="auto"/>
            </w:tcBorders>
            <w:vMerge w:val="restart"/>
          </w:tcPr>
          <w:p>
            <w:pPr>
              <w:jc w:val="center"/>
              <w:ind w:right="891"/>
              <w:spacing w:after="0"/>
              <w:rPr>
                <w:sz w:val="20"/>
                <w:szCs w:val="20"/>
                <w:color w:val="auto"/>
              </w:rPr>
            </w:pPr>
            <w:r>
              <w:rPr>
                <w:rFonts w:ascii="Times New Roman" w:cs="Times New Roman" w:eastAsia="Times New Roman" w:hAnsi="Times New Roman"/>
                <w:sz w:val="14"/>
                <w:szCs w:val="14"/>
                <w:color w:val="auto"/>
                <w:w w:val="98"/>
              </w:rPr>
              <w:t>Maximum Aggregate</w:t>
            </w: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100" w:type="dxa"/>
            <w:vAlign w:val="bottom"/>
            <w:tcBorders>
              <w:left w:val="single" w:sz="8" w:color="auto"/>
              <w:right w:val="single" w:sz="8" w:color="auto"/>
            </w:tcBorders>
          </w:tcPr>
          <w:p>
            <w:pPr>
              <w:spacing w:after="0"/>
              <w:rPr>
                <w:sz w:val="6"/>
                <w:szCs w:val="6"/>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Security Class</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Fee Calculation</w:t>
            </w:r>
          </w:p>
        </w:tc>
        <w:tc>
          <w:tcPr>
            <w:tcW w:w="800" w:type="dxa"/>
            <w:vAlign w:val="bottom"/>
          </w:tcPr>
          <w:p>
            <w:pPr>
              <w:spacing w:after="0"/>
              <w:rPr>
                <w:sz w:val="6"/>
                <w:szCs w:val="6"/>
                <w:color w:val="auto"/>
              </w:rPr>
            </w:pPr>
          </w:p>
        </w:tc>
        <w:tc>
          <w:tcPr>
            <w:tcW w:w="110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Maximum</w:t>
            </w:r>
          </w:p>
        </w:tc>
        <w:tc>
          <w:tcPr>
            <w:tcW w:w="2380" w:type="dxa"/>
            <w:vAlign w:val="bottom"/>
            <w:vMerge w:val="continue"/>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Amount of</w:t>
            </w:r>
          </w:p>
        </w:tc>
        <w:tc>
          <w:tcPr>
            <w:tcW w:w="0" w:type="dxa"/>
            <w:vAlign w:val="bottom"/>
          </w:tcPr>
          <w:p>
            <w:pPr>
              <w:spacing w:after="0"/>
              <w:rPr>
                <w:sz w:val="1"/>
                <w:szCs w:val="1"/>
                <w:color w:val="auto"/>
              </w:rPr>
            </w:pPr>
          </w:p>
        </w:tc>
      </w:tr>
      <w:tr>
        <w:trPr>
          <w:trHeight w:val="65"/>
        </w:trPr>
        <w:tc>
          <w:tcPr>
            <w:tcW w:w="1100" w:type="dxa"/>
            <w:vAlign w:val="bottom"/>
            <w:tcBorders>
              <w:left w:val="single" w:sz="8" w:color="auto"/>
              <w:right w:val="single" w:sz="8" w:color="auto"/>
            </w:tcBorders>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0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4"/>
                <w:szCs w:val="14"/>
                <w:color w:val="auto"/>
              </w:rPr>
              <w:t>Amount</w:t>
            </w:r>
          </w:p>
        </w:tc>
        <w:tc>
          <w:tcPr>
            <w:tcW w:w="1100" w:type="dxa"/>
            <w:vAlign w:val="bottom"/>
            <w:vMerge w:val="continue"/>
          </w:tcPr>
          <w:p>
            <w:pPr>
              <w:spacing w:after="0"/>
              <w:rPr>
                <w:sz w:val="5"/>
                <w:szCs w:val="5"/>
                <w:color w:val="auto"/>
              </w:rPr>
            </w:pPr>
          </w:p>
        </w:tc>
        <w:tc>
          <w:tcPr>
            <w:tcW w:w="2380" w:type="dxa"/>
            <w:vAlign w:val="bottom"/>
            <w:vMerge w:val="restart"/>
          </w:tcPr>
          <w:p>
            <w:pPr>
              <w:jc w:val="center"/>
              <w:ind w:right="871"/>
              <w:spacing w:after="0" w:line="139" w:lineRule="exact"/>
              <w:rPr>
                <w:sz w:val="20"/>
                <w:szCs w:val="20"/>
                <w:color w:val="auto"/>
              </w:rPr>
            </w:pPr>
            <w:r>
              <w:rPr>
                <w:rFonts w:ascii="Times New Roman" w:cs="Times New Roman" w:eastAsia="Times New Roman" w:hAnsi="Times New Roman"/>
                <w:sz w:val="14"/>
                <w:szCs w:val="14"/>
                <w:color w:val="auto"/>
                <w:w w:val="99"/>
              </w:rPr>
              <w:t>Offering Price(2)</w:t>
            </w: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1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color w:val="auto"/>
              </w:rPr>
              <w:t>Security Type</w:t>
            </w:r>
          </w:p>
        </w:tc>
        <w:tc>
          <w:tcPr>
            <w:tcW w:w="8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Offering Price</w:t>
            </w:r>
          </w:p>
        </w:tc>
        <w:tc>
          <w:tcPr>
            <w:tcW w:w="23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vMerge w:val="continue"/>
          </w:tcPr>
          <w:p>
            <w:pPr>
              <w:spacing w:after="0"/>
              <w:rPr>
                <w:sz w:val="11"/>
                <w:szCs w:val="11"/>
                <w:color w:val="auto"/>
              </w:rPr>
            </w:pPr>
          </w:p>
        </w:tc>
        <w:tc>
          <w:tcPr>
            <w:tcW w:w="840" w:type="dxa"/>
            <w:vAlign w:val="bottom"/>
          </w:tcPr>
          <w:p>
            <w:pPr>
              <w:ind w:left="20"/>
              <w:spacing w:after="0" w:line="130" w:lineRule="exact"/>
              <w:rPr>
                <w:sz w:val="20"/>
                <w:szCs w:val="20"/>
                <w:color w:val="auto"/>
              </w:rPr>
            </w:pPr>
            <w:r>
              <w:rPr>
                <w:rFonts w:ascii="Times New Roman" w:cs="Times New Roman" w:eastAsia="Times New Roman" w:hAnsi="Times New Roman"/>
                <w:sz w:val="14"/>
                <w:szCs w:val="14"/>
                <w:color w:val="auto"/>
              </w:rPr>
              <w:t>Title</w:t>
            </w:r>
          </w:p>
        </w:tc>
        <w:tc>
          <w:tcPr>
            <w:tcW w:w="94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color w:val="auto"/>
              </w:rPr>
              <w:t>Rule</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Registered</w:t>
            </w:r>
          </w:p>
        </w:tc>
        <w:tc>
          <w:tcPr>
            <w:tcW w:w="1100" w:type="dxa"/>
            <w:vAlign w:val="bottom"/>
            <w:vMerge w:val="continue"/>
          </w:tcPr>
          <w:p>
            <w:pPr>
              <w:spacing w:after="0"/>
              <w:rPr>
                <w:sz w:val="11"/>
                <w:szCs w:val="11"/>
                <w:color w:val="auto"/>
              </w:rPr>
            </w:pPr>
          </w:p>
        </w:tc>
        <w:tc>
          <w:tcPr>
            <w:tcW w:w="2380" w:type="dxa"/>
            <w:vAlign w:val="bottom"/>
          </w:tcPr>
          <w:p>
            <w:pPr>
              <w:ind w:left="1720"/>
              <w:spacing w:after="0" w:line="130" w:lineRule="exact"/>
              <w:rPr>
                <w:sz w:val="20"/>
                <w:szCs w:val="20"/>
                <w:color w:val="auto"/>
              </w:rPr>
            </w:pPr>
            <w:r>
              <w:rPr>
                <w:rFonts w:ascii="Times New Roman" w:cs="Times New Roman" w:eastAsia="Times New Roman" w:hAnsi="Times New Roman"/>
                <w:sz w:val="14"/>
                <w:szCs w:val="14"/>
                <w:color w:val="auto"/>
              </w:rPr>
              <w:t>Fee Rate</w:t>
            </w: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color w:val="auto"/>
                <w:w w:val="99"/>
              </w:rPr>
              <w:t>Registration</w:t>
            </w:r>
          </w:p>
        </w:tc>
        <w:tc>
          <w:tcPr>
            <w:tcW w:w="0" w:type="dxa"/>
            <w:vAlign w:val="bottom"/>
          </w:tcPr>
          <w:p>
            <w:pPr>
              <w:spacing w:after="0"/>
              <w:rPr>
                <w:sz w:val="1"/>
                <w:szCs w:val="1"/>
                <w:color w:val="auto"/>
              </w:rPr>
            </w:pPr>
          </w:p>
        </w:tc>
      </w:tr>
      <w:tr>
        <w:trPr>
          <w:trHeight w:val="181"/>
        </w:trPr>
        <w:tc>
          <w:tcPr>
            <w:tcW w:w="1100" w:type="dxa"/>
            <w:vAlign w:val="bottom"/>
            <w:tcBorders>
              <w:left w:val="single" w:sz="8" w:color="auto"/>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1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7"/>
              </w:rPr>
              <w:t>Per Unit(1)</w:t>
            </w:r>
          </w:p>
        </w:tc>
        <w:tc>
          <w:tcPr>
            <w:tcW w:w="23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Fee(1)</w:t>
            </w:r>
          </w:p>
        </w:tc>
        <w:tc>
          <w:tcPr>
            <w:tcW w:w="0" w:type="dxa"/>
            <w:vAlign w:val="bottom"/>
          </w:tcPr>
          <w:p>
            <w:pPr>
              <w:spacing w:after="0"/>
              <w:rPr>
                <w:sz w:val="1"/>
                <w:szCs w:val="1"/>
                <w:color w:val="auto"/>
              </w:rPr>
            </w:pPr>
          </w:p>
        </w:tc>
      </w:tr>
      <w:tr>
        <w:trPr>
          <w:trHeight w:val="386"/>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-850265</wp:posOffset>
            </wp:positionV>
            <wp:extent cx="5208905" cy="196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208905" cy="1961515"/>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208"/>
        </w:trPr>
        <w:tc>
          <w:tcPr>
            <w:tcW w:w="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Equity</w:t>
            </w:r>
          </w:p>
        </w:tc>
        <w:tc>
          <w:tcPr>
            <w:tcW w:w="98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rPr>
              <w:t>Subordinat</w:t>
            </w:r>
          </w:p>
        </w:tc>
        <w:tc>
          <w:tcPr>
            <w:tcW w:w="19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Rule 457(c)  24,417,212</w:t>
            </w: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$6.14</w:t>
            </w:r>
          </w:p>
        </w:tc>
        <w:tc>
          <w:tcPr>
            <w:tcW w:w="14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$149,921,681.68</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$153.10</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$22,953.01</w:t>
            </w:r>
          </w:p>
        </w:tc>
      </w:tr>
      <w:tr>
        <w:trPr>
          <w:trHeight w:val="208"/>
        </w:trPr>
        <w:tc>
          <w:tcPr>
            <w:tcW w:w="960" w:type="dxa"/>
            <w:vAlign w:val="bottom"/>
          </w:tcPr>
          <w:p>
            <w:pPr>
              <w:spacing w:after="0"/>
              <w:rPr>
                <w:sz w:val="18"/>
                <w:szCs w:val="18"/>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 Voting</w:t>
            </w: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and Rule</w:t>
            </w: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7"/>
              </w:rPr>
              <w:t>per</w:t>
            </w:r>
          </w:p>
        </w:tc>
        <w:tc>
          <w:tcPr>
            <w:tcW w:w="1040" w:type="dxa"/>
            <w:vAlign w:val="bottom"/>
          </w:tcPr>
          <w:p>
            <w:pPr>
              <w:spacing w:after="0"/>
              <w:rPr>
                <w:sz w:val="18"/>
                <w:szCs w:val="18"/>
                <w:color w:val="auto"/>
              </w:rPr>
            </w:pPr>
          </w:p>
        </w:tc>
      </w:tr>
      <w:tr>
        <w:trPr>
          <w:trHeight w:val="271"/>
        </w:trPr>
        <w:tc>
          <w:tcPr>
            <w:tcW w:w="9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Shares</w:t>
            </w:r>
          </w:p>
        </w:tc>
        <w:tc>
          <w:tcPr>
            <w:tcW w:w="1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457(h)</w:t>
            </w:r>
          </w:p>
        </w:tc>
        <w:tc>
          <w:tcPr>
            <w:tcW w:w="7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040" w:type="dxa"/>
            <w:vAlign w:val="bottom"/>
            <w:tcBorders>
              <w:bottom w:val="single" w:sz="8" w:color="auto"/>
            </w:tcBorders>
          </w:tcPr>
          <w:p>
            <w:pPr>
              <w:spacing w:after="0"/>
              <w:rPr>
                <w:sz w:val="23"/>
                <w:szCs w:val="23"/>
                <w:color w:val="auto"/>
              </w:rPr>
            </w:pPr>
          </w:p>
        </w:tc>
      </w:tr>
      <w:tr>
        <w:trPr>
          <w:trHeight w:val="286"/>
        </w:trPr>
        <w:tc>
          <w:tcPr>
            <w:tcW w:w="39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Total Offering Amounts</w:t>
            </w:r>
          </w:p>
        </w:tc>
        <w:tc>
          <w:tcPr>
            <w:tcW w:w="780" w:type="dxa"/>
            <w:vAlign w:val="bottom"/>
          </w:tcPr>
          <w:p>
            <w:pPr>
              <w:spacing w:after="0"/>
              <w:rPr>
                <w:sz w:val="24"/>
                <w:szCs w:val="24"/>
                <w:color w:val="auto"/>
              </w:rPr>
            </w:pPr>
          </w:p>
        </w:tc>
        <w:tc>
          <w:tcPr>
            <w:tcW w:w="14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$149,921,681.68</w:t>
            </w: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$22,953.01</w:t>
            </w:r>
          </w:p>
        </w:tc>
      </w:tr>
      <w:tr>
        <w:trPr>
          <w:trHeight w:val="143"/>
        </w:trPr>
        <w:tc>
          <w:tcPr>
            <w:tcW w:w="194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272"/>
        </w:trPr>
        <w:tc>
          <w:tcPr>
            <w:tcW w:w="194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7"/>
                <w:szCs w:val="17"/>
                <w:color w:val="auto"/>
              </w:rPr>
              <w:t>Total Fee Offsets</w:t>
            </w:r>
          </w:p>
        </w:tc>
        <w:tc>
          <w:tcPr>
            <w:tcW w:w="19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rPr>
              <w:t>--</w:t>
            </w:r>
          </w:p>
        </w:tc>
      </w:tr>
      <w:tr>
        <w:trPr>
          <w:trHeight w:val="285"/>
        </w:trPr>
        <w:tc>
          <w:tcPr>
            <w:tcW w:w="960" w:type="dxa"/>
            <w:vAlign w:val="bottom"/>
          </w:tcPr>
          <w:p>
            <w:pPr>
              <w:spacing w:after="0"/>
              <w:rPr>
                <w:sz w:val="24"/>
                <w:szCs w:val="24"/>
                <w:color w:val="auto"/>
              </w:rPr>
            </w:pPr>
          </w:p>
        </w:tc>
        <w:tc>
          <w:tcPr>
            <w:tcW w:w="29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Net Fee Due</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20" w:right="1860" w:hanging="8"/>
        <w:spacing w:after="0" w:line="260" w:lineRule="auto"/>
        <w:tabs>
          <w:tab w:leader="none" w:pos="9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under the Securities Act of 1933, as amended (the “Securities Act”), this registration statement shall also cover any additional Subordinate Voting Shares of the Registrant that may become issuable under the Green Thumb Industries Inc. 2018 Stock and Incentive Plan, as amended as a result of any stock dividend, stock split or other similar transaction which results in an increase in the number of shares of the Registrant’s outstanding Subordinate Voting Shares.</w:t>
      </w:r>
    </w:p>
    <w:p>
      <w:pPr>
        <w:spacing w:after="0" w:line="41" w:lineRule="exact"/>
        <w:rPr>
          <w:rFonts w:ascii="Times New Roman" w:cs="Times New Roman" w:eastAsia="Times New Roman" w:hAnsi="Times New Roman"/>
          <w:sz w:val="16"/>
          <w:szCs w:val="16"/>
          <w:color w:val="auto"/>
        </w:rPr>
      </w:pPr>
    </w:p>
    <w:p>
      <w:pPr>
        <w:jc w:val="both"/>
        <w:ind w:left="620" w:right="2220" w:hanging="8"/>
        <w:spacing w:after="0" w:line="262" w:lineRule="auto"/>
        <w:tabs>
          <w:tab w:leader="none" w:pos="9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Rules 457(c) and 457(h) under the Securities Act and based upon the average of the high and low prices of Subordinate Voting Shares, as reported on the OTCQX Best Market on August 1, 2025, which date is within five business days prior to the filing of this Registration Statement, which was $6.14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714375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220"/>
          </w:cols>
          <w:pgMar w:left="1440" w:top="327" w:right="2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1"/>
    </w:lvl>
  </w:abstractNum>
  <w:abstractNum w:abstractNumId="1">
    <w:nsid w:val="79E2A9E3"/>
    <w:multiLevelType w:val="hybridMultilevel"/>
    <w:lvl w:ilvl="0">
      <w:lvlJc w:val="left"/>
      <w:lvlText w:val="(%1)"/>
      <w:numFmt w:val="lowerLetter"/>
      <w:start w:val="1"/>
    </w:lvl>
    <w:lvl w:ilvl="1">
      <w:lvlJc w:val="left"/>
      <w:lvlText w:val="(%2)"/>
      <w:numFmt w:val="lowerRoman"/>
      <w:start w:val="1"/>
    </w:lvl>
  </w:abstractNum>
  <w:abstractNum w:abstractNumId="2">
    <w:nsid w:val="7545E146"/>
    <w:multiLevelType w:val="hybridMultilevel"/>
    <w:lvl w:ilvl="0">
      <w:lvlJc w:val="left"/>
      <w:lvlText w:val="(%1)"/>
      <w:numFmt w:val="lowerLetter"/>
      <w:start w:val="2"/>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decimal"/>
      <w:start w:val="2"/>
    </w:lvl>
  </w:abstractNum>
  <w:abstractNum w:abstractNumId="11">
    <w:nsid w:val="140E0F76"/>
    <w:multiLevelType w:val="hybridMultilevel"/>
    <w:lvl w:ilvl="0">
      <w:lvlJc w:val="left"/>
      <w:lvlText w:val="(%1)"/>
      <w:numFmt w:val="decimal"/>
      <w:start w:val="3"/>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jpe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9" Type="http://schemas.openxmlformats.org/officeDocument/2006/relationships/hyperlink" Target="https://www.sec.gov/Archives/edgar/data/1795139/000119312520041893/d891633ds8.htm" TargetMode="External"/><Relationship Id="rId11" Type="http://schemas.openxmlformats.org/officeDocument/2006/relationships/hyperlink" Target="https://www.sec.gov/ix?doc=/Archives/edgar/data/0001795139/000095017025028273/gtbif-20241231.htm" TargetMode="External"/><Relationship Id="rId12" Type="http://schemas.openxmlformats.org/officeDocument/2006/relationships/hyperlink" Target="https://www.sec.gov/ix?doc=/Archives/edgar/data/0001795139/000095017025066295/gtbif-20250331.htm" TargetMode="External"/><Relationship Id="rId13" Type="http://schemas.openxmlformats.org/officeDocument/2006/relationships/hyperlink" Target="https://www.sec.gov/ix?doc=/Archives/edgar/data/1795139/000095017025027708/gtbif-20250226.htm" TargetMode="External"/><Relationship Id="rId14" Type="http://schemas.openxmlformats.org/officeDocument/2006/relationships/hyperlink" Target="https://www.sec.gov/ix?doc=/Archives/edgar/data/1795139/000095017025065622/gtbif-20250507.htm" TargetMode="External"/><Relationship Id="rId15" Type="http://schemas.openxmlformats.org/officeDocument/2006/relationships/hyperlink" Target="https://www.sec.gov/ix?doc=/Archives/edgar/data/1795139/000095017025085492/gtbif-20250611.htm" TargetMode="External"/><Relationship Id="rId16" Type="http://schemas.openxmlformats.org/officeDocument/2006/relationships/hyperlink" Target="https://www.sec.gov/ix?doc=/Archives/edgar/data/1795139/000095017025103985/gtbif-20250806.htm" TargetMode="External"/><Relationship Id="rId17" Type="http://schemas.openxmlformats.org/officeDocument/2006/relationships/hyperlink" Target="https://www.sec.gov/Archives/edgar/data/1795139/000095017025028273/gtbif-ex4_2.htm" TargetMode="External"/><Relationship Id="rId22" Type="http://schemas.openxmlformats.org/officeDocument/2006/relationships/hyperlink" Target="https://www.sec.gov/Archives/edgar/data/1795139/000119312519320787/d845813dex31.htm" TargetMode="External"/><Relationship Id="rId23" Type="http://schemas.openxmlformats.org/officeDocument/2006/relationships/hyperlink" Target="https://www.sec.gov/Archives/edgar/data/1795139/000119312519320787/d84581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2025-08-07T15:24:44Z</dcterms:created>
  <dcterms:modified xsi:type="dcterms:W3CDTF">2025-08-07T15:24:44Z</dcterms:modified>
</cp:coreProperties>
</file>