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GTI23, Inc. (the “Borrower”), a Delaware corporation and a subsidiary of Green Thumb Industries Inc., a British Columbia corporation (the “Company”) entered into Amendment No. 1 to Credit Agreement (the “Amendment”) with respect to the existing Credit Agreement, dated September 11, 2024 (as amended, the “Credit Agreement”), by and among the Borrower, certain other subsidiaries of the Company as guarantors, the lenders party thereto, and Valley National Bank, a national banking association, in its capacity as agent for the lenders.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Amendment, the Borrower incurred an additional $50 million of term loans (the “Additional Term Loans”). The Additional Term Loans rank pari passu with, and the terms applicable to the Additional Term Loans are in all respects identical to those applicable to, the existing Closing Date Term Loans (as defined in the Credit Agreement), except to the extent expressly set forth in the Credit Agreement. The Borrower intends to use the net proceeds of the Additional Term Loans to pay costs, expenses and fees in connection with the Amendment and to fund potential strategic investments and other working capital needs of the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not complete and is qualified in its entirety by reference to the full text of the Amendment, a copy of which is filed as Exhibit 10.1 to this Current Report on Form 8-K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Report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2026, the Company issued a press release announcing the Amendment, a copy of which is attached as Exhibit 99.1 to this Report.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36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to Credit Agreement, dated February 19, 2026, by and among Valley National Bank, as agent, the</w:t>
            </w:r>
          </w:p>
        </w:tc>
      </w:tr>
      <w:tr>
        <w:trPr>
          <w:trHeight w:val="216"/>
        </w:trPr>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 party hereto, and GTI23, Inc., as borrower</w:t>
            </w:r>
          </w:p>
        </w:tc>
      </w:tr>
      <w:tr>
        <w:trPr>
          <w:trHeight w:val="234"/>
        </w:trPr>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360" w:type="dxa"/>
            <w:vAlign w:val="bottom"/>
          </w:tcPr>
          <w:p>
            <w:pPr>
              <w:spacing w:after="0"/>
              <w:rPr>
                <w:sz w:val="20"/>
                <w:szCs w:val="20"/>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February 20, 2026</w:t>
            </w:r>
          </w:p>
        </w:tc>
      </w:tr>
      <w:tr>
        <w:trPr>
          <w:trHeight w:val="414"/>
        </w:trPr>
        <w:tc>
          <w:tcPr>
            <w:tcW w:w="1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Schedules have been omitted pursuant to Item 601(a)(5) of Regulation S-K. The Company hereby undertakes to furnish</w:t>
            </w:r>
          </w:p>
        </w:tc>
      </w:tr>
      <w:tr>
        <w:trPr>
          <w:trHeight w:val="234"/>
        </w:trPr>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supplementally copies of any of the omitted schedules upon request by the SEC.</w:t>
            </w:r>
          </w:p>
        </w:tc>
      </w:tr>
      <w:tr>
        <w:trPr>
          <w:trHeight w:val="1249"/>
        </w:trPr>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ind w:left="100" w:right="140" w:firstLine="124"/>
        <w:spacing w:after="0" w:line="253" w:lineRule="auto"/>
        <w:rPr>
          <w:sz w:val="20"/>
          <w:szCs w:val="20"/>
          <w:color w:val="auto"/>
        </w:rPr>
      </w:pPr>
      <w:r>
        <w:rPr>
          <w:rFonts w:ascii="Times New Roman" w:cs="Times New Roman" w:eastAsia="Times New Roman" w:hAnsi="Times New Roman"/>
          <w:sz w:val="20"/>
          <w:szCs w:val="20"/>
          <w:b w:val="1"/>
          <w:bCs w:val="1"/>
          <w:color w:val="auto"/>
        </w:rPr>
        <w:t>CERTAIN CONFIDENTIAL INFORMATION (MARKED BY BRACKETS AS “[***]”) HAS BEEN EXCLUDED FROM THIS EXHIBIT BECAUSE IT IS BOTH (I) NOT MATERIAL AND</w:t>
      </w:r>
    </w:p>
    <w:p>
      <w:pPr>
        <w:ind w:left="2320" w:right="120" w:hanging="1390"/>
        <w:spacing w:after="0" w:line="243" w:lineRule="auto"/>
        <w:tabs>
          <w:tab w:leader="none" w:pos="125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WOULD BE COMPETITIVELY HARMFUL IF PUBLICLY DISCLOSED. </w:t>
      </w:r>
      <w:r>
        <w:rPr>
          <w:rFonts w:ascii="Times New Roman" w:cs="Times New Roman" w:eastAsia="Times New Roman" w:hAnsi="Times New Roman"/>
          <w:sz w:val="20"/>
          <w:szCs w:val="20"/>
          <w:b w:val="1"/>
          <w:bCs w:val="1"/>
          <w:u w:val="single" w:color="auto"/>
          <w:color w:val="auto"/>
        </w:rPr>
        <w:t>AMENDMENT NO. 1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CREDIT AGREEMENT</w:t>
      </w:r>
    </w:p>
    <w:p>
      <w:pPr>
        <w:jc w:val="both"/>
        <w:ind w:right="20" w:firstLine="747"/>
        <w:spacing w:after="0" w:line="246" w:lineRule="auto"/>
        <w:rPr>
          <w:sz w:val="20"/>
          <w:szCs w:val="20"/>
          <w:color w:val="auto"/>
        </w:rPr>
      </w:pPr>
      <w:r>
        <w:rPr>
          <w:rFonts w:ascii="Times New Roman" w:cs="Times New Roman" w:eastAsia="Times New Roman" w:hAnsi="Times New Roman"/>
          <w:sz w:val="20"/>
          <w:szCs w:val="20"/>
          <w:color w:val="auto"/>
        </w:rPr>
        <w:t>THIS AMENDMENT NO. 1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as of February 19, 2026, by and among </w:t>
      </w:r>
      <w:r>
        <w:rPr>
          <w:rFonts w:ascii="Times New Roman" w:cs="Times New Roman" w:eastAsia="Times New Roman" w:hAnsi="Times New Roman"/>
          <w:sz w:val="20"/>
          <w:szCs w:val="20"/>
          <w:b w:val="1"/>
          <w:bCs w:val="1"/>
          <w:color w:val="auto"/>
        </w:rPr>
        <w:t>VALLEY NATIONAL BANK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lenders party 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GTI23,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WHEREAS, Borrower, Agent and the Lenders are parties to a certain Credit Agreement, dated as of September 11, 2024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WHEREAS, pursuant to the Credit Agreement and other Loan Documents, Agent and the Lenders have made loans and other financial accommodations to or for the account of Borrower, which loans are secured by security interests in and other liens upon all or substantially all of the assets of Borrower;</w:t>
      </w:r>
    </w:p>
    <w:p>
      <w:pPr>
        <w:spacing w:after="0" w:line="174" w:lineRule="exact"/>
        <w:rPr>
          <w:sz w:val="20"/>
          <w:szCs w:val="20"/>
          <w:color w:val="auto"/>
        </w:rPr>
      </w:pPr>
    </w:p>
    <w:p>
      <w:pPr>
        <w:jc w:val="both"/>
        <w:ind w:right="20" w:firstLine="747"/>
        <w:spacing w:after="0" w:line="269" w:lineRule="auto"/>
        <w:rPr>
          <w:sz w:val="20"/>
          <w:szCs w:val="20"/>
          <w:color w:val="auto"/>
        </w:rPr>
      </w:pPr>
      <w:r>
        <w:rPr>
          <w:rFonts w:ascii="Times New Roman" w:cs="Times New Roman" w:eastAsia="Times New Roman" w:hAnsi="Times New Roman"/>
          <w:sz w:val="20"/>
          <w:szCs w:val="20"/>
          <w:color w:val="auto"/>
        </w:rPr>
        <w:t>WHEREAS, Borrower has requested to Agent that certain Lenders make additional term loans to Borrower in the amount of $50,000,000 (the “</w:t>
      </w:r>
      <w:r>
        <w:rPr>
          <w:rFonts w:ascii="Times New Roman" w:cs="Times New Roman" w:eastAsia="Times New Roman" w:hAnsi="Times New Roman"/>
          <w:sz w:val="20"/>
          <w:szCs w:val="20"/>
          <w:u w:val="single" w:color="auto"/>
          <w:color w:val="auto"/>
        </w:rPr>
        <w:t>Amendment No. 1 Additional Term Loans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Agent and certain Lenders are willing to make the Amendment No. 1 Additional Term Loans in an amount equal to their “Amendment No. 1 Additional Term Loan Commitment”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 (each such commitment, an “</w:t>
      </w:r>
      <w:r>
        <w:rPr>
          <w:rFonts w:ascii="Times New Roman" w:cs="Times New Roman" w:eastAsia="Times New Roman" w:hAnsi="Times New Roman"/>
          <w:sz w:val="20"/>
          <w:szCs w:val="20"/>
          <w:u w:val="single" w:color="auto"/>
          <w:color w:val="auto"/>
        </w:rPr>
        <w:t>Amendment No. 1 Additional Term Loan Commitment</w:t>
      </w:r>
      <w:r>
        <w:rPr>
          <w:rFonts w:ascii="Times New Roman" w:cs="Times New Roman" w:eastAsia="Times New Roman" w:hAnsi="Times New Roman"/>
          <w:sz w:val="20"/>
          <w:szCs w:val="20"/>
          <w:color w:val="auto"/>
        </w:rPr>
        <w:t>”) and to make certain modifications to the Credit Agreement in connection therewith, subject to the terms and conditions set forth in this Amendment; and</w:t>
      </w:r>
    </w:p>
    <w:p>
      <w:pPr>
        <w:spacing w:after="0" w:line="180"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NOW, THEREFORE, in consideration of the foregoing premises, which are hereby incorporated into and made a part of this Amendment, the covenants and agreements hereinafter set forth, and for good and valuable consideration, the receipt and sufficiency of which are hereby acknowledged, each of the undersigned, intending to be legally bound, does hereby agree as follows:</w:t>
      </w:r>
    </w:p>
    <w:p>
      <w:pPr>
        <w:spacing w:after="0" w:line="176" w:lineRule="exact"/>
        <w:rPr>
          <w:sz w:val="20"/>
          <w:szCs w:val="20"/>
          <w:color w:val="auto"/>
        </w:rPr>
      </w:pPr>
    </w:p>
    <w:p>
      <w:pPr>
        <w:ind w:right="160" w:firstLine="745"/>
        <w:spacing w:after="0" w:line="273" w:lineRule="auto"/>
        <w:tabs>
          <w:tab w:leader="none" w:pos="12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Capitalized Terms</w:t>
      </w:r>
      <w:r>
        <w:rPr>
          <w:rFonts w:ascii="Times New Roman" w:cs="Times New Roman" w:eastAsia="Times New Roman" w:hAnsi="Times New Roman"/>
          <w:sz w:val="20"/>
          <w:szCs w:val="20"/>
          <w:color w:val="auto"/>
        </w:rPr>
        <w:t>. All capitalized terms used herein and not otherwise defined shall have the same meaning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as in the Credit Agreement.</w:t>
      </w:r>
    </w:p>
    <w:p>
      <w:pPr>
        <w:spacing w:after="0" w:line="151" w:lineRule="exact"/>
        <w:rPr>
          <w:rFonts w:ascii="Times New Roman" w:cs="Times New Roman" w:eastAsia="Times New Roman" w:hAnsi="Times New Roman"/>
          <w:sz w:val="20"/>
          <w:szCs w:val="20"/>
          <w:color w:val="auto"/>
        </w:rPr>
      </w:pPr>
    </w:p>
    <w:p>
      <w:pPr>
        <w:ind w:right="40" w:firstLine="745"/>
        <w:spacing w:after="0" w:line="273" w:lineRule="auto"/>
        <w:tabs>
          <w:tab w:leader="none" w:pos="12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Acknowledgments and Stipulations by Borrower</w:t>
      </w:r>
      <w:r>
        <w:rPr>
          <w:rFonts w:ascii="Times New Roman" w:cs="Times New Roman" w:eastAsia="Times New Roman" w:hAnsi="Times New Roman"/>
          <w:sz w:val="20"/>
          <w:szCs w:val="20"/>
          <w:color w:val="auto"/>
        </w:rPr>
        <w:t>. In order to induce Agent and the Lenders to enter into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Borrower acknowledges, stipulates and agrees that:</w:t>
      </w:r>
    </w:p>
    <w:p>
      <w:pPr>
        <w:spacing w:after="0" w:line="142" w:lineRule="exact"/>
        <w:rPr>
          <w:sz w:val="20"/>
          <w:szCs w:val="20"/>
          <w:color w:val="auto"/>
        </w:rPr>
      </w:pPr>
    </w:p>
    <w:p>
      <w:pPr>
        <w:ind w:left="1460" w:right="20" w:hanging="715"/>
        <w:spacing w:after="0" w:line="269"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True and Correct</w:t>
      </w:r>
      <w:r>
        <w:rPr>
          <w:rFonts w:ascii="Times New Roman" w:cs="Times New Roman" w:eastAsia="Times New Roman" w:hAnsi="Times New Roman"/>
          <w:sz w:val="20"/>
          <w:szCs w:val="20"/>
          <w:color w:val="auto"/>
        </w:rPr>
        <w:t>. Each of the Recitals contained at the beginning of this Amendment is true and correct.</w:t>
      </w:r>
    </w:p>
    <w:p>
      <w:pPr>
        <w:spacing w:after="0" w:line="159" w:lineRule="exact"/>
        <w:rPr>
          <w:rFonts w:ascii="Times New Roman" w:cs="Times New Roman" w:eastAsia="Times New Roman" w:hAnsi="Times New Roman"/>
          <w:sz w:val="20"/>
          <w:szCs w:val="20"/>
          <w:color w:val="auto"/>
        </w:rPr>
      </w:pPr>
    </w:p>
    <w:p>
      <w:pPr>
        <w:jc w:val="both"/>
        <w:ind w:left="1460" w:right="20" w:hanging="715"/>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Outstanding</w:t>
      </w:r>
      <w:r>
        <w:rPr>
          <w:rFonts w:ascii="Times New Roman" w:cs="Times New Roman" w:eastAsia="Times New Roman" w:hAnsi="Times New Roman"/>
          <w:sz w:val="20"/>
          <w:szCs w:val="20"/>
          <w:color w:val="auto"/>
        </w:rPr>
        <w:t>. Borrower hereby acknowledges and agrees that, in accordance with the terms and conditions of the Loan Documents, it is liable to Agent and the Lenders for all of the Obligations, including, without limitation, (a) for all principal and accrued interest owed under the Loan Documents, whether now due or hereafter accruing; and (b) for all fees, costs and expenses required to be paid by Borrower under Section 7.13 of the Credit Agreement, including, without limitation, in connection with the negotiation and preparation of this Amendment, and any of the other documents, instruments or agreements executed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205740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080" w:top="747" w:right="699" w:bottom="1440" w:gutter="0" w:footer="0" w:header="0"/>
        </w:sectPr>
      </w:pPr>
    </w:p>
    <w:bookmarkStart w:id="4" w:name="page5"/>
    <w:bookmarkEnd w:id="4"/>
    <w:p>
      <w:pPr>
        <w:jc w:val="both"/>
        <w:ind w:left="2140" w:right="20" w:hanging="715"/>
        <w:spacing w:after="0" w:line="254" w:lineRule="auto"/>
        <w:tabs>
          <w:tab w:leader="none" w:pos="2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Liens Valid</w:t>
      </w:r>
      <w:r>
        <w:rPr>
          <w:rFonts w:ascii="Times New Roman" w:cs="Times New Roman" w:eastAsia="Times New Roman" w:hAnsi="Times New Roman"/>
          <w:sz w:val="20"/>
          <w:szCs w:val="20"/>
          <w:color w:val="auto"/>
        </w:rPr>
        <w:t>. The Liens granted by Borrower to Agent in the Collateral are valid and duly perfected, first-priority Liens (subject only to Permitted Liens which are expressly permitted to be senior to Agent’s Liens on the Collateral or Permitted Liens which have priority over Agent’s Liens as a matter of law).</w:t>
      </w:r>
    </w:p>
    <w:p>
      <w:pPr>
        <w:spacing w:after="0" w:line="174" w:lineRule="exact"/>
        <w:rPr>
          <w:rFonts w:ascii="Times New Roman" w:cs="Times New Roman" w:eastAsia="Times New Roman" w:hAnsi="Times New Roman"/>
          <w:sz w:val="20"/>
          <w:szCs w:val="20"/>
          <w:color w:val="auto"/>
        </w:rPr>
      </w:pPr>
    </w:p>
    <w:p>
      <w:pPr>
        <w:jc w:val="both"/>
        <w:ind w:left="2140" w:right="20" w:hanging="715"/>
        <w:spacing w:after="0" w:line="249" w:lineRule="auto"/>
        <w:tabs>
          <w:tab w:leader="none" w:pos="2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 Ratification</w:t>
      </w:r>
      <w:r>
        <w:rPr>
          <w:rFonts w:ascii="Times New Roman" w:cs="Times New Roman" w:eastAsia="Times New Roman" w:hAnsi="Times New Roman"/>
          <w:sz w:val="20"/>
          <w:szCs w:val="20"/>
          <w:color w:val="auto"/>
        </w:rPr>
        <w:t>. Borrower hereby ratifies, confirms and reaffirms that all security interests and Liens granted pursuant to the Loan Documents secure and shall continue to secure the payment and performance of all of the Obligations and liabilities pursuant to the Loan Documents, whether now existing or hereafter arising.</w:t>
      </w:r>
    </w:p>
    <w:p>
      <w:pPr>
        <w:spacing w:after="0" w:line="179" w:lineRule="exact"/>
        <w:rPr>
          <w:rFonts w:ascii="Times New Roman" w:cs="Times New Roman" w:eastAsia="Times New Roman" w:hAnsi="Times New Roman"/>
          <w:sz w:val="20"/>
          <w:szCs w:val="20"/>
          <w:color w:val="auto"/>
        </w:rPr>
      </w:pPr>
    </w:p>
    <w:p>
      <w:pPr>
        <w:jc w:val="both"/>
        <w:ind w:left="2140" w:right="20" w:hanging="715"/>
        <w:spacing w:after="0" w:line="249" w:lineRule="auto"/>
        <w:tabs>
          <w:tab w:leader="none" w:pos="2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Counsel</w:t>
      </w:r>
      <w:r>
        <w:rPr>
          <w:rFonts w:ascii="Times New Roman" w:cs="Times New Roman" w:eastAsia="Times New Roman" w:hAnsi="Times New Roman"/>
          <w:sz w:val="20"/>
          <w:szCs w:val="20"/>
          <w:color w:val="auto"/>
        </w:rPr>
        <w:t>. Prior to executing this Amendment, Borrower has consulted with and had the benefit of advice of legal counsel of its own selection and has relied upon the advice of such counsel, and in no part upon the representation of Agent or any Lender, or any counsel to Agent or any Lender, concerning the legal effects of this Amendment or any provision hereof.</w:t>
      </w:r>
    </w:p>
    <w:p>
      <w:pPr>
        <w:spacing w:after="0" w:line="180" w:lineRule="exact"/>
        <w:rPr>
          <w:sz w:val="20"/>
          <w:szCs w:val="20"/>
          <w:color w:val="auto"/>
        </w:rPr>
      </w:pPr>
    </w:p>
    <w:p>
      <w:pPr>
        <w:ind w:left="1940" w:hanging="515"/>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No. 1 Additional Term Loans</w:t>
      </w:r>
      <w:r>
        <w:rPr>
          <w:rFonts w:ascii="Times New Roman" w:cs="Times New Roman" w:eastAsia="Times New Roman" w:hAnsi="Times New Roman"/>
          <w:sz w:val="20"/>
          <w:szCs w:val="20"/>
          <w:color w:val="auto"/>
        </w:rPr>
        <w:t>. Subject to the occurrence of the Amendment No. 1 Effective Date:</w:t>
      </w:r>
    </w:p>
    <w:p>
      <w:pPr>
        <w:spacing w:after="0" w:line="216" w:lineRule="exact"/>
        <w:rPr>
          <w:sz w:val="20"/>
          <w:szCs w:val="20"/>
          <w:color w:val="auto"/>
        </w:rPr>
      </w:pPr>
    </w:p>
    <w:p>
      <w:pPr>
        <w:jc w:val="both"/>
        <w:ind w:left="2140" w:right="20" w:hanging="715"/>
        <w:spacing w:after="0" w:line="244" w:lineRule="auto"/>
        <w:tabs>
          <w:tab w:leader="none" w:pos="2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and including the Amendment No. 1 Effective Date, each Lender with an Amendment No. 1 Additional Term Loan Commitment severally agrees to make its Amendment No. 1 Additional Term Loan to Borrower on the Amendment No. 1 Effective Date, in an aggregate principal amount equal to such Lender’s Amendment No. 1 Additional Term Loan Commitment as set forth on Annex B hereto, and which loan shall rank pari passu with, and the terms applicable thereto shall be in all respects identical to those applicable to, the existing Closing Date Term Loans (except to the extent expressly set forth in the Credit Agreement);</w:t>
      </w:r>
    </w:p>
    <w:p>
      <w:pPr>
        <w:spacing w:after="0" w:line="185" w:lineRule="exact"/>
        <w:rPr>
          <w:rFonts w:ascii="Times New Roman" w:cs="Times New Roman" w:eastAsia="Times New Roman" w:hAnsi="Times New Roman"/>
          <w:sz w:val="20"/>
          <w:szCs w:val="20"/>
          <w:color w:val="auto"/>
        </w:rPr>
      </w:pPr>
    </w:p>
    <w:p>
      <w:pPr>
        <w:jc w:val="both"/>
        <w:ind w:left="2140" w:right="20" w:hanging="715"/>
        <w:spacing w:after="0" w:line="243" w:lineRule="auto"/>
        <w:tabs>
          <w:tab w:leader="none" w:pos="2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Amendment No. 1 Additional Term Loan made on the Amendment No. 1 Effective Date in accordance with Section 3(a) hereof shall constitute, for all purposes of the Credit Agreement and the other Loan Documents, a Term Loan made pursuant to the Credit Agreement and this Amendment and each such Amendment No. 1 Additional Term Loan shall constitute a “Term Loan”, for all purposes of the Credit Agreement on and after the Amendment No. 1 Effective Date (except as such Amendment No. 1 Additional Term Loan may be specifically referred to as an “Amendment No. 1 Additional Term Loan” in the Credit Agreement) and all provisions of the Credit Agreement applicable to the Term Loans shall be applicable to such Amendment No. 1 Additional Term Loans after the Amendment No. 1 Effective Date (except to the extent expressly set forth in the Credit Agreement);</w:t>
      </w:r>
    </w:p>
    <w:p>
      <w:pPr>
        <w:spacing w:after="0" w:line="185" w:lineRule="exact"/>
        <w:rPr>
          <w:rFonts w:ascii="Times New Roman" w:cs="Times New Roman" w:eastAsia="Times New Roman" w:hAnsi="Times New Roman"/>
          <w:sz w:val="20"/>
          <w:szCs w:val="20"/>
          <w:color w:val="auto"/>
        </w:rPr>
      </w:pPr>
    </w:p>
    <w:p>
      <w:pPr>
        <w:jc w:val="both"/>
        <w:ind w:left="2140" w:right="20" w:hanging="715"/>
        <w:spacing w:after="0" w:line="245" w:lineRule="auto"/>
        <w:tabs>
          <w:tab w:leader="none" w:pos="2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Amendment No. 1 Additional Term Loans shall be used on the Amendment No. 1 Effective Date (i) to pay fees and expenses in connection with the transactions contemplated hereby and (ii) to the extent not used for the forgoing, to fund general operating, working capital and other corporate purposes of the Loan Parties and their Subsidiaries (including Permitted Investment and any fees, costs and expenses associated therewith) not prohibited by the terms of the Organization Documents of such Loan Party or such Subsidiary or by any of the Loan Documents;</w:t>
      </w:r>
    </w:p>
    <w:p>
      <w:pPr>
        <w:spacing w:after="0" w:line="184" w:lineRule="exact"/>
        <w:rPr>
          <w:rFonts w:ascii="Times New Roman" w:cs="Times New Roman" w:eastAsia="Times New Roman" w:hAnsi="Times New Roman"/>
          <w:sz w:val="20"/>
          <w:szCs w:val="20"/>
          <w:color w:val="auto"/>
        </w:rPr>
      </w:pPr>
    </w:p>
    <w:p>
      <w:pPr>
        <w:jc w:val="both"/>
        <w:ind w:left="2140" w:hanging="715"/>
        <w:spacing w:after="0" w:line="254" w:lineRule="auto"/>
        <w:tabs>
          <w:tab w:leader="none" w:pos="2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Credit Agreement, solely with respect to the Amendment No. 1 Additional Term Loans, the initial Interest Period for such Amendment No. 1 Additional Term Loans shall commence on the Amendment No. 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00" w:top="1399" w:right="699" w:bottom="1440" w:gutter="0" w:footer="0" w:header="0"/>
        </w:sectPr>
      </w:pPr>
    </w:p>
    <w:bookmarkStart w:id="5" w:name="page6"/>
    <w:bookmarkEnd w:id="5"/>
    <w:p>
      <w:pPr>
        <w:ind w:left="2180" w:right="440"/>
        <w:spacing w:after="0" w:line="269" w:lineRule="auto"/>
        <w:rPr>
          <w:sz w:val="20"/>
          <w:szCs w:val="20"/>
          <w:color w:val="auto"/>
        </w:rPr>
      </w:pPr>
      <w:r>
        <w:rPr>
          <w:rFonts w:ascii="Times New Roman" w:cs="Times New Roman" w:eastAsia="Times New Roman" w:hAnsi="Times New Roman"/>
          <w:sz w:val="20"/>
          <w:szCs w:val="20"/>
          <w:color w:val="auto"/>
        </w:rPr>
        <w:t xml:space="preserve">Effective Date and end (without any requirement to pay breakage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of the Credit Agreement) on March 11, 2026; and</w:t>
      </w:r>
    </w:p>
    <w:p>
      <w:pPr>
        <w:spacing w:after="0" w:line="159" w:lineRule="exact"/>
        <w:rPr>
          <w:sz w:val="20"/>
          <w:szCs w:val="20"/>
          <w:color w:val="auto"/>
        </w:rPr>
      </w:pPr>
    </w:p>
    <w:p>
      <w:pPr>
        <w:ind w:left="2140" w:hanging="715"/>
        <w:spacing w:after="0" w:line="269" w:lineRule="auto"/>
        <w:tabs>
          <w:tab w:leader="none" w:pos="2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Lenders party hereto and Agent, hereby consents to the provision by each applicable Lender of such Lender’s Amendment No. 1 Additional Term Loans.</w:t>
      </w:r>
    </w:p>
    <w:p>
      <w:pPr>
        <w:spacing w:after="0" w:line="155" w:lineRule="exact"/>
        <w:rPr>
          <w:sz w:val="20"/>
          <w:szCs w:val="20"/>
          <w:color w:val="auto"/>
        </w:rPr>
      </w:pPr>
    </w:p>
    <w:p>
      <w:pPr>
        <w:ind w:left="1940" w:hanging="515"/>
        <w:spacing w:after="0"/>
        <w:tabs>
          <w:tab w:leader="none" w:pos="19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The Credit Agreement is hereby amended as follows:</w:t>
      </w:r>
    </w:p>
    <w:p>
      <w:pPr>
        <w:spacing w:after="0" w:line="220" w:lineRule="exact"/>
        <w:rPr>
          <w:sz w:val="20"/>
          <w:szCs w:val="20"/>
          <w:color w:val="auto"/>
        </w:rPr>
      </w:pPr>
    </w:p>
    <w:p>
      <w:pPr>
        <w:jc w:val="both"/>
        <w:ind w:left="2140" w:hanging="715"/>
        <w:spacing w:after="0" w:line="249" w:lineRule="auto"/>
        <w:tabs>
          <w:tab w:leader="none" w:pos="2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hereby amended to delete the bold, stricken text (indicated textually in the same manner as the following example: </w:t>
      </w:r>
      <w:r>
        <w:rPr>
          <w:rFonts w:ascii="Times New Roman" w:cs="Times New Roman" w:eastAsia="Times New Roman" w:hAnsi="Times New Roman"/>
          <w:sz w:val="20"/>
          <w:szCs w:val="20"/>
          <w:b w:val="1"/>
          <w:bCs w:val="1"/>
          <w:color w:val="FF0000"/>
          <w:strike w:val="1"/>
        </w:rPr>
        <w:t>stricken text</w:t>
      </w:r>
      <w:r>
        <w:rPr>
          <w:rFonts w:ascii="Times New Roman" w:cs="Times New Roman" w:eastAsia="Times New Roman" w:hAnsi="Times New Roman"/>
          <w:sz w:val="20"/>
          <w:szCs w:val="20"/>
          <w:color w:val="auto"/>
        </w:rPr>
        <w:t xml:space="preserve">) and to add the bold, double-underlined text (indicated textually in the same manner as the following example: </w:t>
      </w:r>
      <w:r>
        <w:rPr>
          <w:rFonts w:ascii="Times New Roman" w:cs="Times New Roman" w:eastAsia="Times New Roman" w:hAnsi="Times New Roman"/>
          <w:sz w:val="20"/>
          <w:szCs w:val="20"/>
          <w:b w:val="1"/>
          <w:bCs w:val="1"/>
          <w:u w:val="single" w:color="auto"/>
          <w:color w:val="0066FF"/>
        </w:rPr>
        <w:t>double-underlined text</w:t>
      </w:r>
      <w:r>
        <w:rPr>
          <w:rFonts w:ascii="Times New Roman" w:cs="Times New Roman" w:eastAsia="Times New Roman" w:hAnsi="Times New Roman"/>
          <w:sz w:val="20"/>
          <w:szCs w:val="20"/>
          <w:color w:val="auto"/>
        </w:rPr>
        <w:t xml:space="preserve">) as set forth in the pages of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and</w:t>
      </w:r>
    </w:p>
    <w:p>
      <w:pPr>
        <w:spacing w:after="0" w:line="179" w:lineRule="exact"/>
        <w:rPr>
          <w:rFonts w:ascii="Times New Roman" w:cs="Times New Roman" w:eastAsia="Times New Roman" w:hAnsi="Times New Roman"/>
          <w:sz w:val="20"/>
          <w:szCs w:val="20"/>
          <w:color w:val="auto"/>
        </w:rPr>
      </w:pPr>
    </w:p>
    <w:p>
      <w:pPr>
        <w:ind w:left="2140" w:right="620" w:hanging="715"/>
        <w:spacing w:after="0" w:line="269" w:lineRule="auto"/>
        <w:tabs>
          <w:tab w:leader="none" w:pos="2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(Commitments of Lenders) to the Credit Agreement is hereby amended and restated in its entirety by Schedule 1 attached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to this Amendment therefor.</w:t>
      </w:r>
    </w:p>
    <w:p>
      <w:pPr>
        <w:spacing w:after="0" w:line="155" w:lineRule="exact"/>
        <w:rPr>
          <w:sz w:val="20"/>
          <w:szCs w:val="20"/>
          <w:color w:val="auto"/>
        </w:rPr>
      </w:pPr>
    </w:p>
    <w:p>
      <w:pPr>
        <w:jc w:val="both"/>
        <w:ind w:left="680" w:firstLine="745"/>
        <w:spacing w:after="0" w:line="245" w:lineRule="auto"/>
        <w:tabs>
          <w:tab w:leader="none" w:pos="19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Agent Expenses</w:t>
      </w:r>
      <w:r>
        <w:rPr>
          <w:rFonts w:ascii="Times New Roman" w:cs="Times New Roman" w:eastAsia="Times New Roman" w:hAnsi="Times New Roman"/>
          <w:sz w:val="20"/>
          <w:szCs w:val="20"/>
          <w:color w:val="auto"/>
        </w:rPr>
        <w:t>. Borrower agrees to pay,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Agreement,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and documented costs and expenses incurred by Agent in connection with the preparation, negotiation and execution of this Amendment and any other Loan Documents executed pursuant hereto and any and all agreements, modifications, and supplements to the Credit Agreement, including, without limitation, the reasonable and documented fees of Agent’s legal counsel and any expenses associated with or incurred in connection with any instrument or agreement referred to herein or contemplated hereby. Borrower acknowledges that Agent may charge any and all such fees, costs and expenses to Borrower’s Loan Account in accordance with the Credit Agreement.</w:t>
      </w:r>
    </w:p>
    <w:p>
      <w:pPr>
        <w:spacing w:after="0" w:line="179" w:lineRule="exact"/>
        <w:rPr>
          <w:rFonts w:ascii="Times New Roman" w:cs="Times New Roman" w:eastAsia="Times New Roman" w:hAnsi="Times New Roman"/>
          <w:sz w:val="20"/>
          <w:szCs w:val="20"/>
          <w:color w:val="auto"/>
        </w:rPr>
      </w:pPr>
    </w:p>
    <w:p>
      <w:pPr>
        <w:ind w:left="680" w:firstLine="745"/>
        <w:spacing w:after="0" w:line="273" w:lineRule="auto"/>
        <w:tabs>
          <w:tab w:leader="none" w:pos="19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Ratification of Loan Documents</w:t>
      </w:r>
      <w:r>
        <w:rPr>
          <w:rFonts w:ascii="Times New Roman" w:cs="Times New Roman" w:eastAsia="Times New Roman" w:hAnsi="Times New Roman"/>
          <w:sz w:val="20"/>
          <w:szCs w:val="20"/>
          <w:color w:val="auto"/>
        </w:rPr>
        <w:t>. Except as specifically amended by this Amendment, all of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Credit Agreement and of each of the other Loan Documents shall remain in full force and effect.</w:t>
      </w:r>
    </w:p>
    <w:p>
      <w:pPr>
        <w:spacing w:after="0" w:line="151" w:lineRule="exact"/>
        <w:rPr>
          <w:rFonts w:ascii="Times New Roman" w:cs="Times New Roman" w:eastAsia="Times New Roman" w:hAnsi="Times New Roman"/>
          <w:sz w:val="20"/>
          <w:szCs w:val="20"/>
          <w:color w:val="auto"/>
        </w:rPr>
      </w:pPr>
    </w:p>
    <w:p>
      <w:pPr>
        <w:jc w:val="both"/>
        <w:ind w:left="680" w:firstLine="745"/>
        <w:spacing w:after="0" w:line="255" w:lineRule="auto"/>
        <w:tabs>
          <w:tab w:leader="none" w:pos="194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Release of Claims; Covenant Not to Sue</w:t>
      </w:r>
      <w:r>
        <w:rPr>
          <w:rFonts w:ascii="Times New Roman" w:cs="Times New Roman" w:eastAsia="Times New Roman" w:hAnsi="Times New Roman"/>
          <w:sz w:val="19"/>
          <w:szCs w:val="19"/>
          <w:color w:val="auto"/>
        </w:rPr>
        <w:t>. To induce Agent and the Lenders to enter into this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for itself and on behalf of its subsidiaries, affiliates, successors and assigns (collectively with Borrower, the “</w:t>
      </w:r>
      <w:r>
        <w:rPr>
          <w:rFonts w:ascii="Times New Roman" w:cs="Times New Roman" w:eastAsia="Times New Roman" w:hAnsi="Times New Roman"/>
          <w:sz w:val="19"/>
          <w:szCs w:val="19"/>
          <w:u w:val="single" w:color="auto"/>
          <w:color w:val="auto"/>
        </w:rPr>
        <w:t>Releasors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u w:val="single" w:color="auto"/>
          <w:color w:val="auto"/>
        </w:rPr>
        <w:t>Releasor</w:t>
      </w:r>
      <w:r>
        <w:rPr>
          <w:rFonts w:ascii="Times New Roman" w:cs="Times New Roman" w:eastAsia="Times New Roman" w:hAnsi="Times New Roman"/>
          <w:sz w:val="19"/>
          <w:szCs w:val="19"/>
          <w:color w:val="auto"/>
        </w:rPr>
        <w:t>”), hereby RELEASES, ACQUITS AND FOREVER DISCHARGES each Releasee (as hereinafter defined) from any and all liabilities, claims, demands, actions or causes of action of every kind or nature (if any there be), whether absolute or contingent, due or to become due, disputed or undisputed, liquidated or unliquidated, at law or in equity, or known or unknown (collectively,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that any Releasor now has, ever had or hereafter may have against Agent in any capacity or Agent’s or any Lender’s officers, directors, employees, agents, attorneys, representatives, subsidiaries, affiliates and shareholders (collectively with Agent and each Lender, the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based on acts, transactions or circumstances that have occurred or been consummated on or before the date of this Amendment and that relate to (i) the Credit Agreement, any other Loan Document (including, without limitation, this Amendment) or Collateral, (ii) any transaction, act or omission contemplated by or described in any Loan Document or concluded thereunder, or (iii) any aspect of the dealings or relationships between or among Borrower and/or any other Loan Party, on the one hand, and Agent and Lenders, on the other hand, under or in connection with the Credit Agreement, any other Loan Document (including, without limitation, this Amendment), or any transaction, act or omission contemplated by or described in the Credit Agreement, any other Loan Document (including, without limitation, this Amendment), or concluded thereunder, but nothing herein shall release Agent or any Lender from any of its obligations under the Loan Documents. The provisions of this Section shall survive the termination of this Amendment and any of the other Loan Documents and payment in full of the Obligations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399" w:right="719" w:bottom="1440" w:gutter="0" w:footer="0" w:header="0"/>
        </w:sectPr>
      </w:pPr>
    </w:p>
    <w:bookmarkStart w:id="6" w:name="page7"/>
    <w:bookmarkEnd w:id="6"/>
    <w:p>
      <w:pPr>
        <w:jc w:val="both"/>
        <w:ind w:left="680"/>
        <w:spacing w:after="0" w:line="245" w:lineRule="auto"/>
        <w:rPr>
          <w:sz w:val="20"/>
          <w:szCs w:val="20"/>
          <w:color w:val="auto"/>
        </w:rPr>
      </w:pPr>
      <w:r>
        <w:rPr>
          <w:rFonts w:ascii="Times New Roman" w:cs="Times New Roman" w:eastAsia="Times New Roman" w:hAnsi="Times New Roman"/>
          <w:sz w:val="20"/>
          <w:szCs w:val="20"/>
          <w:color w:val="auto"/>
        </w:rPr>
        <w:t>and termination of the Commitments. Borrower, for itself and on behalf of Borrower’s successors, assigns and other legal representatives, hereby unconditionally and irrevocably agrees that neither Borrower nor the other Releasors will sue any Releasee on the basis of any Claim released, remised and discharged pursuant to the foregoing provisions of this Section, and if Borrower and/or any Releasor or its successors or assigns violates the foregoing covenant, Borrower, for itself and its successors and assigns, agrees to pay, in addition to such other damages as any Releasee may sustain as a result of such violation, all reasonable attorneys’ fees and cost incurred by any Releasee as a result of such violation.</w:t>
      </w:r>
    </w:p>
    <w:p>
      <w:pPr>
        <w:spacing w:after="0" w:line="194" w:lineRule="exact"/>
        <w:rPr>
          <w:sz w:val="20"/>
          <w:szCs w:val="20"/>
          <w:color w:val="auto"/>
        </w:rPr>
      </w:pPr>
    </w:p>
    <w:p>
      <w:pPr>
        <w:ind w:left="680" w:firstLine="745"/>
        <w:spacing w:after="0" w:line="273" w:lineRule="auto"/>
        <w:tabs>
          <w:tab w:leader="none" w:pos="194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In consideration of the execution and delivery of this Amendment by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Lenders, Borrower hereby represents and warrants in favor of Agent and the Lenders as follows:</w:t>
      </w:r>
    </w:p>
    <w:p>
      <w:pPr>
        <w:spacing w:after="0" w:line="156" w:lineRule="exact"/>
        <w:rPr>
          <w:sz w:val="20"/>
          <w:szCs w:val="20"/>
          <w:color w:val="auto"/>
        </w:rPr>
      </w:pPr>
    </w:p>
    <w:p>
      <w:pPr>
        <w:jc w:val="both"/>
        <w:ind w:left="2140" w:hanging="715"/>
        <w:spacing w:after="0" w:line="274" w:lineRule="auto"/>
        <w:tabs>
          <w:tab w:leader="none" w:pos="21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has the corporate power and authority (i) to enter into this Amendment (including, without limitation, incurring the Amendment No. 1 Additional Term Loans provided for herein) and (ii) to do all acts and things as are required or contemplated hereunder to be done, observed and performed by Borrower;</w:t>
      </w:r>
    </w:p>
    <w:p>
      <w:pPr>
        <w:spacing w:after="0" w:line="156" w:lineRule="exact"/>
        <w:rPr>
          <w:rFonts w:ascii="Times New Roman" w:cs="Times New Roman" w:eastAsia="Times New Roman" w:hAnsi="Times New Roman"/>
          <w:sz w:val="19"/>
          <w:szCs w:val="19"/>
          <w:color w:val="auto"/>
        </w:rPr>
      </w:pPr>
    </w:p>
    <w:p>
      <w:pPr>
        <w:jc w:val="both"/>
        <w:ind w:left="2140" w:hanging="715"/>
        <w:spacing w:after="0" w:line="244" w:lineRule="auto"/>
        <w:tabs>
          <w:tab w:leader="none" w:pos="2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Borrower of this Amendment (including, without limitation, incurring the Amendment No. 1 Additional Term Loans provided for herein) has been duly authorized by all necessary organizational actions and, if required, actions by equity holders. This Amendment has been duly executed and delivered by Borrower and constitutes a legal, valid and binding obligation of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2" w:lineRule="exact"/>
        <w:rPr>
          <w:rFonts w:ascii="Times New Roman" w:cs="Times New Roman" w:eastAsia="Times New Roman" w:hAnsi="Times New Roman"/>
          <w:sz w:val="20"/>
          <w:szCs w:val="20"/>
          <w:color w:val="auto"/>
        </w:rPr>
      </w:pPr>
    </w:p>
    <w:p>
      <w:pPr>
        <w:jc w:val="both"/>
        <w:ind w:left="2140" w:hanging="715"/>
        <w:spacing w:after="0" w:line="246" w:lineRule="auto"/>
        <w:tabs>
          <w:tab w:leader="none" w:pos="2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this Amendment (including, without limitation, the making of the Amendment No. 1 Additional Term Loans), (i) no Default or Event of Default exists under the Credit Agreement or the other Loan Documents and (ii) since December 31, 2023 there has been no material adverse change in the business, assets, liabilities, operations, property or financial condition of the Loan Parties and their Subsidiaries, taken as a whole; and</w:t>
      </w:r>
    </w:p>
    <w:p>
      <w:pPr>
        <w:spacing w:after="0" w:line="198" w:lineRule="exact"/>
        <w:rPr>
          <w:rFonts w:ascii="Times New Roman" w:cs="Times New Roman" w:eastAsia="Times New Roman" w:hAnsi="Times New Roman"/>
          <w:sz w:val="20"/>
          <w:szCs w:val="20"/>
          <w:color w:val="auto"/>
        </w:rPr>
      </w:pPr>
    </w:p>
    <w:p>
      <w:pPr>
        <w:jc w:val="both"/>
        <w:ind w:left="2140" w:hanging="715"/>
        <w:spacing w:after="0" w:line="242" w:lineRule="auto"/>
        <w:tabs>
          <w:tab w:leader="none" w:pos="2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this Amendment (including, without limitation, the incurrence of the Amendment No. 1 Additional Term Loans provided for herein), all representations and warranties of Borrower set forth in the Credit Agreement and the other Loan Documents are true, correct and complete in all material respects (unless any such representations or warranties include any materiality qualifiers, in which case such representations and warranties shall be true and correct in all respects) on the date hereof after giving effect to the incurrence of the Amendment No. 1 Additional Term Loans provided for herein (provided that any representations or warranties that expressly relate to an earlier date shall be true, correct and complete in all material respects (unless any such representations or warranties include any materiality qualifiers, in which case such representations and warranties shall be true and correct in all respects) as of such earlier date).</w:t>
      </w:r>
    </w:p>
    <w:p>
      <w:pPr>
        <w:spacing w:after="0" w:line="188" w:lineRule="exact"/>
        <w:rPr>
          <w:sz w:val="20"/>
          <w:szCs w:val="20"/>
          <w:color w:val="auto"/>
        </w:rPr>
      </w:pPr>
    </w:p>
    <w:p>
      <w:pPr>
        <w:jc w:val="both"/>
        <w:ind w:left="680" w:firstLine="745"/>
        <w:spacing w:after="0" w:line="256" w:lineRule="auto"/>
        <w:tabs>
          <w:tab w:leader="none" w:pos="19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Precedent to Effectiveness</w:t>
      </w:r>
      <w:r>
        <w:rPr>
          <w:rFonts w:ascii="Times New Roman" w:cs="Times New Roman" w:eastAsia="Times New Roman" w:hAnsi="Times New Roman"/>
          <w:sz w:val="20"/>
          <w:szCs w:val="20"/>
          <w:color w:val="auto"/>
        </w:rPr>
        <w:t>. This Amendment shall not be effective until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precedent has been fulfilled to the sole satisfaction of Agent and each Lender (the date on which such conditions have been satisfied shall be referred to herein as the “</w:t>
      </w:r>
      <w:r>
        <w:rPr>
          <w:rFonts w:ascii="Times New Roman" w:cs="Times New Roman" w:eastAsia="Times New Roman" w:hAnsi="Times New Roman"/>
          <w:sz w:val="20"/>
          <w:szCs w:val="20"/>
          <w:u w:val="single" w:color="auto"/>
          <w:color w:val="auto"/>
        </w:rPr>
        <w:t>Amendment No. 1 Effective Date</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jc w:val="both"/>
        <w:ind w:left="2140" w:hanging="715"/>
        <w:spacing w:after="0" w:line="254" w:lineRule="auto"/>
        <w:tabs>
          <w:tab w:leader="none" w:pos="2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have been duly executed and delivered by the respective parties hereto (including existing Lenders comprising the Required Lenders and each Lender holding an Amendment No. 1 Additional Term Loan Commitment), and shall be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399" w:right="719" w:bottom="1440" w:gutter="0" w:footer="0" w:header="0"/>
        </w:sectPr>
      </w:pPr>
    </w:p>
    <w:bookmarkStart w:id="7" w:name="page8"/>
    <w:bookmarkEnd w:id="7"/>
    <w:p>
      <w:pPr>
        <w:ind w:left="2140"/>
        <w:spacing w:after="0"/>
        <w:rPr>
          <w:sz w:val="20"/>
          <w:szCs w:val="20"/>
          <w:color w:val="auto"/>
        </w:rPr>
      </w:pPr>
      <w:r>
        <w:rPr>
          <w:rFonts w:ascii="Times New Roman" w:cs="Times New Roman" w:eastAsia="Times New Roman" w:hAnsi="Times New Roman"/>
          <w:sz w:val="20"/>
          <w:szCs w:val="20"/>
          <w:color w:val="auto"/>
        </w:rPr>
        <w:t>force and effect and shall be in form and substance satisfactory to Agent and each Lender party hereto;</w:t>
      </w:r>
    </w:p>
    <w:p>
      <w:pPr>
        <w:spacing w:after="0" w:line="216" w:lineRule="exact"/>
        <w:rPr>
          <w:sz w:val="20"/>
          <w:szCs w:val="20"/>
          <w:color w:val="auto"/>
        </w:rPr>
      </w:pPr>
    </w:p>
    <w:p>
      <w:pPr>
        <w:jc w:val="both"/>
        <w:ind w:left="2140" w:right="20" w:hanging="715"/>
        <w:spacing w:after="0" w:line="254"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any Lender providing an Amendment No. 1 Additional Term Loan, Borrower shall have delivered to each such Lender a promissory note evidencing Borrower’s obligations in respect of such Amendment No. 1 Additional Term Loan;</w:t>
      </w:r>
    </w:p>
    <w:p>
      <w:pPr>
        <w:spacing w:after="0" w:line="174" w:lineRule="exact"/>
        <w:rPr>
          <w:rFonts w:ascii="Times New Roman" w:cs="Times New Roman" w:eastAsia="Times New Roman" w:hAnsi="Times New Roman"/>
          <w:sz w:val="20"/>
          <w:szCs w:val="20"/>
          <w:color w:val="auto"/>
        </w:rPr>
      </w:pPr>
    </w:p>
    <w:p>
      <w:pPr>
        <w:ind w:left="2140" w:right="20" w:hanging="715"/>
        <w:spacing w:after="0" w:line="269"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borrowing request completed in a manner satisfactory to Agent and duly authorized and delivered by a Responsible Officer of a Borrower;</w:t>
      </w:r>
    </w:p>
    <w:p>
      <w:pPr>
        <w:spacing w:after="0" w:line="145" w:lineRule="exact"/>
        <w:rPr>
          <w:rFonts w:ascii="Times New Roman" w:cs="Times New Roman" w:eastAsia="Times New Roman" w:hAnsi="Times New Roman"/>
          <w:sz w:val="20"/>
          <w:szCs w:val="20"/>
          <w:color w:val="auto"/>
        </w:rPr>
      </w:pPr>
    </w:p>
    <w:p>
      <w:pPr>
        <w:jc w:val="both"/>
        <w:ind w:left="2140" w:right="20" w:hanging="715"/>
        <w:spacing w:after="0" w:line="246"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solvency certificate signed by a Responsible Officer of Borrower dated as of the Amendment No. 1 Effective Date and stating that after giving effect to this Amendment and the transactions contemplated hereby (including, without limitation, the incurrence of the Amendment No. 1 Additional Term Loans), the Loan Parties and their Subsidiaries, taken as a whole, are Solvent, which solvency certificate shall be in form and substance satisfactory to Agent;</w:t>
      </w:r>
    </w:p>
    <w:p>
      <w:pPr>
        <w:spacing w:after="0" w:line="184" w:lineRule="exact"/>
        <w:rPr>
          <w:rFonts w:ascii="Times New Roman" w:cs="Times New Roman" w:eastAsia="Times New Roman" w:hAnsi="Times New Roman"/>
          <w:sz w:val="20"/>
          <w:szCs w:val="20"/>
          <w:color w:val="auto"/>
        </w:rPr>
      </w:pPr>
    </w:p>
    <w:p>
      <w:pPr>
        <w:jc w:val="both"/>
        <w:ind w:left="2140" w:right="20" w:hanging="715"/>
        <w:spacing w:after="0" w:line="249"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certificate of status with respect to each Loan Party, dated within thirty (30) days of the Amendment No. 1 Effective Date (or such earlier date as is acceptable to Agent), issued by the appropriate officer of the jurisdiction of organization of such Loan Party, in each case which certificate shall indicate that such Loan Party is in good standing in such jurisdiction;</w:t>
      </w:r>
    </w:p>
    <w:p>
      <w:pPr>
        <w:spacing w:after="0" w:line="179" w:lineRule="exact"/>
        <w:rPr>
          <w:rFonts w:ascii="Times New Roman" w:cs="Times New Roman" w:eastAsia="Times New Roman" w:hAnsi="Times New Roman"/>
          <w:sz w:val="20"/>
          <w:szCs w:val="20"/>
          <w:color w:val="auto"/>
        </w:rPr>
      </w:pPr>
    </w:p>
    <w:p>
      <w:pPr>
        <w:jc w:val="both"/>
        <w:ind w:left="2140" w:right="20" w:hanging="715"/>
        <w:spacing w:after="0" w:line="243"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certificate of a Responsible Officer of each Loan Party, in form and substance satisfactory to Agent, certifying (i) that attached copies of the Organization Documents of such Loan Party are true and complete, and in full force and effect, without amendment except as shown; (ii) that an attached copy of resolutions authorizing execution, delivery and performance of the Loan Documents is true and complete, and that such resolutions are in full force and effect, were duly adopted, have not been amended, modified or revoked, and constitute all resolutions adopted with respect to this Amendment and the Amendment No. 1 Additional Term Loans; and (iii) to the title, name and signature of each Person authorized to sign the Loan Documents;</w:t>
      </w:r>
    </w:p>
    <w:p>
      <w:pPr>
        <w:spacing w:after="0" w:line="189" w:lineRule="exact"/>
        <w:rPr>
          <w:rFonts w:ascii="Times New Roman" w:cs="Times New Roman" w:eastAsia="Times New Roman" w:hAnsi="Times New Roman"/>
          <w:sz w:val="20"/>
          <w:szCs w:val="20"/>
          <w:color w:val="auto"/>
        </w:rPr>
      </w:pPr>
    </w:p>
    <w:p>
      <w:pPr>
        <w:jc w:val="both"/>
        <w:ind w:left="2140" w:hanging="715"/>
        <w:spacing w:after="0" w:line="256" w:lineRule="auto"/>
        <w:tabs>
          <w:tab w:leader="none" w:pos="21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have received a certificate, signed by a Responsible Officer of each Loan Party, dated as of the Amendment No. 1 Effective Date, stating (i) that no Default or Event of Default exists, (ii) the representations and warranties set forth in the Credit Agreement and the other Loan Documents are true, correct and complete in all material respects (unless any such representations or warranties include any materiality qualifiers, in which case such representations and warranties shall be true and correct in all respects) on the Amendment No. 1 Effective Date after giving effect to the incurrence of the Amendment No. 1 Additional Term Loans provided for herein (provided that any representations or warranties that expressly relate to an earlier date shall be true, correct and complete in all material respects (unless any such representations or warranties include any materiality qualifiers, in which case such representations and warranties shall be true and correct in all respects) as of such earlier date), (iii) each Loan Party has complied with all agreements and conditions to be satisfied by it under the Loan Documents as of the Amendment No. 1 Effective Date, and (iv) certifying any other factual matters as may be requested by Agent;</w:t>
      </w:r>
    </w:p>
    <w:p>
      <w:pPr>
        <w:spacing w:after="0" w:line="25" w:lineRule="exact"/>
        <w:rPr>
          <w:rFonts w:ascii="Times New Roman" w:cs="Times New Roman" w:eastAsia="Times New Roman" w:hAnsi="Times New Roman"/>
          <w:sz w:val="19"/>
          <w:szCs w:val="19"/>
          <w:color w:val="auto"/>
        </w:rPr>
      </w:pPr>
    </w:p>
    <w:p>
      <w:pPr>
        <w:jc w:val="both"/>
        <w:ind w:left="2140" w:hanging="715"/>
        <w:spacing w:after="0" w:line="254"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the results of a recent Lien search in each jurisdiction where a Loan Party is organized, and such search shall reveal no security interests, Liens or other encumbrances on any of the assets of any Loan Party except for Permitted Liens;</w:t>
      </w:r>
    </w:p>
    <w:p>
      <w:pPr>
        <w:spacing w:after="0" w:line="174" w:lineRule="exact"/>
        <w:rPr>
          <w:rFonts w:ascii="Times New Roman" w:cs="Times New Roman" w:eastAsia="Times New Roman" w:hAnsi="Times New Roman"/>
          <w:sz w:val="20"/>
          <w:szCs w:val="20"/>
          <w:color w:val="auto"/>
        </w:rPr>
      </w:pPr>
    </w:p>
    <w:p>
      <w:pPr>
        <w:ind w:left="2140" w:right="20" w:hanging="715"/>
        <w:spacing w:after="0" w:line="269" w:lineRule="auto"/>
        <w:tabs>
          <w:tab w:leader="none" w:pos="2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satisfactory opinion letters of counsel to Loan Parties with respect to the Loan Documents and such other matters as Agent may request as well as 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00" w:top="1399" w:right="699" w:bottom="1440" w:gutter="0" w:footer="0" w:header="0"/>
        </w:sectPr>
      </w:pPr>
    </w:p>
    <w:bookmarkStart w:id="8" w:name="page9"/>
    <w:bookmarkEnd w:id="8"/>
    <w:p>
      <w:pPr>
        <w:spacing w:after="0" w:line="10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local counsel to any Loan Party;</w:t>
      </w:r>
    </w:p>
    <w:p>
      <w:pPr>
        <w:spacing w:after="0" w:line="216" w:lineRule="exact"/>
        <w:rPr>
          <w:sz w:val="20"/>
          <w:szCs w:val="20"/>
          <w:color w:val="auto"/>
        </w:rPr>
      </w:pPr>
    </w:p>
    <w:p>
      <w:pPr>
        <w:ind w:left="2140" w:right="20" w:hanging="715"/>
        <w:spacing w:after="0" w:line="269" w:lineRule="auto"/>
        <w:tabs>
          <w:tab w:leader="none" w:pos="2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achieved a satisfactory syndication of the commitments to provide the Amendment No. 1 Additional Term Loans;</w:t>
      </w:r>
    </w:p>
    <w:p>
      <w:pPr>
        <w:spacing w:after="0" w:line="145" w:lineRule="exact"/>
        <w:rPr>
          <w:rFonts w:ascii="Times New Roman" w:cs="Times New Roman" w:eastAsia="Times New Roman" w:hAnsi="Times New Roman"/>
          <w:sz w:val="20"/>
          <w:szCs w:val="20"/>
          <w:color w:val="auto"/>
        </w:rPr>
      </w:pPr>
    </w:p>
    <w:p>
      <w:pPr>
        <w:jc w:val="both"/>
        <w:ind w:left="2140" w:right="20" w:hanging="715"/>
        <w:spacing w:after="0" w:line="254" w:lineRule="auto"/>
        <w:tabs>
          <w:tab w:leader="none" w:pos="2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pay to Agent all fees and expenses due and payable (pursuant to Section 5 above) on the Amendment No. 1 Effective Date, including any fees payable in accordance with any applicable fee letters; and</w:t>
      </w:r>
    </w:p>
    <w:p>
      <w:pPr>
        <w:spacing w:after="0" w:line="174" w:lineRule="exact"/>
        <w:rPr>
          <w:rFonts w:ascii="Times New Roman" w:cs="Times New Roman" w:eastAsia="Times New Roman" w:hAnsi="Times New Roman"/>
          <w:sz w:val="20"/>
          <w:szCs w:val="20"/>
          <w:color w:val="auto"/>
        </w:rPr>
      </w:pPr>
    </w:p>
    <w:p>
      <w:pPr>
        <w:jc w:val="both"/>
        <w:ind w:left="2140" w:right="20" w:hanging="715"/>
        <w:spacing w:after="0" w:line="249" w:lineRule="auto"/>
        <w:tabs>
          <w:tab w:leader="none" w:pos="2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 on the part of Borrower necessary for the valid execution, delivery and performance by Borrower of this Amendment and all other documentation, instruments, and agreements to be executed in connection herewith shall have been duly and effectively taken and evidence thereof satisfactory to Agent shall have been provided to Agent.</w:t>
      </w:r>
    </w:p>
    <w:p>
      <w:pPr>
        <w:spacing w:after="0" w:line="162" w:lineRule="exact"/>
        <w:rPr>
          <w:sz w:val="20"/>
          <w:szCs w:val="20"/>
          <w:color w:val="auto"/>
        </w:rPr>
      </w:pPr>
    </w:p>
    <w:p>
      <w:pPr>
        <w:ind w:left="2180" w:hanging="755"/>
        <w:spacing w:after="0"/>
        <w:tabs>
          <w:tab w:leader="none" w:pos="2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140" w:hanging="715"/>
        <w:spacing w:after="0" w:line="241" w:lineRule="auto"/>
        <w:tabs>
          <w:tab w:leader="none" w:pos="2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 No Further Agreement</w:t>
      </w:r>
      <w:r>
        <w:rPr>
          <w:rFonts w:ascii="Times New Roman" w:cs="Times New Roman" w:eastAsia="Times New Roman" w:hAnsi="Times New Roman"/>
          <w:sz w:val="20"/>
          <w:szCs w:val="20"/>
          <w:color w:val="auto"/>
        </w:rPr>
        <w:t>. Except as expressly set forth in this Amendment, the execution, delivery and effectiveness of this Amendment shall not operate as a waiver of any right, power or remedy of Agent under the Credit Agreement or any of the other Loan Documents, nor constitute a waiver of any provision of the Credit Agreement or any of the other Loan Documents. Except as expressly set forth in this Amendment, the text of the Credit Agreement and all other Loan Documents shall remain unchanged and in full force and effect, and Borrower hereby ratifies and confirms its obligations thereunder. Except as expressly set forth in this Amendment, this Amendment shall not constitute a modification of the Credit Agreement or any of the other Loan Documents or a course of dealing with Agent or Lenders at variance with the Credit Agreement or the other Loan Documents such as to require further notice by Agent to require strict compliance with the terms of the Credit Agreement and the other Loan Documents in the future. Borrower acknowledges and expressly agrees that, Agent reserves the right to, and does in fact, require strict compliance with all terms and provisions of the Credit Agreement and the other Loan Documents. Borrower does not have any knowledge of any challenge to Agent’s or any Lender’s claims arising under the Loan Documents or to the effectiveness of the Loan Documents.</w:t>
      </w:r>
    </w:p>
    <w:p>
      <w:pPr>
        <w:spacing w:after="0" w:line="195" w:lineRule="exact"/>
        <w:rPr>
          <w:rFonts w:ascii="Times New Roman" w:cs="Times New Roman" w:eastAsia="Times New Roman" w:hAnsi="Times New Roman"/>
          <w:sz w:val="20"/>
          <w:szCs w:val="20"/>
          <w:color w:val="auto"/>
        </w:rPr>
      </w:pPr>
    </w:p>
    <w:p>
      <w:pPr>
        <w:jc w:val="both"/>
        <w:ind w:left="2140" w:right="20" w:hanging="715"/>
        <w:spacing w:after="0" w:line="242" w:lineRule="auto"/>
        <w:tabs>
          <w:tab w:leader="none" w:pos="2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multiple counterparts, each of which shall constitute an original, but all of which when taken together shall constitute a single contract. This Amendment shall become effective when all parties hereto have received counterparts bearing the signatures of all parties hereto. Delivery of a signature page of this Amendment by telecopy or other electronic means shall be effective as delivery of a manually executed counterpart of such agreement. The words “execution,” “signed,” “signature,” and words of like import in the hereunder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00" w:top="1440" w:right="699" w:bottom="1440" w:gutter="0" w:footer="0" w:header="0"/>
        </w:sectPr>
      </w:pPr>
    </w:p>
    <w:bookmarkStart w:id="9" w:name="page10"/>
    <w:bookmarkEnd w:id="9"/>
    <w:p>
      <w:pPr>
        <w:ind w:left="2180" w:right="140"/>
        <w:spacing w:after="0" w:line="269" w:lineRule="auto"/>
        <w:rPr>
          <w:sz w:val="20"/>
          <w:szCs w:val="20"/>
          <w:color w:val="auto"/>
        </w:rPr>
      </w:pPr>
      <w:r>
        <w:rPr>
          <w:rFonts w:ascii="Times New Roman" w:cs="Times New Roman" w:eastAsia="Times New Roman" w:hAnsi="Times New Roman"/>
          <w:sz w:val="20"/>
          <w:szCs w:val="20"/>
          <w:color w:val="auto"/>
        </w:rPr>
        <w:t>Commerce Act, the New York State Electronic Signatures and Records Act, or any other similar state laws based on the Uniform Electronic Transactions Act.</w:t>
      </w:r>
    </w:p>
    <w:p>
      <w:pPr>
        <w:spacing w:after="0" w:line="159" w:lineRule="exact"/>
        <w:rPr>
          <w:sz w:val="20"/>
          <w:szCs w:val="20"/>
          <w:color w:val="auto"/>
        </w:rPr>
      </w:pPr>
    </w:p>
    <w:p>
      <w:pPr>
        <w:jc w:val="both"/>
        <w:ind w:left="2140" w:hanging="715"/>
        <w:spacing w:after="0" w:line="254" w:lineRule="auto"/>
        <w:tabs>
          <w:tab w:leader="none" w:pos="2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Time is of the essence with this Amendment. This Amendment constitutes the entire contract among the parties relating to the subject matter hereof, and supersede any and all previous agreements and understandings, oral or written, relating to the subject matter hereof.</w:t>
      </w:r>
    </w:p>
    <w:p>
      <w:pPr>
        <w:spacing w:after="0" w:line="187" w:lineRule="exact"/>
        <w:rPr>
          <w:rFonts w:ascii="Times New Roman" w:cs="Times New Roman" w:eastAsia="Times New Roman" w:hAnsi="Times New Roman"/>
          <w:sz w:val="20"/>
          <w:szCs w:val="20"/>
          <w:color w:val="auto"/>
        </w:rPr>
      </w:pPr>
    </w:p>
    <w:p>
      <w:pPr>
        <w:ind w:left="2180" w:hanging="755"/>
        <w:spacing w:after="0"/>
        <w:tabs>
          <w:tab w:leader="none" w:pos="21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the laws of the State of New York.</w:t>
      </w:r>
    </w:p>
    <w:p>
      <w:pPr>
        <w:spacing w:after="0" w:line="198" w:lineRule="exact"/>
        <w:rPr>
          <w:sz w:val="20"/>
          <w:szCs w:val="20"/>
          <w:color w:val="auto"/>
        </w:rPr>
      </w:pPr>
    </w:p>
    <w:p>
      <w:pPr>
        <w:ind w:left="2480" w:right="1440" w:hanging="1055"/>
        <w:spacing w:after="0" w:line="508" w:lineRule="auto"/>
        <w:tabs>
          <w:tab w:leader="none" w:pos="19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color w:val="auto"/>
        </w:rPr>
        <w:t>. This Amendment shall be deemed to be a Loan Document for all purposes.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[Remainder of Page Intentionally Left Blank; signatures begin on following page]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493395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399" w:right="719" w:bottom="1440" w:gutter="0" w:footer="0" w:header="0"/>
        </w:sectPr>
      </w:pPr>
    </w:p>
    <w:bookmarkStart w:id="10" w:name="page11"/>
    <w:bookmarkEnd w:id="10"/>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as a sealed instrument by their respective duly authorized officers.</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781685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080" w:top="1399" w:right="799" w:bottom="1440" w:gutter="0" w:footer="0" w:header="0"/>
        </w:sectPr>
      </w:pPr>
    </w:p>
    <w:bookmarkStart w:id="11" w:name="page12"/>
    <w:bookmarkEnd w:id="11"/>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3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Conformed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ind w:left="3120"/>
        <w:spacing w:after="0"/>
        <w:rPr>
          <w:sz w:val="20"/>
          <w:szCs w:val="20"/>
          <w:color w:val="auto"/>
        </w:rPr>
      </w:pPr>
      <w:r>
        <w:rPr>
          <w:rFonts w:ascii="Times New Roman" w:cs="Times New Roman" w:eastAsia="Times New Roman" w:hAnsi="Times New Roman"/>
          <w:sz w:val="20"/>
          <w:szCs w:val="20"/>
          <w:b w:val="1"/>
          <w:bCs w:val="1"/>
          <w:i w:val="1"/>
          <w:iCs w:val="1"/>
          <w:color w:val="FF0000"/>
          <w:strike w:val="1"/>
        </w:rPr>
        <w:t>Execution Version</w:t>
      </w:r>
      <w:r>
        <w:rPr>
          <w:rFonts w:ascii="Times New Roman" w:cs="Times New Roman" w:eastAsia="Times New Roman" w:hAnsi="Times New Roman"/>
          <w:sz w:val="20"/>
          <w:szCs w:val="20"/>
          <w:b w:val="1"/>
          <w:bCs w:val="1"/>
          <w:i w:val="1"/>
          <w:iCs w:val="1"/>
          <w:u w:val="single" w:color="auto"/>
          <w:color w:val="0000FF"/>
          <w:strike w:val="1"/>
        </w:rPr>
        <w:t>CONFORMED THROUGH AMENDMENT NO. 1</w:t>
      </w:r>
    </w:p>
    <w:p>
      <w:pPr>
        <w:spacing w:after="0" w:line="200" w:lineRule="exact"/>
        <w:rPr>
          <w:sz w:val="20"/>
          <w:szCs w:val="20"/>
          <w:color w:val="auto"/>
        </w:rPr>
      </w:pPr>
    </w:p>
    <w:p>
      <w:pPr>
        <w:spacing w:after="0" w:line="222" w:lineRule="exact"/>
        <w:rPr>
          <w:sz w:val="20"/>
          <w:szCs w:val="20"/>
          <w:color w:val="auto"/>
        </w:rPr>
      </w:pPr>
    </w:p>
    <w:p>
      <w:pPr>
        <w:jc w:val="center"/>
        <w:ind w:left="1140"/>
        <w:spacing w:after="0" w:line="254" w:lineRule="auto"/>
        <w:rPr>
          <w:sz w:val="20"/>
          <w:szCs w:val="20"/>
          <w:color w:val="auto"/>
        </w:rPr>
      </w:pPr>
      <w:r>
        <w:rPr>
          <w:rFonts w:ascii="Times New Roman" w:cs="Times New Roman" w:eastAsia="Times New Roman" w:hAnsi="Times New Roman"/>
          <w:sz w:val="20"/>
          <w:szCs w:val="20"/>
          <w:color w:val="auto"/>
        </w:rPr>
        <w:t>CERTAIN CONFIDENTIAL INFORMATION (MARKED BY BRACKETS AS “[***]”) HAS BEEN EXCLUDED FROM THIS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dated as of September 11, 2024 by and</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among</w:t>
      </w:r>
    </w:p>
    <w:p>
      <w:pPr>
        <w:jc w:val="center"/>
        <w:ind w:right="-99"/>
        <w:spacing w:after="0"/>
        <w:rPr>
          <w:sz w:val="20"/>
          <w:szCs w:val="20"/>
          <w:color w:val="auto"/>
        </w:rPr>
      </w:pPr>
      <w:r>
        <w:rPr>
          <w:rFonts w:ascii="Times New Roman" w:cs="Times New Roman" w:eastAsia="Times New Roman" w:hAnsi="Times New Roman"/>
          <w:sz w:val="20"/>
          <w:szCs w:val="20"/>
          <w:color w:val="auto"/>
        </w:rPr>
        <w:t>VALLEY NATIONAL BANK, as Agent</w:t>
      </w: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THE LENDERS FROM TIME-TO-TIME PARTY HERETO</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GTI23, INC., as a Borrower and</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OTHER LOAN PARTIES FROM TIME-TO-TIME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00041719.11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239395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080" w:top="761" w:right="819" w:bottom="1440" w:gutter="0" w:footer="0" w:header="0"/>
        </w:sectPr>
      </w:pPr>
    </w:p>
    <w:bookmarkStart w:id="13" w:name="page14"/>
    <w:bookmarkEnd w:id="13"/>
    <w:p>
      <w:pPr>
        <w:ind w:left="478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6"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736"/>
        </w:trPr>
        <w:tc>
          <w:tcPr>
            <w:tcW w:w="23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 1. DEFINITIONS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FF0000"/>
                <w:strike w:val="1"/>
                <w:w w:val="74"/>
              </w:rPr>
              <w:t>1</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000FF"/>
                <w:w w:val="79"/>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1.1.</w:t>
            </w:r>
          </w:p>
        </w:tc>
        <w:tc>
          <w:tcPr>
            <w:tcW w:w="1880" w:type="dxa"/>
            <w:vAlign w:val="bottom"/>
            <w:gridSpan w:val="10"/>
          </w:tcPr>
          <w:p>
            <w:pPr>
              <w:ind w:left="300"/>
              <w:spacing w:after="0"/>
              <w:rPr>
                <w:sz w:val="20"/>
                <w:szCs w:val="20"/>
                <w:color w:val="auto"/>
              </w:rPr>
            </w:pPr>
            <w:r>
              <w:rPr>
                <w:rFonts w:ascii="Times New Roman" w:cs="Times New Roman" w:eastAsia="Times New Roman" w:hAnsi="Times New Roman"/>
                <w:sz w:val="20"/>
                <w:szCs w:val="20"/>
                <w:color w:val="auto"/>
              </w:rPr>
              <w:t>Defined Terms</w:t>
            </w:r>
          </w:p>
        </w:tc>
        <w:tc>
          <w:tcPr>
            <w:tcW w:w="100" w:type="dxa"/>
            <w:vAlign w:val="bottom"/>
          </w:tcPr>
          <w:p>
            <w:pPr>
              <w:jc w:val="center"/>
              <w:spacing w:after="0"/>
              <w:rPr>
                <w:sz w:val="20"/>
                <w:szCs w:val="20"/>
                <w:color w:val="auto"/>
              </w:rPr>
            </w:pPr>
            <w:r>
              <w:rPr>
                <w:rFonts w:ascii="Times New Roman" w:cs="Times New Roman" w:eastAsia="Times New Roman" w:hAnsi="Times New Roman"/>
                <w:sz w:val="20"/>
                <w:szCs w:val="20"/>
                <w:color w:val="FF0000"/>
                <w:strike w:val="1"/>
                <w:w w:val="99"/>
              </w:rPr>
              <w:t>1</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79"/>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w:t>
            </w: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080" w:type="dxa"/>
            <w:vAlign w:val="bottom"/>
            <w:gridSpan w:val="12"/>
          </w:tcPr>
          <w:p>
            <w:pPr>
              <w:ind w:left="300"/>
              <w:spacing w:after="0" w:line="170" w:lineRule="exact"/>
              <w:rPr>
                <w:sz w:val="20"/>
                <w:szCs w:val="20"/>
                <w:color w:val="auto"/>
              </w:rPr>
            </w:pPr>
            <w:r>
              <w:rPr>
                <w:rFonts w:ascii="Times New Roman" w:cs="Times New Roman" w:eastAsia="Times New Roman" w:hAnsi="Times New Roman"/>
                <w:sz w:val="19"/>
                <w:szCs w:val="19"/>
                <w:color w:val="auto"/>
                <w:w w:val="93"/>
              </w:rPr>
              <w:t>Interpretative Provisions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35</w:t>
            </w:r>
          </w:p>
        </w:tc>
        <w:tc>
          <w:tcPr>
            <w:tcW w:w="200" w:type="dxa"/>
            <w:vAlign w:val="bottom"/>
            <w:tcBorders>
              <w:bottom w:val="single" w:sz="8" w:color="0000FF"/>
            </w:tcBorders>
          </w:tcPr>
          <w:p>
            <w:pPr>
              <w:spacing w:after="0" w:line="170" w:lineRule="exact"/>
              <w:rPr>
                <w:sz w:val="20"/>
                <w:szCs w:val="20"/>
                <w:color w:val="auto"/>
              </w:rPr>
            </w:pPr>
            <w:r>
              <w:rPr>
                <w:rFonts w:ascii="Times New Roman" w:cs="Times New Roman" w:eastAsia="Times New Roman" w:hAnsi="Times New Roman"/>
                <w:sz w:val="19"/>
                <w:szCs w:val="19"/>
                <w:color w:val="0000FF"/>
                <w:w w:val="94"/>
              </w:rPr>
              <w:t>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1.3.</w:t>
            </w:r>
          </w:p>
        </w:tc>
        <w:tc>
          <w:tcPr>
            <w:tcW w:w="1880" w:type="dxa"/>
            <w:vAlign w:val="bottom"/>
            <w:gridSpan w:val="1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Accounting Terms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37</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38</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1.4.</w:t>
            </w:r>
          </w:p>
        </w:tc>
        <w:tc>
          <w:tcPr>
            <w:tcW w:w="110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8"/>
              </w:rPr>
              <w:t>Rounding</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37</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38</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1.5.</w:t>
            </w:r>
          </w:p>
        </w:tc>
        <w:tc>
          <w:tcPr>
            <w:tcW w:w="1680" w:type="dxa"/>
            <w:vAlign w:val="bottom"/>
            <w:gridSpan w:val="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7"/>
              </w:rPr>
              <w:t>Federal Cannabis</w:t>
            </w:r>
          </w:p>
        </w:tc>
        <w:tc>
          <w:tcPr>
            <w:tcW w:w="200" w:type="dxa"/>
            <w:vAlign w:val="bottom"/>
            <w:tcBorders>
              <w:bottom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37</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38</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600" w:type="dxa"/>
            <w:vAlign w:val="bottom"/>
            <w:gridSpan w:val="7"/>
          </w:tcPr>
          <w:p>
            <w:pPr>
              <w:jc w:val="center"/>
              <w:spacing w:after="0" w:line="170" w:lineRule="exact"/>
              <w:rPr>
                <w:sz w:val="20"/>
                <w:szCs w:val="20"/>
                <w:color w:val="auto"/>
              </w:rPr>
            </w:pPr>
            <w:r>
              <w:rPr>
                <w:rFonts w:ascii="Times New Roman" w:cs="Times New Roman" w:eastAsia="Times New Roman" w:hAnsi="Times New Roman"/>
                <w:sz w:val="19"/>
                <w:szCs w:val="19"/>
                <w:color w:val="auto"/>
              </w:rPr>
              <w:t>Laws</w:t>
            </w: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1.6.</w:t>
            </w:r>
          </w:p>
        </w:tc>
        <w:tc>
          <w:tcPr>
            <w:tcW w:w="110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Divisions</w:t>
            </w:r>
          </w:p>
        </w:tc>
        <w:tc>
          <w:tcPr>
            <w:tcW w:w="8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1100" w:type="dxa"/>
            <w:vAlign w:val="bottom"/>
            <w:gridSpan w:val="12"/>
            <w:vMerge w:val="restart"/>
          </w:tcPr>
          <w:p>
            <w:pPr>
              <w:jc w:val="center"/>
              <w:ind w:right="20"/>
              <w:spacing w:after="0" w:line="209" w:lineRule="exact"/>
              <w:rPr>
                <w:sz w:val="20"/>
                <w:szCs w:val="20"/>
                <w:color w:val="auto"/>
              </w:rPr>
            </w:pPr>
            <w:r>
              <w:rPr>
                <w:rFonts w:ascii="Times New Roman" w:cs="Times New Roman" w:eastAsia="Times New Roman" w:hAnsi="Times New Roman"/>
                <w:sz w:val="20"/>
                <w:szCs w:val="20"/>
                <w:color w:val="0000FF"/>
                <w:w w:val="98"/>
              </w:rPr>
              <w:t xml:space="preserve">39 </w:t>
            </w:r>
            <w:r>
              <w:rPr>
                <w:rFonts w:ascii="Times New Roman" w:cs="Times New Roman" w:eastAsia="Times New Roman" w:hAnsi="Times New Roman"/>
                <w:sz w:val="20"/>
                <w:szCs w:val="20"/>
                <w:color w:val="000000"/>
                <w:w w:val="98"/>
              </w:rPr>
              <w:t>SECTION</w:t>
            </w:r>
          </w:p>
        </w:tc>
        <w:tc>
          <w:tcPr>
            <w:tcW w:w="200" w:type="dxa"/>
            <w:vAlign w:val="bottom"/>
            <w:tcBorders>
              <w:bottom w:val="single" w:sz="8" w:color="0000FF"/>
            </w:tcBorders>
          </w:tcPr>
          <w:p>
            <w:pPr>
              <w:spacing w:after="0" w:line="20" w:lineRule="exact"/>
              <w:rPr>
                <w:sz w:val="1"/>
                <w:szCs w:val="1"/>
                <w:color w:val="auto"/>
              </w:rPr>
            </w:pPr>
          </w:p>
        </w:tc>
        <w:tc>
          <w:tcPr>
            <w:tcW w:w="2020" w:type="dxa"/>
            <w:vAlign w:val="bottom"/>
            <w:gridSpan w:val="15"/>
            <w:vMerge w:val="restart"/>
          </w:tcPr>
          <w:p>
            <w:pPr>
              <w:ind w:left="40"/>
              <w:spacing w:after="0" w:line="209" w:lineRule="exact"/>
              <w:rPr>
                <w:sz w:val="20"/>
                <w:szCs w:val="20"/>
                <w:color w:val="auto"/>
              </w:rPr>
            </w:pPr>
            <w:r>
              <w:rPr>
                <w:rFonts w:ascii="Times New Roman" w:cs="Times New Roman" w:eastAsia="Times New Roman" w:hAnsi="Times New Roman"/>
                <w:sz w:val="20"/>
                <w:szCs w:val="20"/>
                <w:color w:val="auto"/>
              </w:rPr>
              <w:t>CREDIT FACILITY</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39</w:t>
            </w: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100" w:type="dxa"/>
            <w:vAlign w:val="bottom"/>
            <w:gridSpan w:val="12"/>
            <w:vMerge w:val="continue"/>
          </w:tcPr>
          <w:p>
            <w:pPr>
              <w:spacing w:after="0"/>
              <w:rPr>
                <w:sz w:val="14"/>
                <w:szCs w:val="14"/>
                <w:color w:val="auto"/>
              </w:rPr>
            </w:pPr>
          </w:p>
        </w:tc>
        <w:tc>
          <w:tcPr>
            <w:tcW w:w="200" w:type="dxa"/>
            <w:vAlign w:val="bottom"/>
          </w:tcPr>
          <w:p>
            <w:pPr>
              <w:ind w:left="40"/>
              <w:spacing w:after="0" w:line="170" w:lineRule="exact"/>
              <w:rPr>
                <w:sz w:val="20"/>
                <w:szCs w:val="20"/>
                <w:color w:val="auto"/>
              </w:rPr>
            </w:pPr>
            <w:r>
              <w:rPr>
                <w:rFonts w:ascii="Times New Roman" w:cs="Times New Roman" w:eastAsia="Times New Roman" w:hAnsi="Times New Roman"/>
                <w:sz w:val="19"/>
                <w:szCs w:val="19"/>
                <w:color w:val="auto"/>
                <w:w w:val="97"/>
              </w:rPr>
              <w:t>2.</w:t>
            </w:r>
          </w:p>
        </w:tc>
        <w:tc>
          <w:tcPr>
            <w:tcW w:w="2020" w:type="dxa"/>
            <w:vAlign w:val="bottom"/>
            <w:gridSpan w:val="1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ind w:left="260"/>
              <w:spacing w:after="0" w:line="224" w:lineRule="exact"/>
              <w:rPr>
                <w:sz w:val="20"/>
                <w:szCs w:val="20"/>
                <w:color w:val="auto"/>
              </w:rPr>
            </w:pPr>
            <w:r>
              <w:rPr>
                <w:rFonts w:ascii="Times New Roman" w:cs="Times New Roman" w:eastAsia="Times New Roman" w:hAnsi="Times New Roman"/>
                <w:sz w:val="20"/>
                <w:szCs w:val="20"/>
                <w:color w:val="auto"/>
              </w:rPr>
              <w:t>2.1.</w:t>
            </w:r>
          </w:p>
        </w:tc>
        <w:tc>
          <w:tcPr>
            <w:tcW w:w="2680" w:type="dxa"/>
            <w:vAlign w:val="bottom"/>
            <w:gridSpan w:val="17"/>
          </w:tcPr>
          <w:p>
            <w:pPr>
              <w:ind w:left="300"/>
              <w:spacing w:after="0" w:line="224" w:lineRule="exact"/>
              <w:rPr>
                <w:sz w:val="20"/>
                <w:szCs w:val="20"/>
                <w:color w:val="auto"/>
              </w:rPr>
            </w:pPr>
            <w:r>
              <w:rPr>
                <w:rFonts w:ascii="Times New Roman" w:cs="Times New Roman" w:eastAsia="Times New Roman" w:hAnsi="Times New Roman"/>
                <w:sz w:val="20"/>
                <w:szCs w:val="20"/>
                <w:color w:val="auto"/>
              </w:rPr>
              <w:t>Term Loans; Commitments</w:t>
            </w:r>
          </w:p>
        </w:tc>
        <w:tc>
          <w:tcPr>
            <w:tcW w:w="2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340" w:type="dxa"/>
            <w:vAlign w:val="bottom"/>
            <w:gridSpan w:val="5"/>
          </w:tcPr>
          <w:p>
            <w:pPr>
              <w:jc w:val="right"/>
              <w:ind w:right="42"/>
              <w:spacing w:after="0" w:line="224" w:lineRule="exact"/>
              <w:rPr>
                <w:sz w:val="20"/>
                <w:szCs w:val="20"/>
                <w:color w:val="auto"/>
              </w:rPr>
            </w:pPr>
            <w:r>
              <w:rPr>
                <w:rFonts w:ascii="Times New Roman" w:cs="Times New Roman" w:eastAsia="Times New Roman" w:hAnsi="Times New Roman"/>
                <w:sz w:val="20"/>
                <w:szCs w:val="20"/>
                <w:color w:val="0000FF"/>
                <w:w w:val="89"/>
              </w:rPr>
              <w:t>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2.2.</w:t>
            </w:r>
          </w:p>
        </w:tc>
        <w:tc>
          <w:tcPr>
            <w:tcW w:w="2680" w:type="dxa"/>
            <w:vAlign w:val="bottom"/>
            <w:gridSpan w:val="1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Repayment of Term Loans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680" w:type="dxa"/>
            <w:vAlign w:val="bottom"/>
            <w:gridSpan w:val="1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39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2680" w:type="dxa"/>
            <w:vAlign w:val="bottom"/>
            <w:gridSpan w:val="1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Amortization of Term Loans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1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680" w:type="dxa"/>
            <w:vAlign w:val="bottom"/>
            <w:gridSpan w:val="1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39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2.4.</w:t>
            </w:r>
          </w:p>
        </w:tc>
        <w:tc>
          <w:tcPr>
            <w:tcW w:w="2280" w:type="dxa"/>
            <w:vAlign w:val="bottom"/>
            <w:gridSpan w:val="1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7"/>
              </w:rPr>
              <w:t>Requests for Borrowings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14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280" w:type="dxa"/>
            <w:vAlign w:val="bottom"/>
            <w:gridSpan w:val="1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40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2.5.</w:t>
            </w:r>
          </w:p>
        </w:tc>
        <w:tc>
          <w:tcPr>
            <w:tcW w:w="2280" w:type="dxa"/>
            <w:vAlign w:val="bottom"/>
            <w:gridSpan w:val="1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Disbursement of Funds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40</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2280" w:type="dxa"/>
            <w:vAlign w:val="bottom"/>
            <w:gridSpan w:val="14"/>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2.6.</w:t>
            </w:r>
          </w:p>
        </w:tc>
        <w:tc>
          <w:tcPr>
            <w:tcW w:w="1880" w:type="dxa"/>
            <w:vAlign w:val="bottom"/>
            <w:gridSpan w:val="10"/>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Defaulting Lenders</w:t>
            </w:r>
          </w:p>
        </w:tc>
        <w:tc>
          <w:tcPr>
            <w:tcW w:w="10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41</w:t>
            </w: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0" w:type="dxa"/>
            <w:vAlign w:val="bottom"/>
            <w:gridSpan w:val="22"/>
          </w:tcPr>
          <w:p>
            <w:pPr>
              <w:spacing w:after="0" w:line="170" w:lineRule="exact"/>
              <w:rPr>
                <w:sz w:val="20"/>
                <w:szCs w:val="20"/>
                <w:color w:val="auto"/>
              </w:rPr>
            </w:pPr>
            <w:r>
              <w:rPr>
                <w:rFonts w:ascii="Times New Roman" w:cs="Times New Roman" w:eastAsia="Times New Roman" w:hAnsi="Times New Roman"/>
                <w:sz w:val="19"/>
                <w:szCs w:val="19"/>
                <w:color w:val="auto"/>
              </w:rPr>
              <w:t>SECTION 3. INTEREST AND FEES</w:t>
            </w:r>
          </w:p>
        </w:tc>
        <w:tc>
          <w:tcPr>
            <w:tcW w:w="2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40</w:t>
            </w:r>
          </w:p>
        </w:tc>
        <w:tc>
          <w:tcPr>
            <w:tcW w:w="1780" w:type="dxa"/>
            <w:vAlign w:val="bottom"/>
            <w:gridSpan w:val="2"/>
          </w:tcPr>
          <w:p>
            <w:pPr>
              <w:jc w:val="right"/>
              <w:ind w:right="1580"/>
              <w:spacing w:after="0" w:line="170" w:lineRule="exact"/>
              <w:rPr>
                <w:sz w:val="20"/>
                <w:szCs w:val="20"/>
                <w:color w:val="auto"/>
              </w:rPr>
            </w:pPr>
            <w:r>
              <w:rPr>
                <w:rFonts w:ascii="Times New Roman" w:cs="Times New Roman" w:eastAsia="Times New Roman" w:hAnsi="Times New Roman"/>
                <w:sz w:val="19"/>
                <w:szCs w:val="19"/>
                <w:color w:val="0000FF"/>
                <w:w w:val="94"/>
              </w:rPr>
              <w:t>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ind w:left="260"/>
              <w:spacing w:after="0" w:line="224" w:lineRule="exact"/>
              <w:rPr>
                <w:sz w:val="20"/>
                <w:szCs w:val="20"/>
                <w:color w:val="auto"/>
              </w:rPr>
            </w:pPr>
            <w:r>
              <w:rPr>
                <w:rFonts w:ascii="Times New Roman" w:cs="Times New Roman" w:eastAsia="Times New Roman" w:hAnsi="Times New Roman"/>
                <w:sz w:val="20"/>
                <w:szCs w:val="20"/>
                <w:color w:val="auto"/>
              </w:rPr>
              <w:t>3.1.</w:t>
            </w:r>
          </w:p>
        </w:tc>
        <w:tc>
          <w:tcPr>
            <w:tcW w:w="2680" w:type="dxa"/>
            <w:vAlign w:val="bottom"/>
            <w:gridSpan w:val="17"/>
          </w:tcPr>
          <w:p>
            <w:pPr>
              <w:ind w:left="300"/>
              <w:spacing w:after="0" w:line="224" w:lineRule="exact"/>
              <w:rPr>
                <w:sz w:val="20"/>
                <w:szCs w:val="20"/>
                <w:color w:val="auto"/>
              </w:rPr>
            </w:pPr>
            <w:r>
              <w:rPr>
                <w:rFonts w:ascii="Times New Roman" w:cs="Times New Roman" w:eastAsia="Times New Roman" w:hAnsi="Times New Roman"/>
                <w:sz w:val="20"/>
                <w:szCs w:val="20"/>
                <w:color w:val="auto"/>
                <w:w w:val="98"/>
              </w:rPr>
              <w:t>Rates and Payment of Interest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ind w:right="20"/>
              <w:spacing w:after="0" w:line="224" w:lineRule="exact"/>
              <w:rPr>
                <w:sz w:val="20"/>
                <w:szCs w:val="20"/>
                <w:color w:val="auto"/>
              </w:rPr>
            </w:pPr>
            <w:r>
              <w:rPr>
                <w:rFonts w:ascii="Times New Roman" w:cs="Times New Roman" w:eastAsia="Times New Roman" w:hAnsi="Times New Roman"/>
                <w:sz w:val="20"/>
                <w:szCs w:val="20"/>
                <w:color w:val="FF0000"/>
                <w:strike w:val="1"/>
                <w:w w:val="79"/>
              </w:rPr>
              <w:t>40</w:t>
            </w:r>
          </w:p>
        </w:tc>
        <w:tc>
          <w:tcPr>
            <w:tcW w:w="58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color w:val="0000FF"/>
              </w:rPr>
              <w:t>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2980" w:type="dxa"/>
            <w:vAlign w:val="bottom"/>
            <w:gridSpan w:val="2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9"/>
              </w:rPr>
              <w:t>Computation of Interest and Fees</w:t>
            </w: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FF0000"/>
                <w:strike w:val="1"/>
                <w:w w:val="79"/>
              </w:rPr>
              <w:t>40</w:t>
            </w: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980" w:type="dxa"/>
            <w:vAlign w:val="bottom"/>
            <w:gridSpan w:val="20"/>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80" w:type="dxa"/>
            <w:vAlign w:val="bottom"/>
            <w:tcBorders>
              <w:bottom w:val="single" w:sz="8" w:color="0000FF"/>
            </w:tcBorders>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83"/>
              </w:rPr>
              <w:t>42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148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3.4.</w:t>
            </w:r>
          </w:p>
        </w:tc>
        <w:tc>
          <w:tcPr>
            <w:tcW w:w="148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tcBorders>
              <w:bottom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tcPr>
          <w:p>
            <w:pPr>
              <w:spacing w:after="0" w:line="170" w:lineRule="exact"/>
              <w:rPr>
                <w:sz w:val="20"/>
                <w:szCs w:val="20"/>
                <w:color w:val="auto"/>
              </w:rPr>
            </w:pPr>
            <w:r>
              <w:rPr>
                <w:rFonts w:ascii="Times New Roman" w:cs="Times New Roman" w:eastAsia="Times New Roman" w:hAnsi="Times New Roman"/>
                <w:sz w:val="19"/>
                <w:szCs w:val="19"/>
                <w:color w:val="0000FF"/>
                <w:w w:val="94"/>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1680" w:type="dxa"/>
            <w:vAlign w:val="bottom"/>
            <w:gridSpan w:val="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Additional Fees</w:t>
            </w:r>
          </w:p>
        </w:tc>
        <w:tc>
          <w:tcPr>
            <w:tcW w:w="200" w:type="dxa"/>
            <w:vAlign w:val="bottom"/>
            <w:tcBorders>
              <w:bottom w:val="single" w:sz="8" w:color="0000FF"/>
            </w:tcBorders>
            <w:gridSpan w:val="3"/>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3.6.</w:t>
            </w:r>
          </w:p>
        </w:tc>
        <w:tc>
          <w:tcPr>
            <w:tcW w:w="148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3.7.</w:t>
            </w:r>
          </w:p>
        </w:tc>
        <w:tc>
          <w:tcPr>
            <w:tcW w:w="110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Illegality</w:t>
            </w:r>
          </w:p>
        </w:tc>
        <w:tc>
          <w:tcPr>
            <w:tcW w:w="180" w:type="dxa"/>
            <w:vAlign w:val="bottom"/>
            <w:gridSpan w:val="2"/>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89"/>
              </w:rPr>
              <w:t>40</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3.8.</w:t>
            </w:r>
          </w:p>
        </w:tc>
        <w:tc>
          <w:tcPr>
            <w:tcW w:w="1280" w:type="dxa"/>
            <w:vAlign w:val="bottom"/>
            <w:gridSpan w:val="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83"/>
              </w:rPr>
              <w:t>Compensation</w:t>
            </w:r>
          </w:p>
        </w:tc>
        <w:tc>
          <w:tcPr>
            <w:tcW w:w="200" w:type="dxa"/>
            <w:vAlign w:val="bottom"/>
            <w:tcBorders>
              <w:bottom w:val="single" w:sz="8" w:color="0000FF"/>
            </w:tcBorders>
            <w:gridSpan w:val="2"/>
          </w:tcPr>
          <w:p>
            <w:pPr>
              <w:spacing w:after="0" w:line="20" w:lineRule="exact"/>
              <w:rPr>
                <w:sz w:val="1"/>
                <w:szCs w:val="1"/>
                <w:color w:val="auto"/>
              </w:rPr>
            </w:pPr>
          </w:p>
        </w:tc>
        <w:tc>
          <w:tcPr>
            <w:tcW w:w="1200" w:type="dxa"/>
            <w:vAlign w:val="bottom"/>
            <w:gridSpan w:val="12"/>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for Losses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41</w:t>
            </w:r>
          </w:p>
        </w:tc>
        <w:tc>
          <w:tcPr>
            <w:tcW w:w="340" w:type="dxa"/>
            <w:vAlign w:val="bottom"/>
            <w:gridSpan w:val="5"/>
            <w:vMerge w:val="restart"/>
          </w:tcPr>
          <w:p>
            <w:pPr>
              <w:jc w:val="right"/>
              <w:ind w:right="42"/>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1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340" w:type="dxa"/>
            <w:vAlign w:val="bottom"/>
            <w:gridSpan w:val="5"/>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1880" w:type="dxa"/>
            <w:vAlign w:val="bottom"/>
            <w:gridSpan w:val="1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Increased Costs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41</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3.10.</w:t>
            </w:r>
          </w:p>
        </w:tc>
        <w:tc>
          <w:tcPr>
            <w:tcW w:w="2080" w:type="dxa"/>
            <w:vAlign w:val="bottom"/>
            <w:gridSpan w:val="12"/>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Capital Requirements</w:t>
            </w: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41</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43</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080" w:type="dxa"/>
            <w:vAlign w:val="bottom"/>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3.11.</w:t>
            </w:r>
          </w:p>
        </w:tc>
        <w:tc>
          <w:tcPr>
            <w:tcW w:w="188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680" w:type="dxa"/>
            <w:vAlign w:val="bottom"/>
            <w:gridSpan w:val="17"/>
          </w:tcPr>
          <w:p>
            <w:pPr>
              <w:ind w:left="300"/>
              <w:spacing w:after="0" w:line="170" w:lineRule="exact"/>
              <w:rPr>
                <w:sz w:val="20"/>
                <w:szCs w:val="20"/>
                <w:color w:val="auto"/>
              </w:rPr>
            </w:pPr>
            <w:r>
              <w:rPr>
                <w:rFonts w:ascii="Times New Roman" w:cs="Times New Roman" w:eastAsia="Times New Roman" w:hAnsi="Times New Roman"/>
                <w:sz w:val="19"/>
                <w:szCs w:val="19"/>
                <w:color w:val="auto"/>
                <w:w w:val="98"/>
              </w:rPr>
              <w:t>Certificates for Reimbursement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jc w:val="right"/>
              <w:ind w:right="20"/>
              <w:spacing w:after="0" w:line="170" w:lineRule="exact"/>
              <w:rPr>
                <w:sz w:val="20"/>
                <w:szCs w:val="20"/>
                <w:color w:val="auto"/>
              </w:rPr>
            </w:pPr>
            <w:r>
              <w:rPr>
                <w:rFonts w:ascii="Times New Roman" w:cs="Times New Roman" w:eastAsia="Times New Roman" w:hAnsi="Times New Roman"/>
                <w:sz w:val="19"/>
                <w:szCs w:val="19"/>
                <w:color w:val="FF0000"/>
                <w:strike w:val="1"/>
                <w:w w:val="83"/>
              </w:rPr>
              <w:t>41</w:t>
            </w:r>
          </w:p>
        </w:tc>
        <w:tc>
          <w:tcPr>
            <w:tcW w:w="580" w:type="dxa"/>
            <w:vAlign w:val="bottom"/>
            <w:gridSpan w:val="3"/>
          </w:tcPr>
          <w:p>
            <w:pPr>
              <w:spacing w:after="0" w:line="170" w:lineRule="exact"/>
              <w:rPr>
                <w:sz w:val="20"/>
                <w:szCs w:val="20"/>
                <w:color w:val="auto"/>
              </w:rPr>
            </w:pPr>
            <w:r>
              <w:rPr>
                <w:rFonts w:ascii="Times New Roman" w:cs="Times New Roman" w:eastAsia="Times New Roman" w:hAnsi="Times New Roman"/>
                <w:sz w:val="19"/>
                <w:szCs w:val="19"/>
                <w:color w:val="0000FF"/>
              </w:rPr>
              <w:t>43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3.12.</w:t>
            </w:r>
          </w:p>
        </w:tc>
        <w:tc>
          <w:tcPr>
            <w:tcW w:w="1880" w:type="dxa"/>
            <w:vAlign w:val="bottom"/>
            <w:gridSpan w:val="1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Delay in Request</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42</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3.13.</w:t>
            </w:r>
          </w:p>
        </w:tc>
        <w:tc>
          <w:tcPr>
            <w:tcW w:w="1880" w:type="dxa"/>
            <w:vAlign w:val="bottom"/>
            <w:gridSpan w:val="1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Maximum Interest</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42</w:t>
            </w: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94"/>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3.14.</w:t>
            </w:r>
          </w:p>
        </w:tc>
        <w:tc>
          <w:tcPr>
            <w:tcW w:w="2080" w:type="dxa"/>
            <w:vAlign w:val="bottom"/>
            <w:gridSpan w:val="12"/>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87"/>
              </w:rPr>
              <w:t>Term SOFR Conforming</w:t>
            </w: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0" w:type="dxa"/>
            <w:vAlign w:val="bottom"/>
            <w:gridSpan w:val="9"/>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rPr>
              <w:t>Changes</w:t>
            </w:r>
          </w:p>
        </w:tc>
        <w:tc>
          <w:tcPr>
            <w:tcW w:w="200" w:type="dxa"/>
            <w:vAlign w:val="bottom"/>
            <w:gridSpan w:val="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FF0000"/>
                <w:strike w:val="1"/>
                <w:w w:val="79"/>
              </w:rPr>
              <w:t>42</w:t>
            </w:r>
          </w:p>
        </w:tc>
        <w:tc>
          <w:tcPr>
            <w:tcW w:w="5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44</w:t>
            </w: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gridSpan w:val="3"/>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080" w:type="dxa"/>
            <w:vAlign w:val="bottom"/>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9"/>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gridSpan w:val="21"/>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auto"/>
              </w:rPr>
              <w:t>3.15. Benchmark Replacement Setting</w:t>
            </w:r>
          </w:p>
        </w:tc>
        <w:tc>
          <w:tcPr>
            <w:tcW w:w="4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42</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00" w:type="dxa"/>
            <w:vAlign w:val="bottom"/>
            <w:gridSpan w:val="13"/>
            <w:vMerge w:val="restart"/>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rPr>
              <w:t>SECTION 4. CONDITIONS PRECEDENT</w:t>
            </w: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43</w:t>
            </w:r>
          </w:p>
        </w:tc>
        <w:tc>
          <w:tcPr>
            <w:tcW w:w="142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rPr>
              <w:t xml:space="preserve">45 </w:t>
            </w:r>
            <w:r>
              <w:rPr>
                <w:rFonts w:ascii="Times New Roman" w:cs="Times New Roman" w:eastAsia="Times New Roman" w:hAnsi="Times New Roman"/>
                <w:sz w:val="20"/>
                <w:szCs w:val="20"/>
                <w:color w:val="000000"/>
              </w:rPr>
              <w:t>SECTION 5.</w:t>
            </w:r>
          </w:p>
        </w:tc>
        <w:tc>
          <w:tcPr>
            <w:tcW w:w="0" w:type="dxa"/>
            <w:vAlign w:val="bottom"/>
          </w:tcPr>
          <w:p>
            <w:pPr>
              <w:spacing w:after="0" w:line="20" w:lineRule="exact"/>
              <w:rPr>
                <w:sz w:val="1"/>
                <w:szCs w:val="1"/>
                <w:color w:val="auto"/>
              </w:rPr>
            </w:pPr>
          </w:p>
        </w:tc>
      </w:tr>
      <w:tr>
        <w:trPr>
          <w:trHeight w:val="169"/>
        </w:trPr>
        <w:tc>
          <w:tcPr>
            <w:tcW w:w="3680" w:type="dxa"/>
            <w:vAlign w:val="bottom"/>
            <w:gridSpan w:val="21"/>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83"/>
              </w:rPr>
              <w:t>44</w:t>
            </w:r>
          </w:p>
        </w:tc>
        <w:tc>
          <w:tcPr>
            <w:tcW w:w="4000" w:type="dxa"/>
            <w:vAlign w:val="bottom"/>
            <w:gridSpan w:val="1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gridSpan w:val="18"/>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PAYMENTS AND ADMINISTRATION</w:t>
            </w:r>
          </w:p>
        </w:tc>
        <w:tc>
          <w:tcPr>
            <w:tcW w:w="180" w:type="dxa"/>
            <w:vAlign w:val="bottom"/>
            <w:vMerge w:val="restart"/>
          </w:tcPr>
          <w:p>
            <w:pPr>
              <w:spacing w:after="0" w:line="20" w:lineRule="exact"/>
              <w:rPr>
                <w:sz w:val="1"/>
                <w:szCs w:val="1"/>
                <w:color w:val="auto"/>
              </w:rPr>
            </w:pPr>
          </w:p>
        </w:tc>
        <w:tc>
          <w:tcPr>
            <w:tcW w:w="20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160" w:type="dxa"/>
            <w:vAlign w:val="bottom"/>
            <w:gridSpan w:val="2"/>
            <w:vMerge w:val="restart"/>
          </w:tcPr>
          <w:p>
            <w:pPr>
              <w:jc w:val="right"/>
              <w:spacing w:after="0" w:line="210" w:lineRule="exact"/>
              <w:rPr>
                <w:sz w:val="20"/>
                <w:szCs w:val="20"/>
                <w:color w:val="auto"/>
              </w:rPr>
            </w:pPr>
            <w:r>
              <w:rPr>
                <w:rFonts w:ascii="Times New Roman" w:cs="Times New Roman" w:eastAsia="Times New Roman" w:hAnsi="Times New Roman"/>
                <w:sz w:val="19"/>
                <w:szCs w:val="19"/>
                <w:color w:val="0000FF"/>
                <w:w w:val="73"/>
              </w:rPr>
              <w:t>45</w:t>
            </w: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80" w:type="dxa"/>
            <w:vAlign w:val="bottom"/>
            <w:gridSpan w:val="18"/>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gridSpan w:val="4"/>
            <w:vMerge w:val="continue"/>
          </w:tcPr>
          <w:p>
            <w:pPr>
              <w:spacing w:after="0"/>
              <w:rPr>
                <w:sz w:val="14"/>
                <w:szCs w:val="14"/>
                <w:color w:val="auto"/>
              </w:rPr>
            </w:pPr>
          </w:p>
        </w:tc>
        <w:tc>
          <w:tcPr>
            <w:tcW w:w="160" w:type="dxa"/>
            <w:vAlign w:val="bottom"/>
            <w:tcBorders>
              <w:bottom w:val="single" w:sz="8" w:color="0000FF"/>
            </w:tcBorders>
            <w:gridSpan w:val="2"/>
            <w:vMerge w:val="continue"/>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ind w:left="260"/>
              <w:spacing w:after="0" w:line="210" w:lineRule="exact"/>
              <w:rPr>
                <w:sz w:val="20"/>
                <w:szCs w:val="20"/>
                <w:color w:val="auto"/>
              </w:rPr>
            </w:pPr>
            <w:r>
              <w:rPr>
                <w:rFonts w:ascii="Times New Roman" w:cs="Times New Roman" w:eastAsia="Times New Roman" w:hAnsi="Times New Roman"/>
                <w:sz w:val="20"/>
                <w:szCs w:val="20"/>
                <w:color w:val="auto"/>
              </w:rPr>
              <w:t>5.1.</w:t>
            </w:r>
          </w:p>
        </w:tc>
        <w:tc>
          <w:tcPr>
            <w:tcW w:w="5040" w:type="dxa"/>
            <w:vAlign w:val="bottom"/>
            <w:gridSpan w:val="34"/>
          </w:tcPr>
          <w:p>
            <w:pPr>
              <w:ind w:left="300"/>
              <w:spacing w:after="0" w:line="210" w:lineRule="exact"/>
              <w:rPr>
                <w:sz w:val="20"/>
                <w:szCs w:val="20"/>
                <w:color w:val="auto"/>
              </w:rPr>
            </w:pPr>
            <w:r>
              <w:rPr>
                <w:rFonts w:ascii="Times New Roman" w:cs="Times New Roman" w:eastAsia="Times New Roman" w:hAnsi="Times New Roman"/>
                <w:sz w:val="20"/>
                <w:szCs w:val="20"/>
                <w:color w:val="auto"/>
              </w:rPr>
              <w:t>Payments Generally, Priority of Application of Payments</w:t>
            </w:r>
          </w:p>
        </w:tc>
        <w:tc>
          <w:tcPr>
            <w:tcW w:w="2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9"/>
              </w:rPr>
              <w:t>44</w:t>
            </w:r>
          </w:p>
        </w:tc>
        <w:tc>
          <w:tcPr>
            <w:tcW w:w="2220" w:type="dxa"/>
            <w:vAlign w:val="bottom"/>
            <w:gridSpan w:val="5"/>
          </w:tcPr>
          <w:p>
            <w:pPr>
              <w:jc w:val="right"/>
              <w:ind w:right="2020"/>
              <w:spacing w:after="0" w:line="210" w:lineRule="exact"/>
              <w:rPr>
                <w:sz w:val="20"/>
                <w:szCs w:val="20"/>
                <w:color w:val="auto"/>
              </w:rPr>
            </w:pPr>
            <w:r>
              <w:rPr>
                <w:rFonts w:ascii="Times New Roman" w:cs="Times New Roman" w:eastAsia="Times New Roman" w:hAnsi="Times New Roman"/>
                <w:sz w:val="20"/>
                <w:szCs w:val="20"/>
                <w:color w:val="0000FF"/>
                <w:w w:val="89"/>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3080" w:type="dxa"/>
            <w:vAlign w:val="bottom"/>
            <w:gridSpan w:val="2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Indemnity for Returned Payments</w:t>
            </w:r>
          </w:p>
        </w:tc>
        <w:tc>
          <w:tcPr>
            <w:tcW w:w="200" w:type="dxa"/>
            <w:vAlign w:val="bottom"/>
            <w:gridSpan w:val="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FF0000"/>
                <w:strike w:val="1"/>
                <w:w w:val="79"/>
              </w:rPr>
              <w:t>46</w:t>
            </w:r>
          </w:p>
        </w:tc>
        <w:tc>
          <w:tcPr>
            <w:tcW w:w="5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47</w:t>
            </w: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80" w:type="dxa"/>
            <w:vAlign w:val="bottom"/>
            <w:gridSpan w:val="5"/>
            <w:vMerge w:val="restart"/>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3080" w:type="dxa"/>
            <w:vAlign w:val="bottom"/>
            <w:gridSpan w:val="23"/>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5.3.</w:t>
            </w:r>
          </w:p>
        </w:tc>
        <w:tc>
          <w:tcPr>
            <w:tcW w:w="2680" w:type="dxa"/>
            <w:vAlign w:val="bottom"/>
            <w:gridSpan w:val="1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Maturity; Effect of Maturity</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46</w:t>
            </w:r>
          </w:p>
        </w:tc>
        <w:tc>
          <w:tcPr>
            <w:tcW w:w="340" w:type="dxa"/>
            <w:vAlign w:val="bottom"/>
            <w:gridSpan w:val="5"/>
            <w:vMerge w:val="restart"/>
          </w:tcPr>
          <w:p>
            <w:pPr>
              <w:jc w:val="right"/>
              <w:ind w:right="42"/>
              <w:spacing w:after="0" w:line="209" w:lineRule="exact"/>
              <w:rPr>
                <w:sz w:val="20"/>
                <w:szCs w:val="20"/>
                <w:color w:val="auto"/>
              </w:rPr>
            </w:pPr>
            <w:r>
              <w:rPr>
                <w:rFonts w:ascii="Times New Roman" w:cs="Times New Roman" w:eastAsia="Times New Roman" w:hAnsi="Times New Roman"/>
                <w:sz w:val="20"/>
                <w:szCs w:val="20"/>
                <w:color w:val="0000FF"/>
                <w:w w:val="89"/>
              </w:rPr>
              <w:t>47</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680" w:type="dxa"/>
            <w:vAlign w:val="bottom"/>
            <w:gridSpan w:val="1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3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5.4.</w:t>
            </w:r>
          </w:p>
        </w:tc>
        <w:tc>
          <w:tcPr>
            <w:tcW w:w="148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Prepayments</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46</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47</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1680" w:type="dxa"/>
            <w:vAlign w:val="bottom"/>
            <w:gridSpan w:val="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Maintenance of</w:t>
            </w:r>
          </w:p>
        </w:tc>
        <w:tc>
          <w:tcPr>
            <w:tcW w:w="200" w:type="dxa"/>
            <w:vAlign w:val="bottom"/>
            <w:tcBorders>
              <w:bottom w:val="single" w:sz="8" w:color="0000FF"/>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2180" w:type="dxa"/>
            <w:vAlign w:val="bottom"/>
            <w:gridSpan w:val="22"/>
          </w:tcPr>
          <w:p>
            <w:pPr>
              <w:spacing w:after="0" w:line="170" w:lineRule="exact"/>
              <w:rPr>
                <w:sz w:val="20"/>
                <w:szCs w:val="20"/>
                <w:color w:val="auto"/>
              </w:rPr>
            </w:pPr>
            <w:r>
              <w:rPr>
                <w:rFonts w:ascii="Times New Roman" w:cs="Times New Roman" w:eastAsia="Times New Roman" w:hAnsi="Times New Roman"/>
                <w:sz w:val="19"/>
                <w:szCs w:val="19"/>
                <w:color w:val="auto"/>
              </w:rPr>
              <w:t>Loan Account; Statements</w:t>
            </w:r>
          </w:p>
        </w:tc>
        <w:tc>
          <w:tcPr>
            <w:tcW w:w="2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46</w:t>
            </w: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47</w:t>
            </w:r>
          </w:p>
        </w:tc>
        <w:tc>
          <w:tcPr>
            <w:tcW w:w="3200" w:type="dxa"/>
            <w:vAlign w:val="bottom"/>
            <w:gridSpan w:val="10"/>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5.6.</w:t>
            </w:r>
          </w:p>
        </w:tc>
        <w:tc>
          <w:tcPr>
            <w:tcW w:w="1880" w:type="dxa"/>
            <w:vAlign w:val="bottom"/>
            <w:gridSpan w:val="10"/>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Evidence of Debt</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46</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48</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880" w:type="dxa"/>
            <w:vAlign w:val="bottom"/>
            <w:gridSpan w:val="10"/>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5.7.</w:t>
            </w:r>
          </w:p>
        </w:tc>
        <w:tc>
          <w:tcPr>
            <w:tcW w:w="110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180" w:type="dxa"/>
            <w:vAlign w:val="bottom"/>
            <w:gridSpan w:val="2"/>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89"/>
              </w:rPr>
              <w:t>47</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48</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5.8.</w:t>
            </w:r>
          </w:p>
        </w:tc>
        <w:tc>
          <w:tcPr>
            <w:tcW w:w="1280" w:type="dxa"/>
            <w:vAlign w:val="bottom"/>
            <w:gridSpan w:val="3"/>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880" w:type="dxa"/>
            <w:vAlign w:val="bottom"/>
            <w:gridSpan w:val="10"/>
          </w:tcPr>
          <w:p>
            <w:pPr>
              <w:ind w:left="300"/>
              <w:spacing w:after="0" w:line="170" w:lineRule="exact"/>
              <w:rPr>
                <w:sz w:val="20"/>
                <w:szCs w:val="20"/>
                <w:color w:val="auto"/>
              </w:rPr>
            </w:pPr>
            <w:r>
              <w:rPr>
                <w:rFonts w:ascii="Times New Roman" w:cs="Times New Roman" w:eastAsia="Times New Roman" w:hAnsi="Times New Roman"/>
                <w:sz w:val="19"/>
                <w:szCs w:val="19"/>
                <w:color w:val="auto"/>
              </w:rPr>
              <w:t>Pro Rata Treatment</w:t>
            </w:r>
          </w:p>
        </w:tc>
        <w:tc>
          <w:tcPr>
            <w:tcW w:w="2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50</w:t>
            </w:r>
          </w:p>
        </w:tc>
        <w:tc>
          <w:tcPr>
            <w:tcW w:w="200" w:type="dxa"/>
            <w:vAlign w:val="bottom"/>
            <w:tcBorders>
              <w:bottom w:val="single" w:sz="8" w:color="0000FF"/>
            </w:tcBorders>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94"/>
              </w:rPr>
              <w:t>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5.9.</w:t>
            </w:r>
          </w:p>
        </w:tc>
        <w:tc>
          <w:tcPr>
            <w:tcW w:w="2080" w:type="dxa"/>
            <w:vAlign w:val="bottom"/>
            <w:gridSpan w:val="12"/>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Sharing of Payments,</w:t>
            </w: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50</w:t>
            </w:r>
          </w:p>
        </w:tc>
        <w:tc>
          <w:tcPr>
            <w:tcW w:w="340" w:type="dxa"/>
            <w:vAlign w:val="bottom"/>
            <w:gridSpan w:val="5"/>
            <w:vMerge w:val="restart"/>
          </w:tcPr>
          <w:p>
            <w:pPr>
              <w:jc w:val="right"/>
              <w:ind w:right="42"/>
              <w:spacing w:after="0" w:line="209" w:lineRule="exact"/>
              <w:rPr>
                <w:sz w:val="20"/>
                <w:szCs w:val="20"/>
                <w:color w:val="auto"/>
              </w:rPr>
            </w:pPr>
            <w:r>
              <w:rPr>
                <w:rFonts w:ascii="Times New Roman" w:cs="Times New Roman" w:eastAsia="Times New Roman" w:hAnsi="Times New Roman"/>
                <w:sz w:val="20"/>
                <w:szCs w:val="20"/>
                <w:color w:val="0000FF"/>
                <w:w w:val="89"/>
              </w:rPr>
              <w:t>52</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080" w:type="dxa"/>
            <w:vAlign w:val="bottom"/>
            <w:gridSpan w:val="12"/>
            <w:vMerge w:val="continue"/>
          </w:tcPr>
          <w:p>
            <w:pPr>
              <w:spacing w:after="0"/>
              <w:rPr>
                <w:sz w:val="14"/>
                <w:szCs w:val="14"/>
                <w:color w:val="auto"/>
              </w:rPr>
            </w:pPr>
          </w:p>
        </w:tc>
        <w:tc>
          <w:tcPr>
            <w:tcW w:w="600" w:type="dxa"/>
            <w:vAlign w:val="bottom"/>
            <w:gridSpan w:val="5"/>
          </w:tcPr>
          <w:p>
            <w:pPr>
              <w:spacing w:after="0" w:line="170" w:lineRule="exact"/>
              <w:rPr>
                <w:sz w:val="20"/>
                <w:szCs w:val="20"/>
                <w:color w:val="auto"/>
              </w:rPr>
            </w:pPr>
            <w:r>
              <w:rPr>
                <w:rFonts w:ascii="Times New Roman" w:cs="Times New Roman" w:eastAsia="Times New Roman" w:hAnsi="Times New Roman"/>
                <w:sz w:val="19"/>
                <w:szCs w:val="19"/>
                <w:color w:val="auto"/>
              </w:rPr>
              <w:t>Etc.</w:t>
            </w:r>
          </w:p>
        </w:tc>
        <w:tc>
          <w:tcPr>
            <w:tcW w:w="200" w:type="dxa"/>
            <w:vAlign w:val="bottom"/>
            <w:gridSpan w:val="2"/>
            <w:vMerge w:val="continue"/>
          </w:tcPr>
          <w:p>
            <w:pPr>
              <w:spacing w:after="0"/>
              <w:rPr>
                <w:sz w:val="14"/>
                <w:szCs w:val="14"/>
                <w:color w:val="auto"/>
              </w:rPr>
            </w:pPr>
          </w:p>
        </w:tc>
        <w:tc>
          <w:tcPr>
            <w:tcW w:w="3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5.10.</w:t>
            </w:r>
          </w:p>
        </w:tc>
        <w:tc>
          <w:tcPr>
            <w:tcW w:w="148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51</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gridSpan w:val="8"/>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80" w:type="dxa"/>
            <w:vAlign w:val="bottom"/>
            <w:gridSpan w:val="2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80" w:type="dxa"/>
            <w:vAlign w:val="bottom"/>
            <w:gridSpan w:val="11"/>
          </w:tcPr>
          <w:p>
            <w:pPr>
              <w:ind w:left="260"/>
              <w:spacing w:after="0" w:line="224" w:lineRule="exact"/>
              <w:rPr>
                <w:sz w:val="20"/>
                <w:szCs w:val="20"/>
                <w:color w:val="auto"/>
              </w:rPr>
            </w:pPr>
            <w:r>
              <w:rPr>
                <w:rFonts w:ascii="Times New Roman" w:cs="Times New Roman" w:eastAsia="Times New Roman" w:hAnsi="Times New Roman"/>
                <w:sz w:val="20"/>
                <w:szCs w:val="20"/>
                <w:color w:val="auto"/>
              </w:rPr>
              <w:t>5.11. Agent for Borrowers</w:t>
            </w:r>
          </w:p>
        </w:tc>
        <w:tc>
          <w:tcPr>
            <w:tcW w:w="100" w:type="dxa"/>
            <w:vAlign w:val="bottom"/>
          </w:tcPr>
          <w:p>
            <w:pPr>
              <w:spacing w:after="0"/>
              <w:rPr>
                <w:sz w:val="19"/>
                <w:szCs w:val="19"/>
                <w:color w:val="auto"/>
              </w:rPr>
            </w:pPr>
          </w:p>
        </w:tc>
        <w:tc>
          <w:tcPr>
            <w:tcW w:w="2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89"/>
              </w:rPr>
              <w:t>51</w:t>
            </w:r>
          </w:p>
        </w:tc>
        <w:tc>
          <w:tcPr>
            <w:tcW w:w="5280" w:type="dxa"/>
            <w:vAlign w:val="bottom"/>
            <w:gridSpan w:val="28"/>
          </w:tcPr>
          <w:p>
            <w:pPr>
              <w:spacing w:after="0" w:line="224" w:lineRule="exact"/>
              <w:rPr>
                <w:sz w:val="20"/>
                <w:szCs w:val="20"/>
                <w:color w:val="auto"/>
              </w:rPr>
            </w:pPr>
            <w:r>
              <w:rPr>
                <w:rFonts w:ascii="Times New Roman" w:cs="Times New Roman" w:eastAsia="Times New Roman" w:hAnsi="Times New Roman"/>
                <w:sz w:val="20"/>
                <w:szCs w:val="20"/>
                <w:color w:val="0000FF"/>
              </w:rPr>
              <w:t xml:space="preserve">53 </w:t>
            </w:r>
            <w:r>
              <w:rPr>
                <w:rFonts w:ascii="Times New Roman" w:cs="Times New Roman" w:eastAsia="Times New Roman" w:hAnsi="Times New Roman"/>
                <w:sz w:val="20"/>
                <w:szCs w:val="20"/>
                <w:color w:val="000000"/>
              </w:rPr>
              <w:t>SECTION 6. REPRESENTATIONS AND WARRANTIES</w:t>
            </w:r>
          </w:p>
        </w:tc>
        <w:tc>
          <w:tcPr>
            <w:tcW w:w="2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89"/>
              </w:rPr>
              <w:t>52</w:t>
            </w:r>
          </w:p>
        </w:tc>
        <w:tc>
          <w:tcPr>
            <w:tcW w:w="320" w:type="dxa"/>
            <w:vAlign w:val="bottom"/>
            <w:gridSpan w:val="3"/>
          </w:tcPr>
          <w:p>
            <w:pPr>
              <w:jc w:val="right"/>
              <w:ind w:right="120"/>
              <w:spacing w:after="0" w:line="224" w:lineRule="exact"/>
              <w:rPr>
                <w:sz w:val="20"/>
                <w:szCs w:val="20"/>
                <w:color w:val="auto"/>
              </w:rPr>
            </w:pPr>
            <w:r>
              <w:rPr>
                <w:rFonts w:ascii="Times New Roman" w:cs="Times New Roman" w:eastAsia="Times New Roman" w:hAnsi="Times New Roman"/>
                <w:sz w:val="20"/>
                <w:szCs w:val="20"/>
                <w:color w:val="0000FF"/>
                <w:w w:val="89"/>
              </w:rPr>
              <w:t>53</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-5925185</wp:posOffset>
            </wp:positionV>
            <wp:extent cx="889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-5925185</wp:posOffset>
            </wp:positionV>
            <wp:extent cx="825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-5925185</wp:posOffset>
            </wp:positionV>
            <wp:extent cx="889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-5693410</wp:posOffset>
            </wp:positionV>
            <wp:extent cx="825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-5693410</wp:posOffset>
            </wp:positionV>
            <wp:extent cx="889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-5693410</wp:posOffset>
            </wp:positionV>
            <wp:extent cx="889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-5693410</wp:posOffset>
            </wp:positionV>
            <wp:extent cx="889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-5693410</wp:posOffset>
            </wp:positionV>
            <wp:extent cx="889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-5693410</wp:posOffset>
            </wp:positionV>
            <wp:extent cx="825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-5693410</wp:posOffset>
            </wp:positionV>
            <wp:extent cx="8890"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-5693410</wp:posOffset>
            </wp:positionV>
            <wp:extent cx="889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-5693410</wp:posOffset>
            </wp:positionV>
            <wp:extent cx="889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-5693410</wp:posOffset>
            </wp:positionV>
            <wp:extent cx="889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-5693410</wp:posOffset>
            </wp:positionV>
            <wp:extent cx="825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-5693410</wp:posOffset>
            </wp:positionV>
            <wp:extent cx="8890"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-5693410</wp:posOffset>
            </wp:positionV>
            <wp:extent cx="825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-5693410</wp:posOffset>
            </wp:positionV>
            <wp:extent cx="889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-5693410</wp:posOffset>
            </wp:positionV>
            <wp:extent cx="8890"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-5547995</wp:posOffset>
            </wp:positionV>
            <wp:extent cx="1714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-5401945</wp:posOffset>
            </wp:positionV>
            <wp:extent cx="8890"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-5401945</wp:posOffset>
            </wp:positionV>
            <wp:extent cx="889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-5401945</wp:posOffset>
            </wp:positionV>
            <wp:extent cx="8890"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-5401945</wp:posOffset>
            </wp:positionV>
            <wp:extent cx="889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-5256530</wp:posOffset>
            </wp:positionV>
            <wp:extent cx="889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-5256530</wp:posOffset>
            </wp:positionV>
            <wp:extent cx="825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-5256530</wp:posOffset>
            </wp:positionV>
            <wp:extent cx="8890"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-5256530</wp:posOffset>
            </wp:positionV>
            <wp:extent cx="8890"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-5256530</wp:posOffset>
            </wp:positionV>
            <wp:extent cx="889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-5256530</wp:posOffset>
            </wp:positionV>
            <wp:extent cx="8890"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-5256530</wp:posOffset>
            </wp:positionV>
            <wp:extent cx="825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-5256530</wp:posOffset>
            </wp:positionV>
            <wp:extent cx="8890"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-5256530</wp:posOffset>
            </wp:positionV>
            <wp:extent cx="825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-5256530</wp:posOffset>
            </wp:positionV>
            <wp:extent cx="889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-5256530</wp:posOffset>
            </wp:positionV>
            <wp:extent cx="8890"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-5256530</wp:posOffset>
            </wp:positionV>
            <wp:extent cx="889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-5256530</wp:posOffset>
            </wp:positionV>
            <wp:extent cx="889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-5256530</wp:posOffset>
            </wp:positionV>
            <wp:extent cx="825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-5256530</wp:posOffset>
            </wp:positionV>
            <wp:extent cx="889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-5110480</wp:posOffset>
            </wp:positionV>
            <wp:extent cx="825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-5110480</wp:posOffset>
            </wp:positionV>
            <wp:extent cx="8890"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-5110480</wp:posOffset>
            </wp:positionV>
            <wp:extent cx="889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-5110480</wp:posOffset>
            </wp:positionV>
            <wp:extent cx="889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-5110480</wp:posOffset>
            </wp:positionV>
            <wp:extent cx="889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-4965065</wp:posOffset>
            </wp:positionV>
            <wp:extent cx="889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-4965065</wp:posOffset>
            </wp:positionV>
            <wp:extent cx="825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1457960</wp:posOffset>
            </wp:positionH>
            <wp:positionV relativeFrom="paragraph">
              <wp:posOffset>-4965065</wp:posOffset>
            </wp:positionV>
            <wp:extent cx="889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1475105</wp:posOffset>
            </wp:positionH>
            <wp:positionV relativeFrom="paragraph">
              <wp:posOffset>-4965065</wp:posOffset>
            </wp:positionV>
            <wp:extent cx="889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-4965065</wp:posOffset>
            </wp:positionV>
            <wp:extent cx="8890"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-4965065</wp:posOffset>
            </wp:positionV>
            <wp:extent cx="889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-4965065</wp:posOffset>
            </wp:positionV>
            <wp:extent cx="825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-4965065</wp:posOffset>
            </wp:positionV>
            <wp:extent cx="889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-4965065</wp:posOffset>
            </wp:positionV>
            <wp:extent cx="889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-4965065</wp:posOffset>
            </wp:positionV>
            <wp:extent cx="889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-4965065</wp:posOffset>
            </wp:positionV>
            <wp:extent cx="889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-4965065</wp:posOffset>
            </wp:positionV>
            <wp:extent cx="825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-4965065</wp:posOffset>
            </wp:positionV>
            <wp:extent cx="889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-4965065</wp:posOffset>
            </wp:positionV>
            <wp:extent cx="8890"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-4965065</wp:posOffset>
            </wp:positionV>
            <wp:extent cx="8890"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-4965065</wp:posOffset>
            </wp:positionV>
            <wp:extent cx="889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-4965065</wp:posOffset>
            </wp:positionV>
            <wp:extent cx="825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-4965065</wp:posOffset>
            </wp:positionV>
            <wp:extent cx="825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-4965065</wp:posOffset>
            </wp:positionV>
            <wp:extent cx="825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-4965065</wp:posOffset>
            </wp:positionV>
            <wp:extent cx="889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-4965065</wp:posOffset>
            </wp:positionV>
            <wp:extent cx="8890"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-4965065</wp:posOffset>
            </wp:positionV>
            <wp:extent cx="825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-4965065</wp:posOffset>
            </wp:positionV>
            <wp:extent cx="825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-4965065</wp:posOffset>
            </wp:positionV>
            <wp:extent cx="825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-4965065</wp:posOffset>
            </wp:positionV>
            <wp:extent cx="889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-4965065</wp:posOffset>
            </wp:positionV>
            <wp:extent cx="889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-4784725</wp:posOffset>
            </wp:positionV>
            <wp:extent cx="825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-4784725</wp:posOffset>
            </wp:positionV>
            <wp:extent cx="889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-4784725</wp:posOffset>
            </wp:positionV>
            <wp:extent cx="8890"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-4784725</wp:posOffset>
            </wp:positionV>
            <wp:extent cx="8890"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-4784725</wp:posOffset>
            </wp:positionV>
            <wp:extent cx="889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-4784725</wp:posOffset>
            </wp:positionV>
            <wp:extent cx="825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-4784725</wp:posOffset>
            </wp:positionV>
            <wp:extent cx="889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-4639310</wp:posOffset>
            </wp:positionV>
            <wp:extent cx="889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-4639310</wp:posOffset>
            </wp:positionV>
            <wp:extent cx="889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-4639310</wp:posOffset>
            </wp:positionV>
            <wp:extent cx="825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-4639310</wp:posOffset>
            </wp:positionV>
            <wp:extent cx="8890"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-4639310</wp:posOffset>
            </wp:positionV>
            <wp:extent cx="889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-4639310</wp:posOffset>
            </wp:positionV>
            <wp:extent cx="8890"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-4639310</wp:posOffset>
            </wp:positionV>
            <wp:extent cx="8890"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-4639310</wp:posOffset>
            </wp:positionV>
            <wp:extent cx="825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-4639310</wp:posOffset>
            </wp:positionV>
            <wp:extent cx="889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-4493260</wp:posOffset>
            </wp:positionV>
            <wp:extent cx="889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-4493260</wp:posOffset>
            </wp:positionV>
            <wp:extent cx="8890"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-4493260</wp:posOffset>
            </wp:positionV>
            <wp:extent cx="889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-4493260</wp:posOffset>
            </wp:positionV>
            <wp:extent cx="889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-4347845</wp:posOffset>
            </wp:positionV>
            <wp:extent cx="8890"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-4347845</wp:posOffset>
            </wp:positionV>
            <wp:extent cx="8890"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-4347845</wp:posOffset>
            </wp:positionV>
            <wp:extent cx="8890"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-4347845</wp:posOffset>
            </wp:positionV>
            <wp:extent cx="825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-4347845</wp:posOffset>
            </wp:positionV>
            <wp:extent cx="8890"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-4347845</wp:posOffset>
            </wp:positionV>
            <wp:extent cx="825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-4347845</wp:posOffset>
            </wp:positionV>
            <wp:extent cx="889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-4347845</wp:posOffset>
            </wp:positionV>
            <wp:extent cx="889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-4347845</wp:posOffset>
            </wp:positionV>
            <wp:extent cx="8890"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-4347845</wp:posOffset>
            </wp:positionV>
            <wp:extent cx="8890"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-4347845</wp:posOffset>
            </wp:positionV>
            <wp:extent cx="825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-4347845</wp:posOffset>
            </wp:positionV>
            <wp:extent cx="889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-4347845</wp:posOffset>
            </wp:positionV>
            <wp:extent cx="8890"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-4347845</wp:posOffset>
            </wp:positionV>
            <wp:extent cx="889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-4347845</wp:posOffset>
            </wp:positionV>
            <wp:extent cx="8890"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-4201795</wp:posOffset>
            </wp:positionV>
            <wp:extent cx="889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-4201795</wp:posOffset>
            </wp:positionV>
            <wp:extent cx="8890"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-4201795</wp:posOffset>
            </wp:positionV>
            <wp:extent cx="8890"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-4201795</wp:posOffset>
            </wp:positionV>
            <wp:extent cx="825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-4201795</wp:posOffset>
            </wp:positionV>
            <wp:extent cx="8890"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-4056380</wp:posOffset>
            </wp:positionV>
            <wp:extent cx="8890"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-4056380</wp:posOffset>
            </wp:positionV>
            <wp:extent cx="8890"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-4056380</wp:posOffset>
            </wp:positionV>
            <wp:extent cx="8890"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-4056380</wp:posOffset>
            </wp:positionV>
            <wp:extent cx="889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-4056380</wp:posOffset>
            </wp:positionV>
            <wp:extent cx="825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-4056380</wp:posOffset>
            </wp:positionV>
            <wp:extent cx="8890"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-4056380</wp:posOffset>
            </wp:positionV>
            <wp:extent cx="8890"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-4056380</wp:posOffset>
            </wp:positionV>
            <wp:extent cx="8890"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-4056380</wp:posOffset>
            </wp:positionV>
            <wp:extent cx="8890"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-4056380</wp:posOffset>
            </wp:positionV>
            <wp:extent cx="8890"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-4056380</wp:posOffset>
            </wp:positionV>
            <wp:extent cx="8890"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-4056380</wp:posOffset>
            </wp:positionV>
            <wp:extent cx="8255"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-4056380</wp:posOffset>
            </wp:positionV>
            <wp:extent cx="8890"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-4056380</wp:posOffset>
            </wp:positionV>
            <wp:extent cx="8890"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-4056380</wp:posOffset>
            </wp:positionV>
            <wp:extent cx="8890"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-4056380</wp:posOffset>
            </wp:positionV>
            <wp:extent cx="8890"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-3876040</wp:posOffset>
            </wp:positionV>
            <wp:extent cx="8890"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-3876040</wp:posOffset>
            </wp:positionV>
            <wp:extent cx="8890"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-3876040</wp:posOffset>
            </wp:positionV>
            <wp:extent cx="8890"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-3876040</wp:posOffset>
            </wp:positionV>
            <wp:extent cx="825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-3876040</wp:posOffset>
            </wp:positionV>
            <wp:extent cx="8890"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-3876040</wp:posOffset>
            </wp:positionV>
            <wp:extent cx="8890"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-3876040</wp:posOffset>
            </wp:positionV>
            <wp:extent cx="8890"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-3876040</wp:posOffset>
            </wp:positionV>
            <wp:extent cx="8890"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-3876040</wp:posOffset>
            </wp:positionV>
            <wp:extent cx="825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-3876040</wp:posOffset>
            </wp:positionV>
            <wp:extent cx="8890"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-3876040</wp:posOffset>
            </wp:positionV>
            <wp:extent cx="825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-3876040</wp:posOffset>
            </wp:positionV>
            <wp:extent cx="8890"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-3876040</wp:posOffset>
            </wp:positionV>
            <wp:extent cx="8890"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-3876040</wp:posOffset>
            </wp:positionV>
            <wp:extent cx="8890"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-3876040</wp:posOffset>
            </wp:positionV>
            <wp:extent cx="8890"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-3730625</wp:posOffset>
            </wp:positionV>
            <wp:extent cx="825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-3730625</wp:posOffset>
            </wp:positionV>
            <wp:extent cx="8890"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-3730625</wp:posOffset>
            </wp:positionV>
            <wp:extent cx="8890"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-3730625</wp:posOffset>
            </wp:positionV>
            <wp:extent cx="8890"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-3730625</wp:posOffset>
            </wp:positionV>
            <wp:extent cx="8890"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-3584575</wp:posOffset>
            </wp:positionV>
            <wp:extent cx="825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-3584575</wp:posOffset>
            </wp:positionV>
            <wp:extent cx="8890"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-3584575</wp:posOffset>
            </wp:positionV>
            <wp:extent cx="8890"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-3584575</wp:posOffset>
            </wp:positionV>
            <wp:extent cx="8890"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-3584575</wp:posOffset>
            </wp:positionV>
            <wp:extent cx="8890"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-3584575</wp:posOffset>
            </wp:positionV>
            <wp:extent cx="8890"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-3584575</wp:posOffset>
            </wp:positionV>
            <wp:extent cx="8890"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-3584575</wp:posOffset>
            </wp:positionV>
            <wp:extent cx="825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-3584575</wp:posOffset>
            </wp:positionV>
            <wp:extent cx="8890"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-3584575</wp:posOffset>
            </wp:positionV>
            <wp:extent cx="8890"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-3584575</wp:posOffset>
            </wp:positionV>
            <wp:extent cx="8890"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-3584575</wp:posOffset>
            </wp:positionV>
            <wp:extent cx="8890"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-3439160</wp:posOffset>
            </wp:positionV>
            <wp:extent cx="825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-3439160</wp:posOffset>
            </wp:positionV>
            <wp:extent cx="8890"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-3439160</wp:posOffset>
            </wp:positionV>
            <wp:extent cx="8890"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-3439160</wp:posOffset>
            </wp:positionV>
            <wp:extent cx="8890"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-3439160</wp:posOffset>
            </wp:positionV>
            <wp:extent cx="8890"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-3439160</wp:posOffset>
            </wp:positionV>
            <wp:extent cx="8890"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-3439160</wp:posOffset>
            </wp:positionV>
            <wp:extent cx="8890"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-3439160</wp:posOffset>
            </wp:positionV>
            <wp:extent cx="825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-3439160</wp:posOffset>
            </wp:positionV>
            <wp:extent cx="8890"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-3439160</wp:posOffset>
            </wp:positionV>
            <wp:extent cx="8890"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-3439160</wp:posOffset>
            </wp:positionV>
            <wp:extent cx="8890"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-3439160</wp:posOffset>
            </wp:positionV>
            <wp:extent cx="8890"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-3293110</wp:posOffset>
            </wp:positionV>
            <wp:extent cx="825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-3293110</wp:posOffset>
            </wp:positionV>
            <wp:extent cx="8890"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-3293110</wp:posOffset>
            </wp:positionV>
            <wp:extent cx="8890"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-3293110</wp:posOffset>
            </wp:positionV>
            <wp:extent cx="8890"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-3293110</wp:posOffset>
            </wp:positionV>
            <wp:extent cx="8890"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-3293110</wp:posOffset>
            </wp:positionV>
            <wp:extent cx="825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-3293110</wp:posOffset>
            </wp:positionV>
            <wp:extent cx="8890"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-3293110</wp:posOffset>
            </wp:positionV>
            <wp:extent cx="889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-3293110</wp:posOffset>
            </wp:positionV>
            <wp:extent cx="8890"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-3293110</wp:posOffset>
            </wp:positionV>
            <wp:extent cx="8890"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-3293110</wp:posOffset>
            </wp:positionV>
            <wp:extent cx="8890"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-3293110</wp:posOffset>
            </wp:positionV>
            <wp:extent cx="8890"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-3147695</wp:posOffset>
            </wp:positionV>
            <wp:extent cx="825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-3147695</wp:posOffset>
            </wp:positionV>
            <wp:extent cx="8890"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-3147695</wp:posOffset>
            </wp:positionV>
            <wp:extent cx="8890"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-3147695</wp:posOffset>
            </wp:positionV>
            <wp:extent cx="8890"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-3147695</wp:posOffset>
            </wp:positionV>
            <wp:extent cx="8890"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-3147695</wp:posOffset>
            </wp:positionV>
            <wp:extent cx="889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-3147695</wp:posOffset>
            </wp:positionV>
            <wp:extent cx="8890"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-3147695</wp:posOffset>
            </wp:positionV>
            <wp:extent cx="825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-3147695</wp:posOffset>
            </wp:positionV>
            <wp:extent cx="8890"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-3147695</wp:posOffset>
            </wp:positionV>
            <wp:extent cx="8890"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-3147695</wp:posOffset>
            </wp:positionV>
            <wp:extent cx="8890"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-3147695</wp:posOffset>
            </wp:positionV>
            <wp:extent cx="889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-3001645</wp:posOffset>
            </wp:positionV>
            <wp:extent cx="889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-3001645</wp:posOffset>
            </wp:positionV>
            <wp:extent cx="825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-3001645</wp:posOffset>
            </wp:positionV>
            <wp:extent cx="889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-2856230</wp:posOffset>
            </wp:positionV>
            <wp:extent cx="8890"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-2856230</wp:posOffset>
            </wp:positionV>
            <wp:extent cx="8890"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-2856230</wp:posOffset>
            </wp:positionV>
            <wp:extent cx="825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-2856230</wp:posOffset>
            </wp:positionV>
            <wp:extent cx="8890"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-2856230</wp:posOffset>
            </wp:positionV>
            <wp:extent cx="825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-2856230</wp:posOffset>
            </wp:positionV>
            <wp:extent cx="8890"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-2856230</wp:posOffset>
            </wp:positionV>
            <wp:extent cx="8890"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-2856230</wp:posOffset>
            </wp:positionV>
            <wp:extent cx="889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-2856230</wp:posOffset>
            </wp:positionV>
            <wp:extent cx="889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-2856230</wp:posOffset>
            </wp:positionV>
            <wp:extent cx="825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-2856230</wp:posOffset>
            </wp:positionV>
            <wp:extent cx="8890"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-2856230</wp:posOffset>
            </wp:positionV>
            <wp:extent cx="889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-2856230</wp:posOffset>
            </wp:positionV>
            <wp:extent cx="8890"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-2856230</wp:posOffset>
            </wp:positionV>
            <wp:extent cx="889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-2710180</wp:posOffset>
            </wp:positionV>
            <wp:extent cx="8890"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-2710180</wp:posOffset>
            </wp:positionV>
            <wp:extent cx="889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-2710180</wp:posOffset>
            </wp:positionV>
            <wp:extent cx="8890"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-2710180</wp:posOffset>
            </wp:positionV>
            <wp:extent cx="825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-2710180</wp:posOffset>
            </wp:positionV>
            <wp:extent cx="889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-2710180</wp:posOffset>
            </wp:positionV>
            <wp:extent cx="8890"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-2710180</wp:posOffset>
            </wp:positionV>
            <wp:extent cx="8890"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-2710180</wp:posOffset>
            </wp:positionV>
            <wp:extent cx="8890"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-2710180</wp:posOffset>
            </wp:positionV>
            <wp:extent cx="825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-2710180</wp:posOffset>
            </wp:positionV>
            <wp:extent cx="8890"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-2710180</wp:posOffset>
            </wp:positionV>
            <wp:extent cx="825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-2710180</wp:posOffset>
            </wp:positionV>
            <wp:extent cx="8890"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-2710180</wp:posOffset>
            </wp:positionV>
            <wp:extent cx="8890"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-2564765</wp:posOffset>
            </wp:positionV>
            <wp:extent cx="825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-2564765</wp:posOffset>
            </wp:positionV>
            <wp:extent cx="8890"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-2564765</wp:posOffset>
            </wp:positionV>
            <wp:extent cx="889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-2564765</wp:posOffset>
            </wp:positionV>
            <wp:extent cx="8890"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-2564765</wp:posOffset>
            </wp:positionV>
            <wp:extent cx="889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-2564765</wp:posOffset>
            </wp:positionV>
            <wp:extent cx="825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-2564765</wp:posOffset>
            </wp:positionV>
            <wp:extent cx="8890"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-2564765</wp:posOffset>
            </wp:positionV>
            <wp:extent cx="8890"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-2564765</wp:posOffset>
            </wp:positionV>
            <wp:extent cx="8890"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-2564765</wp:posOffset>
            </wp:positionV>
            <wp:extent cx="8890"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-2418715</wp:posOffset>
            </wp:positionV>
            <wp:extent cx="8890"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-2418715</wp:posOffset>
            </wp:positionV>
            <wp:extent cx="825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-2418715</wp:posOffset>
            </wp:positionV>
            <wp:extent cx="8890"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-2418715</wp:posOffset>
            </wp:positionV>
            <wp:extent cx="8890"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-2418715</wp:posOffset>
            </wp:positionV>
            <wp:extent cx="8890"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-2418715</wp:posOffset>
            </wp:positionV>
            <wp:extent cx="8890"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-2418715</wp:posOffset>
            </wp:positionV>
            <wp:extent cx="8890"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-2418715</wp:posOffset>
            </wp:positionV>
            <wp:extent cx="8890"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-2418715</wp:posOffset>
            </wp:positionV>
            <wp:extent cx="825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-2418715</wp:posOffset>
            </wp:positionV>
            <wp:extent cx="8890"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-2273300</wp:posOffset>
            </wp:positionV>
            <wp:extent cx="8890"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-2273300</wp:posOffset>
            </wp:positionV>
            <wp:extent cx="8890"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-2273300</wp:posOffset>
            </wp:positionV>
            <wp:extent cx="8890"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-2273300</wp:posOffset>
            </wp:positionV>
            <wp:extent cx="8890"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-2273300</wp:posOffset>
            </wp:positionV>
            <wp:extent cx="825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-2273300</wp:posOffset>
            </wp:positionV>
            <wp:extent cx="8890" cy="12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-2273300</wp:posOffset>
            </wp:positionV>
            <wp:extent cx="8255"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-2273300</wp:posOffset>
            </wp:positionV>
            <wp:extent cx="8890"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-2273300</wp:posOffset>
            </wp:positionV>
            <wp:extent cx="8890"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-2127250</wp:posOffset>
            </wp:positionV>
            <wp:extent cx="8255"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-2127250</wp:posOffset>
            </wp:positionV>
            <wp:extent cx="8890"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-2127250</wp:posOffset>
            </wp:positionV>
            <wp:extent cx="825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-2127250</wp:posOffset>
            </wp:positionV>
            <wp:extent cx="8890"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-2127250</wp:posOffset>
            </wp:positionV>
            <wp:extent cx="8890"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-1981835</wp:posOffset>
            </wp:positionV>
            <wp:extent cx="8890"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-1981835</wp:posOffset>
            </wp:positionV>
            <wp:extent cx="8890"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-1835785</wp:posOffset>
            </wp:positionV>
            <wp:extent cx="889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-1835785</wp:posOffset>
            </wp:positionV>
            <wp:extent cx="8890"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-1835785</wp:posOffset>
            </wp:positionV>
            <wp:extent cx="8890"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-1835785</wp:posOffset>
            </wp:positionV>
            <wp:extent cx="8890"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-1835785</wp:posOffset>
            </wp:positionV>
            <wp:extent cx="8255"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-1835785</wp:posOffset>
            </wp:positionV>
            <wp:extent cx="8890" cy="127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-1835785</wp:posOffset>
            </wp:positionV>
            <wp:extent cx="825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-1835785</wp:posOffset>
            </wp:positionV>
            <wp:extent cx="8890"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-1835785</wp:posOffset>
            </wp:positionV>
            <wp:extent cx="8890"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-1835785</wp:posOffset>
            </wp:positionV>
            <wp:extent cx="8890" cy="12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-1835785</wp:posOffset>
            </wp:positionV>
            <wp:extent cx="8890"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-1835785</wp:posOffset>
            </wp:positionV>
            <wp:extent cx="825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-1835785</wp:posOffset>
            </wp:positionV>
            <wp:extent cx="825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-1835785</wp:posOffset>
            </wp:positionV>
            <wp:extent cx="8255"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-1835785</wp:posOffset>
            </wp:positionV>
            <wp:extent cx="8890"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-1835785</wp:posOffset>
            </wp:positionV>
            <wp:extent cx="8890"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-1835785</wp:posOffset>
            </wp:positionV>
            <wp:extent cx="825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-1835785</wp:posOffset>
            </wp:positionV>
            <wp:extent cx="8255" cy="12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-1835785</wp:posOffset>
            </wp:positionV>
            <wp:extent cx="8255"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-1835785</wp:posOffset>
            </wp:positionV>
            <wp:extent cx="8890"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-1835785</wp:posOffset>
            </wp:positionV>
            <wp:extent cx="825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-1835785</wp:posOffset>
            </wp:positionV>
            <wp:extent cx="8255" cy="1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-1835785</wp:posOffset>
            </wp:positionV>
            <wp:extent cx="8255" cy="127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-1835785</wp:posOffset>
            </wp:positionV>
            <wp:extent cx="8890"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-1835785</wp:posOffset>
            </wp:positionV>
            <wp:extent cx="8890"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-1835785</wp:posOffset>
            </wp:positionV>
            <wp:extent cx="8255"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-1835785</wp:posOffset>
            </wp:positionV>
            <wp:extent cx="825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-1835785</wp:posOffset>
            </wp:positionV>
            <wp:extent cx="825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-1835785</wp:posOffset>
            </wp:positionV>
            <wp:extent cx="8890"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-1835785</wp:posOffset>
            </wp:positionV>
            <wp:extent cx="8890"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-1690370</wp:posOffset>
            </wp:positionV>
            <wp:extent cx="8890"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-1690370</wp:posOffset>
            </wp:positionV>
            <wp:extent cx="8890"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-1690370</wp:posOffset>
            </wp:positionV>
            <wp:extent cx="8890"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-1690370</wp:posOffset>
            </wp:positionV>
            <wp:extent cx="825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-1690370</wp:posOffset>
            </wp:positionV>
            <wp:extent cx="8890"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-1690370</wp:posOffset>
            </wp:positionV>
            <wp:extent cx="8890" cy="12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-1690370</wp:posOffset>
            </wp:positionV>
            <wp:extent cx="8890"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-1690370</wp:posOffset>
            </wp:positionV>
            <wp:extent cx="8890" cy="127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-1690370</wp:posOffset>
            </wp:positionV>
            <wp:extent cx="825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-1690370</wp:posOffset>
            </wp:positionV>
            <wp:extent cx="8890"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-1518920</wp:posOffset>
            </wp:positionV>
            <wp:extent cx="8255" cy="127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-1518920</wp:posOffset>
            </wp:positionV>
            <wp:extent cx="8255"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-1518920</wp:posOffset>
            </wp:positionV>
            <wp:extent cx="8255"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-1518920</wp:posOffset>
            </wp:positionV>
            <wp:extent cx="8890"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-1518920</wp:posOffset>
            </wp:positionV>
            <wp:extent cx="8890"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-1518920</wp:posOffset>
            </wp:positionV>
            <wp:extent cx="825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-1518920</wp:posOffset>
            </wp:positionV>
            <wp:extent cx="825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-1518920</wp:posOffset>
            </wp:positionV>
            <wp:extent cx="8255"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-1372870</wp:posOffset>
            </wp:positionV>
            <wp:extent cx="8890"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-1372870</wp:posOffset>
            </wp:positionV>
            <wp:extent cx="8255"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-1372870</wp:posOffset>
            </wp:positionV>
            <wp:extent cx="8890" cy="12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-1227455</wp:posOffset>
            </wp:positionV>
            <wp:extent cx="8890" cy="127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-1227455</wp:posOffset>
            </wp:positionV>
            <wp:extent cx="8890" cy="127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-1227455</wp:posOffset>
            </wp:positionV>
            <wp:extent cx="8890" cy="12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-1227455</wp:posOffset>
            </wp:positionV>
            <wp:extent cx="8255" cy="127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-1227455</wp:posOffset>
            </wp:positionV>
            <wp:extent cx="8890"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-1081405</wp:posOffset>
            </wp:positionV>
            <wp:extent cx="8890"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-1081405</wp:posOffset>
            </wp:positionV>
            <wp:extent cx="8890" cy="127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-1081405</wp:posOffset>
            </wp:positionV>
            <wp:extent cx="8890" cy="127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-1081405</wp:posOffset>
            </wp:positionV>
            <wp:extent cx="8890" cy="12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-1081405</wp:posOffset>
            </wp:positionV>
            <wp:extent cx="8255" cy="12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-1081405</wp:posOffset>
            </wp:positionV>
            <wp:extent cx="8890"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-935990</wp:posOffset>
            </wp:positionV>
            <wp:extent cx="8890"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-935990</wp:posOffset>
            </wp:positionV>
            <wp:extent cx="8255"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-935990</wp:posOffset>
            </wp:positionV>
            <wp:extent cx="8255"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-935990</wp:posOffset>
            </wp:positionV>
            <wp:extent cx="8255" cy="127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-935990</wp:posOffset>
            </wp:positionV>
            <wp:extent cx="8890"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-935990</wp:posOffset>
            </wp:positionV>
            <wp:extent cx="8890" cy="12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-935990</wp:posOffset>
            </wp:positionV>
            <wp:extent cx="8255" cy="12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-789940</wp:posOffset>
            </wp:positionV>
            <wp:extent cx="8890" cy="12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-789940</wp:posOffset>
            </wp:positionV>
            <wp:extent cx="8890" cy="127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-789940</wp:posOffset>
            </wp:positionV>
            <wp:extent cx="8890" cy="12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-789940</wp:posOffset>
            </wp:positionV>
            <wp:extent cx="8255" cy="12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-789940</wp:posOffset>
            </wp:positionV>
            <wp:extent cx="8890"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-789940</wp:posOffset>
            </wp:positionV>
            <wp:extent cx="8255"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-789940</wp:posOffset>
            </wp:positionV>
            <wp:extent cx="8890" cy="127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-789940</wp:posOffset>
            </wp:positionV>
            <wp:extent cx="8890" cy="127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-644525</wp:posOffset>
            </wp:positionV>
            <wp:extent cx="8890" cy="12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-644525</wp:posOffset>
            </wp:positionV>
            <wp:extent cx="8890" cy="12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-644525</wp:posOffset>
            </wp:positionV>
            <wp:extent cx="8890"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-644525</wp:posOffset>
            </wp:positionV>
            <wp:extent cx="889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-644525</wp:posOffset>
            </wp:positionV>
            <wp:extent cx="8890" cy="127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-644525</wp:posOffset>
            </wp:positionV>
            <wp:extent cx="8255" cy="12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-644525</wp:posOffset>
            </wp:positionV>
            <wp:extent cx="8890" cy="127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-644525</wp:posOffset>
            </wp:positionV>
            <wp:extent cx="8890" cy="127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-644525</wp:posOffset>
            </wp:positionV>
            <wp:extent cx="8890"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-644525</wp:posOffset>
            </wp:positionV>
            <wp:extent cx="8890" cy="12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-644525</wp:posOffset>
            </wp:positionV>
            <wp:extent cx="8255" cy="12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-644525</wp:posOffset>
            </wp:positionV>
            <wp:extent cx="8890" cy="127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-498475</wp:posOffset>
            </wp:positionV>
            <wp:extent cx="8890" cy="127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-498475</wp:posOffset>
            </wp:positionV>
            <wp:extent cx="8890" cy="127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-353060</wp:posOffset>
            </wp:positionV>
            <wp:extent cx="8255" cy="12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-353060</wp:posOffset>
            </wp:positionV>
            <wp:extent cx="8890" cy="12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-353060</wp:posOffset>
            </wp:positionV>
            <wp:extent cx="8255" cy="127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-353060</wp:posOffset>
            </wp:positionV>
            <wp:extent cx="8890" cy="12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-353060</wp:posOffset>
            </wp:positionV>
            <wp:extent cx="8890" cy="127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-353060</wp:posOffset>
            </wp:positionV>
            <wp:extent cx="8890" cy="127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-353060</wp:posOffset>
            </wp:positionV>
            <wp:extent cx="8890" cy="127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-353060</wp:posOffset>
            </wp:positionV>
            <wp:extent cx="8255" cy="127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-353060</wp:posOffset>
            </wp:positionV>
            <wp:extent cx="8890" cy="127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-353060</wp:posOffset>
            </wp:positionV>
            <wp:extent cx="8890" cy="127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-353060</wp:posOffset>
            </wp:positionV>
            <wp:extent cx="8890" cy="127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-353060</wp:posOffset>
            </wp:positionV>
            <wp:extent cx="8890" cy="127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-207010</wp:posOffset>
            </wp:positionV>
            <wp:extent cx="8255" cy="12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-207010</wp:posOffset>
            </wp:positionV>
            <wp:extent cx="8890" cy="127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-207010</wp:posOffset>
            </wp:positionV>
            <wp:extent cx="8890" cy="127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-207010</wp:posOffset>
            </wp:positionV>
            <wp:extent cx="8890" cy="127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-207010</wp:posOffset>
            </wp:positionV>
            <wp:extent cx="8890" cy="127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-207010</wp:posOffset>
            </wp:positionV>
            <wp:extent cx="8890" cy="1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-207010</wp:posOffset>
            </wp:positionV>
            <wp:extent cx="8890" cy="127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-207010</wp:posOffset>
            </wp:positionV>
            <wp:extent cx="8255" cy="127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-207010</wp:posOffset>
            </wp:positionV>
            <wp:extent cx="8890" cy="127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-207010</wp:posOffset>
            </wp:positionV>
            <wp:extent cx="8890" cy="127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-207010</wp:posOffset>
            </wp:positionV>
            <wp:extent cx="8890" cy="127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-207010</wp:posOffset>
            </wp:positionV>
            <wp:extent cx="8890" cy="127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-27305</wp:posOffset>
            </wp:positionV>
            <wp:extent cx="8255" cy="127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-27305</wp:posOffset>
            </wp:positionV>
            <wp:extent cx="8890" cy="1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-27305</wp:posOffset>
            </wp:positionV>
            <wp:extent cx="8890" cy="127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-27305</wp:posOffset>
            </wp:positionV>
            <wp:extent cx="8890" cy="1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-27305</wp:posOffset>
            </wp:positionV>
            <wp:extent cx="8890" cy="12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-27305</wp:posOffset>
            </wp:positionV>
            <wp:extent cx="8890" cy="1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-27305</wp:posOffset>
            </wp:positionV>
            <wp:extent cx="8890" cy="127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-27305</wp:posOffset>
            </wp:positionV>
            <wp:extent cx="8255"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-27305</wp:posOffset>
            </wp:positionV>
            <wp:extent cx="8890" cy="127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-27305</wp:posOffset>
            </wp:positionV>
            <wp:extent cx="8890" cy="127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-27305</wp:posOffset>
            </wp:positionV>
            <wp:extent cx="8255" cy="12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-27305</wp:posOffset>
            </wp:positionV>
            <wp:extent cx="8255" cy="12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-27305</wp:posOffset>
            </wp:positionV>
            <wp:extent cx="8890" cy="12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-27305</wp:posOffset>
            </wp:positionV>
            <wp:extent cx="8890" cy="127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-27305</wp:posOffset>
            </wp:positionV>
            <wp:extent cx="8255" cy="12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-27305</wp:posOffset>
            </wp:positionV>
            <wp:extent cx="8255" cy="127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-27305</wp:posOffset>
            </wp:positionV>
            <wp:extent cx="8255" cy="12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-27305</wp:posOffset>
            </wp:positionV>
            <wp:extent cx="8890" cy="12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-27305</wp:posOffset>
            </wp:positionV>
            <wp:extent cx="8890" cy="127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-27305</wp:posOffset>
            </wp:positionV>
            <wp:extent cx="8255" cy="12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-27305</wp:posOffset>
            </wp:positionV>
            <wp:extent cx="8255" cy="127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12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4" w:name="page15"/>
    <w:bookmarkEnd w:id="14"/>
    <w:tbl>
      <w:tblPr>
        <w:tblLayout w:type="fixed"/>
        <w:tblInd w:w="740" w:type="dxa"/>
        <w:tblCellMar>
          <w:top w:w="0" w:type="dxa"/>
          <w:left w:w="0" w:type="dxa"/>
          <w:bottom w:w="0" w:type="dxa"/>
          <w:right w:w="0" w:type="dxa"/>
        </w:tblCellMar>
      </w:tblPr>
      <w:tr>
        <w:trPr>
          <w:trHeight w:val="40"/>
        </w:trPr>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6.1.</w:t>
            </w:r>
          </w:p>
        </w:tc>
        <w:tc>
          <w:tcPr>
            <w:tcW w:w="2280" w:type="dxa"/>
            <w:vAlign w:val="bottom"/>
            <w:gridSpan w:val="11"/>
            <w:vMerge w:val="restart"/>
          </w:tcPr>
          <w:p>
            <w:pPr>
              <w:ind w:left="300"/>
              <w:spacing w:after="0"/>
              <w:rPr>
                <w:sz w:val="20"/>
                <w:szCs w:val="20"/>
                <w:color w:val="auto"/>
              </w:rPr>
            </w:pPr>
            <w:r>
              <w:rPr>
                <w:rFonts w:ascii="Times New Roman" w:cs="Times New Roman" w:eastAsia="Times New Roman" w:hAnsi="Times New Roman"/>
                <w:sz w:val="20"/>
                <w:szCs w:val="20"/>
                <w:color w:val="auto"/>
              </w:rPr>
              <w:t>Organization; Powers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c>
          <w:tcPr>
            <w:tcW w:w="2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00" w:type="dxa"/>
            <w:vAlign w:val="bottom"/>
            <w:vMerge w:val="continue"/>
          </w:tcPr>
          <w:p>
            <w:pPr>
              <w:spacing w:after="0"/>
              <w:rPr>
                <w:sz w:val="16"/>
                <w:szCs w:val="16"/>
                <w:color w:val="auto"/>
              </w:rPr>
            </w:pPr>
          </w:p>
        </w:tc>
        <w:tc>
          <w:tcPr>
            <w:tcW w:w="2280" w:type="dxa"/>
            <w:vAlign w:val="bottom"/>
            <w:gridSpan w:val="11"/>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00" w:type="dxa"/>
            <w:vAlign w:val="bottom"/>
            <w:tcBorders>
              <w:bottom w:val="single" w:sz="8" w:color="0000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2480" w:type="dxa"/>
            <w:vAlign w:val="bottom"/>
            <w:gridSpan w:val="1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1"/>
              </w:rPr>
              <w:t>Authorization; Enforceability</w:t>
            </w: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52</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53</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2480" w:type="dxa"/>
            <w:vAlign w:val="bottom"/>
            <w:gridSpan w:val="13"/>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1480" w:type="dxa"/>
            <w:vAlign w:val="bottom"/>
            <w:gridSpan w:val="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No Conflicts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52</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54</w:t>
            </w: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1680" w:type="dxa"/>
            <w:vAlign w:val="bottom"/>
            <w:gridSpan w:val="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Governmental</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52</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54</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1000" w:type="dxa"/>
            <w:vAlign w:val="bottom"/>
            <w:gridSpan w:val="10"/>
          </w:tcPr>
          <w:p>
            <w:pPr>
              <w:jc w:val="right"/>
              <w:ind w:right="282"/>
              <w:spacing w:after="0" w:line="170" w:lineRule="exact"/>
              <w:rPr>
                <w:sz w:val="20"/>
                <w:szCs w:val="20"/>
                <w:color w:val="auto"/>
              </w:rPr>
            </w:pPr>
            <w:r>
              <w:rPr>
                <w:rFonts w:ascii="Times New Roman" w:cs="Times New Roman" w:eastAsia="Times New Roman" w:hAnsi="Times New Roman"/>
                <w:sz w:val="19"/>
                <w:szCs w:val="19"/>
                <w:color w:val="auto"/>
                <w:w w:val="75"/>
              </w:rPr>
              <w:t>Approvals</w:t>
            </w: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6.5.</w:t>
            </w:r>
          </w:p>
        </w:tc>
        <w:tc>
          <w:tcPr>
            <w:tcW w:w="2880" w:type="dxa"/>
            <w:vAlign w:val="bottom"/>
            <w:gridSpan w:val="16"/>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3"/>
              </w:rPr>
              <w:t>Financial Statements; No Material</w:t>
            </w:r>
          </w:p>
        </w:tc>
        <w:tc>
          <w:tcPr>
            <w:tcW w:w="200" w:type="dxa"/>
            <w:vAlign w:val="bottom"/>
            <w:tcBorders>
              <w:bottom w:val="single" w:sz="8" w:color="0000FF"/>
            </w:tcBorders>
          </w:tcPr>
          <w:p>
            <w:pPr>
              <w:spacing w:after="0" w:line="20" w:lineRule="exact"/>
              <w:rPr>
                <w:sz w:val="1"/>
                <w:szCs w:val="1"/>
                <w:color w:val="auto"/>
              </w:rPr>
            </w:pPr>
          </w:p>
        </w:tc>
        <w:tc>
          <w:tcPr>
            <w:tcW w:w="1960" w:type="dxa"/>
            <w:vAlign w:val="bottom"/>
            <w:gridSpan w:val="9"/>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Adverse Effect; Solvent</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53</w:t>
            </w:r>
          </w:p>
        </w:tc>
        <w:tc>
          <w:tcPr>
            <w:tcW w:w="1580" w:type="dxa"/>
            <w:vAlign w:val="bottom"/>
            <w:gridSpan w:val="2"/>
            <w:vMerge w:val="restart"/>
          </w:tcPr>
          <w:p>
            <w:pPr>
              <w:jc w:val="right"/>
              <w:ind w:right="1380"/>
              <w:spacing w:after="0" w:line="209" w:lineRule="exact"/>
              <w:rPr>
                <w:sz w:val="20"/>
                <w:szCs w:val="20"/>
                <w:color w:val="auto"/>
              </w:rPr>
            </w:pPr>
            <w:r>
              <w:rPr>
                <w:rFonts w:ascii="Times New Roman" w:cs="Times New Roman" w:eastAsia="Times New Roman" w:hAnsi="Times New Roman"/>
                <w:sz w:val="20"/>
                <w:szCs w:val="20"/>
                <w:color w:val="0000FF"/>
                <w:w w:val="89"/>
              </w:rPr>
              <w:t>54</w:t>
            </w: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880" w:type="dxa"/>
            <w:vAlign w:val="bottom"/>
            <w:gridSpan w:val="16"/>
            <w:vMerge w:val="continue"/>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9"/>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6.6.</w:t>
            </w:r>
          </w:p>
        </w:tc>
        <w:tc>
          <w:tcPr>
            <w:tcW w:w="2280" w:type="dxa"/>
            <w:vAlign w:val="bottom"/>
            <w:gridSpan w:val="11"/>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Properties; No Liens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53</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55</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2280" w:type="dxa"/>
            <w:vAlign w:val="bottom"/>
            <w:gridSpan w:val="11"/>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8"/>
              </w:rPr>
              <w:t>Litigation</w:t>
            </w:r>
          </w:p>
        </w:tc>
        <w:tc>
          <w:tcPr>
            <w:tcW w:w="19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53</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55</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6.8.</w:t>
            </w:r>
          </w:p>
        </w:tc>
        <w:tc>
          <w:tcPr>
            <w:tcW w:w="1700" w:type="dxa"/>
            <w:vAlign w:val="bottom"/>
            <w:gridSpan w:val="5"/>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Compliance with</w:t>
            </w:r>
          </w:p>
        </w:tc>
        <w:tc>
          <w:tcPr>
            <w:tcW w:w="200" w:type="dxa"/>
            <w:vAlign w:val="bottom"/>
            <w:tcBorders>
              <w:bottom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53</w:t>
            </w: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55</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2960" w:type="dxa"/>
            <w:vAlign w:val="bottom"/>
            <w:gridSpan w:val="19"/>
          </w:tcPr>
          <w:p>
            <w:pPr>
              <w:jc w:val="right"/>
              <w:ind w:right="240"/>
              <w:spacing w:after="0" w:line="170" w:lineRule="exact"/>
              <w:rPr>
                <w:sz w:val="20"/>
                <w:szCs w:val="20"/>
                <w:color w:val="auto"/>
              </w:rPr>
            </w:pPr>
            <w:r>
              <w:rPr>
                <w:rFonts w:ascii="Times New Roman" w:cs="Times New Roman" w:eastAsia="Times New Roman" w:hAnsi="Times New Roman"/>
                <w:sz w:val="19"/>
                <w:szCs w:val="19"/>
                <w:color w:val="auto"/>
              </w:rPr>
              <w:t>Laws; Permits; Cannabis Licenses</w:t>
            </w:r>
          </w:p>
        </w:tc>
        <w:tc>
          <w:tcPr>
            <w:tcW w:w="20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6.9.</w:t>
            </w:r>
          </w:p>
        </w:tc>
        <w:tc>
          <w:tcPr>
            <w:tcW w:w="2680" w:type="dxa"/>
            <w:vAlign w:val="bottom"/>
            <w:gridSpan w:val="1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Environmental Condition</w:t>
            </w: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54</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55</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68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6.10.</w:t>
            </w:r>
          </w:p>
        </w:tc>
        <w:tc>
          <w:tcPr>
            <w:tcW w:w="1480" w:type="dxa"/>
            <w:vAlign w:val="bottom"/>
            <w:gridSpan w:val="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No Defaults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54</w:t>
            </w:r>
          </w:p>
        </w:tc>
        <w:tc>
          <w:tcPr>
            <w:tcW w:w="22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6.11.</w:t>
            </w:r>
          </w:p>
        </w:tc>
        <w:tc>
          <w:tcPr>
            <w:tcW w:w="1680" w:type="dxa"/>
            <w:vAlign w:val="bottom"/>
            <w:gridSpan w:val="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0"/>
              </w:rPr>
              <w:t>Material Contracts</w:t>
            </w: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54</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6.12.</w:t>
            </w:r>
          </w:p>
        </w:tc>
        <w:tc>
          <w:tcPr>
            <w:tcW w:w="2080" w:type="dxa"/>
            <w:vAlign w:val="bottom"/>
            <w:gridSpan w:val="9"/>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3"/>
              </w:rPr>
              <w:t>Restrictive Agreements</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54</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080" w:type="dxa"/>
            <w:vAlign w:val="bottom"/>
            <w:gridSpan w:val="9"/>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6.13.</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19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6.14.</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ERISA</w:t>
            </w:r>
          </w:p>
        </w:tc>
        <w:tc>
          <w:tcPr>
            <w:tcW w:w="19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vMerge w:val="continue"/>
          </w:tcPr>
          <w:p>
            <w:pPr>
              <w:spacing w:after="0"/>
              <w:rPr>
                <w:sz w:val="14"/>
                <w:szCs w:val="14"/>
                <w:color w:val="auto"/>
              </w:rPr>
            </w:pPr>
          </w:p>
        </w:tc>
        <w:tc>
          <w:tcPr>
            <w:tcW w:w="200" w:type="dxa"/>
            <w:vAlign w:val="bottom"/>
            <w:tcBorders>
              <w:bottom w:val="single" w:sz="8" w:color="0000FF"/>
            </w:tcBorders>
          </w:tcPr>
          <w:p>
            <w:pPr>
              <w:spacing w:after="0" w:line="170" w:lineRule="exact"/>
              <w:rPr>
                <w:sz w:val="20"/>
                <w:szCs w:val="20"/>
                <w:color w:val="auto"/>
              </w:rPr>
            </w:pPr>
            <w:r>
              <w:rPr>
                <w:rFonts w:ascii="Times New Roman" w:cs="Times New Roman" w:eastAsia="Times New Roman" w:hAnsi="Times New Roman"/>
                <w:sz w:val="19"/>
                <w:szCs w:val="19"/>
                <w:color w:val="0000FF"/>
                <w:w w:val="94"/>
              </w:rPr>
              <w:t>56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6.15.</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Insurance</w:t>
            </w:r>
          </w:p>
        </w:tc>
        <w:tc>
          <w:tcPr>
            <w:tcW w:w="19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55</w:t>
            </w:r>
          </w:p>
        </w:tc>
        <w:tc>
          <w:tcPr>
            <w:tcW w:w="22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6.16.</w:t>
            </w:r>
          </w:p>
        </w:tc>
        <w:tc>
          <w:tcPr>
            <w:tcW w:w="1680" w:type="dxa"/>
            <w:vAlign w:val="bottom"/>
            <w:gridSpan w:val="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3"/>
              </w:rPr>
              <w:t>Capitalization and</w:t>
            </w: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1200" w:type="dxa"/>
            <w:vAlign w:val="bottom"/>
            <w:gridSpan w:val="11"/>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Subsidiaries</w:t>
            </w: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56</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11"/>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6.17.</w:t>
            </w:r>
          </w:p>
        </w:tc>
        <w:tc>
          <w:tcPr>
            <w:tcW w:w="2680" w:type="dxa"/>
            <w:vAlign w:val="bottom"/>
            <w:gridSpan w:val="1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9"/>
              </w:rPr>
              <w:t>Security Interest in Collateral</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55</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57</w:t>
            </w: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680" w:type="dxa"/>
            <w:vAlign w:val="bottom"/>
            <w:gridSpan w:val="14"/>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6.18.</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Brokers</w:t>
            </w:r>
          </w:p>
        </w:tc>
        <w:tc>
          <w:tcPr>
            <w:tcW w:w="19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57</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6.19.</w:t>
            </w:r>
          </w:p>
        </w:tc>
        <w:tc>
          <w:tcPr>
            <w:tcW w:w="1280" w:type="dxa"/>
            <w:vAlign w:val="bottom"/>
            <w:gridSpan w:val="2"/>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Intellectual</w:t>
            </w:r>
          </w:p>
        </w:tc>
        <w:tc>
          <w:tcPr>
            <w:tcW w:w="200" w:type="dxa"/>
            <w:vAlign w:val="bottom"/>
            <w:tcBorders>
              <w:bottom w:val="single" w:sz="8" w:color="0000FF"/>
            </w:tcBorders>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55</w:t>
            </w:r>
          </w:p>
        </w:tc>
        <w:tc>
          <w:tcPr>
            <w:tcW w:w="22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57</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9"/>
          </w:tcPr>
          <w:p>
            <w:pPr>
              <w:spacing w:after="0" w:line="170" w:lineRule="exact"/>
              <w:rPr>
                <w:sz w:val="20"/>
                <w:szCs w:val="20"/>
                <w:color w:val="auto"/>
              </w:rPr>
            </w:pPr>
            <w:r>
              <w:rPr>
                <w:rFonts w:ascii="Times New Roman" w:cs="Times New Roman" w:eastAsia="Times New Roman" w:hAnsi="Times New Roman"/>
                <w:sz w:val="19"/>
                <w:szCs w:val="19"/>
                <w:color w:val="auto"/>
              </w:rPr>
              <w:t>Property</w:t>
            </w:r>
          </w:p>
        </w:tc>
        <w:tc>
          <w:tcPr>
            <w:tcW w:w="200" w:type="dxa"/>
            <w:vAlign w:val="bottom"/>
            <w:gridSpan w:val="2"/>
            <w:vMerge w:val="continue"/>
          </w:tcPr>
          <w:p>
            <w:pPr>
              <w:spacing w:after="0"/>
              <w:rPr>
                <w:sz w:val="14"/>
                <w:szCs w:val="14"/>
                <w:color w:val="auto"/>
              </w:rPr>
            </w:pPr>
          </w:p>
        </w:tc>
        <w:tc>
          <w:tcPr>
            <w:tcW w:w="220" w:type="dxa"/>
            <w:vAlign w:val="bottom"/>
            <w:tcBorders>
              <w:bottom w:val="single" w:sz="8" w:color="0000FF"/>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6.20.</w:t>
            </w:r>
          </w:p>
        </w:tc>
        <w:tc>
          <w:tcPr>
            <w:tcW w:w="1880" w:type="dxa"/>
            <w:vAlign w:val="bottom"/>
            <w:gridSpan w:val="6"/>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Trade Relations</w:t>
            </w: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56</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57</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6.21.</w:t>
            </w:r>
          </w:p>
        </w:tc>
        <w:tc>
          <w:tcPr>
            <w:tcW w:w="1880" w:type="dxa"/>
            <w:vAlign w:val="bottom"/>
            <w:gridSpan w:val="6"/>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Labor Relations</w:t>
            </w: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56</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94"/>
              </w:rPr>
              <w:t>57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6.22.</w:t>
            </w:r>
          </w:p>
        </w:tc>
        <w:tc>
          <w:tcPr>
            <w:tcW w:w="1480" w:type="dxa"/>
            <w:vAlign w:val="bottom"/>
            <w:gridSpan w:val="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56</w:t>
            </w:r>
          </w:p>
        </w:tc>
        <w:tc>
          <w:tcPr>
            <w:tcW w:w="22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58</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6.23.</w:t>
            </w:r>
          </w:p>
        </w:tc>
        <w:tc>
          <w:tcPr>
            <w:tcW w:w="1680" w:type="dxa"/>
            <w:vAlign w:val="bottom"/>
            <w:gridSpan w:val="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82"/>
              </w:rPr>
              <w:t>Margin Regulations,</w:t>
            </w: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2780" w:type="dxa"/>
            <w:vAlign w:val="bottom"/>
            <w:gridSpan w:val="18"/>
            <w:vMerge w:val="restart"/>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rPr>
              <w:t>Investment Company Act, Etc.</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56</w:t>
            </w: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58</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1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6.24.</w:t>
            </w:r>
          </w:p>
        </w:tc>
        <w:tc>
          <w:tcPr>
            <w:tcW w:w="2280" w:type="dxa"/>
            <w:vAlign w:val="bottom"/>
            <w:gridSpan w:val="11"/>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Complete Disclosure</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56</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58</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280" w:type="dxa"/>
            <w:vAlign w:val="bottom"/>
            <w:gridSpan w:val="11"/>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6.25.</w:t>
            </w:r>
          </w:p>
        </w:tc>
        <w:tc>
          <w:tcPr>
            <w:tcW w:w="20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280" w:type="dxa"/>
            <w:vAlign w:val="bottom"/>
            <w:gridSpan w:val="16"/>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Laws; Anti-Money Laundering Laws; Patriot Act</w:t>
            </w:r>
          </w:p>
        </w:tc>
        <w:tc>
          <w:tcPr>
            <w:tcW w:w="16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56</w:t>
            </w:r>
          </w:p>
        </w:tc>
        <w:tc>
          <w:tcPr>
            <w:tcW w:w="12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97"/>
              </w:rPr>
              <w:t xml:space="preserve">58 </w:t>
            </w:r>
            <w:r>
              <w:rPr>
                <w:rFonts w:ascii="Times New Roman" w:cs="Times New Roman" w:eastAsia="Times New Roman" w:hAnsi="Times New Roman"/>
                <w:sz w:val="20"/>
                <w:szCs w:val="20"/>
                <w:color w:val="000000"/>
                <w:w w:val="97"/>
              </w:rPr>
              <w:t>SECTION 7.</w:t>
            </w: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2680" w:type="dxa"/>
            <w:vAlign w:val="bottom"/>
            <w:gridSpan w:val="14"/>
          </w:tcPr>
          <w:p>
            <w:pPr>
              <w:jc w:val="right"/>
              <w:spacing w:after="0" w:line="170" w:lineRule="exact"/>
              <w:rPr>
                <w:sz w:val="20"/>
                <w:szCs w:val="20"/>
                <w:color w:val="auto"/>
              </w:rPr>
            </w:pPr>
            <w:r>
              <w:rPr>
                <w:rFonts w:ascii="Times New Roman" w:cs="Times New Roman" w:eastAsia="Times New Roman" w:hAnsi="Times New Roman"/>
                <w:sz w:val="19"/>
                <w:szCs w:val="19"/>
                <w:color w:val="auto"/>
                <w:w w:val="99"/>
              </w:rPr>
              <w:t>OFAC; Sanctions; Anti-Corruption</w:t>
            </w:r>
          </w:p>
        </w:tc>
        <w:tc>
          <w:tcPr>
            <w:tcW w:w="4280" w:type="dxa"/>
            <w:vAlign w:val="bottom"/>
            <w:gridSpan w:val="16"/>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gridSpan w:val="8"/>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w w:val="98"/>
              </w:rPr>
              <w:t>AFFIRMATIVE COVENANTS</w:t>
            </w:r>
          </w:p>
        </w:tc>
        <w:tc>
          <w:tcPr>
            <w:tcW w:w="16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57</w:t>
            </w:r>
          </w:p>
        </w:tc>
        <w:tc>
          <w:tcPr>
            <w:tcW w:w="220" w:type="dxa"/>
            <w:vAlign w:val="bottom"/>
            <w:gridSpan w:val="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89"/>
              </w:rPr>
              <w:t>58</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8"/>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ind w:left="260"/>
              <w:spacing w:after="0" w:line="224" w:lineRule="exact"/>
              <w:rPr>
                <w:sz w:val="20"/>
                <w:szCs w:val="20"/>
                <w:color w:val="auto"/>
              </w:rPr>
            </w:pPr>
            <w:r>
              <w:rPr>
                <w:rFonts w:ascii="Times New Roman" w:cs="Times New Roman" w:eastAsia="Times New Roman" w:hAnsi="Times New Roman"/>
                <w:sz w:val="20"/>
                <w:szCs w:val="20"/>
                <w:color w:val="auto"/>
              </w:rPr>
              <w:t>7.1.</w:t>
            </w:r>
          </w:p>
        </w:tc>
        <w:tc>
          <w:tcPr>
            <w:tcW w:w="3860" w:type="dxa"/>
            <w:vAlign w:val="bottom"/>
            <w:gridSpan w:val="21"/>
          </w:tcPr>
          <w:p>
            <w:pPr>
              <w:ind w:left="300"/>
              <w:spacing w:after="0" w:line="224" w:lineRule="exact"/>
              <w:rPr>
                <w:sz w:val="20"/>
                <w:szCs w:val="20"/>
                <w:color w:val="auto"/>
              </w:rPr>
            </w:pPr>
            <w:r>
              <w:rPr>
                <w:rFonts w:ascii="Times New Roman" w:cs="Times New Roman" w:eastAsia="Times New Roman" w:hAnsi="Times New Roman"/>
                <w:sz w:val="20"/>
                <w:szCs w:val="20"/>
                <w:color w:val="auto"/>
              </w:rPr>
              <w:t>Financial Statements and Other Information</w:t>
            </w:r>
          </w:p>
        </w:tc>
        <w:tc>
          <w:tcPr>
            <w:tcW w:w="2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89"/>
              </w:rPr>
              <w:t>57</w:t>
            </w:r>
          </w:p>
        </w:tc>
        <w:tc>
          <w:tcPr>
            <w:tcW w:w="200" w:type="dxa"/>
            <w:vAlign w:val="bottom"/>
            <w:tcBorders>
              <w:bottom w:val="single" w:sz="8" w:color="0000FF"/>
            </w:tcBorders>
          </w:tcPr>
          <w:p>
            <w:pPr>
              <w:jc w:val="right"/>
              <w:spacing w:after="0" w:line="224" w:lineRule="exact"/>
              <w:rPr>
                <w:sz w:val="20"/>
                <w:szCs w:val="20"/>
                <w:color w:val="auto"/>
              </w:rPr>
            </w:pPr>
            <w:r>
              <w:rPr>
                <w:rFonts w:ascii="Times New Roman" w:cs="Times New Roman" w:eastAsia="Times New Roman" w:hAnsi="Times New Roman"/>
                <w:sz w:val="20"/>
                <w:szCs w:val="20"/>
                <w:color w:val="0000FF"/>
                <w:w w:val="89"/>
              </w:rPr>
              <w:t>58</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7.2.</w:t>
            </w:r>
          </w:p>
        </w:tc>
        <w:tc>
          <w:tcPr>
            <w:tcW w:w="2680" w:type="dxa"/>
            <w:vAlign w:val="bottom"/>
            <w:gridSpan w:val="1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Notices of Material Events</w:t>
            </w: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57</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58</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68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7.3.</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Existence</w:t>
            </w:r>
          </w:p>
        </w:tc>
        <w:tc>
          <w:tcPr>
            <w:tcW w:w="19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57</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59</w:t>
            </w: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1680" w:type="dxa"/>
            <w:vAlign w:val="bottom"/>
            <w:gridSpan w:val="4"/>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59</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280" w:type="dxa"/>
            <w:vAlign w:val="bottom"/>
            <w:gridSpan w:val="11"/>
          </w:tcPr>
          <w:p>
            <w:pPr>
              <w:ind w:left="300"/>
              <w:spacing w:after="0" w:line="170" w:lineRule="exact"/>
              <w:rPr>
                <w:sz w:val="20"/>
                <w:szCs w:val="20"/>
                <w:color w:val="auto"/>
              </w:rPr>
            </w:pPr>
            <w:r>
              <w:rPr>
                <w:rFonts w:ascii="Times New Roman" w:cs="Times New Roman" w:eastAsia="Times New Roman" w:hAnsi="Times New Roman"/>
                <w:sz w:val="19"/>
                <w:szCs w:val="19"/>
                <w:color w:val="auto"/>
              </w:rPr>
              <w:t>Payment of Obligations</w:t>
            </w: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2480" w:type="dxa"/>
            <w:vAlign w:val="bottom"/>
            <w:gridSpan w:val="13"/>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Maintenance of Properties</w:t>
            </w: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58</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59</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2480" w:type="dxa"/>
            <w:vAlign w:val="bottom"/>
            <w:gridSpan w:val="1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280" w:type="dxa"/>
            <w:vAlign w:val="bottom"/>
            <w:gridSpan w:val="11"/>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Compliance with Laws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59</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vMerge w:val="continue"/>
          </w:tcPr>
          <w:p>
            <w:pPr>
              <w:spacing w:after="0"/>
              <w:rPr>
                <w:sz w:val="14"/>
                <w:szCs w:val="14"/>
                <w:color w:val="auto"/>
              </w:rPr>
            </w:pPr>
          </w:p>
        </w:tc>
        <w:tc>
          <w:tcPr>
            <w:tcW w:w="2280" w:type="dxa"/>
            <w:vAlign w:val="bottom"/>
            <w:gridSpan w:val="11"/>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109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Insurance</w:t>
            </w:r>
          </w:p>
        </w:tc>
        <w:tc>
          <w:tcPr>
            <w:tcW w:w="19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22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60</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090" w:type="dxa"/>
            <w:vAlign w:val="bottom"/>
            <w:vMerge w:val="continue"/>
          </w:tcPr>
          <w:p>
            <w:pPr>
              <w:spacing w:after="0"/>
              <w:rPr>
                <w:sz w:val="14"/>
                <w:szCs w:val="14"/>
                <w:color w:val="auto"/>
              </w:rPr>
            </w:pPr>
          </w:p>
        </w:tc>
        <w:tc>
          <w:tcPr>
            <w:tcW w:w="19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7.8.</w:t>
            </w:r>
          </w:p>
        </w:tc>
        <w:tc>
          <w:tcPr>
            <w:tcW w:w="1680" w:type="dxa"/>
            <w:vAlign w:val="bottom"/>
            <w:gridSpan w:val="4"/>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3"/>
              </w:rPr>
              <w:t>Inspection Rights;</w:t>
            </w: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1580" w:type="dxa"/>
            <w:vAlign w:val="bottom"/>
            <w:gridSpan w:val="13"/>
            <w:vMerge w:val="restart"/>
          </w:tcPr>
          <w:p>
            <w:pPr>
              <w:spacing w:after="0" w:line="209" w:lineRule="exact"/>
              <w:rPr>
                <w:sz w:val="20"/>
                <w:szCs w:val="20"/>
                <w:color w:val="auto"/>
              </w:rPr>
            </w:pPr>
            <w:r>
              <w:rPr>
                <w:rFonts w:ascii="Times New Roman" w:cs="Times New Roman" w:eastAsia="Times New Roman" w:hAnsi="Times New Roman"/>
                <w:sz w:val="20"/>
                <w:szCs w:val="20"/>
                <w:color w:val="auto"/>
                <w:w w:val="99"/>
              </w:rPr>
              <w:t>Field Examinations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400" w:type="dxa"/>
            <w:vAlign w:val="bottom"/>
            <w:gridSpan w:val="2"/>
            <w:vMerge w:val="restart"/>
          </w:tcPr>
          <w:p>
            <w:pPr>
              <w:jc w:val="right"/>
              <w:ind w:right="101"/>
              <w:spacing w:after="0" w:line="209" w:lineRule="exact"/>
              <w:rPr>
                <w:sz w:val="20"/>
                <w:szCs w:val="20"/>
                <w:color w:val="auto"/>
              </w:rPr>
            </w:pPr>
            <w:r>
              <w:rPr>
                <w:rFonts w:ascii="Times New Roman" w:cs="Times New Roman" w:eastAsia="Times New Roman" w:hAnsi="Times New Roman"/>
                <w:sz w:val="20"/>
                <w:szCs w:val="20"/>
                <w:color w:val="0000FF"/>
                <w:w w:val="89"/>
              </w:rPr>
              <w:t>60</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1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1880" w:type="dxa"/>
            <w:vAlign w:val="bottom"/>
            <w:gridSpan w:val="6"/>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58</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60</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7.10.</w:t>
            </w:r>
          </w:p>
        </w:tc>
        <w:tc>
          <w:tcPr>
            <w:tcW w:w="2080" w:type="dxa"/>
            <w:vAlign w:val="bottom"/>
            <w:gridSpan w:val="9"/>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Cash Management;</w:t>
            </w:r>
          </w:p>
        </w:tc>
        <w:tc>
          <w:tcPr>
            <w:tcW w:w="200" w:type="dxa"/>
            <w:vAlign w:val="bottom"/>
            <w:tcBorders>
              <w:bottom w:val="single" w:sz="8" w:color="0000FF"/>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1580" w:type="dxa"/>
            <w:vAlign w:val="bottom"/>
            <w:gridSpan w:val="2"/>
            <w:vMerge w:val="restart"/>
          </w:tcPr>
          <w:p>
            <w:pPr>
              <w:jc w:val="right"/>
              <w:ind w:right="1380"/>
              <w:spacing w:after="0" w:line="209" w:lineRule="exact"/>
              <w:rPr>
                <w:sz w:val="20"/>
                <w:szCs w:val="20"/>
                <w:color w:val="auto"/>
              </w:rPr>
            </w:pPr>
            <w:r>
              <w:rPr>
                <w:rFonts w:ascii="Times New Roman" w:cs="Times New Roman" w:eastAsia="Times New Roman" w:hAnsi="Times New Roman"/>
                <w:sz w:val="20"/>
                <w:szCs w:val="20"/>
                <w:color w:val="0000FF"/>
                <w:w w:val="89"/>
              </w:rPr>
              <w:t>60</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080" w:type="dxa"/>
            <w:vAlign w:val="bottom"/>
            <w:gridSpan w:val="9"/>
            <w:vMerge w:val="continue"/>
          </w:tcPr>
          <w:p>
            <w:pPr>
              <w:spacing w:after="0"/>
              <w:rPr>
                <w:sz w:val="14"/>
                <w:szCs w:val="14"/>
                <w:color w:val="auto"/>
              </w:rPr>
            </w:pPr>
          </w:p>
        </w:tc>
        <w:tc>
          <w:tcPr>
            <w:tcW w:w="2960" w:type="dxa"/>
            <w:vAlign w:val="bottom"/>
            <w:gridSpan w:val="17"/>
          </w:tcPr>
          <w:p>
            <w:pPr>
              <w:spacing w:after="0" w:line="170" w:lineRule="exact"/>
              <w:rPr>
                <w:sz w:val="20"/>
                <w:szCs w:val="20"/>
                <w:color w:val="auto"/>
              </w:rPr>
            </w:pPr>
            <w:r>
              <w:rPr>
                <w:rFonts w:ascii="Times New Roman" w:cs="Times New Roman" w:eastAsia="Times New Roman" w:hAnsi="Times New Roman"/>
                <w:sz w:val="19"/>
                <w:szCs w:val="19"/>
                <w:color w:val="auto"/>
              </w:rPr>
              <w:t>Collection of Proceeds of Collateral</w:t>
            </w:r>
          </w:p>
        </w:tc>
        <w:tc>
          <w:tcPr>
            <w:tcW w:w="2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7.11.</w:t>
            </w:r>
          </w:p>
        </w:tc>
        <w:tc>
          <w:tcPr>
            <w:tcW w:w="3860" w:type="dxa"/>
            <w:vAlign w:val="bottom"/>
            <w:gridSpan w:val="21"/>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Additional Collateral; Further Assurances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600" w:type="dxa"/>
            <w:vAlign w:val="bottom"/>
            <w:gridSpan w:val="2"/>
            <w:vMerge w:val="restart"/>
          </w:tcPr>
          <w:p>
            <w:pPr>
              <w:jc w:val="right"/>
              <w:ind w:right="400"/>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3860" w:type="dxa"/>
            <w:vAlign w:val="bottom"/>
            <w:gridSpan w:val="21"/>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7.12.</w:t>
            </w:r>
          </w:p>
        </w:tc>
        <w:tc>
          <w:tcPr>
            <w:tcW w:w="3460" w:type="dxa"/>
            <w:vAlign w:val="bottom"/>
            <w:gridSpan w:val="19"/>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End of Fiscal Years; Fiscal Quarters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400" w:type="dxa"/>
            <w:vAlign w:val="bottom"/>
            <w:gridSpan w:val="2"/>
            <w:vMerge w:val="restart"/>
          </w:tcPr>
          <w:p>
            <w:pPr>
              <w:jc w:val="right"/>
              <w:ind w:right="101"/>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3460" w:type="dxa"/>
            <w:vAlign w:val="bottom"/>
            <w:gridSpan w:val="19"/>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7.13.</w:t>
            </w:r>
          </w:p>
        </w:tc>
        <w:tc>
          <w:tcPr>
            <w:tcW w:w="1900" w:type="dxa"/>
            <w:vAlign w:val="bottom"/>
            <w:gridSpan w:val="7"/>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w w:val="99"/>
              </w:rPr>
              <w:t>Costs and Expenses</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62</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vMerge w:val="continue"/>
          </w:tcPr>
          <w:p>
            <w:pPr>
              <w:spacing w:after="0"/>
              <w:rPr>
                <w:sz w:val="14"/>
                <w:szCs w:val="14"/>
                <w:color w:val="auto"/>
              </w:rPr>
            </w:pPr>
          </w:p>
        </w:tc>
        <w:tc>
          <w:tcPr>
            <w:tcW w:w="190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7.14.</w:t>
            </w:r>
          </w:p>
        </w:tc>
        <w:tc>
          <w:tcPr>
            <w:tcW w:w="2280" w:type="dxa"/>
            <w:vAlign w:val="bottom"/>
            <w:gridSpan w:val="11"/>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Regulatory Approvals</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vMerge w:val="continue"/>
          </w:tcPr>
          <w:p>
            <w:pPr>
              <w:spacing w:after="0"/>
              <w:rPr>
                <w:sz w:val="14"/>
                <w:szCs w:val="14"/>
                <w:color w:val="auto"/>
              </w:rPr>
            </w:pPr>
          </w:p>
        </w:tc>
        <w:tc>
          <w:tcPr>
            <w:tcW w:w="2280" w:type="dxa"/>
            <w:vAlign w:val="bottom"/>
            <w:gridSpan w:val="11"/>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62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-5727700</wp:posOffset>
            </wp:positionV>
            <wp:extent cx="8255" cy="12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-5727700</wp:posOffset>
            </wp:positionV>
            <wp:extent cx="8890" cy="12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-5727700</wp:posOffset>
            </wp:positionV>
            <wp:extent cx="8890" cy="12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-5727700</wp:posOffset>
            </wp:positionV>
            <wp:extent cx="8890" cy="12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-5727700</wp:posOffset>
            </wp:positionV>
            <wp:extent cx="8890" cy="127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-5727700</wp:posOffset>
            </wp:positionV>
            <wp:extent cx="8255" cy="12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-5727700</wp:posOffset>
            </wp:positionV>
            <wp:extent cx="8890" cy="12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-5727700</wp:posOffset>
            </wp:positionV>
            <wp:extent cx="8890" cy="127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-5727700</wp:posOffset>
            </wp:positionV>
            <wp:extent cx="8890" cy="12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-5727700</wp:posOffset>
            </wp:positionV>
            <wp:extent cx="8890" cy="12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-5582285</wp:posOffset>
            </wp:positionV>
            <wp:extent cx="8890" cy="12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-5582285</wp:posOffset>
            </wp:positionV>
            <wp:extent cx="8890" cy="12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-5436235</wp:posOffset>
            </wp:positionV>
            <wp:extent cx="8890" cy="127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-5436235</wp:posOffset>
            </wp:positionV>
            <wp:extent cx="8890" cy="12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-5436235</wp:posOffset>
            </wp:positionV>
            <wp:extent cx="8890" cy="12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-5436235</wp:posOffset>
            </wp:positionV>
            <wp:extent cx="8890" cy="12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-5436235</wp:posOffset>
            </wp:positionV>
            <wp:extent cx="8255" cy="12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-5436235</wp:posOffset>
            </wp:positionV>
            <wp:extent cx="8890" cy="127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-5290820</wp:posOffset>
            </wp:positionV>
            <wp:extent cx="8890" cy="127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-5290820</wp:posOffset>
            </wp:positionV>
            <wp:extent cx="8890" cy="12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-5290820</wp:posOffset>
            </wp:positionV>
            <wp:extent cx="8255" cy="127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-5290820</wp:posOffset>
            </wp:positionV>
            <wp:extent cx="8890" cy="12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-5290820</wp:posOffset>
            </wp:positionV>
            <wp:extent cx="8255" cy="12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-5290820</wp:posOffset>
            </wp:positionV>
            <wp:extent cx="8890" cy="127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-5290820</wp:posOffset>
            </wp:positionV>
            <wp:extent cx="8890" cy="127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-5290820</wp:posOffset>
            </wp:positionV>
            <wp:extent cx="8890" cy="127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-5290820</wp:posOffset>
            </wp:positionV>
            <wp:extent cx="8890" cy="127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-5290820</wp:posOffset>
            </wp:positionV>
            <wp:extent cx="8255" cy="127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-5290820</wp:posOffset>
            </wp:positionV>
            <wp:extent cx="8890" cy="127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-5290820</wp:posOffset>
            </wp:positionV>
            <wp:extent cx="8890" cy="127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-5290820</wp:posOffset>
            </wp:positionV>
            <wp:extent cx="8890" cy="12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-5290820</wp:posOffset>
            </wp:positionV>
            <wp:extent cx="8890" cy="127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-5144770</wp:posOffset>
            </wp:positionV>
            <wp:extent cx="8255" cy="127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-5144770</wp:posOffset>
            </wp:positionV>
            <wp:extent cx="8255" cy="127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-5144770</wp:posOffset>
            </wp:positionV>
            <wp:extent cx="8255" cy="127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-4999355</wp:posOffset>
            </wp:positionV>
            <wp:extent cx="889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-4999355</wp:posOffset>
            </wp:positionV>
            <wp:extent cx="8890" cy="1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-4999355</wp:posOffset>
            </wp:positionV>
            <wp:extent cx="8890" cy="127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-4999355</wp:posOffset>
            </wp:positionV>
            <wp:extent cx="8255" cy="127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-4999355</wp:posOffset>
            </wp:positionV>
            <wp:extent cx="8890" cy="12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-4999355</wp:posOffset>
            </wp:positionV>
            <wp:extent cx="8890" cy="127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-4999355</wp:posOffset>
            </wp:positionV>
            <wp:extent cx="8890" cy="127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-4999355</wp:posOffset>
            </wp:positionV>
            <wp:extent cx="8890" cy="127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-4999355</wp:posOffset>
            </wp:positionV>
            <wp:extent cx="8255" cy="127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-4999355</wp:posOffset>
            </wp:positionV>
            <wp:extent cx="8890" cy="127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-4999355</wp:posOffset>
            </wp:positionV>
            <wp:extent cx="8890" cy="127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-4999355</wp:posOffset>
            </wp:positionV>
            <wp:extent cx="8890" cy="127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-4999355</wp:posOffset>
            </wp:positionV>
            <wp:extent cx="8890" cy="12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-4707890</wp:posOffset>
            </wp:positionV>
            <wp:extent cx="8255"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-4707890</wp:posOffset>
            </wp:positionV>
            <wp:extent cx="8255" cy="127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-4707890</wp:posOffset>
            </wp:positionV>
            <wp:extent cx="8255" cy="127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-4707890</wp:posOffset>
            </wp:positionV>
            <wp:extent cx="8890" cy="127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-4707890</wp:posOffset>
            </wp:positionV>
            <wp:extent cx="8890" cy="127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-4707890</wp:posOffset>
            </wp:positionV>
            <wp:extent cx="8255" cy="127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-4707890</wp:posOffset>
            </wp:positionV>
            <wp:extent cx="8255" cy="127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-4707890</wp:posOffset>
            </wp:positionV>
            <wp:extent cx="8255"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-4707890</wp:posOffset>
            </wp:positionV>
            <wp:extent cx="8890" cy="127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-4561840</wp:posOffset>
            </wp:positionV>
            <wp:extent cx="889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-4561840</wp:posOffset>
            </wp:positionV>
            <wp:extent cx="8890" cy="127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-4561840</wp:posOffset>
            </wp:positionV>
            <wp:extent cx="8890" cy="12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-4561840</wp:posOffset>
            </wp:positionV>
            <wp:extent cx="8890" cy="127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-4561840</wp:posOffset>
            </wp:positionV>
            <wp:extent cx="8890"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-4561840</wp:posOffset>
            </wp:positionV>
            <wp:extent cx="8890" cy="127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-4561840</wp:posOffset>
            </wp:positionV>
            <wp:extent cx="8255"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-4561840</wp:posOffset>
            </wp:positionV>
            <wp:extent cx="8890"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-4561840</wp:posOffset>
            </wp:positionV>
            <wp:extent cx="8890" cy="127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-4561840</wp:posOffset>
            </wp:positionV>
            <wp:extent cx="8890" cy="127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-4561840</wp:posOffset>
            </wp:positionV>
            <wp:extent cx="8890" cy="127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-4561840</wp:posOffset>
            </wp:positionV>
            <wp:extent cx="8255" cy="127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-4561840</wp:posOffset>
            </wp:positionV>
            <wp:extent cx="8890" cy="12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-4416425</wp:posOffset>
            </wp:positionV>
            <wp:extent cx="8890" cy="127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-4416425</wp:posOffset>
            </wp:positionV>
            <wp:extent cx="8255" cy="127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-4416425</wp:posOffset>
            </wp:positionV>
            <wp:extent cx="8890" cy="127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-4416425</wp:posOffset>
            </wp:positionV>
            <wp:extent cx="8890" cy="127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-4416425</wp:posOffset>
            </wp:positionV>
            <wp:extent cx="8890" cy="127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-4416425</wp:posOffset>
            </wp:positionV>
            <wp:extent cx="8890" cy="127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-4416425</wp:posOffset>
            </wp:positionV>
            <wp:extent cx="8255" cy="127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-4416425</wp:posOffset>
            </wp:positionV>
            <wp:extent cx="8890" cy="127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-4270375</wp:posOffset>
            </wp:positionV>
            <wp:extent cx="8890" cy="127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-4270375</wp:posOffset>
            </wp:positionV>
            <wp:extent cx="8890" cy="127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-4270375</wp:posOffset>
            </wp:positionV>
            <wp:extent cx="8890" cy="127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-4270375</wp:posOffset>
            </wp:positionV>
            <wp:extent cx="8890" cy="127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-4124960</wp:posOffset>
            </wp:positionV>
            <wp:extent cx="8255" cy="127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-4124960</wp:posOffset>
            </wp:positionV>
            <wp:extent cx="8890" cy="127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-4124960</wp:posOffset>
            </wp:positionV>
            <wp:extent cx="8890" cy="127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-4124960</wp:posOffset>
            </wp:positionV>
            <wp:extent cx="8890" cy="127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-4124960</wp:posOffset>
            </wp:positionV>
            <wp:extent cx="8890" cy="127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-3978910</wp:posOffset>
            </wp:positionV>
            <wp:extent cx="8890" cy="127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-3978910</wp:posOffset>
            </wp:positionV>
            <wp:extent cx="8890" cy="127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-3978910</wp:posOffset>
            </wp:positionV>
            <wp:extent cx="8890" cy="127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-3978910</wp:posOffset>
            </wp:positionV>
            <wp:extent cx="8890" cy="127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-3978910</wp:posOffset>
            </wp:positionV>
            <wp:extent cx="8890" cy="127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-3978910</wp:posOffset>
            </wp:positionV>
            <wp:extent cx="8255" cy="127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-3978910</wp:posOffset>
            </wp:positionV>
            <wp:extent cx="8890" cy="127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-3978910</wp:posOffset>
            </wp:positionV>
            <wp:extent cx="8890" cy="127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-3978910</wp:posOffset>
            </wp:positionV>
            <wp:extent cx="8890" cy="127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-3978910</wp:posOffset>
            </wp:positionV>
            <wp:extent cx="8890" cy="127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-3978910</wp:posOffset>
            </wp:positionV>
            <wp:extent cx="8255" cy="127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-3978910</wp:posOffset>
            </wp:positionV>
            <wp:extent cx="8890" cy="127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-3833495</wp:posOffset>
            </wp:positionV>
            <wp:extent cx="8890" cy="12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-3833495</wp:posOffset>
            </wp:positionV>
            <wp:extent cx="8255" cy="127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-3833495</wp:posOffset>
            </wp:positionV>
            <wp:extent cx="8890" cy="127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-3833495</wp:posOffset>
            </wp:positionV>
            <wp:extent cx="8890" cy="127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-3833495</wp:posOffset>
            </wp:positionV>
            <wp:extent cx="8890" cy="127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-3833495</wp:posOffset>
            </wp:positionV>
            <wp:extent cx="8890" cy="127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-3833495</wp:posOffset>
            </wp:positionV>
            <wp:extent cx="8255" cy="127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-3833495</wp:posOffset>
            </wp:positionV>
            <wp:extent cx="8890" cy="127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-3687445</wp:posOffset>
            </wp:positionV>
            <wp:extent cx="8890" cy="127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-3687445</wp:posOffset>
            </wp:positionV>
            <wp:extent cx="8890" cy="127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-3687445</wp:posOffset>
            </wp:positionV>
            <wp:extent cx="8890" cy="127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-3687445</wp:posOffset>
            </wp:positionV>
            <wp:extent cx="8890" cy="127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-3687445</wp:posOffset>
            </wp:positionV>
            <wp:extent cx="8255" cy="127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-3687445</wp:posOffset>
            </wp:positionV>
            <wp:extent cx="8890" cy="127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-3687445</wp:posOffset>
            </wp:positionV>
            <wp:extent cx="8890" cy="127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-3687445</wp:posOffset>
            </wp:positionV>
            <wp:extent cx="8890" cy="127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-3687445</wp:posOffset>
            </wp:positionV>
            <wp:extent cx="8890" cy="127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-3687445</wp:posOffset>
            </wp:positionV>
            <wp:extent cx="8890" cy="127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-3687445</wp:posOffset>
            </wp:positionV>
            <wp:extent cx="8890" cy="127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-3687445</wp:posOffset>
            </wp:positionV>
            <wp:extent cx="8255" cy="127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-3687445</wp:posOffset>
            </wp:positionV>
            <wp:extent cx="8890" cy="127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-3687445</wp:posOffset>
            </wp:positionV>
            <wp:extent cx="8890" cy="127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-3687445</wp:posOffset>
            </wp:positionV>
            <wp:extent cx="8890" cy="127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-3687445</wp:posOffset>
            </wp:positionV>
            <wp:extent cx="8890" cy="127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-3542030</wp:posOffset>
            </wp:positionV>
            <wp:extent cx="8890" cy="127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-3542030</wp:posOffset>
            </wp:positionV>
            <wp:extent cx="8890" cy="127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-3542030</wp:posOffset>
            </wp:positionV>
            <wp:extent cx="8255" cy="127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-3542030</wp:posOffset>
            </wp:positionV>
            <wp:extent cx="8890" cy="127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-3542030</wp:posOffset>
            </wp:positionV>
            <wp:extent cx="8890" cy="127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-3542030</wp:posOffset>
            </wp:positionV>
            <wp:extent cx="8890" cy="127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-3542030</wp:posOffset>
            </wp:positionV>
            <wp:extent cx="8890" cy="127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-3542030</wp:posOffset>
            </wp:positionV>
            <wp:extent cx="8890" cy="127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-3542030</wp:posOffset>
            </wp:positionV>
            <wp:extent cx="8890" cy="127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-3542030</wp:posOffset>
            </wp:positionV>
            <wp:extent cx="8255" cy="12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-3542030</wp:posOffset>
            </wp:positionV>
            <wp:extent cx="8890" cy="127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-3395980</wp:posOffset>
            </wp:positionV>
            <wp:extent cx="8890" cy="127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-3395980</wp:posOffset>
            </wp:positionV>
            <wp:extent cx="8890" cy="127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-3250565</wp:posOffset>
            </wp:positionV>
            <wp:extent cx="8890" cy="127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-3250565</wp:posOffset>
            </wp:positionV>
            <wp:extent cx="8890" cy="127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-3250565</wp:posOffset>
            </wp:positionV>
            <wp:extent cx="8890" cy="127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-3250565</wp:posOffset>
            </wp:positionV>
            <wp:extent cx="8890" cy="127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-3250565</wp:posOffset>
            </wp:positionV>
            <wp:extent cx="8255" cy="127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-3250565</wp:posOffset>
            </wp:positionV>
            <wp:extent cx="8890" cy="127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-2959100</wp:posOffset>
            </wp:positionV>
            <wp:extent cx="8890" cy="127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-2959100</wp:posOffset>
            </wp:positionV>
            <wp:extent cx="8890" cy="127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-2959100</wp:posOffset>
            </wp:positionV>
            <wp:extent cx="8890" cy="127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-2959100</wp:posOffset>
            </wp:positionV>
            <wp:extent cx="8255" cy="127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-2959100</wp:posOffset>
            </wp:positionV>
            <wp:extent cx="8890" cy="127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-2959100</wp:posOffset>
            </wp:positionV>
            <wp:extent cx="8890" cy="127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-2959100</wp:posOffset>
            </wp:positionV>
            <wp:extent cx="8890" cy="127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-2959100</wp:posOffset>
            </wp:positionV>
            <wp:extent cx="8890" cy="127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-2959100</wp:posOffset>
            </wp:positionV>
            <wp:extent cx="8255" cy="127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-2959100</wp:posOffset>
            </wp:positionV>
            <wp:extent cx="8890" cy="127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-2959100</wp:posOffset>
            </wp:positionV>
            <wp:extent cx="8255" cy="127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-2959100</wp:posOffset>
            </wp:positionV>
            <wp:extent cx="8890" cy="127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-2959100</wp:posOffset>
            </wp:positionV>
            <wp:extent cx="8890" cy="127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-2813050</wp:posOffset>
            </wp:positionV>
            <wp:extent cx="8255" cy="127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-2813050</wp:posOffset>
            </wp:positionV>
            <wp:extent cx="8890" cy="127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-2813050</wp:posOffset>
            </wp:positionV>
            <wp:extent cx="8890" cy="127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-2813050</wp:posOffset>
            </wp:positionV>
            <wp:extent cx="8890" cy="127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-2813050</wp:posOffset>
            </wp:positionV>
            <wp:extent cx="8890" cy="127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-2813050</wp:posOffset>
            </wp:positionV>
            <wp:extent cx="8255" cy="127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-2813050</wp:posOffset>
            </wp:positionV>
            <wp:extent cx="8890" cy="127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-2813050</wp:posOffset>
            </wp:positionV>
            <wp:extent cx="8890" cy="127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-2813050</wp:posOffset>
            </wp:positionV>
            <wp:extent cx="8890" cy="127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-2813050</wp:posOffset>
            </wp:positionV>
            <wp:extent cx="8890" cy="127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-2813050</wp:posOffset>
            </wp:positionV>
            <wp:extent cx="8890" cy="127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-2813050</wp:posOffset>
            </wp:positionV>
            <wp:extent cx="8890" cy="127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-2667635</wp:posOffset>
            </wp:positionV>
            <wp:extent cx="8255" cy="127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-2667635</wp:posOffset>
            </wp:positionV>
            <wp:extent cx="8890" cy="127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-2667635</wp:posOffset>
            </wp:positionV>
            <wp:extent cx="8890" cy="127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-2667635</wp:posOffset>
            </wp:positionV>
            <wp:extent cx="8890" cy="127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-2667635</wp:posOffset>
            </wp:positionV>
            <wp:extent cx="8890" cy="127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-2667635</wp:posOffset>
            </wp:positionV>
            <wp:extent cx="8890" cy="127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-2667635</wp:posOffset>
            </wp:positionV>
            <wp:extent cx="8890" cy="127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-2667635</wp:posOffset>
            </wp:positionV>
            <wp:extent cx="8255" cy="127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-2667635</wp:posOffset>
            </wp:positionV>
            <wp:extent cx="8890" cy="127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-2667635</wp:posOffset>
            </wp:positionV>
            <wp:extent cx="8890" cy="127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-2667635</wp:posOffset>
            </wp:positionV>
            <wp:extent cx="8890" cy="127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-2667635</wp:posOffset>
            </wp:positionV>
            <wp:extent cx="8890" cy="127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-2521585</wp:posOffset>
            </wp:positionV>
            <wp:extent cx="8255" cy="127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-2521585</wp:posOffset>
            </wp:positionV>
            <wp:extent cx="8255" cy="127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-2521585</wp:posOffset>
            </wp:positionV>
            <wp:extent cx="8255" cy="127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-2521585</wp:posOffset>
            </wp:positionV>
            <wp:extent cx="8890" cy="127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-2521585</wp:posOffset>
            </wp:positionV>
            <wp:extent cx="8890" cy="127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-2521585</wp:posOffset>
            </wp:positionV>
            <wp:extent cx="8255" cy="127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-2521585</wp:posOffset>
            </wp:positionV>
            <wp:extent cx="8255" cy="127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-2521585</wp:posOffset>
            </wp:positionV>
            <wp:extent cx="8255" cy="127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-2521585</wp:posOffset>
            </wp:positionV>
            <wp:extent cx="8890" cy="127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-2376170</wp:posOffset>
            </wp:positionV>
            <wp:extent cx="8890" cy="127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-2376170</wp:posOffset>
            </wp:positionV>
            <wp:extent cx="8890" cy="127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-2376170</wp:posOffset>
            </wp:positionV>
            <wp:extent cx="8255" cy="127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-2376170</wp:posOffset>
            </wp:positionV>
            <wp:extent cx="8890" cy="127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-2376170</wp:posOffset>
            </wp:positionV>
            <wp:extent cx="8890" cy="127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-2376170</wp:posOffset>
            </wp:positionV>
            <wp:extent cx="8890" cy="127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-2376170</wp:posOffset>
            </wp:positionV>
            <wp:extent cx="8890" cy="127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-2376170</wp:posOffset>
            </wp:positionV>
            <wp:extent cx="8255" cy="127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-2376170</wp:posOffset>
            </wp:positionV>
            <wp:extent cx="8890" cy="127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-2376170</wp:posOffset>
            </wp:positionV>
            <wp:extent cx="8890" cy="127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-2376170</wp:posOffset>
            </wp:positionV>
            <wp:extent cx="8890" cy="127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-2376170</wp:posOffset>
            </wp:positionV>
            <wp:extent cx="8890" cy="127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-2084705</wp:posOffset>
            </wp:positionV>
            <wp:extent cx="8890" cy="127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-2084705</wp:posOffset>
            </wp:positionV>
            <wp:extent cx="8890" cy="127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-2084705</wp:posOffset>
            </wp:positionV>
            <wp:extent cx="8890" cy="127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-2084705</wp:posOffset>
            </wp:positionV>
            <wp:extent cx="8255" cy="127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-2084705</wp:posOffset>
            </wp:positionV>
            <wp:extent cx="8890" cy="127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-2084705</wp:posOffset>
            </wp:positionV>
            <wp:extent cx="8890" cy="127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-2084705</wp:posOffset>
            </wp:positionV>
            <wp:extent cx="8890" cy="127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-1904365</wp:posOffset>
            </wp:positionV>
            <wp:extent cx="8255" cy="127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-1904365</wp:posOffset>
            </wp:positionV>
            <wp:extent cx="8255" cy="127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-1904365</wp:posOffset>
            </wp:positionV>
            <wp:extent cx="8255" cy="127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-1758950</wp:posOffset>
            </wp:positionV>
            <wp:extent cx="8890" cy="127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-1758950</wp:posOffset>
            </wp:positionV>
            <wp:extent cx="8890" cy="127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-1758950</wp:posOffset>
            </wp:positionV>
            <wp:extent cx="8255" cy="127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-1758950</wp:posOffset>
            </wp:positionV>
            <wp:extent cx="8890" cy="127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-1758950</wp:posOffset>
            </wp:positionV>
            <wp:extent cx="8890" cy="127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-1758950</wp:posOffset>
            </wp:positionV>
            <wp:extent cx="8890" cy="127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-1758950</wp:posOffset>
            </wp:positionV>
            <wp:extent cx="8890" cy="127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-1758950</wp:posOffset>
            </wp:positionV>
            <wp:extent cx="8255" cy="127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-1758950</wp:posOffset>
            </wp:positionV>
            <wp:extent cx="8890" cy="127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-1612900</wp:posOffset>
            </wp:positionV>
            <wp:extent cx="8890" cy="127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-1612900</wp:posOffset>
            </wp:positionV>
            <wp:extent cx="8890" cy="127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-1612900</wp:posOffset>
            </wp:positionV>
            <wp:extent cx="8890" cy="127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-1612900</wp:posOffset>
            </wp:positionV>
            <wp:extent cx="8890" cy="127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-1612900</wp:posOffset>
            </wp:positionV>
            <wp:extent cx="8255" cy="127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-1612900</wp:posOffset>
            </wp:positionV>
            <wp:extent cx="8890" cy="127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-1612900</wp:posOffset>
            </wp:positionV>
            <wp:extent cx="8890" cy="127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-1612900</wp:posOffset>
            </wp:positionV>
            <wp:extent cx="8890" cy="127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-1612900</wp:posOffset>
            </wp:positionV>
            <wp:extent cx="8890" cy="127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-1612900</wp:posOffset>
            </wp:positionV>
            <wp:extent cx="8890" cy="127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-1612900</wp:posOffset>
            </wp:positionV>
            <wp:extent cx="8890" cy="127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-1612900</wp:posOffset>
            </wp:positionV>
            <wp:extent cx="8255" cy="127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-1612900</wp:posOffset>
            </wp:positionV>
            <wp:extent cx="8890" cy="127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-1612900</wp:posOffset>
            </wp:positionV>
            <wp:extent cx="8890" cy="127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-1612900</wp:posOffset>
            </wp:positionV>
            <wp:extent cx="8890" cy="127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-1612900</wp:posOffset>
            </wp:positionV>
            <wp:extent cx="8890" cy="127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-1467485</wp:posOffset>
            </wp:positionV>
            <wp:extent cx="8890" cy="127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-1467485</wp:posOffset>
            </wp:positionV>
            <wp:extent cx="8890" cy="127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-1467485</wp:posOffset>
            </wp:positionV>
            <wp:extent cx="8890" cy="127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-1467485</wp:posOffset>
            </wp:positionV>
            <wp:extent cx="8890" cy="127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-1321435</wp:posOffset>
            </wp:positionV>
            <wp:extent cx="8890" cy="127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-1321435</wp:posOffset>
            </wp:positionV>
            <wp:extent cx="8255" cy="127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-1321435</wp:posOffset>
            </wp:positionV>
            <wp:extent cx="8890" cy="127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-1321435</wp:posOffset>
            </wp:positionV>
            <wp:extent cx="8890" cy="127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-1321435</wp:posOffset>
            </wp:positionV>
            <wp:extent cx="8890" cy="127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-1321435</wp:posOffset>
            </wp:positionV>
            <wp:extent cx="8890" cy="127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-1321435</wp:posOffset>
            </wp:positionV>
            <wp:extent cx="8255" cy="127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-1321435</wp:posOffset>
            </wp:positionV>
            <wp:extent cx="8890" cy="127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-1321435</wp:posOffset>
            </wp:positionV>
            <wp:extent cx="8890" cy="127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-1321435</wp:posOffset>
            </wp:positionV>
            <wp:extent cx="8890" cy="127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-1321435</wp:posOffset>
            </wp:positionV>
            <wp:extent cx="8890" cy="127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-1176020</wp:posOffset>
            </wp:positionV>
            <wp:extent cx="8890" cy="127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-1176020</wp:posOffset>
            </wp:positionV>
            <wp:extent cx="8255" cy="127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-1176020</wp:posOffset>
            </wp:positionV>
            <wp:extent cx="8890" cy="127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-1176020</wp:posOffset>
            </wp:positionV>
            <wp:extent cx="8890" cy="127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-1176020</wp:posOffset>
            </wp:positionV>
            <wp:extent cx="8890" cy="127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-1176020</wp:posOffset>
            </wp:positionV>
            <wp:extent cx="8890" cy="127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-1029970</wp:posOffset>
            </wp:positionV>
            <wp:extent cx="8890" cy="127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-1029970</wp:posOffset>
            </wp:positionV>
            <wp:extent cx="8890" cy="127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-1029970</wp:posOffset>
            </wp:positionV>
            <wp:extent cx="8890" cy="127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-1029970</wp:posOffset>
            </wp:positionV>
            <wp:extent cx="8890" cy="127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-1029970</wp:posOffset>
            </wp:positionV>
            <wp:extent cx="8255" cy="127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-1029970</wp:posOffset>
            </wp:positionV>
            <wp:extent cx="8890" cy="127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-1029970</wp:posOffset>
            </wp:positionV>
            <wp:extent cx="8890" cy="127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-1029970</wp:posOffset>
            </wp:positionV>
            <wp:extent cx="8890" cy="127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-1029970</wp:posOffset>
            </wp:positionV>
            <wp:extent cx="8890" cy="127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-1029970</wp:posOffset>
            </wp:positionV>
            <wp:extent cx="8890" cy="127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-1029970</wp:posOffset>
            </wp:positionV>
            <wp:extent cx="8890" cy="127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-1029970</wp:posOffset>
            </wp:positionV>
            <wp:extent cx="8255" cy="127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-1029970</wp:posOffset>
            </wp:positionV>
            <wp:extent cx="8890" cy="127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-1029970</wp:posOffset>
            </wp:positionV>
            <wp:extent cx="8890" cy="127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-1029970</wp:posOffset>
            </wp:positionV>
            <wp:extent cx="8890" cy="127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-1029970</wp:posOffset>
            </wp:positionV>
            <wp:extent cx="8890" cy="127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-884555</wp:posOffset>
            </wp:positionV>
            <wp:extent cx="8255" cy="127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-884555</wp:posOffset>
            </wp:positionV>
            <wp:extent cx="8255" cy="127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-884555</wp:posOffset>
            </wp:positionV>
            <wp:extent cx="8890" cy="127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-884555</wp:posOffset>
            </wp:positionV>
            <wp:extent cx="8890" cy="127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-884555</wp:posOffset>
            </wp:positionV>
            <wp:extent cx="8255" cy="127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-738505</wp:posOffset>
            </wp:positionV>
            <wp:extent cx="8890" cy="127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-738505</wp:posOffset>
            </wp:positionV>
            <wp:extent cx="8890" cy="127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-738505</wp:posOffset>
            </wp:positionV>
            <wp:extent cx="8890" cy="127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-738505</wp:posOffset>
            </wp:positionV>
            <wp:extent cx="8890" cy="127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-738505</wp:posOffset>
            </wp:positionV>
            <wp:extent cx="8255" cy="127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-738505</wp:posOffset>
            </wp:positionV>
            <wp:extent cx="8890" cy="127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-738505</wp:posOffset>
            </wp:positionV>
            <wp:extent cx="8890" cy="127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-738505</wp:posOffset>
            </wp:positionV>
            <wp:extent cx="8890" cy="127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-738505</wp:posOffset>
            </wp:positionV>
            <wp:extent cx="8890" cy="127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-738505</wp:posOffset>
            </wp:positionV>
            <wp:extent cx="8890" cy="127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-738505</wp:posOffset>
            </wp:positionV>
            <wp:extent cx="8890" cy="127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-593090</wp:posOffset>
            </wp:positionV>
            <wp:extent cx="8255" cy="127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-593090</wp:posOffset>
            </wp:positionV>
            <wp:extent cx="8255" cy="127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-593090</wp:posOffset>
            </wp:positionV>
            <wp:extent cx="8890" cy="127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-593090</wp:posOffset>
            </wp:positionV>
            <wp:extent cx="8890" cy="127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-593090</wp:posOffset>
            </wp:positionV>
            <wp:extent cx="8255" cy="127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-593090</wp:posOffset>
            </wp:positionV>
            <wp:extent cx="8255" cy="127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-593090</wp:posOffset>
            </wp:positionV>
            <wp:extent cx="8255" cy="127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-593090</wp:posOffset>
            </wp:positionV>
            <wp:extent cx="8890" cy="127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-593090</wp:posOffset>
            </wp:positionV>
            <wp:extent cx="8890" cy="127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-593090</wp:posOffset>
            </wp:positionV>
            <wp:extent cx="8255" cy="127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-593090</wp:posOffset>
            </wp:positionV>
            <wp:extent cx="8255" cy="127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-593090</wp:posOffset>
            </wp:positionV>
            <wp:extent cx="8255" cy="127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-447040</wp:posOffset>
            </wp:positionV>
            <wp:extent cx="8890" cy="127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-447040</wp:posOffset>
            </wp:positionV>
            <wp:extent cx="8255" cy="127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-447040</wp:posOffset>
            </wp:positionV>
            <wp:extent cx="8255" cy="127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-447040</wp:posOffset>
            </wp:positionV>
            <wp:extent cx="8255" cy="127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-447040</wp:posOffset>
            </wp:positionV>
            <wp:extent cx="8890" cy="127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-447040</wp:posOffset>
            </wp:positionV>
            <wp:extent cx="8890" cy="127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-447040</wp:posOffset>
            </wp:positionV>
            <wp:extent cx="8255" cy="127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-447040</wp:posOffset>
            </wp:positionV>
            <wp:extent cx="8255" cy="127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-447040</wp:posOffset>
            </wp:positionV>
            <wp:extent cx="8255" cy="127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-301625</wp:posOffset>
            </wp:positionV>
            <wp:extent cx="8890" cy="127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-301625</wp:posOffset>
            </wp:positionV>
            <wp:extent cx="8890" cy="127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-301625</wp:posOffset>
            </wp:positionV>
            <wp:extent cx="8890" cy="127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-301625</wp:posOffset>
            </wp:positionV>
            <wp:extent cx="8890" cy="127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-301625</wp:posOffset>
            </wp:positionV>
            <wp:extent cx="8255" cy="127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-301625</wp:posOffset>
            </wp:positionV>
            <wp:extent cx="8890" cy="127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-301625</wp:posOffset>
            </wp:positionV>
            <wp:extent cx="8255" cy="127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-301625</wp:posOffset>
            </wp:positionV>
            <wp:extent cx="8255" cy="127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-301625</wp:posOffset>
            </wp:positionV>
            <wp:extent cx="8890" cy="127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-301625</wp:posOffset>
            </wp:positionV>
            <wp:extent cx="8890" cy="127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-301625</wp:posOffset>
            </wp:positionV>
            <wp:extent cx="8255" cy="127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-155575</wp:posOffset>
            </wp:positionV>
            <wp:extent cx="8890" cy="127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-155575</wp:posOffset>
            </wp:positionV>
            <wp:extent cx="8890" cy="127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-155575</wp:posOffset>
            </wp:positionV>
            <wp:extent cx="8890" cy="127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-155575</wp:posOffset>
            </wp:positionV>
            <wp:extent cx="8255" cy="127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-155575</wp:posOffset>
            </wp:positionV>
            <wp:extent cx="8890" cy="127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-155575</wp:posOffset>
            </wp:positionV>
            <wp:extent cx="8890" cy="127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-155575</wp:posOffset>
            </wp:positionV>
            <wp:extent cx="8890" cy="127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-155575</wp:posOffset>
            </wp:positionV>
            <wp:extent cx="8890" cy="127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-155575</wp:posOffset>
            </wp:positionV>
            <wp:extent cx="8255" cy="127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-155575</wp:posOffset>
            </wp:positionV>
            <wp:extent cx="8890" cy="127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-155575</wp:posOffset>
            </wp:positionV>
            <wp:extent cx="8890" cy="127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-155575</wp:posOffset>
            </wp:positionV>
            <wp:extent cx="8890" cy="127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-155575</wp:posOffset>
            </wp:positionV>
            <wp:extent cx="8890" cy="127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-155575</wp:posOffset>
            </wp:positionV>
            <wp:extent cx="8255" cy="127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-155575</wp:posOffset>
            </wp:positionV>
            <wp:extent cx="8890" cy="127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-10160</wp:posOffset>
            </wp:positionV>
            <wp:extent cx="8890" cy="127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-10160</wp:posOffset>
            </wp:positionV>
            <wp:extent cx="8890" cy="127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-10160</wp:posOffset>
            </wp:positionV>
            <wp:extent cx="8890" cy="127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-10160</wp:posOffset>
            </wp:positionV>
            <wp:extent cx="8890" cy="127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-10160</wp:posOffset>
            </wp:positionV>
            <wp:extent cx="8255" cy="127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-10160</wp:posOffset>
            </wp:positionV>
            <wp:extent cx="8890" cy="127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-10160</wp:posOffset>
            </wp:positionV>
            <wp:extent cx="8890" cy="127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-10160</wp:posOffset>
            </wp:positionV>
            <wp:extent cx="8890" cy="127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-10160</wp:posOffset>
            </wp:positionV>
            <wp:extent cx="8890" cy="127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1270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20"/>
          <w:szCs w:val="20"/>
          <w:color w:val="auto"/>
        </w:rPr>
        <w:t xml:space="preserve">7.15. Post-Closing Requirements  </w:t>
      </w:r>
      <w:r>
        <w:rPr>
          <w:rFonts w:ascii="Times New Roman" w:cs="Times New Roman" w:eastAsia="Times New Roman" w:hAnsi="Times New Roman"/>
          <w:sz w:val="20"/>
          <w:szCs w:val="20"/>
          <w:color w:val="FF0000"/>
          <w:strike w:val="1"/>
        </w:rPr>
        <w:t>61</w:t>
      </w:r>
      <w:r>
        <w:rPr>
          <w:rFonts w:ascii="Times New Roman" w:cs="Times New Roman" w:eastAsia="Times New Roman" w:hAnsi="Times New Roman"/>
          <w:sz w:val="20"/>
          <w:szCs w:val="20"/>
          <w:u w:val="single" w:color="auto"/>
          <w:color w:val="0000FF"/>
        </w:rPr>
        <w:t>62</w:t>
      </w:r>
      <w:r>
        <w:rPr>
          <w:rFonts w:ascii="Times New Roman" w:cs="Times New Roman" w:eastAsia="Times New Roman" w:hAnsi="Times New Roman"/>
          <w:sz w:val="20"/>
          <w:szCs w:val="20"/>
          <w:color w:val="auto"/>
        </w:rPr>
        <w:t xml:space="preserve"> SECTION 8. NEGATIVE COVENANTS  </w:t>
      </w:r>
      <w:r>
        <w:rPr>
          <w:rFonts w:ascii="Times New Roman" w:cs="Times New Roman" w:eastAsia="Times New Roman" w:hAnsi="Times New Roman"/>
          <w:sz w:val="20"/>
          <w:szCs w:val="20"/>
          <w:color w:val="FF0000"/>
          <w:strike w:val="1"/>
        </w:rPr>
        <w:t>61</w:t>
      </w:r>
      <w:r>
        <w:rPr>
          <w:rFonts w:ascii="Times New Roman" w:cs="Times New Roman" w:eastAsia="Times New Roman" w:hAnsi="Times New Roman"/>
          <w:sz w:val="20"/>
          <w:szCs w:val="20"/>
          <w:u w:val="single" w:color="auto"/>
          <w:color w:val="0000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-12700</wp:posOffset>
            </wp:positionV>
            <wp:extent cx="8255" cy="127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-12700</wp:posOffset>
            </wp:positionV>
            <wp:extent cx="8890" cy="127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-12700</wp:posOffset>
            </wp:positionV>
            <wp:extent cx="8890" cy="127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-12700</wp:posOffset>
            </wp:positionV>
            <wp:extent cx="8890" cy="127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-12700</wp:posOffset>
            </wp:positionV>
            <wp:extent cx="8890" cy="127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-12700</wp:posOffset>
            </wp:positionV>
            <wp:extent cx="8255" cy="127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-12700</wp:posOffset>
            </wp:positionV>
            <wp:extent cx="8255" cy="127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-12700</wp:posOffset>
            </wp:positionV>
            <wp:extent cx="8890" cy="127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-12700</wp:posOffset>
            </wp:positionV>
            <wp:extent cx="8890" cy="127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-12700</wp:posOffset>
            </wp:positionV>
            <wp:extent cx="8255" cy="127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-12700</wp:posOffset>
            </wp:positionV>
            <wp:extent cx="8255" cy="127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12700"/>
                    </a:xfrm>
                    <a:prstGeom prst="rect">
                      <a:avLst/>
                    </a:prstGeom>
                    <a:noFill/>
                  </pic:spPr>
                </pic:pic>
              </a:graphicData>
            </a:graphic>
          </wp:anchor>
        </w:drawing>
      </w:r>
    </w:p>
    <w:p>
      <w:pPr>
        <w:spacing w:after="0" w:line="15" w:lineRule="exact"/>
        <w:rPr>
          <w:sz w:val="20"/>
          <w:szCs w:val="20"/>
          <w:color w:val="auto"/>
        </w:rPr>
      </w:pPr>
    </w:p>
    <w:tbl>
      <w:tblPr>
        <w:tblLayout w:type="fixed"/>
        <w:tblInd w:w="1000" w:type="dxa"/>
        <w:tblCellMar>
          <w:top w:w="0" w:type="dxa"/>
          <w:left w:w="0" w:type="dxa"/>
          <w:bottom w:w="0" w:type="dxa"/>
          <w:right w:w="0" w:type="dxa"/>
        </w:tblCellMar>
      </w:tblPr>
      <w:tr>
        <w:trPr>
          <w:trHeight w:val="40"/>
        </w:trPr>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w w:val="86"/>
              </w:rPr>
              <w:t>8.1.</w:t>
            </w:r>
          </w:p>
        </w:tc>
        <w:tc>
          <w:tcPr>
            <w:tcW w:w="1400" w:type="dxa"/>
            <w:vAlign w:val="bottom"/>
            <w:gridSpan w:val="4"/>
            <w:vMerge w:val="restart"/>
          </w:tcPr>
          <w:p>
            <w:pPr>
              <w:ind w:left="220"/>
              <w:spacing w:after="0"/>
              <w:rPr>
                <w:sz w:val="20"/>
                <w:szCs w:val="20"/>
                <w:color w:val="auto"/>
              </w:rPr>
            </w:pPr>
            <w:r>
              <w:rPr>
                <w:rFonts w:ascii="Times New Roman" w:cs="Times New Roman" w:eastAsia="Times New Roman" w:hAnsi="Times New Roman"/>
                <w:sz w:val="20"/>
                <w:szCs w:val="20"/>
                <w:color w:val="auto"/>
              </w:rPr>
              <w:t>Indebtedness</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20"/>
                <w:szCs w:val="20"/>
                <w:color w:val="FF0000"/>
                <w:strike w:val="1"/>
                <w:w w:val="89"/>
              </w:rPr>
              <w:t>61</w:t>
            </w:r>
          </w:p>
        </w:tc>
        <w:tc>
          <w:tcPr>
            <w:tcW w:w="4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20"/>
                <w:szCs w:val="20"/>
                <w:color w:val="0000FF"/>
                <w:w w:val="89"/>
              </w:rPr>
              <w:t>62</w:t>
            </w:r>
          </w:p>
        </w:tc>
        <w:tc>
          <w:tcPr>
            <w:tcW w:w="20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20" w:type="dxa"/>
            <w:vAlign w:val="bottom"/>
            <w:vMerge w:val="continue"/>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8.2.</w:t>
            </w:r>
          </w:p>
        </w:tc>
        <w:tc>
          <w:tcPr>
            <w:tcW w:w="840" w:type="dxa"/>
            <w:vAlign w:val="bottom"/>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Liens</w:t>
            </w:r>
          </w:p>
        </w:tc>
        <w:tc>
          <w:tcPr>
            <w:tcW w:w="1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61</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62</w:t>
            </w: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8.3.</w:t>
            </w:r>
          </w:p>
        </w:tc>
        <w:tc>
          <w:tcPr>
            <w:tcW w:w="1200" w:type="dxa"/>
            <w:vAlign w:val="bottom"/>
            <w:gridSpan w:val="3"/>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w w:val="91"/>
              </w:rPr>
              <w:t>Fundamental</w:t>
            </w:r>
          </w:p>
        </w:tc>
        <w:tc>
          <w:tcPr>
            <w:tcW w:w="200" w:type="dxa"/>
            <w:vAlign w:val="bottom"/>
            <w:tcBorders>
              <w:bottom w:val="single" w:sz="8" w:color="0000FF"/>
            </w:tcBorders>
          </w:tcPr>
          <w:p>
            <w:pPr>
              <w:spacing w:after="0" w:line="20" w:lineRule="exact"/>
              <w:rPr>
                <w:sz w:val="1"/>
                <w:szCs w:val="1"/>
                <w:color w:val="auto"/>
              </w:rPr>
            </w:pPr>
          </w:p>
        </w:tc>
        <w:tc>
          <w:tcPr>
            <w:tcW w:w="80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Changes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61</w:t>
            </w:r>
          </w:p>
        </w:tc>
        <w:tc>
          <w:tcPr>
            <w:tcW w:w="400" w:type="dxa"/>
            <w:vAlign w:val="bottom"/>
            <w:gridSpan w:val="2"/>
            <w:vMerge w:val="restart"/>
          </w:tcPr>
          <w:p>
            <w:pPr>
              <w:jc w:val="right"/>
              <w:ind w:right="101"/>
              <w:spacing w:after="0" w:line="209" w:lineRule="exact"/>
              <w:rPr>
                <w:sz w:val="20"/>
                <w:szCs w:val="20"/>
                <w:color w:val="auto"/>
              </w:rPr>
            </w:pPr>
            <w:r>
              <w:rPr>
                <w:rFonts w:ascii="Times New Roman" w:cs="Times New Roman" w:eastAsia="Times New Roman" w:hAnsi="Times New Roman"/>
                <w:sz w:val="20"/>
                <w:szCs w:val="20"/>
                <w:color w:val="0000FF"/>
                <w:w w:val="89"/>
              </w:rPr>
              <w:t>62</w:t>
            </w: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8.4.</w:t>
            </w:r>
          </w:p>
        </w:tc>
        <w:tc>
          <w:tcPr>
            <w:tcW w:w="1800" w:type="dxa"/>
            <w:vAlign w:val="bottom"/>
            <w:gridSpan w:val="6"/>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Asset Dispositions</w:t>
            </w:r>
          </w:p>
        </w:tc>
        <w:tc>
          <w:tcPr>
            <w:tcW w:w="2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61</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63</w:t>
            </w: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0" w:type="dxa"/>
            <w:vAlign w:val="bottom"/>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w w:val="86"/>
              </w:rPr>
              <w:t>8.5.</w:t>
            </w:r>
          </w:p>
        </w:tc>
        <w:tc>
          <w:tcPr>
            <w:tcW w:w="1400" w:type="dxa"/>
            <w:vAlign w:val="bottom"/>
            <w:gridSpan w:val="4"/>
            <w:vMerge w:val="restart"/>
          </w:tcPr>
          <w:p>
            <w:pPr>
              <w:ind w:left="220"/>
              <w:spacing w:after="0"/>
              <w:rPr>
                <w:sz w:val="20"/>
                <w:szCs w:val="20"/>
                <w:color w:val="auto"/>
              </w:rPr>
            </w:pPr>
            <w:r>
              <w:rPr>
                <w:rFonts w:ascii="Times New Roman" w:cs="Times New Roman" w:eastAsia="Times New Roman" w:hAnsi="Times New Roman"/>
                <w:sz w:val="20"/>
                <w:szCs w:val="20"/>
                <w:color w:val="auto"/>
              </w:rPr>
              <w:t>Investments</w:t>
            </w: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vMerge w:val="continue"/>
          </w:tcPr>
          <w:p>
            <w:pPr>
              <w:spacing w:after="0"/>
              <w:rPr>
                <w:sz w:val="20"/>
                <w:szCs w:val="20"/>
                <w:color w:val="auto"/>
              </w:rPr>
            </w:pPr>
          </w:p>
        </w:tc>
        <w:tc>
          <w:tcPr>
            <w:tcW w:w="1400" w:type="dxa"/>
            <w:vAlign w:val="bottom"/>
            <w:gridSpan w:val="4"/>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89"/>
              </w:rPr>
              <w:t>61</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0000FF"/>
                <w:w w:val="89"/>
              </w:rPr>
              <w:t>63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8.6.</w:t>
            </w:r>
          </w:p>
        </w:tc>
        <w:tc>
          <w:tcPr>
            <w:tcW w:w="1600" w:type="dxa"/>
            <w:vAlign w:val="bottom"/>
            <w:gridSpan w:val="5"/>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w w:val="95"/>
              </w:rPr>
              <w:t>Transactions with</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80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Affiliates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62</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63</w:t>
            </w:r>
          </w:p>
        </w:tc>
        <w:tc>
          <w:tcPr>
            <w:tcW w:w="0" w:type="dxa"/>
            <w:vAlign w:val="bottom"/>
          </w:tcPr>
          <w:p>
            <w:pPr>
              <w:spacing w:after="0" w:line="20" w:lineRule="exact"/>
              <w:rPr>
                <w:sz w:val="1"/>
                <w:szCs w:val="1"/>
                <w:color w:val="auto"/>
              </w:rPr>
            </w:pPr>
          </w:p>
        </w:tc>
      </w:tr>
      <w:tr>
        <w:trPr>
          <w:trHeight w:val="174"/>
        </w:trPr>
        <w:tc>
          <w:tcPr>
            <w:tcW w:w="520" w:type="dxa"/>
            <w:vAlign w:val="bottom"/>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8.7.</w:t>
            </w:r>
          </w:p>
        </w:tc>
        <w:tc>
          <w:tcPr>
            <w:tcW w:w="2200" w:type="dxa"/>
            <w:vAlign w:val="bottom"/>
            <w:gridSpan w:val="8"/>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Change in Business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62</w:t>
            </w:r>
          </w:p>
        </w:tc>
        <w:tc>
          <w:tcPr>
            <w:tcW w:w="400" w:type="dxa"/>
            <w:vAlign w:val="bottom"/>
            <w:gridSpan w:val="2"/>
            <w:vMerge w:val="restart"/>
          </w:tcPr>
          <w:p>
            <w:pPr>
              <w:jc w:val="right"/>
              <w:ind w:right="101"/>
              <w:spacing w:after="0" w:line="209" w:lineRule="exact"/>
              <w:rPr>
                <w:sz w:val="20"/>
                <w:szCs w:val="20"/>
                <w:color w:val="auto"/>
              </w:rPr>
            </w:pPr>
            <w:r>
              <w:rPr>
                <w:rFonts w:ascii="Times New Roman" w:cs="Times New Roman" w:eastAsia="Times New Roman" w:hAnsi="Times New Roman"/>
                <w:sz w:val="20"/>
                <w:szCs w:val="20"/>
                <w:color w:val="0000FF"/>
                <w:w w:val="89"/>
              </w:rPr>
              <w:t>64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 w:type="dxa"/>
            <w:vAlign w:val="bottom"/>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8.8.</w:t>
            </w:r>
          </w:p>
        </w:tc>
        <w:tc>
          <w:tcPr>
            <w:tcW w:w="2200" w:type="dxa"/>
            <w:vAlign w:val="bottom"/>
            <w:gridSpan w:val="8"/>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Restricted Payments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62</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64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w w:val="86"/>
              </w:rPr>
              <w:t>8.9.</w:t>
            </w:r>
          </w:p>
        </w:tc>
        <w:tc>
          <w:tcPr>
            <w:tcW w:w="2200" w:type="dxa"/>
            <w:vAlign w:val="bottom"/>
            <w:gridSpan w:val="8"/>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Restrictive Agreements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63</w:t>
            </w: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 w:type="dxa"/>
            <w:vAlign w:val="bottom"/>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64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-1235710</wp:posOffset>
            </wp:positionV>
            <wp:extent cx="8890" cy="127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-1235710</wp:posOffset>
            </wp:positionV>
            <wp:extent cx="8255" cy="127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-1235710</wp:posOffset>
            </wp:positionV>
            <wp:extent cx="8890" cy="127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-1235710</wp:posOffset>
            </wp:positionV>
            <wp:extent cx="8890" cy="127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-1235710</wp:posOffset>
            </wp:positionV>
            <wp:extent cx="8890" cy="127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-1235710</wp:posOffset>
            </wp:positionV>
            <wp:extent cx="8890" cy="127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-1090295</wp:posOffset>
            </wp:positionV>
            <wp:extent cx="8890" cy="127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-1090295</wp:posOffset>
            </wp:positionV>
            <wp:extent cx="8890" cy="127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-1090295</wp:posOffset>
            </wp:positionV>
            <wp:extent cx="8890" cy="127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-1090295</wp:posOffset>
            </wp:positionV>
            <wp:extent cx="8890" cy="127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-1090295</wp:posOffset>
            </wp:positionV>
            <wp:extent cx="8890" cy="127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-1090295</wp:posOffset>
            </wp:positionV>
            <wp:extent cx="8890" cy="127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-1090295</wp:posOffset>
            </wp:positionV>
            <wp:extent cx="8255" cy="127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-1090295</wp:posOffset>
            </wp:positionV>
            <wp:extent cx="8890" cy="127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-1090295</wp:posOffset>
            </wp:positionV>
            <wp:extent cx="8890" cy="127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-1090295</wp:posOffset>
            </wp:positionV>
            <wp:extent cx="8890" cy="127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-1090295</wp:posOffset>
            </wp:positionV>
            <wp:extent cx="8890" cy="127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-1090295</wp:posOffset>
            </wp:positionV>
            <wp:extent cx="8255" cy="127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-1090295</wp:posOffset>
            </wp:positionV>
            <wp:extent cx="8890" cy="127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-944245</wp:posOffset>
            </wp:positionV>
            <wp:extent cx="8890" cy="127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-944245</wp:posOffset>
            </wp:positionV>
            <wp:extent cx="8255" cy="127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-944245</wp:posOffset>
            </wp:positionV>
            <wp:extent cx="8890" cy="127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-944245</wp:posOffset>
            </wp:positionV>
            <wp:extent cx="8890" cy="127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-944245</wp:posOffset>
            </wp:positionV>
            <wp:extent cx="8890" cy="127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-944245</wp:posOffset>
            </wp:positionV>
            <wp:extent cx="8890" cy="127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-944245</wp:posOffset>
            </wp:positionV>
            <wp:extent cx="8255" cy="127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-944245</wp:posOffset>
            </wp:positionV>
            <wp:extent cx="8890" cy="127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-798830</wp:posOffset>
            </wp:positionV>
            <wp:extent cx="8890" cy="127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-798830</wp:posOffset>
            </wp:positionV>
            <wp:extent cx="8890" cy="127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-798830</wp:posOffset>
            </wp:positionV>
            <wp:extent cx="8890" cy="127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-798830</wp:posOffset>
            </wp:positionV>
            <wp:extent cx="8890" cy="127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-610235</wp:posOffset>
            </wp:positionV>
            <wp:extent cx="8890" cy="127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-610235</wp:posOffset>
            </wp:positionV>
            <wp:extent cx="8890" cy="127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-610235</wp:posOffset>
            </wp:positionV>
            <wp:extent cx="8890" cy="127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-610235</wp:posOffset>
            </wp:positionV>
            <wp:extent cx="8890" cy="127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-610235</wp:posOffset>
            </wp:positionV>
            <wp:extent cx="8255" cy="127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-610235</wp:posOffset>
            </wp:positionV>
            <wp:extent cx="8890" cy="127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-610235</wp:posOffset>
            </wp:positionV>
            <wp:extent cx="8890" cy="127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-610235</wp:posOffset>
            </wp:positionV>
            <wp:extent cx="8890" cy="127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-610235</wp:posOffset>
            </wp:positionV>
            <wp:extent cx="8890" cy="127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-464185</wp:posOffset>
            </wp:positionV>
            <wp:extent cx="8890" cy="127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-464185</wp:posOffset>
            </wp:positionV>
            <wp:extent cx="8890" cy="127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-464185</wp:posOffset>
            </wp:positionV>
            <wp:extent cx="8890" cy="127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-464185</wp:posOffset>
            </wp:positionV>
            <wp:extent cx="8890" cy="127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-464185</wp:posOffset>
            </wp:positionV>
            <wp:extent cx="8255" cy="127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-464185</wp:posOffset>
            </wp:positionV>
            <wp:extent cx="8890" cy="127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-318770</wp:posOffset>
            </wp:positionV>
            <wp:extent cx="8890" cy="127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-318770</wp:posOffset>
            </wp:positionV>
            <wp:extent cx="8255" cy="127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-318770</wp:posOffset>
            </wp:positionV>
            <wp:extent cx="8890" cy="127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-318770</wp:posOffset>
            </wp:positionV>
            <wp:extent cx="8890" cy="127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-318770</wp:posOffset>
            </wp:positionV>
            <wp:extent cx="8890" cy="127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-318770</wp:posOffset>
            </wp:positionV>
            <wp:extent cx="8890" cy="127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-318770</wp:posOffset>
            </wp:positionV>
            <wp:extent cx="8255" cy="127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-318770</wp:posOffset>
            </wp:positionV>
            <wp:extent cx="8890" cy="127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-318770</wp:posOffset>
            </wp:positionV>
            <wp:extent cx="8890" cy="127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-318770</wp:posOffset>
            </wp:positionV>
            <wp:extent cx="8890" cy="127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-318770</wp:posOffset>
            </wp:positionV>
            <wp:extent cx="8890" cy="127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-318770</wp:posOffset>
            </wp:positionV>
            <wp:extent cx="8255" cy="127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-318770</wp:posOffset>
            </wp:positionV>
            <wp:extent cx="8890" cy="127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-318770</wp:posOffset>
            </wp:positionV>
            <wp:extent cx="8890" cy="127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-318770</wp:posOffset>
            </wp:positionV>
            <wp:extent cx="8890" cy="127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-318770</wp:posOffset>
            </wp:positionV>
            <wp:extent cx="8890" cy="127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-172720</wp:posOffset>
            </wp:positionV>
            <wp:extent cx="8890" cy="127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-172720</wp:posOffset>
            </wp:positionV>
            <wp:extent cx="8890" cy="127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-172720</wp:posOffset>
            </wp:positionV>
            <wp:extent cx="8890" cy="127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-172720</wp:posOffset>
            </wp:positionV>
            <wp:extent cx="8890" cy="127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-172720</wp:posOffset>
            </wp:positionV>
            <wp:extent cx="8255" cy="127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-172720</wp:posOffset>
            </wp:positionV>
            <wp:extent cx="8890" cy="127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-172720</wp:posOffset>
            </wp:positionV>
            <wp:extent cx="8890" cy="127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-172720</wp:posOffset>
            </wp:positionV>
            <wp:extent cx="8890" cy="127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-172720</wp:posOffset>
            </wp:positionV>
            <wp:extent cx="8890" cy="127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-172720</wp:posOffset>
            </wp:positionV>
            <wp:extent cx="8255" cy="127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-172720</wp:posOffset>
            </wp:positionV>
            <wp:extent cx="8890" cy="127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-172720</wp:posOffset>
            </wp:positionV>
            <wp:extent cx="8890" cy="127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-172720</wp:posOffset>
            </wp:positionV>
            <wp:extent cx="8890" cy="127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-172720</wp:posOffset>
            </wp:positionV>
            <wp:extent cx="8890" cy="127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-27305</wp:posOffset>
            </wp:positionV>
            <wp:extent cx="8255" cy="127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-27305</wp:posOffset>
            </wp:positionV>
            <wp:extent cx="8890" cy="127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-27305</wp:posOffset>
            </wp:positionV>
            <wp:extent cx="8890" cy="127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-27305</wp:posOffset>
            </wp:positionV>
            <wp:extent cx="8890" cy="127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-27305</wp:posOffset>
            </wp:positionV>
            <wp:extent cx="8890" cy="127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12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8" w:right="1440" w:bottom="1440" w:gutter="0" w:footer="0" w:header="0"/>
        </w:sectPr>
      </w:pPr>
    </w:p>
    <w:bookmarkStart w:id="15" w:name="page16"/>
    <w:bookmarkEnd w:id="15"/>
    <w:tbl>
      <w:tblPr>
        <w:tblLayout w:type="fixed"/>
        <w:tblInd w:w="1000" w:type="dxa"/>
        <w:tblCellMar>
          <w:top w:w="0" w:type="dxa"/>
          <w:left w:w="0" w:type="dxa"/>
          <w:bottom w:w="0" w:type="dxa"/>
          <w:right w:w="0" w:type="dxa"/>
        </w:tblCellMar>
      </w:tblPr>
      <w:tr>
        <w:trPr>
          <w:trHeight w:val="40"/>
        </w:trPr>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9"/>
              </w:rPr>
              <w:t>8.10.</w:t>
            </w:r>
          </w:p>
        </w:tc>
        <w:tc>
          <w:tcPr>
            <w:tcW w:w="3460" w:type="dxa"/>
            <w:vAlign w:val="bottom"/>
            <w:gridSpan w:val="9"/>
            <w:vMerge w:val="restart"/>
          </w:tcPr>
          <w:p>
            <w:pPr>
              <w:ind w:left="300"/>
              <w:spacing w:after="0"/>
              <w:rPr>
                <w:sz w:val="20"/>
                <w:szCs w:val="20"/>
                <w:color w:val="auto"/>
              </w:rPr>
            </w:pPr>
            <w:r>
              <w:rPr>
                <w:rFonts w:ascii="Times New Roman" w:cs="Times New Roman" w:eastAsia="Times New Roman" w:hAnsi="Times New Roman"/>
                <w:sz w:val="20"/>
                <w:szCs w:val="20"/>
                <w:color w:val="auto"/>
                <w:w w:val="99"/>
              </w:rPr>
              <w:t>Certain Payments of Indebtedness, Etc.</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63</w:t>
            </w:r>
          </w:p>
        </w:tc>
        <w:tc>
          <w:tcPr>
            <w:tcW w:w="1820" w:type="dxa"/>
            <w:vAlign w:val="bottom"/>
            <w:gridSpan w:val="2"/>
            <w:vMerge w:val="restart"/>
          </w:tcPr>
          <w:p>
            <w:pPr>
              <w:jc w:val="right"/>
              <w:ind w:right="1620"/>
              <w:spacing w:after="0"/>
              <w:rPr>
                <w:sz w:val="20"/>
                <w:szCs w:val="20"/>
                <w:color w:val="auto"/>
              </w:rPr>
            </w:pPr>
            <w:r>
              <w:rPr>
                <w:rFonts w:ascii="Times New Roman" w:cs="Times New Roman" w:eastAsia="Times New Roman" w:hAnsi="Times New Roman"/>
                <w:sz w:val="20"/>
                <w:szCs w:val="20"/>
                <w:color w:val="0000FF"/>
                <w:w w:val="89"/>
              </w:rPr>
              <w:t>65</w:t>
            </w:r>
          </w:p>
        </w:tc>
        <w:tc>
          <w:tcPr>
            <w:tcW w:w="20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40" w:type="dxa"/>
            <w:vAlign w:val="bottom"/>
            <w:vMerge w:val="continue"/>
          </w:tcPr>
          <w:p>
            <w:pPr>
              <w:spacing w:after="0"/>
              <w:rPr>
                <w:sz w:val="16"/>
                <w:szCs w:val="16"/>
                <w:color w:val="auto"/>
              </w:rPr>
            </w:pPr>
          </w:p>
        </w:tc>
        <w:tc>
          <w:tcPr>
            <w:tcW w:w="3460" w:type="dxa"/>
            <w:vAlign w:val="bottom"/>
            <w:gridSpan w:val="9"/>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8.11.</w:t>
            </w:r>
          </w:p>
        </w:tc>
        <w:tc>
          <w:tcPr>
            <w:tcW w:w="3460" w:type="dxa"/>
            <w:vAlign w:val="bottom"/>
            <w:gridSpan w:val="9"/>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Amendment of Material Documents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63</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vMerge w:val="continue"/>
          </w:tcPr>
          <w:p>
            <w:pPr>
              <w:spacing w:after="0"/>
              <w:rPr>
                <w:sz w:val="14"/>
                <w:szCs w:val="14"/>
                <w:color w:val="auto"/>
              </w:rPr>
            </w:pPr>
          </w:p>
        </w:tc>
        <w:tc>
          <w:tcPr>
            <w:tcW w:w="3460" w:type="dxa"/>
            <w:vAlign w:val="bottom"/>
            <w:gridSpan w:val="9"/>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65</w:t>
            </w: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8.12.</w:t>
            </w:r>
          </w:p>
        </w:tc>
        <w:tc>
          <w:tcPr>
            <w:tcW w:w="1420" w:type="dxa"/>
            <w:vAlign w:val="bottom"/>
            <w:vMerge w:val="restart"/>
          </w:tcPr>
          <w:p>
            <w:pPr>
              <w:ind w:left="30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300" w:type="dxa"/>
            <w:vAlign w:val="bottom"/>
            <w:gridSpan w:val="3"/>
            <w:vMerge w:val="restart"/>
          </w:tcPr>
          <w:p>
            <w:pPr>
              <w:jc w:val="right"/>
              <w:ind w:right="100"/>
              <w:spacing w:after="0" w:line="209" w:lineRule="exact"/>
              <w:rPr>
                <w:sz w:val="20"/>
                <w:szCs w:val="20"/>
                <w:color w:val="auto"/>
              </w:rPr>
            </w:pPr>
            <w:r>
              <w:rPr>
                <w:rFonts w:ascii="Times New Roman" w:cs="Times New Roman" w:eastAsia="Times New Roman" w:hAnsi="Times New Roman"/>
                <w:sz w:val="20"/>
                <w:szCs w:val="20"/>
                <w:color w:val="0000FF"/>
                <w:w w:val="89"/>
              </w:rPr>
              <w:t>65</w:t>
            </w:r>
          </w:p>
        </w:tc>
        <w:tc>
          <w:tcPr>
            <w:tcW w:w="5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8.13.</w:t>
            </w: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vMerge w:val="continue"/>
          </w:tcPr>
          <w:p>
            <w:pPr>
              <w:spacing w:after="0"/>
              <w:rPr>
                <w:sz w:val="14"/>
                <w:szCs w:val="14"/>
                <w:color w:val="auto"/>
              </w:rPr>
            </w:pPr>
          </w:p>
        </w:tc>
        <w:tc>
          <w:tcPr>
            <w:tcW w:w="1880" w:type="dxa"/>
            <w:vAlign w:val="bottom"/>
            <w:gridSpan w:val="5"/>
          </w:tcPr>
          <w:p>
            <w:pPr>
              <w:ind w:left="300"/>
              <w:spacing w:after="0" w:line="170" w:lineRule="exact"/>
              <w:rPr>
                <w:sz w:val="20"/>
                <w:szCs w:val="20"/>
                <w:color w:val="auto"/>
              </w:rPr>
            </w:pPr>
            <w:r>
              <w:rPr>
                <w:rFonts w:ascii="Times New Roman" w:cs="Times New Roman" w:eastAsia="Times New Roman" w:hAnsi="Times New Roman"/>
                <w:sz w:val="19"/>
                <w:szCs w:val="19"/>
                <w:color w:val="auto"/>
                <w:w w:val="97"/>
              </w:rPr>
              <w:t>Accounting Methods</w:t>
            </w:r>
          </w:p>
        </w:tc>
        <w:tc>
          <w:tcPr>
            <w:tcW w:w="10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rPr>
              <w:t>64</w:t>
            </w: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65</w:t>
            </w:r>
          </w:p>
        </w:tc>
        <w:tc>
          <w:tcPr>
            <w:tcW w:w="2800" w:type="dxa"/>
            <w:vAlign w:val="bottom"/>
            <w:gridSpan w:val="4"/>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8.14.</w:t>
            </w:r>
          </w:p>
        </w:tc>
        <w:tc>
          <w:tcPr>
            <w:tcW w:w="14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800" w:type="dxa"/>
            <w:vAlign w:val="bottom"/>
            <w:gridSpan w:val="4"/>
            <w:vMerge w:val="restart"/>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9. FINANCIAL COVENANTS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66</w:t>
            </w:r>
          </w:p>
        </w:tc>
        <w:tc>
          <w:tcPr>
            <w:tcW w:w="0" w:type="dxa"/>
            <w:vAlign w:val="bottom"/>
          </w:tcPr>
          <w:p>
            <w:pPr>
              <w:spacing w:after="0" w:line="20" w:lineRule="exact"/>
              <w:rPr>
                <w:sz w:val="1"/>
                <w:szCs w:val="1"/>
                <w:color w:val="auto"/>
              </w:rPr>
            </w:pPr>
          </w:p>
        </w:tc>
      </w:tr>
      <w:tr>
        <w:trPr>
          <w:trHeight w:val="169"/>
        </w:trPr>
        <w:tc>
          <w:tcPr>
            <w:tcW w:w="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rPr>
              <w:t>64</w:t>
            </w:r>
          </w:p>
        </w:tc>
        <w:tc>
          <w:tcPr>
            <w:tcW w:w="90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 xml:space="preserve">65 </w:t>
            </w:r>
            <w:r>
              <w:rPr>
                <w:rFonts w:ascii="Times New Roman" w:cs="Times New Roman" w:eastAsia="Times New Roman" w:hAnsi="Times New Roman"/>
                <w:sz w:val="19"/>
                <w:szCs w:val="19"/>
                <w:color w:val="000000"/>
                <w:w w:val="84"/>
              </w:rPr>
              <w:t>SECTION</w:t>
            </w:r>
          </w:p>
        </w:tc>
        <w:tc>
          <w:tcPr>
            <w:tcW w:w="2800" w:type="dxa"/>
            <w:vAlign w:val="bottom"/>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-610235</wp:posOffset>
            </wp:positionV>
            <wp:extent cx="8890" cy="127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-610235</wp:posOffset>
            </wp:positionV>
            <wp:extent cx="8255" cy="127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-464185</wp:posOffset>
            </wp:positionV>
            <wp:extent cx="8890" cy="127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-464185</wp:posOffset>
            </wp:positionV>
            <wp:extent cx="8890" cy="127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-464185</wp:posOffset>
            </wp:positionV>
            <wp:extent cx="8255" cy="127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-464185</wp:posOffset>
            </wp:positionV>
            <wp:extent cx="8890" cy="127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-464185</wp:posOffset>
            </wp:positionV>
            <wp:extent cx="8890" cy="127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-464185</wp:posOffset>
            </wp:positionV>
            <wp:extent cx="8890" cy="127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-464185</wp:posOffset>
            </wp:positionV>
            <wp:extent cx="8890" cy="127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-464185</wp:posOffset>
            </wp:positionV>
            <wp:extent cx="8890" cy="127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-464185</wp:posOffset>
            </wp:positionV>
            <wp:extent cx="8255" cy="127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-464185</wp:posOffset>
            </wp:positionV>
            <wp:extent cx="8255" cy="127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-464185</wp:posOffset>
            </wp:positionV>
            <wp:extent cx="8255" cy="127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-464185</wp:posOffset>
            </wp:positionV>
            <wp:extent cx="8890" cy="127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-318770</wp:posOffset>
            </wp:positionV>
            <wp:extent cx="8255" cy="127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-318770</wp:posOffset>
            </wp:positionV>
            <wp:extent cx="8890" cy="127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-318770</wp:posOffset>
            </wp:positionV>
            <wp:extent cx="8890" cy="127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-318770</wp:posOffset>
            </wp:positionV>
            <wp:extent cx="8890" cy="127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-318770</wp:posOffset>
            </wp:positionV>
            <wp:extent cx="8890" cy="127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-318770</wp:posOffset>
            </wp:positionV>
            <wp:extent cx="8890" cy="127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-318770</wp:posOffset>
            </wp:positionV>
            <wp:extent cx="8890" cy="127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-318770</wp:posOffset>
            </wp:positionV>
            <wp:extent cx="8255" cy="127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-318770</wp:posOffset>
            </wp:positionV>
            <wp:extent cx="8890" cy="127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-318770</wp:posOffset>
            </wp:positionV>
            <wp:extent cx="8890" cy="127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-318770</wp:posOffset>
            </wp:positionV>
            <wp:extent cx="8890" cy="127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-318770</wp:posOffset>
            </wp:positionV>
            <wp:extent cx="8890" cy="127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-172720</wp:posOffset>
            </wp:positionV>
            <wp:extent cx="8890" cy="127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-172720</wp:posOffset>
            </wp:positionV>
            <wp:extent cx="8890" cy="127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-172720</wp:posOffset>
            </wp:positionV>
            <wp:extent cx="8255" cy="127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-172720</wp:posOffset>
            </wp:positionV>
            <wp:extent cx="8890" cy="127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-172720</wp:posOffset>
            </wp:positionV>
            <wp:extent cx="8890" cy="127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-172720</wp:posOffset>
            </wp:positionV>
            <wp:extent cx="8890" cy="127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-172720</wp:posOffset>
            </wp:positionV>
            <wp:extent cx="8890" cy="127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-172720</wp:posOffset>
            </wp:positionV>
            <wp:extent cx="8255" cy="127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-172720</wp:posOffset>
            </wp:positionV>
            <wp:extent cx="8890" cy="127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-172720</wp:posOffset>
            </wp:positionV>
            <wp:extent cx="8890" cy="127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-172720</wp:posOffset>
            </wp:positionV>
            <wp:extent cx="8890" cy="127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-172720</wp:posOffset>
            </wp:positionV>
            <wp:extent cx="8890" cy="127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-27305</wp:posOffset>
            </wp:positionV>
            <wp:extent cx="8890" cy="127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-27305</wp:posOffset>
            </wp:positionV>
            <wp:extent cx="8255" cy="127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-27305</wp:posOffset>
            </wp:positionV>
            <wp:extent cx="8890" cy="127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-27305</wp:posOffset>
            </wp:positionV>
            <wp:extent cx="8890" cy="127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-27305</wp:posOffset>
            </wp:positionV>
            <wp:extent cx="8890" cy="127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-27305</wp:posOffset>
            </wp:positionV>
            <wp:extent cx="8890" cy="127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-27305</wp:posOffset>
            </wp:positionV>
            <wp:extent cx="8255" cy="127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-27305</wp:posOffset>
            </wp:positionV>
            <wp:extent cx="8890" cy="127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-27305</wp:posOffset>
            </wp:positionV>
            <wp:extent cx="8890" cy="127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-27305</wp:posOffset>
            </wp:positionV>
            <wp:extent cx="8890" cy="127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-27305</wp:posOffset>
            </wp:positionV>
            <wp:extent cx="8890" cy="127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12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54" w:right="1440" w:bottom="1440" w:gutter="0" w:footer="0" w:header="0"/>
        </w:sectPr>
      </w:pPr>
    </w:p>
    <w:bookmarkStart w:id="16" w:name="page17"/>
    <w:bookmarkEnd w:id="16"/>
    <w:tbl>
      <w:tblPr>
        <w:tblLayout w:type="fixed"/>
        <w:tblInd w:w="740" w:type="dxa"/>
        <w:tblCellMar>
          <w:top w:w="0" w:type="dxa"/>
          <w:left w:w="0" w:type="dxa"/>
          <w:bottom w:w="0" w:type="dxa"/>
          <w:right w:w="0" w:type="dxa"/>
        </w:tblCellMar>
      </w:tblPr>
      <w:tr>
        <w:trPr>
          <w:trHeight w:val="40"/>
        </w:trPr>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9.1.</w:t>
            </w:r>
          </w:p>
        </w:tc>
        <w:tc>
          <w:tcPr>
            <w:tcW w:w="3400" w:type="dxa"/>
            <w:vAlign w:val="bottom"/>
            <w:gridSpan w:val="26"/>
            <w:vMerge w:val="restart"/>
          </w:tcPr>
          <w:p>
            <w:pPr>
              <w:ind w:left="240"/>
              <w:spacing w:after="0"/>
              <w:rPr>
                <w:sz w:val="20"/>
                <w:szCs w:val="20"/>
                <w:color w:val="auto"/>
              </w:rPr>
            </w:pPr>
            <w:r>
              <w:rPr>
                <w:rFonts w:ascii="Times New Roman" w:cs="Times New Roman" w:eastAsia="Times New Roman" w:hAnsi="Times New Roman"/>
                <w:sz w:val="20"/>
                <w:szCs w:val="20"/>
                <w:color w:val="auto"/>
                <w:w w:val="98"/>
              </w:rPr>
              <w:t>Minimum Debt Service Coverage Ratio</w:t>
            </w:r>
          </w:p>
        </w:tc>
        <w:tc>
          <w:tcPr>
            <w:tcW w:w="20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66</w:t>
            </w: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60" w:type="dxa"/>
            <w:vAlign w:val="bottom"/>
            <w:vMerge w:val="continue"/>
          </w:tcPr>
          <w:p>
            <w:pPr>
              <w:spacing w:after="0"/>
              <w:rPr>
                <w:sz w:val="16"/>
                <w:szCs w:val="16"/>
                <w:color w:val="auto"/>
              </w:rPr>
            </w:pPr>
          </w:p>
        </w:tc>
        <w:tc>
          <w:tcPr>
            <w:tcW w:w="3400" w:type="dxa"/>
            <w:vAlign w:val="bottom"/>
            <w:gridSpan w:val="26"/>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0000FF"/>
            </w:tcBorders>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9.2.</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580" w:type="dxa"/>
            <w:vAlign w:val="bottom"/>
            <w:gridSpan w:val="5"/>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EBITDA Ratio</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66</w:t>
            </w:r>
          </w:p>
        </w:tc>
        <w:tc>
          <w:tcPr>
            <w:tcW w:w="4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4200" w:type="dxa"/>
            <w:vAlign w:val="bottom"/>
            <w:gridSpan w:val="30"/>
          </w:tcPr>
          <w:p>
            <w:pPr>
              <w:ind w:left="240"/>
              <w:spacing w:after="0" w:line="170" w:lineRule="exact"/>
              <w:rPr>
                <w:sz w:val="20"/>
                <w:szCs w:val="20"/>
                <w:color w:val="auto"/>
              </w:rPr>
            </w:pPr>
            <w:r>
              <w:rPr>
                <w:rFonts w:ascii="Times New Roman" w:cs="Times New Roman" w:eastAsia="Times New Roman" w:hAnsi="Times New Roman"/>
                <w:sz w:val="19"/>
                <w:szCs w:val="19"/>
                <w:color w:val="auto"/>
              </w:rPr>
              <w:t>Maximum Funded Debt to Consolidated Adjusted</w:t>
            </w:r>
          </w:p>
        </w:tc>
        <w:tc>
          <w:tcPr>
            <w:tcW w:w="1580" w:type="dxa"/>
            <w:vAlign w:val="bottom"/>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9.3.</w:t>
            </w:r>
          </w:p>
        </w:tc>
        <w:tc>
          <w:tcPr>
            <w:tcW w:w="3020" w:type="dxa"/>
            <w:vAlign w:val="bottom"/>
            <w:gridSpan w:val="24"/>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Minimum Tangible Net Worth</w:t>
            </w:r>
          </w:p>
        </w:tc>
        <w:tc>
          <w:tcPr>
            <w:tcW w:w="1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66</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3020" w:type="dxa"/>
            <w:vAlign w:val="bottom"/>
            <w:gridSpan w:val="24"/>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9.4.</w:t>
            </w:r>
          </w:p>
        </w:tc>
        <w:tc>
          <w:tcPr>
            <w:tcW w:w="112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Example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64</w:t>
            </w:r>
          </w:p>
        </w:tc>
        <w:tc>
          <w:tcPr>
            <w:tcW w:w="2080" w:type="dxa"/>
            <w:vAlign w:val="bottom"/>
            <w:gridSpan w:val="21"/>
          </w:tcPr>
          <w:p>
            <w:pPr>
              <w:jc w:val="right"/>
              <w:spacing w:after="0" w:line="170" w:lineRule="exact"/>
              <w:rPr>
                <w:sz w:val="20"/>
                <w:szCs w:val="20"/>
                <w:color w:val="auto"/>
              </w:rPr>
            </w:pPr>
            <w:r>
              <w:rPr>
                <w:rFonts w:ascii="Times New Roman" w:cs="Times New Roman" w:eastAsia="Times New Roman" w:hAnsi="Times New Roman"/>
                <w:sz w:val="19"/>
                <w:szCs w:val="19"/>
                <w:color w:val="0000FF"/>
                <w:w w:val="98"/>
              </w:rPr>
              <w:t xml:space="preserve">66 </w:t>
            </w:r>
            <w:r>
              <w:rPr>
                <w:rFonts w:ascii="Times New Roman" w:cs="Times New Roman" w:eastAsia="Times New Roman" w:hAnsi="Times New Roman"/>
                <w:sz w:val="19"/>
                <w:szCs w:val="19"/>
                <w:color w:val="000000"/>
                <w:w w:val="98"/>
              </w:rPr>
              <w:t>SECTION 10. EVENTS</w:t>
            </w:r>
          </w:p>
        </w:tc>
        <w:tc>
          <w:tcPr>
            <w:tcW w:w="3220" w:type="dxa"/>
            <w:vAlign w:val="bottom"/>
            <w:gridSpan w:val="12"/>
          </w:tcPr>
          <w:p>
            <w:pPr>
              <w:jc w:val="center"/>
              <w:ind w:right="180"/>
              <w:spacing w:after="0" w:line="170" w:lineRule="exact"/>
              <w:rPr>
                <w:sz w:val="20"/>
                <w:szCs w:val="20"/>
                <w:color w:val="auto"/>
              </w:rPr>
            </w:pPr>
            <w:r>
              <w:rPr>
                <w:rFonts w:ascii="Times New Roman" w:cs="Times New Roman" w:eastAsia="Times New Roman" w:hAnsi="Times New Roman"/>
                <w:sz w:val="19"/>
                <w:szCs w:val="19"/>
                <w:color w:val="auto"/>
              </w:rPr>
              <w:t>OF DEFAULT AND REMEDIES</w:t>
            </w:r>
          </w:p>
        </w:tc>
        <w:tc>
          <w:tcPr>
            <w:tcW w:w="2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64</w:t>
            </w:r>
          </w:p>
        </w:tc>
        <w:tc>
          <w:tcPr>
            <w:tcW w:w="18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66</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ind w:left="260"/>
              <w:spacing w:after="0" w:line="224" w:lineRule="exact"/>
              <w:rPr>
                <w:sz w:val="20"/>
                <w:szCs w:val="20"/>
                <w:color w:val="auto"/>
              </w:rPr>
            </w:pPr>
            <w:r>
              <w:rPr>
                <w:rFonts w:ascii="Times New Roman" w:cs="Times New Roman" w:eastAsia="Times New Roman" w:hAnsi="Times New Roman"/>
                <w:sz w:val="20"/>
                <w:szCs w:val="20"/>
                <w:color w:val="auto"/>
              </w:rPr>
              <w:t>10.1.</w:t>
            </w:r>
          </w:p>
        </w:tc>
        <w:tc>
          <w:tcPr>
            <w:tcW w:w="1820" w:type="dxa"/>
            <w:vAlign w:val="bottom"/>
            <w:gridSpan w:val="12"/>
          </w:tcPr>
          <w:p>
            <w:pPr>
              <w:ind w:left="240"/>
              <w:spacing w:after="0" w:line="224" w:lineRule="exact"/>
              <w:rPr>
                <w:sz w:val="20"/>
                <w:szCs w:val="20"/>
                <w:color w:val="auto"/>
              </w:rPr>
            </w:pPr>
            <w:r>
              <w:rPr>
                <w:rFonts w:ascii="Times New Roman" w:cs="Times New Roman" w:eastAsia="Times New Roman" w:hAnsi="Times New Roman"/>
                <w:sz w:val="20"/>
                <w:szCs w:val="20"/>
                <w:color w:val="auto"/>
              </w:rPr>
              <w:t>Events of Default</w:t>
            </w:r>
          </w:p>
        </w:tc>
        <w:tc>
          <w:tcPr>
            <w:tcW w:w="2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tcBorders>
              <w:bottom w:val="single" w:sz="8" w:color="0000FF"/>
            </w:tcBorders>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0000FF"/>
                <w:w w:val="89"/>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10.2.</w:t>
            </w:r>
          </w:p>
        </w:tc>
        <w:tc>
          <w:tcPr>
            <w:tcW w:w="1120" w:type="dxa"/>
            <w:vAlign w:val="bottom"/>
            <w:gridSpan w:val="3"/>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Remedies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68</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10.3.</w:t>
            </w:r>
          </w:p>
        </w:tc>
        <w:tc>
          <w:tcPr>
            <w:tcW w:w="1120" w:type="dxa"/>
            <w:vAlign w:val="bottom"/>
            <w:gridSpan w:val="3"/>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7"/>
              </w:rPr>
              <w:t>[Reserved]</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67</w:t>
            </w: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tcPr>
          <w:p>
            <w:pPr>
              <w:spacing w:after="0" w:line="170" w:lineRule="exact"/>
              <w:rPr>
                <w:sz w:val="20"/>
                <w:szCs w:val="20"/>
                <w:color w:val="auto"/>
              </w:rPr>
            </w:pPr>
            <w:r>
              <w:rPr>
                <w:rFonts w:ascii="Times New Roman" w:cs="Times New Roman" w:eastAsia="Times New Roman" w:hAnsi="Times New Roman"/>
                <w:sz w:val="19"/>
                <w:szCs w:val="19"/>
                <w:color w:val="0000FF"/>
                <w:w w:val="94"/>
              </w:rPr>
              <w:t>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144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8"/>
              </w:rPr>
              <w:t>Right of Setoff</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67</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68</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10.5.</w:t>
            </w:r>
          </w:p>
        </w:tc>
        <w:tc>
          <w:tcPr>
            <w:tcW w:w="1820" w:type="dxa"/>
            <w:vAlign w:val="bottom"/>
            <w:gridSpan w:val="1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Collective Action</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67</w:t>
            </w: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1820" w:type="dxa"/>
            <w:vAlign w:val="bottom"/>
            <w:gridSpan w:val="1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69</w:t>
            </w:r>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10.6.</w:t>
            </w:r>
          </w:p>
        </w:tc>
        <w:tc>
          <w:tcPr>
            <w:tcW w:w="2040" w:type="dxa"/>
            <w:vAlign w:val="bottom"/>
            <w:gridSpan w:val="16"/>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8"/>
              </w:rPr>
              <w:t>Crediting of Payments</w:t>
            </w: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9"/>
              </w:rPr>
              <w:t>68</w:t>
            </w:r>
          </w:p>
        </w:tc>
        <w:tc>
          <w:tcPr>
            <w:tcW w:w="400" w:type="dxa"/>
            <w:vAlign w:val="bottom"/>
            <w:gridSpan w:val="2"/>
            <w:vMerge w:val="restart"/>
          </w:tcPr>
          <w:p>
            <w:pPr>
              <w:jc w:val="right"/>
              <w:ind w:right="101"/>
              <w:spacing w:after="0" w:line="209" w:lineRule="exact"/>
              <w:rPr>
                <w:sz w:val="20"/>
                <w:szCs w:val="20"/>
                <w:color w:val="auto"/>
              </w:rPr>
            </w:pPr>
            <w:r>
              <w:rPr>
                <w:rFonts w:ascii="Times New Roman" w:cs="Times New Roman" w:eastAsia="Times New Roman" w:hAnsi="Times New Roman"/>
                <w:sz w:val="20"/>
                <w:szCs w:val="20"/>
                <w:color w:val="0000FF"/>
                <w:w w:val="89"/>
              </w:rPr>
              <w:t>69</w:t>
            </w: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2040" w:type="dxa"/>
            <w:vAlign w:val="bottom"/>
            <w:gridSpan w:val="16"/>
            <w:vMerge w:val="continue"/>
          </w:tcPr>
          <w:p>
            <w:pPr>
              <w:spacing w:after="0"/>
              <w:rPr>
                <w:sz w:val="14"/>
                <w:szCs w:val="14"/>
                <w:color w:val="auto"/>
              </w:rPr>
            </w:pPr>
          </w:p>
        </w:tc>
        <w:tc>
          <w:tcPr>
            <w:tcW w:w="1360" w:type="dxa"/>
            <w:vAlign w:val="bottom"/>
            <w:gridSpan w:val="10"/>
          </w:tcPr>
          <w:p>
            <w:pPr>
              <w:jc w:val="right"/>
              <w:ind w:right="181"/>
              <w:spacing w:after="0" w:line="170" w:lineRule="exact"/>
              <w:rPr>
                <w:sz w:val="20"/>
                <w:szCs w:val="20"/>
                <w:color w:val="auto"/>
              </w:rPr>
            </w:pPr>
            <w:r>
              <w:rPr>
                <w:rFonts w:ascii="Times New Roman" w:cs="Times New Roman" w:eastAsia="Times New Roman" w:hAnsi="Times New Roman"/>
                <w:sz w:val="19"/>
                <w:szCs w:val="19"/>
                <w:color w:val="auto"/>
              </w:rPr>
              <w:t>and Proceeds</w:t>
            </w: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10.7.</w:t>
            </w:r>
          </w:p>
        </w:tc>
        <w:tc>
          <w:tcPr>
            <w:tcW w:w="3020" w:type="dxa"/>
            <w:vAlign w:val="bottom"/>
            <w:gridSpan w:val="24"/>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Agent May File Proofs of Claim</w:t>
            </w:r>
          </w:p>
        </w:tc>
        <w:tc>
          <w:tcPr>
            <w:tcW w:w="1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89"/>
              </w:rPr>
              <w:t>68</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69</w:t>
            </w: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3020" w:type="dxa"/>
            <w:vAlign w:val="bottom"/>
            <w:gridSpan w:val="24"/>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10.8.</w:t>
            </w:r>
          </w:p>
        </w:tc>
        <w:tc>
          <w:tcPr>
            <w:tcW w:w="144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8"/>
              </w:rPr>
              <w:t>Credit Bidding</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68</w:t>
            </w:r>
          </w:p>
        </w:tc>
        <w:tc>
          <w:tcPr>
            <w:tcW w:w="18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70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vMerge w:val="continue"/>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rPr>
              <w:t>SECTION 11. AGENCY</w:t>
            </w:r>
          </w:p>
        </w:tc>
        <w:tc>
          <w:tcPr>
            <w:tcW w:w="18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FF0000"/>
                <w:strike w:val="1"/>
                <w:w w:val="79"/>
              </w:rPr>
              <w:t>68</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70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gridSpan w:val="8"/>
            <w:vMerge w:val="continue"/>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200" w:type="dxa"/>
            <w:vAlign w:val="bottom"/>
            <w:tcBorders>
              <w:bottom w:val="single" w:sz="8" w:color="0000FF"/>
            </w:tcBorders>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11.1.</w:t>
            </w:r>
          </w:p>
        </w:tc>
        <w:tc>
          <w:tcPr>
            <w:tcW w:w="2620" w:type="dxa"/>
            <w:vAlign w:val="bottom"/>
            <w:gridSpan w:val="22"/>
          </w:tcPr>
          <w:p>
            <w:pPr>
              <w:ind w:left="24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89"/>
              </w:rPr>
              <w:t>68</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11.2.</w:t>
            </w:r>
          </w:p>
        </w:tc>
        <w:tc>
          <w:tcPr>
            <w:tcW w:w="1820" w:type="dxa"/>
            <w:vAlign w:val="bottom"/>
            <w:gridSpan w:val="1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Rights as a Lender</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69</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1820" w:type="dxa"/>
            <w:vAlign w:val="bottom"/>
            <w:gridSpan w:val="1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11.3.</w:t>
            </w:r>
          </w:p>
        </w:tc>
        <w:tc>
          <w:tcPr>
            <w:tcW w:w="2020" w:type="dxa"/>
            <w:vAlign w:val="bottom"/>
            <w:gridSpan w:val="15"/>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3"/>
              </w:rPr>
              <w:t>Exculpatory Provisions</w:t>
            </w: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69</w:t>
            </w:r>
          </w:p>
        </w:tc>
        <w:tc>
          <w:tcPr>
            <w:tcW w:w="400" w:type="dxa"/>
            <w:vAlign w:val="bottom"/>
            <w:gridSpan w:val="2"/>
            <w:vMerge w:val="restart"/>
          </w:tcPr>
          <w:p>
            <w:pPr>
              <w:jc w:val="right"/>
              <w:ind w:right="103"/>
              <w:spacing w:after="0" w:line="209" w:lineRule="exact"/>
              <w:rPr>
                <w:sz w:val="20"/>
                <w:szCs w:val="20"/>
                <w:color w:val="auto"/>
              </w:rPr>
            </w:pPr>
            <w:r>
              <w:rPr>
                <w:rFonts w:ascii="Times New Roman" w:cs="Times New Roman" w:eastAsia="Times New Roman" w:hAnsi="Times New Roman"/>
                <w:sz w:val="20"/>
                <w:szCs w:val="20"/>
                <w:color w:val="0000FF"/>
                <w:w w:val="89"/>
              </w:rPr>
              <w:t>70</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2020" w:type="dxa"/>
            <w:vAlign w:val="bottom"/>
            <w:gridSpan w:val="1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11.4.</w:t>
            </w:r>
          </w:p>
        </w:tc>
        <w:tc>
          <w:tcPr>
            <w:tcW w:w="1820" w:type="dxa"/>
            <w:vAlign w:val="bottom"/>
            <w:gridSpan w:val="1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Reliance by Agent</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70</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71</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1820" w:type="dxa"/>
            <w:vAlign w:val="bottom"/>
            <w:gridSpan w:val="1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11.5.</w:t>
            </w:r>
          </w:p>
        </w:tc>
        <w:tc>
          <w:tcPr>
            <w:tcW w:w="2020" w:type="dxa"/>
            <w:vAlign w:val="bottom"/>
            <w:gridSpan w:val="15"/>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Delegation of Duties</w:t>
            </w: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70</w:t>
            </w:r>
          </w:p>
        </w:tc>
        <w:tc>
          <w:tcPr>
            <w:tcW w:w="400" w:type="dxa"/>
            <w:vAlign w:val="bottom"/>
            <w:gridSpan w:val="2"/>
            <w:vMerge w:val="restart"/>
          </w:tcPr>
          <w:p>
            <w:pPr>
              <w:jc w:val="right"/>
              <w:ind w:right="103"/>
              <w:spacing w:after="0" w:line="209" w:lineRule="exact"/>
              <w:rPr>
                <w:sz w:val="20"/>
                <w:szCs w:val="20"/>
                <w:color w:val="auto"/>
              </w:rPr>
            </w:pPr>
            <w:r>
              <w:rPr>
                <w:rFonts w:ascii="Times New Roman" w:cs="Times New Roman" w:eastAsia="Times New Roman" w:hAnsi="Times New Roman"/>
                <w:sz w:val="20"/>
                <w:szCs w:val="20"/>
                <w:color w:val="0000FF"/>
                <w:w w:val="89"/>
              </w:rPr>
              <w:t>71</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2020" w:type="dxa"/>
            <w:vAlign w:val="bottom"/>
            <w:gridSpan w:val="1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11.6.</w:t>
            </w:r>
          </w:p>
        </w:tc>
        <w:tc>
          <w:tcPr>
            <w:tcW w:w="2220" w:type="dxa"/>
            <w:vAlign w:val="bottom"/>
            <w:gridSpan w:val="18"/>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Resignation of Agent</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70</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2220" w:type="dxa"/>
            <w:vAlign w:val="bottom"/>
            <w:gridSpan w:val="18"/>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72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11.7.</w:t>
            </w:r>
          </w:p>
        </w:tc>
        <w:tc>
          <w:tcPr>
            <w:tcW w:w="2420" w:type="dxa"/>
            <w:vAlign w:val="bottom"/>
            <w:gridSpan w:val="21"/>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6"/>
              </w:rPr>
              <w:t>Non-Reliance on Agent and</w:t>
            </w:r>
          </w:p>
        </w:tc>
        <w:tc>
          <w:tcPr>
            <w:tcW w:w="200" w:type="dxa"/>
            <w:vAlign w:val="bottom"/>
            <w:tcBorders>
              <w:bottom w:val="single" w:sz="8" w:color="0000FF"/>
            </w:tcBorders>
          </w:tcPr>
          <w:p>
            <w:pPr>
              <w:spacing w:after="0" w:line="20" w:lineRule="exact"/>
              <w:rPr>
                <w:sz w:val="1"/>
                <w:szCs w:val="1"/>
                <w:color w:val="auto"/>
              </w:rPr>
            </w:pPr>
          </w:p>
        </w:tc>
        <w:tc>
          <w:tcPr>
            <w:tcW w:w="1180" w:type="dxa"/>
            <w:vAlign w:val="bottom"/>
            <w:gridSpan w:val="6"/>
            <w:vMerge w:val="restart"/>
          </w:tcPr>
          <w:p>
            <w:pPr>
              <w:jc w:val="center"/>
              <w:ind w:right="64"/>
              <w:spacing w:after="0" w:line="209" w:lineRule="exact"/>
              <w:rPr>
                <w:sz w:val="20"/>
                <w:szCs w:val="20"/>
                <w:color w:val="auto"/>
              </w:rPr>
            </w:pPr>
            <w:r>
              <w:rPr>
                <w:rFonts w:ascii="Times New Roman" w:cs="Times New Roman" w:eastAsia="Times New Roman" w:hAnsi="Times New Roman"/>
                <w:sz w:val="20"/>
                <w:szCs w:val="20"/>
                <w:color w:val="auto"/>
                <w:w w:val="88"/>
              </w:rPr>
              <w:t>Other Lenders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71</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72</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2420" w:type="dxa"/>
            <w:vAlign w:val="bottom"/>
            <w:gridSpan w:val="21"/>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11.8.</w:t>
            </w:r>
          </w:p>
        </w:tc>
        <w:tc>
          <w:tcPr>
            <w:tcW w:w="1040" w:type="dxa"/>
            <w:vAlign w:val="bottom"/>
            <w:gridSpan w:val="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18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71</w:t>
            </w:r>
          </w:p>
        </w:tc>
        <w:tc>
          <w:tcPr>
            <w:tcW w:w="22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99"/>
              </w:rPr>
              <w:t>72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20" w:type="dxa"/>
            <w:vAlign w:val="bottom"/>
            <w:tcBorders>
              <w:bottom w:val="single" w:sz="8" w:color="0000FF"/>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11.9.</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580" w:type="dxa"/>
            <w:vAlign w:val="bottom"/>
            <w:gridSpan w:val="17"/>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Guaranty Matters</w:t>
            </w:r>
          </w:p>
        </w:tc>
        <w:tc>
          <w:tcPr>
            <w:tcW w:w="1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89"/>
              </w:rPr>
              <w:t>71</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72</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1440" w:type="dxa"/>
            <w:vAlign w:val="bottom"/>
            <w:gridSpan w:val="7"/>
          </w:tcPr>
          <w:p>
            <w:pPr>
              <w:ind w:left="240"/>
              <w:spacing w:after="0" w:line="170" w:lineRule="exact"/>
              <w:rPr>
                <w:sz w:val="20"/>
                <w:szCs w:val="20"/>
                <w:color w:val="auto"/>
              </w:rPr>
            </w:pPr>
            <w:r>
              <w:rPr>
                <w:rFonts w:ascii="Times New Roman" w:cs="Times New Roman" w:eastAsia="Times New Roman" w:hAnsi="Times New Roman"/>
                <w:sz w:val="19"/>
                <w:szCs w:val="19"/>
                <w:color w:val="auto"/>
              </w:rPr>
              <w:t>Collateral and</w:t>
            </w:r>
          </w:p>
        </w:tc>
        <w:tc>
          <w:tcPr>
            <w:tcW w:w="1580" w:type="dxa"/>
            <w:vAlign w:val="bottom"/>
            <w:gridSpan w:val="17"/>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20" w:type="dxa"/>
            <w:vAlign w:val="bottom"/>
            <w:gridSpan w:val="42"/>
          </w:tcPr>
          <w:p>
            <w:pPr>
              <w:jc w:val="center"/>
              <w:ind w:left="221"/>
              <w:spacing w:after="0" w:line="197" w:lineRule="exact"/>
              <w:rPr>
                <w:sz w:val="20"/>
                <w:szCs w:val="20"/>
                <w:color w:val="auto"/>
              </w:rPr>
            </w:pPr>
            <w:r>
              <w:rPr>
                <w:rFonts w:ascii="Times New Roman" w:cs="Times New Roman" w:eastAsia="Times New Roman" w:hAnsi="Times New Roman"/>
                <w:sz w:val="20"/>
                <w:szCs w:val="20"/>
                <w:color w:val="auto"/>
              </w:rPr>
              <w:t>11.10.  Field Examination Reports; Confidentiality; Disclaimers by Lenders; Other Reports and Information</w:t>
            </w:r>
          </w:p>
        </w:tc>
        <w:tc>
          <w:tcPr>
            <w:tcW w:w="1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FF0000"/>
                <w:strike w:val="1"/>
                <w:w w:val="79"/>
              </w:rPr>
              <w:t>72</w:t>
            </w:r>
          </w:p>
        </w:tc>
        <w:tc>
          <w:tcPr>
            <w:tcW w:w="20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20"/>
                <w:szCs w:val="20"/>
                <w:color w:val="0000FF"/>
                <w:w w:val="89"/>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7"/>
          </w:tcPr>
          <w:p>
            <w:pPr>
              <w:ind w:left="400"/>
              <w:spacing w:after="0" w:line="197" w:lineRule="exact"/>
              <w:rPr>
                <w:sz w:val="20"/>
                <w:szCs w:val="20"/>
                <w:color w:val="auto"/>
              </w:rPr>
            </w:pPr>
            <w:r>
              <w:rPr>
                <w:rFonts w:ascii="Times New Roman" w:cs="Times New Roman" w:eastAsia="Times New Roman" w:hAnsi="Times New Roman"/>
                <w:sz w:val="20"/>
                <w:szCs w:val="20"/>
                <w:color w:val="auto"/>
              </w:rPr>
              <w:t>11.11.</w:t>
            </w:r>
          </w:p>
        </w:tc>
        <w:tc>
          <w:tcPr>
            <w:tcW w:w="200" w:type="dxa"/>
            <w:vAlign w:val="bottom"/>
          </w:tcPr>
          <w:p>
            <w:pPr>
              <w:spacing w:after="0"/>
              <w:rPr>
                <w:sz w:val="17"/>
                <w:szCs w:val="17"/>
                <w:color w:val="auto"/>
              </w:rPr>
            </w:pPr>
          </w:p>
        </w:tc>
        <w:tc>
          <w:tcPr>
            <w:tcW w:w="1980" w:type="dxa"/>
            <w:vAlign w:val="bottom"/>
            <w:gridSpan w:val="7"/>
          </w:tcPr>
          <w:p>
            <w:pPr>
              <w:jc w:val="center"/>
              <w:ind w:right="220"/>
              <w:spacing w:after="0" w:line="197" w:lineRule="exact"/>
              <w:rPr>
                <w:sz w:val="20"/>
                <w:szCs w:val="20"/>
                <w:color w:val="auto"/>
              </w:rPr>
            </w:pPr>
            <w:r>
              <w:rPr>
                <w:rFonts w:ascii="Times New Roman" w:cs="Times New Roman" w:eastAsia="Times New Roman" w:hAnsi="Times New Roman"/>
                <w:sz w:val="20"/>
                <w:szCs w:val="20"/>
                <w:color w:val="auto"/>
                <w:w w:val="99"/>
              </w:rPr>
              <w:t>Erroneous Payments</w:t>
            </w:r>
          </w:p>
        </w:tc>
        <w:tc>
          <w:tcPr>
            <w:tcW w:w="2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FF0000"/>
                <w:strike w:val="1"/>
                <w:w w:val="89"/>
              </w:rPr>
              <w:t>73</w:t>
            </w:r>
          </w:p>
        </w:tc>
        <w:tc>
          <w:tcPr>
            <w:tcW w:w="3380" w:type="dxa"/>
            <w:vAlign w:val="bottom"/>
            <w:gridSpan w:val="7"/>
          </w:tcPr>
          <w:p>
            <w:pPr>
              <w:spacing w:after="0" w:line="197" w:lineRule="exact"/>
              <w:rPr>
                <w:sz w:val="20"/>
                <w:szCs w:val="20"/>
                <w:color w:val="auto"/>
              </w:rPr>
            </w:pPr>
            <w:r>
              <w:rPr>
                <w:rFonts w:ascii="Times New Roman" w:cs="Times New Roman" w:eastAsia="Times New Roman" w:hAnsi="Times New Roman"/>
                <w:sz w:val="20"/>
                <w:szCs w:val="20"/>
                <w:color w:val="0000FF"/>
              </w:rPr>
              <w:t xml:space="preserve">74 </w:t>
            </w:r>
            <w:r>
              <w:rPr>
                <w:rFonts w:ascii="Times New Roman" w:cs="Times New Roman" w:eastAsia="Times New Roman" w:hAnsi="Times New Roman"/>
                <w:sz w:val="20"/>
                <w:szCs w:val="20"/>
                <w:color w:val="000000"/>
              </w:rPr>
              <w:t>SECTION 12. LOAN GUARANTY</w:t>
            </w:r>
          </w:p>
        </w:tc>
        <w:tc>
          <w:tcPr>
            <w:tcW w:w="1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FF0000"/>
                <w:strike w:val="1"/>
                <w:w w:val="79"/>
              </w:rPr>
              <w:t>74</w:t>
            </w:r>
          </w:p>
        </w:tc>
        <w:tc>
          <w:tcPr>
            <w:tcW w:w="200" w:type="dxa"/>
            <w:vAlign w:val="bottom"/>
            <w:tcBorders>
              <w:top w:val="single" w:sz="8" w:color="0000FF"/>
            </w:tcBorders>
          </w:tcPr>
          <w:p>
            <w:pPr>
              <w:jc w:val="right"/>
              <w:spacing w:after="0" w:line="197" w:lineRule="exact"/>
              <w:rPr>
                <w:sz w:val="20"/>
                <w:szCs w:val="20"/>
                <w:color w:val="auto"/>
              </w:rPr>
            </w:pPr>
            <w:r>
              <w:rPr>
                <w:rFonts w:ascii="Times New Roman" w:cs="Times New Roman" w:eastAsia="Times New Roman" w:hAnsi="Times New Roman"/>
                <w:sz w:val="20"/>
                <w:szCs w:val="20"/>
                <w:color w:val="0000FF"/>
                <w:w w:val="89"/>
              </w:rPr>
              <w:t>76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 w:type="dxa"/>
            <w:vAlign w:val="bottom"/>
          </w:tcPr>
          <w:p>
            <w:pPr>
              <w:ind w:left="260"/>
              <w:spacing w:after="0" w:line="224" w:lineRule="exact"/>
              <w:rPr>
                <w:sz w:val="20"/>
                <w:szCs w:val="20"/>
                <w:color w:val="auto"/>
              </w:rPr>
            </w:pPr>
            <w:r>
              <w:rPr>
                <w:rFonts w:ascii="Times New Roman" w:cs="Times New Roman" w:eastAsia="Times New Roman" w:hAnsi="Times New Roman"/>
                <w:sz w:val="20"/>
                <w:szCs w:val="20"/>
                <w:color w:val="auto"/>
              </w:rPr>
              <w:t>12.1.</w:t>
            </w:r>
          </w:p>
        </w:tc>
        <w:tc>
          <w:tcPr>
            <w:tcW w:w="104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20"/>
                <w:szCs w:val="20"/>
                <w:color w:val="auto"/>
              </w:rPr>
              <w:t>Guaranty</w:t>
            </w:r>
          </w:p>
        </w:tc>
        <w:tc>
          <w:tcPr>
            <w:tcW w:w="18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w w:val="79"/>
              </w:rPr>
              <w:t>74</w:t>
            </w:r>
          </w:p>
        </w:tc>
        <w:tc>
          <w:tcPr>
            <w:tcW w:w="220" w:type="dxa"/>
            <w:vAlign w:val="bottom"/>
            <w:tcBorders>
              <w:bottom w:val="single" w:sz="8" w:color="0000FF"/>
            </w:tcBorders>
            <w:gridSpan w:val="3"/>
          </w:tcPr>
          <w:p>
            <w:pPr>
              <w:spacing w:after="0" w:line="224" w:lineRule="exact"/>
              <w:rPr>
                <w:sz w:val="20"/>
                <w:szCs w:val="20"/>
                <w:color w:val="auto"/>
              </w:rPr>
            </w:pPr>
            <w:r>
              <w:rPr>
                <w:rFonts w:ascii="Times New Roman" w:cs="Times New Roman" w:eastAsia="Times New Roman" w:hAnsi="Times New Roman"/>
                <w:sz w:val="20"/>
                <w:szCs w:val="20"/>
                <w:color w:val="0000FF"/>
                <w:w w:val="99"/>
              </w:rPr>
              <w:t>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12.2.</w:t>
            </w:r>
          </w:p>
        </w:tc>
        <w:tc>
          <w:tcPr>
            <w:tcW w:w="1220" w:type="dxa"/>
            <w:vAlign w:val="bottom"/>
            <w:gridSpan w:val="4"/>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9"/>
              </w:rPr>
              <w:t>Guaranty of</w:t>
            </w: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75</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76</w:t>
            </w: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000" w:type="dxa"/>
            <w:vAlign w:val="bottom"/>
            <w:gridSpan w:val="14"/>
          </w:tcPr>
          <w:p>
            <w:pPr>
              <w:ind w:left="20"/>
              <w:spacing w:after="0" w:line="170" w:lineRule="exact"/>
              <w:rPr>
                <w:sz w:val="20"/>
                <w:szCs w:val="20"/>
                <w:color w:val="auto"/>
              </w:rPr>
            </w:pPr>
            <w:r>
              <w:rPr>
                <w:rFonts w:ascii="Times New Roman" w:cs="Times New Roman" w:eastAsia="Times New Roman" w:hAnsi="Times New Roman"/>
                <w:sz w:val="19"/>
                <w:szCs w:val="19"/>
                <w:color w:val="auto"/>
              </w:rPr>
              <w:t>Payment</w:t>
            </w: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12.3.</w:t>
            </w: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2620" w:type="dxa"/>
            <w:vAlign w:val="bottom"/>
            <w:gridSpan w:val="22"/>
          </w:tcPr>
          <w:p>
            <w:pPr>
              <w:ind w:left="240"/>
              <w:spacing w:after="0" w:line="170" w:lineRule="exact"/>
              <w:rPr>
                <w:sz w:val="20"/>
                <w:szCs w:val="20"/>
                <w:color w:val="auto"/>
              </w:rPr>
            </w:pPr>
            <w:r>
              <w:rPr>
                <w:rFonts w:ascii="Times New Roman" w:cs="Times New Roman" w:eastAsia="Times New Roman" w:hAnsi="Times New Roman"/>
                <w:sz w:val="19"/>
                <w:szCs w:val="19"/>
                <w:color w:val="auto"/>
                <w:w w:val="98"/>
              </w:rPr>
              <w:t>No Discharge or Diminishment</w:t>
            </w:r>
          </w:p>
        </w:tc>
        <w:tc>
          <w:tcPr>
            <w:tcW w:w="1580" w:type="dxa"/>
            <w:vAlign w:val="bottom"/>
            <w:gridSpan w:val="8"/>
          </w:tcPr>
          <w:p>
            <w:pPr>
              <w:jc w:val="center"/>
              <w:ind w:left="43"/>
              <w:spacing w:after="0" w:line="170" w:lineRule="exact"/>
              <w:rPr>
                <w:sz w:val="20"/>
                <w:szCs w:val="20"/>
                <w:color w:val="auto"/>
              </w:rPr>
            </w:pPr>
            <w:r>
              <w:rPr>
                <w:rFonts w:ascii="Times New Roman" w:cs="Times New Roman" w:eastAsia="Times New Roman" w:hAnsi="Times New Roman"/>
                <w:sz w:val="19"/>
                <w:szCs w:val="19"/>
                <w:color w:val="auto"/>
              </w:rPr>
              <w:t>of Loan Guaranty</w:t>
            </w:r>
          </w:p>
        </w:tc>
        <w:tc>
          <w:tcPr>
            <w:tcW w:w="6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rPr>
              <w:t>75</w:t>
            </w: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12.4.</w:t>
            </w:r>
          </w:p>
        </w:tc>
        <w:tc>
          <w:tcPr>
            <w:tcW w:w="1820" w:type="dxa"/>
            <w:vAlign w:val="bottom"/>
            <w:gridSpan w:val="1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Defenses Waived</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75</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77</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1820" w:type="dxa"/>
            <w:vAlign w:val="bottom"/>
            <w:gridSpan w:val="1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2020" w:type="dxa"/>
            <w:vAlign w:val="bottom"/>
            <w:gridSpan w:val="15"/>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9"/>
              </w:rPr>
              <w:t>Rights of Subrogation</w:t>
            </w:r>
          </w:p>
        </w:tc>
        <w:tc>
          <w:tcPr>
            <w:tcW w:w="10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76</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77</w:t>
            </w: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2020" w:type="dxa"/>
            <w:vAlign w:val="bottom"/>
            <w:gridSpan w:val="1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12.6.</w:t>
            </w: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3400" w:type="dxa"/>
            <w:vAlign w:val="bottom"/>
            <w:gridSpan w:val="26"/>
          </w:tcPr>
          <w:p>
            <w:pPr>
              <w:ind w:left="240"/>
              <w:spacing w:after="0" w:line="170" w:lineRule="exact"/>
              <w:rPr>
                <w:sz w:val="20"/>
                <w:szCs w:val="20"/>
                <w:color w:val="auto"/>
              </w:rPr>
            </w:pPr>
            <w:r>
              <w:rPr>
                <w:rFonts w:ascii="Times New Roman" w:cs="Times New Roman" w:eastAsia="Times New Roman" w:hAnsi="Times New Roman"/>
                <w:sz w:val="19"/>
                <w:szCs w:val="19"/>
                <w:color w:val="auto"/>
              </w:rPr>
              <w:t>Reinstatement; Stay of Acceleration</w:t>
            </w:r>
          </w:p>
        </w:tc>
        <w:tc>
          <w:tcPr>
            <w:tcW w:w="200" w:type="dxa"/>
            <w:vAlign w:val="bottom"/>
          </w:tcPr>
          <w:p>
            <w:pPr>
              <w:jc w:val="center"/>
              <w:spacing w:after="0" w:line="170" w:lineRule="exact"/>
              <w:rPr>
                <w:sz w:val="20"/>
                <w:szCs w:val="20"/>
                <w:color w:val="auto"/>
              </w:rPr>
            </w:pPr>
            <w:r>
              <w:rPr>
                <w:rFonts w:ascii="Times New Roman" w:cs="Times New Roman" w:eastAsia="Times New Roman" w:hAnsi="Times New Roman"/>
                <w:sz w:val="19"/>
                <w:szCs w:val="19"/>
                <w:color w:val="FF0000"/>
                <w:strike w:val="1"/>
              </w:rPr>
              <w:t>76</w:t>
            </w:r>
          </w:p>
        </w:tc>
        <w:tc>
          <w:tcPr>
            <w:tcW w:w="400" w:type="dxa"/>
            <w:vAlign w:val="bottom"/>
            <w:gridSpan w:val="2"/>
          </w:tcPr>
          <w:p>
            <w:pPr>
              <w:jc w:val="right"/>
              <w:ind w:right="101"/>
              <w:spacing w:after="0" w:line="170" w:lineRule="exact"/>
              <w:rPr>
                <w:sz w:val="20"/>
                <w:szCs w:val="20"/>
                <w:color w:val="auto"/>
              </w:rPr>
            </w:pPr>
            <w:r>
              <w:rPr>
                <w:rFonts w:ascii="Times New Roman" w:cs="Times New Roman" w:eastAsia="Times New Roman" w:hAnsi="Times New Roman"/>
                <w:sz w:val="19"/>
                <w:szCs w:val="19"/>
                <w:color w:val="0000FF"/>
                <w:w w:val="94"/>
              </w:rPr>
              <w:t>77</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12.7.</w:t>
            </w:r>
          </w:p>
        </w:tc>
        <w:tc>
          <w:tcPr>
            <w:tcW w:w="144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Information</w:t>
            </w: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77</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12.8.</w:t>
            </w:r>
          </w:p>
        </w:tc>
        <w:tc>
          <w:tcPr>
            <w:tcW w:w="144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Termination</w:t>
            </w:r>
          </w:p>
        </w:tc>
        <w:tc>
          <w:tcPr>
            <w:tcW w:w="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gridSpan w:val="2"/>
          </w:tcPr>
          <w:p>
            <w:pPr>
              <w:spacing w:after="0" w:line="170" w:lineRule="exact"/>
              <w:rPr>
                <w:sz w:val="20"/>
                <w:szCs w:val="20"/>
                <w:color w:val="auto"/>
              </w:rPr>
            </w:pPr>
            <w:r>
              <w:rPr>
                <w:rFonts w:ascii="Times New Roman" w:cs="Times New Roman" w:eastAsia="Times New Roman" w:hAnsi="Times New Roman"/>
                <w:sz w:val="19"/>
                <w:szCs w:val="19"/>
                <w:color w:val="0000FF"/>
                <w:w w:val="83"/>
              </w:rPr>
              <w:t>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rPr>
              <w:t>12.9.</w:t>
            </w:r>
          </w:p>
        </w:tc>
        <w:tc>
          <w:tcPr>
            <w:tcW w:w="1640" w:type="dxa"/>
            <w:vAlign w:val="bottom"/>
            <w:gridSpan w:val="10"/>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87"/>
              </w:rPr>
              <w:t>Maximum Liability</w:t>
            </w:r>
          </w:p>
        </w:tc>
        <w:tc>
          <w:tcPr>
            <w:tcW w:w="180" w:type="dxa"/>
            <w:vAlign w:val="bottom"/>
            <w:tcBorders>
              <w:bottom w:val="single" w:sz="8" w:color="0000FF"/>
            </w:tcBorders>
            <w:gridSpan w:val="2"/>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76</w:t>
            </w:r>
          </w:p>
        </w:tc>
        <w:tc>
          <w:tcPr>
            <w:tcW w:w="20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78</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vMerge w:val="continue"/>
          </w:tcPr>
          <w:p>
            <w:pPr>
              <w:spacing w:after="0"/>
              <w:rPr>
                <w:sz w:val="14"/>
                <w:szCs w:val="14"/>
                <w:color w:val="auto"/>
              </w:rPr>
            </w:pPr>
          </w:p>
        </w:tc>
        <w:tc>
          <w:tcPr>
            <w:tcW w:w="1640" w:type="dxa"/>
            <w:vAlign w:val="bottom"/>
            <w:gridSpan w:val="10"/>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5"/>
              </w:rPr>
              <w:t>12.10.</w:t>
            </w:r>
          </w:p>
        </w:tc>
        <w:tc>
          <w:tcPr>
            <w:tcW w:w="1440" w:type="dxa"/>
            <w:vAlign w:val="bottom"/>
            <w:gridSpan w:val="7"/>
          </w:tcPr>
          <w:p>
            <w:pPr>
              <w:ind w:left="240"/>
              <w:spacing w:after="0"/>
              <w:rPr>
                <w:sz w:val="20"/>
                <w:szCs w:val="20"/>
                <w:color w:val="auto"/>
              </w:rPr>
            </w:pPr>
            <w:r>
              <w:rPr>
                <w:rFonts w:ascii="Times New Roman" w:cs="Times New Roman" w:eastAsia="Times New Roman" w:hAnsi="Times New Roman"/>
                <w:sz w:val="20"/>
                <w:szCs w:val="20"/>
                <w:color w:val="auto"/>
              </w:rPr>
              <w:t>Contribution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79"/>
              </w:rPr>
              <w:t>77</w:t>
            </w:r>
          </w:p>
        </w:tc>
        <w:tc>
          <w:tcPr>
            <w:tcW w:w="20" w:type="dxa"/>
            <w:vAlign w:val="bottom"/>
          </w:tcPr>
          <w:p>
            <w:pPr>
              <w:spacing w:after="0"/>
              <w:rPr>
                <w:sz w:val="20"/>
                <w:szCs w:val="20"/>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79"/>
              </w:rPr>
              <w:t>78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gridSpan w:val="11"/>
            <w:vMerge w:val="restart"/>
          </w:tcPr>
          <w:p>
            <w:pPr>
              <w:ind w:left="260"/>
              <w:spacing w:after="0" w:line="209" w:lineRule="exact"/>
              <w:rPr>
                <w:sz w:val="20"/>
                <w:szCs w:val="20"/>
                <w:color w:val="auto"/>
              </w:rPr>
            </w:pPr>
            <w:r>
              <w:rPr>
                <w:rFonts w:ascii="Times New Roman" w:cs="Times New Roman" w:eastAsia="Times New Roman" w:hAnsi="Times New Roman"/>
                <w:sz w:val="20"/>
                <w:szCs w:val="20"/>
                <w:color w:val="auto"/>
                <w:w w:val="97"/>
              </w:rPr>
              <w:t>12.11.Liability Cumulative</w:t>
            </w:r>
          </w:p>
        </w:tc>
        <w:tc>
          <w:tcPr>
            <w:tcW w:w="180" w:type="dxa"/>
            <w:vAlign w:val="bottom"/>
            <w:tcBorders>
              <w:bottom w:val="single" w:sz="8" w:color="0000FF"/>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6840" w:type="dxa"/>
            <w:vAlign w:val="bottom"/>
            <w:gridSpan w:val="24"/>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79 </w:t>
            </w:r>
            <w:r>
              <w:rPr>
                <w:rFonts w:ascii="Times New Roman" w:cs="Times New Roman" w:eastAsia="Times New Roman" w:hAnsi="Times New Roman"/>
                <w:sz w:val="20"/>
                <w:szCs w:val="20"/>
                <w:color w:val="000000"/>
              </w:rPr>
              <w:t>SECTION 13. JURY TRIAL WAIVER; OTHER WAIVERS CONSENTS;</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00" w:type="dxa"/>
            <w:vAlign w:val="bottom"/>
            <w:gridSpan w:val="11"/>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gridSpan w:val="4"/>
            <w:vMerge w:val="continue"/>
          </w:tcPr>
          <w:p>
            <w:pPr>
              <w:spacing w:after="0"/>
              <w:rPr>
                <w:sz w:val="14"/>
                <w:szCs w:val="14"/>
                <w:color w:val="auto"/>
              </w:rPr>
            </w:pPr>
          </w:p>
        </w:tc>
        <w:tc>
          <w:tcPr>
            <w:tcW w:w="6840" w:type="dxa"/>
            <w:vAlign w:val="bottom"/>
            <w:gridSpan w:val="24"/>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GOVERNING LAW</w:t>
            </w:r>
          </w:p>
        </w:tc>
        <w:tc>
          <w:tcPr>
            <w:tcW w:w="10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89"/>
              </w:rPr>
              <w:t>79</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-5410835</wp:posOffset>
            </wp:positionV>
            <wp:extent cx="8890" cy="127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-5410835</wp:posOffset>
            </wp:positionV>
            <wp:extent cx="8890" cy="127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-5410835</wp:posOffset>
            </wp:positionV>
            <wp:extent cx="8255" cy="127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-5410835</wp:posOffset>
            </wp:positionV>
            <wp:extent cx="8255" cy="127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-5410835</wp:posOffset>
            </wp:positionV>
            <wp:extent cx="8255" cy="127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-5410835</wp:posOffset>
            </wp:positionV>
            <wp:extent cx="8890" cy="127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-5410835</wp:posOffset>
            </wp:positionV>
            <wp:extent cx="8890" cy="127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-5410835</wp:posOffset>
            </wp:positionV>
            <wp:extent cx="8255" cy="127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-5410835</wp:posOffset>
            </wp:positionV>
            <wp:extent cx="8255" cy="127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-5410835</wp:posOffset>
            </wp:positionV>
            <wp:extent cx="8255" cy="127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-5410835</wp:posOffset>
            </wp:positionV>
            <wp:extent cx="8890" cy="127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-5410835</wp:posOffset>
            </wp:positionV>
            <wp:extent cx="8890" cy="127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-5410835</wp:posOffset>
            </wp:positionV>
            <wp:extent cx="8255" cy="127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-5410835</wp:posOffset>
            </wp:positionV>
            <wp:extent cx="8255" cy="127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-5410835</wp:posOffset>
            </wp:positionV>
            <wp:extent cx="8255" cy="127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-5264785</wp:posOffset>
            </wp:positionV>
            <wp:extent cx="8890" cy="127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-5264785</wp:posOffset>
            </wp:positionV>
            <wp:extent cx="8255" cy="127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-5264785</wp:posOffset>
            </wp:positionV>
            <wp:extent cx="8255" cy="127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-5264785</wp:posOffset>
            </wp:positionV>
            <wp:extent cx="8255" cy="127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-5264785</wp:posOffset>
            </wp:positionV>
            <wp:extent cx="8890" cy="127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-5264785</wp:posOffset>
            </wp:positionV>
            <wp:extent cx="8890" cy="127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-5264785</wp:posOffset>
            </wp:positionV>
            <wp:extent cx="8255" cy="127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-5264785</wp:posOffset>
            </wp:positionV>
            <wp:extent cx="8255" cy="127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-5264785</wp:posOffset>
            </wp:positionV>
            <wp:extent cx="8255" cy="127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-5264785</wp:posOffset>
            </wp:positionV>
            <wp:extent cx="8890" cy="127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-5264785</wp:posOffset>
            </wp:positionV>
            <wp:extent cx="8890" cy="127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-5264785</wp:posOffset>
            </wp:positionV>
            <wp:extent cx="8255" cy="127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-5119370</wp:posOffset>
            </wp:positionV>
            <wp:extent cx="8890" cy="127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-5119370</wp:posOffset>
            </wp:positionV>
            <wp:extent cx="8890" cy="127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-5119370</wp:posOffset>
            </wp:positionV>
            <wp:extent cx="8890" cy="127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-5119370</wp:posOffset>
            </wp:positionV>
            <wp:extent cx="8255" cy="127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-5119370</wp:posOffset>
            </wp:positionV>
            <wp:extent cx="8890" cy="127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-5119370</wp:posOffset>
            </wp:positionV>
            <wp:extent cx="8890" cy="127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-5119370</wp:posOffset>
            </wp:positionV>
            <wp:extent cx="8890" cy="127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-5119370</wp:posOffset>
            </wp:positionV>
            <wp:extent cx="8890" cy="127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-5119370</wp:posOffset>
            </wp:positionV>
            <wp:extent cx="8890" cy="127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-5119370</wp:posOffset>
            </wp:positionV>
            <wp:extent cx="8890" cy="127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-5119370</wp:posOffset>
            </wp:positionV>
            <wp:extent cx="8255" cy="127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-5119370</wp:posOffset>
            </wp:positionV>
            <wp:extent cx="8890" cy="127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-4973320</wp:posOffset>
            </wp:positionV>
            <wp:extent cx="8255" cy="127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-4973320</wp:posOffset>
            </wp:positionV>
            <wp:extent cx="8255" cy="127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-4973320</wp:posOffset>
            </wp:positionV>
            <wp:extent cx="8890" cy="127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-4973320</wp:posOffset>
            </wp:positionV>
            <wp:extent cx="8255" cy="127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1457960</wp:posOffset>
            </wp:positionH>
            <wp:positionV relativeFrom="paragraph">
              <wp:posOffset>-4973320</wp:posOffset>
            </wp:positionV>
            <wp:extent cx="8890" cy="127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1475105</wp:posOffset>
            </wp:positionH>
            <wp:positionV relativeFrom="paragraph">
              <wp:posOffset>-4973320</wp:posOffset>
            </wp:positionV>
            <wp:extent cx="8890" cy="127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1492250</wp:posOffset>
            </wp:positionH>
            <wp:positionV relativeFrom="paragraph">
              <wp:posOffset>-4973320</wp:posOffset>
            </wp:positionV>
            <wp:extent cx="8890" cy="127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-4973320</wp:posOffset>
            </wp:positionV>
            <wp:extent cx="8890" cy="127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-4973320</wp:posOffset>
            </wp:positionV>
            <wp:extent cx="8255" cy="127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-4973320</wp:posOffset>
            </wp:positionV>
            <wp:extent cx="8890" cy="127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-4973320</wp:posOffset>
            </wp:positionV>
            <wp:extent cx="8890" cy="127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-4973320</wp:posOffset>
            </wp:positionV>
            <wp:extent cx="8890" cy="127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-4973320</wp:posOffset>
            </wp:positionV>
            <wp:extent cx="8890" cy="127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-4973320</wp:posOffset>
            </wp:positionV>
            <wp:extent cx="8255" cy="127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-4973320</wp:posOffset>
            </wp:positionV>
            <wp:extent cx="8890" cy="127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-4973320</wp:posOffset>
            </wp:positionV>
            <wp:extent cx="8890" cy="127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-4973320</wp:posOffset>
            </wp:positionV>
            <wp:extent cx="8255" cy="127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-4973320</wp:posOffset>
            </wp:positionV>
            <wp:extent cx="8890" cy="127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-4973320</wp:posOffset>
            </wp:positionV>
            <wp:extent cx="8890" cy="127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-4973320</wp:posOffset>
            </wp:positionV>
            <wp:extent cx="8255" cy="127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-4973320</wp:posOffset>
            </wp:positionV>
            <wp:extent cx="8255" cy="127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-4973320</wp:posOffset>
            </wp:positionV>
            <wp:extent cx="8890" cy="127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-4973320</wp:posOffset>
            </wp:positionV>
            <wp:extent cx="8890" cy="127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-4973320</wp:posOffset>
            </wp:positionV>
            <wp:extent cx="8255" cy="127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-4973320</wp:posOffset>
            </wp:positionV>
            <wp:extent cx="8255" cy="127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-4973320</wp:posOffset>
            </wp:positionV>
            <wp:extent cx="8255" cy="127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-4973320</wp:posOffset>
            </wp:positionV>
            <wp:extent cx="8890" cy="127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-4973320</wp:posOffset>
            </wp:positionV>
            <wp:extent cx="8890" cy="127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-4793615</wp:posOffset>
            </wp:positionV>
            <wp:extent cx="8255" cy="1270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-4793615</wp:posOffset>
            </wp:positionV>
            <wp:extent cx="8890" cy="127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-4793615</wp:posOffset>
            </wp:positionV>
            <wp:extent cx="8890" cy="127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-4793615</wp:posOffset>
            </wp:positionV>
            <wp:extent cx="8890" cy="127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-4793615</wp:posOffset>
            </wp:positionV>
            <wp:extent cx="8890" cy="127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-4793615</wp:posOffset>
            </wp:positionV>
            <wp:extent cx="8890" cy="127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-4793615</wp:posOffset>
            </wp:positionV>
            <wp:extent cx="8890" cy="127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-4647565</wp:posOffset>
            </wp:positionV>
            <wp:extent cx="8890" cy="127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-4647565</wp:posOffset>
            </wp:positionV>
            <wp:extent cx="8255" cy="127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-4647565</wp:posOffset>
            </wp:positionV>
            <wp:extent cx="8890" cy="127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-4647565</wp:posOffset>
            </wp:positionV>
            <wp:extent cx="8890" cy="127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-4647565</wp:posOffset>
            </wp:positionV>
            <wp:extent cx="8890" cy="127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-4647565</wp:posOffset>
            </wp:positionV>
            <wp:extent cx="8890" cy="127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-4647565</wp:posOffset>
            </wp:positionV>
            <wp:extent cx="8255" cy="127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-4647565</wp:posOffset>
            </wp:positionV>
            <wp:extent cx="8890" cy="127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-4647565</wp:posOffset>
            </wp:positionV>
            <wp:extent cx="8255" cy="127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-4647565</wp:posOffset>
            </wp:positionV>
            <wp:extent cx="8890" cy="127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-4647565</wp:posOffset>
            </wp:positionV>
            <wp:extent cx="8890" cy="127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-4647565</wp:posOffset>
            </wp:positionV>
            <wp:extent cx="8890" cy="127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-4647565</wp:posOffset>
            </wp:positionV>
            <wp:extent cx="8890" cy="127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-4647565</wp:posOffset>
            </wp:positionV>
            <wp:extent cx="8255" cy="127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-4647565</wp:posOffset>
            </wp:positionV>
            <wp:extent cx="8890" cy="127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-4502150</wp:posOffset>
            </wp:positionV>
            <wp:extent cx="8255" cy="127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-4502150</wp:posOffset>
            </wp:positionV>
            <wp:extent cx="8890" cy="127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-4502150</wp:posOffset>
            </wp:positionV>
            <wp:extent cx="8890" cy="127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-4502150</wp:posOffset>
            </wp:positionV>
            <wp:extent cx="8890" cy="127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-4502150</wp:posOffset>
            </wp:positionV>
            <wp:extent cx="8890" cy="127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-4502150</wp:posOffset>
            </wp:positionV>
            <wp:extent cx="8890" cy="127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-4502150</wp:posOffset>
            </wp:positionV>
            <wp:extent cx="8890" cy="127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-4502150</wp:posOffset>
            </wp:positionV>
            <wp:extent cx="8255" cy="127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-4502150</wp:posOffset>
            </wp:positionV>
            <wp:extent cx="8890" cy="127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-4502150</wp:posOffset>
            </wp:positionV>
            <wp:extent cx="8890" cy="127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-4502150</wp:posOffset>
            </wp:positionV>
            <wp:extent cx="8890" cy="1270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-4502150</wp:posOffset>
            </wp:positionV>
            <wp:extent cx="8890" cy="127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-4356100</wp:posOffset>
            </wp:positionV>
            <wp:extent cx="8890" cy="127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-4356100</wp:posOffset>
            </wp:positionV>
            <wp:extent cx="8890" cy="127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-4356100</wp:posOffset>
            </wp:positionV>
            <wp:extent cx="8890" cy="1270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-4356100</wp:posOffset>
            </wp:positionV>
            <wp:extent cx="8255" cy="127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-4356100</wp:posOffset>
            </wp:positionV>
            <wp:extent cx="8890" cy="127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-4356100</wp:posOffset>
            </wp:positionV>
            <wp:extent cx="8890" cy="127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-4356100</wp:posOffset>
            </wp:positionV>
            <wp:extent cx="8890" cy="127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-4356100</wp:posOffset>
            </wp:positionV>
            <wp:extent cx="8890" cy="127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-4356100</wp:posOffset>
            </wp:positionV>
            <wp:extent cx="8255" cy="127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-4356100</wp:posOffset>
            </wp:positionV>
            <wp:extent cx="8890" cy="127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-4356100</wp:posOffset>
            </wp:positionV>
            <wp:extent cx="8890" cy="127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-4356100</wp:posOffset>
            </wp:positionV>
            <wp:extent cx="8890" cy="127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-4356100</wp:posOffset>
            </wp:positionV>
            <wp:extent cx="8890" cy="127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-4356100</wp:posOffset>
            </wp:positionV>
            <wp:extent cx="8890" cy="1270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-4356100</wp:posOffset>
            </wp:positionV>
            <wp:extent cx="8890" cy="127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-4064635</wp:posOffset>
            </wp:positionV>
            <wp:extent cx="8890" cy="127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-4064635</wp:posOffset>
            </wp:positionV>
            <wp:extent cx="8255" cy="127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-4064635</wp:posOffset>
            </wp:positionV>
            <wp:extent cx="8890" cy="127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-4064635</wp:posOffset>
            </wp:positionV>
            <wp:extent cx="8890" cy="127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-4064635</wp:posOffset>
            </wp:positionV>
            <wp:extent cx="8890" cy="127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-4064635</wp:posOffset>
            </wp:positionV>
            <wp:extent cx="8890" cy="127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-4064635</wp:posOffset>
            </wp:positionV>
            <wp:extent cx="8890" cy="127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-4064635</wp:posOffset>
            </wp:positionV>
            <wp:extent cx="8255" cy="127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-4064635</wp:posOffset>
            </wp:positionV>
            <wp:extent cx="8255" cy="127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-4064635</wp:posOffset>
            </wp:positionV>
            <wp:extent cx="8255" cy="127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-4064635</wp:posOffset>
            </wp:positionV>
            <wp:extent cx="8890" cy="127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-3919220</wp:posOffset>
            </wp:positionV>
            <wp:extent cx="8890" cy="127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-3919220</wp:posOffset>
            </wp:positionV>
            <wp:extent cx="8255" cy="127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-3919220</wp:posOffset>
            </wp:positionV>
            <wp:extent cx="8890" cy="127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-3919220</wp:posOffset>
            </wp:positionV>
            <wp:extent cx="8255" cy="127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-3919220</wp:posOffset>
            </wp:positionV>
            <wp:extent cx="8890" cy="127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-3919220</wp:posOffset>
            </wp:positionV>
            <wp:extent cx="8890" cy="1270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-3919220</wp:posOffset>
            </wp:positionV>
            <wp:extent cx="8890" cy="127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-3919220</wp:posOffset>
            </wp:positionV>
            <wp:extent cx="8890" cy="127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-3576320</wp:posOffset>
            </wp:positionV>
            <wp:extent cx="8890" cy="127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-3576320</wp:posOffset>
            </wp:positionV>
            <wp:extent cx="8890" cy="127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-3576320</wp:posOffset>
            </wp:positionV>
            <wp:extent cx="8255" cy="127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-3576320</wp:posOffset>
            </wp:positionV>
            <wp:extent cx="8890" cy="127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-3576320</wp:posOffset>
            </wp:positionV>
            <wp:extent cx="8890" cy="127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-3576320</wp:posOffset>
            </wp:positionV>
            <wp:extent cx="8890" cy="127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-3576320</wp:posOffset>
            </wp:positionV>
            <wp:extent cx="8890" cy="1270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-3576320</wp:posOffset>
            </wp:positionV>
            <wp:extent cx="8255" cy="127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-3576320</wp:posOffset>
            </wp:positionV>
            <wp:extent cx="8890" cy="127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-3576320</wp:posOffset>
            </wp:positionV>
            <wp:extent cx="8890" cy="127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-3576320</wp:posOffset>
            </wp:positionV>
            <wp:extent cx="8890" cy="127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-3576320</wp:posOffset>
            </wp:positionV>
            <wp:extent cx="8890" cy="127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-3576320</wp:posOffset>
            </wp:positionV>
            <wp:extent cx="8255" cy="127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-3576320</wp:posOffset>
            </wp:positionV>
            <wp:extent cx="8890" cy="127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-3344545</wp:posOffset>
            </wp:positionV>
            <wp:extent cx="8890" cy="127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-3344545</wp:posOffset>
            </wp:positionV>
            <wp:extent cx="8890" cy="1270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-3344545</wp:posOffset>
            </wp:positionV>
            <wp:extent cx="8255" cy="127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-3344545</wp:posOffset>
            </wp:positionV>
            <wp:extent cx="8890" cy="127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-3344545</wp:posOffset>
            </wp:positionV>
            <wp:extent cx="8890" cy="127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-3344545</wp:posOffset>
            </wp:positionV>
            <wp:extent cx="8890" cy="127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-3344545</wp:posOffset>
            </wp:positionV>
            <wp:extent cx="8890" cy="127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-3199130</wp:posOffset>
            </wp:positionV>
            <wp:extent cx="8890" cy="127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-3199130</wp:posOffset>
            </wp:positionV>
            <wp:extent cx="8890" cy="127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-3199130</wp:posOffset>
            </wp:positionV>
            <wp:extent cx="8890" cy="127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-3199130</wp:posOffset>
            </wp:positionV>
            <wp:extent cx="8890" cy="127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-3053080</wp:posOffset>
            </wp:positionV>
            <wp:extent cx="8890" cy="127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-3053080</wp:posOffset>
            </wp:positionV>
            <wp:extent cx="8890" cy="127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-3053080</wp:posOffset>
            </wp:positionV>
            <wp:extent cx="8890" cy="127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-3053080</wp:posOffset>
            </wp:positionV>
            <wp:extent cx="8255" cy="1270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-3053080</wp:posOffset>
            </wp:positionV>
            <wp:extent cx="8890" cy="127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-2907665</wp:posOffset>
            </wp:positionV>
            <wp:extent cx="8255" cy="1270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-2907665</wp:posOffset>
            </wp:positionV>
            <wp:extent cx="8890" cy="127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-2907665</wp:posOffset>
            </wp:positionV>
            <wp:extent cx="8255" cy="127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-2907665</wp:posOffset>
            </wp:positionV>
            <wp:extent cx="8890" cy="127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-2907665</wp:posOffset>
            </wp:positionV>
            <wp:extent cx="8890" cy="1270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-2761615</wp:posOffset>
            </wp:positionV>
            <wp:extent cx="8890" cy="127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-2761615</wp:posOffset>
            </wp:positionV>
            <wp:extent cx="8890" cy="127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-2761615</wp:posOffset>
            </wp:positionV>
            <wp:extent cx="8890" cy="127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-2761615</wp:posOffset>
            </wp:positionV>
            <wp:extent cx="8255" cy="127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-2761615</wp:posOffset>
            </wp:positionV>
            <wp:extent cx="8890" cy="127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-2761615</wp:posOffset>
            </wp:positionV>
            <wp:extent cx="8890" cy="1270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-2761615</wp:posOffset>
            </wp:positionV>
            <wp:extent cx="8890" cy="127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-2761615</wp:posOffset>
            </wp:positionV>
            <wp:extent cx="8890" cy="1270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-2761615</wp:posOffset>
            </wp:positionV>
            <wp:extent cx="8255" cy="127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-2761615</wp:posOffset>
            </wp:positionV>
            <wp:extent cx="8890" cy="127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-2761615</wp:posOffset>
            </wp:positionV>
            <wp:extent cx="8890" cy="127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-2761615</wp:posOffset>
            </wp:positionV>
            <wp:extent cx="8890" cy="127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-2761615</wp:posOffset>
            </wp:positionV>
            <wp:extent cx="8890" cy="127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-2616200</wp:posOffset>
            </wp:positionV>
            <wp:extent cx="8890" cy="127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-2616200</wp:posOffset>
            </wp:positionV>
            <wp:extent cx="8255" cy="127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-2616200</wp:posOffset>
            </wp:positionV>
            <wp:extent cx="8890" cy="1270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-2616200</wp:posOffset>
            </wp:positionV>
            <wp:extent cx="8890" cy="1270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-2616200</wp:posOffset>
            </wp:positionV>
            <wp:extent cx="8890" cy="127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-2616200</wp:posOffset>
            </wp:positionV>
            <wp:extent cx="8890" cy="127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-2616200</wp:posOffset>
            </wp:positionV>
            <wp:extent cx="8255" cy="1270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-2616200</wp:posOffset>
            </wp:positionV>
            <wp:extent cx="8890" cy="127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-2616200</wp:posOffset>
            </wp:positionV>
            <wp:extent cx="8890" cy="1270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-2616200</wp:posOffset>
            </wp:positionV>
            <wp:extent cx="8890" cy="1270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-2616200</wp:posOffset>
            </wp:positionV>
            <wp:extent cx="8890" cy="127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-2470150</wp:posOffset>
            </wp:positionV>
            <wp:extent cx="8255" cy="127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-2470150</wp:posOffset>
            </wp:positionV>
            <wp:extent cx="8890" cy="127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-2470150</wp:posOffset>
            </wp:positionV>
            <wp:extent cx="8890" cy="127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-2470150</wp:posOffset>
            </wp:positionV>
            <wp:extent cx="8255" cy="127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-2470150</wp:posOffset>
            </wp:positionV>
            <wp:extent cx="8255" cy="127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-2470150</wp:posOffset>
            </wp:positionV>
            <wp:extent cx="8255" cy="127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-2324735</wp:posOffset>
            </wp:positionV>
            <wp:extent cx="8255" cy="127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-2324735</wp:posOffset>
            </wp:positionV>
            <wp:extent cx="8890" cy="127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-2178685</wp:posOffset>
            </wp:positionV>
            <wp:extent cx="8890" cy="1270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-2178685</wp:posOffset>
            </wp:positionV>
            <wp:extent cx="8255" cy="127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-2178685</wp:posOffset>
            </wp:positionV>
            <wp:extent cx="8890" cy="127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-2178685</wp:posOffset>
            </wp:positionV>
            <wp:extent cx="8255" cy="127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-2178685</wp:posOffset>
            </wp:positionV>
            <wp:extent cx="8890" cy="127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-2178685</wp:posOffset>
            </wp:positionV>
            <wp:extent cx="8890" cy="1270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-2178685</wp:posOffset>
            </wp:positionV>
            <wp:extent cx="8890" cy="1270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-2178685</wp:posOffset>
            </wp:positionV>
            <wp:extent cx="8890" cy="1270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-2016125</wp:posOffset>
            </wp:positionV>
            <wp:extent cx="8890" cy="1270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-2016125</wp:posOffset>
            </wp:positionV>
            <wp:extent cx="8255" cy="1270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-2016125</wp:posOffset>
            </wp:positionV>
            <wp:extent cx="8255" cy="1270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6464300</wp:posOffset>
            </wp:positionH>
            <wp:positionV relativeFrom="paragraph">
              <wp:posOffset>-2016125</wp:posOffset>
            </wp:positionV>
            <wp:extent cx="8255" cy="127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-2016125</wp:posOffset>
            </wp:positionV>
            <wp:extent cx="8255" cy="1270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-2016125</wp:posOffset>
            </wp:positionV>
            <wp:extent cx="8890" cy="1270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-2016125</wp:posOffset>
            </wp:positionV>
            <wp:extent cx="8255" cy="1270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-2016125</wp:posOffset>
            </wp:positionV>
            <wp:extent cx="8255" cy="1270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-2016125</wp:posOffset>
            </wp:positionV>
            <wp:extent cx="8255" cy="1270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-2016125</wp:posOffset>
            </wp:positionV>
            <wp:extent cx="8255" cy="1270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-2016125</wp:posOffset>
            </wp:positionV>
            <wp:extent cx="8890" cy="1270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-2016125</wp:posOffset>
            </wp:positionV>
            <wp:extent cx="8255" cy="1270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-2016125</wp:posOffset>
            </wp:positionV>
            <wp:extent cx="8255" cy="1270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-1852930</wp:posOffset>
            </wp:positionV>
            <wp:extent cx="8255" cy="1270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-1852930</wp:posOffset>
            </wp:positionV>
            <wp:extent cx="8890" cy="127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-1852930</wp:posOffset>
            </wp:positionV>
            <wp:extent cx="8890" cy="127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-1852930</wp:posOffset>
            </wp:positionV>
            <wp:extent cx="8255" cy="1270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-1852930</wp:posOffset>
            </wp:positionV>
            <wp:extent cx="8255" cy="127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-1852930</wp:posOffset>
            </wp:positionV>
            <wp:extent cx="8255" cy="1270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-1852930</wp:posOffset>
            </wp:positionV>
            <wp:extent cx="8890" cy="1270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-1852930</wp:posOffset>
            </wp:positionV>
            <wp:extent cx="8255" cy="1270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-1852930</wp:posOffset>
            </wp:positionV>
            <wp:extent cx="8255" cy="1270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-1852930</wp:posOffset>
            </wp:positionV>
            <wp:extent cx="8255" cy="1270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-1852930</wp:posOffset>
            </wp:positionV>
            <wp:extent cx="8890" cy="1270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-1852930</wp:posOffset>
            </wp:positionV>
            <wp:extent cx="8255" cy="127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-1852930</wp:posOffset>
            </wp:positionV>
            <wp:extent cx="8255" cy="1270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6524625</wp:posOffset>
            </wp:positionH>
            <wp:positionV relativeFrom="paragraph">
              <wp:posOffset>-1852930</wp:posOffset>
            </wp:positionV>
            <wp:extent cx="8255" cy="127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-1852930</wp:posOffset>
            </wp:positionV>
            <wp:extent cx="8890" cy="1270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-1852930</wp:posOffset>
            </wp:positionV>
            <wp:extent cx="8255" cy="1270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-1852930</wp:posOffset>
            </wp:positionV>
            <wp:extent cx="8255" cy="127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6593205</wp:posOffset>
            </wp:positionH>
            <wp:positionV relativeFrom="paragraph">
              <wp:posOffset>-1852930</wp:posOffset>
            </wp:positionV>
            <wp:extent cx="8255" cy="127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6610350</wp:posOffset>
            </wp:positionH>
            <wp:positionV relativeFrom="paragraph">
              <wp:posOffset>-1852930</wp:posOffset>
            </wp:positionV>
            <wp:extent cx="8255" cy="1270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-1673225</wp:posOffset>
            </wp:positionV>
            <wp:extent cx="8255" cy="127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-1673225</wp:posOffset>
            </wp:positionV>
            <wp:extent cx="8890" cy="1270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-1527175</wp:posOffset>
            </wp:positionV>
            <wp:extent cx="8890" cy="1270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-1527175</wp:posOffset>
            </wp:positionV>
            <wp:extent cx="8255" cy="1270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-1527175</wp:posOffset>
            </wp:positionV>
            <wp:extent cx="8890" cy="127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-1527175</wp:posOffset>
            </wp:positionV>
            <wp:extent cx="8890" cy="1270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-1527175</wp:posOffset>
            </wp:positionV>
            <wp:extent cx="8890" cy="127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-1527175</wp:posOffset>
            </wp:positionV>
            <wp:extent cx="8890" cy="1270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-1527175</wp:posOffset>
            </wp:positionV>
            <wp:extent cx="8255" cy="127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-1527175</wp:posOffset>
            </wp:positionV>
            <wp:extent cx="8890" cy="1270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-1527175</wp:posOffset>
            </wp:positionV>
            <wp:extent cx="8890" cy="1270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-1527175</wp:posOffset>
            </wp:positionV>
            <wp:extent cx="8890" cy="1270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-1527175</wp:posOffset>
            </wp:positionV>
            <wp:extent cx="8890" cy="1270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-1381760</wp:posOffset>
            </wp:positionV>
            <wp:extent cx="8255" cy="1270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-1381760</wp:posOffset>
            </wp:positionV>
            <wp:extent cx="8255" cy="1270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-1381760</wp:posOffset>
            </wp:positionV>
            <wp:extent cx="8890" cy="127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-1381760</wp:posOffset>
            </wp:positionV>
            <wp:extent cx="8890" cy="1270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-1381760</wp:posOffset>
            </wp:positionV>
            <wp:extent cx="8255" cy="127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-1381760</wp:posOffset>
            </wp:positionV>
            <wp:extent cx="8255" cy="1270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-1381760</wp:posOffset>
            </wp:positionV>
            <wp:extent cx="8255" cy="127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-1381760</wp:posOffset>
            </wp:positionV>
            <wp:extent cx="8890" cy="1270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-1381760</wp:posOffset>
            </wp:positionV>
            <wp:extent cx="8890" cy="127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-1381760</wp:posOffset>
            </wp:positionV>
            <wp:extent cx="8255" cy="1270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-1381760</wp:posOffset>
            </wp:positionV>
            <wp:extent cx="8255" cy="127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-1381760</wp:posOffset>
            </wp:positionV>
            <wp:extent cx="8255" cy="127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-1381760</wp:posOffset>
            </wp:positionV>
            <wp:extent cx="8890" cy="127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-1381760</wp:posOffset>
            </wp:positionV>
            <wp:extent cx="8890" cy="1270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-1381760</wp:posOffset>
            </wp:positionV>
            <wp:extent cx="8255" cy="127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-1235710</wp:posOffset>
            </wp:positionV>
            <wp:extent cx="8890" cy="1270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-1235710</wp:posOffset>
            </wp:positionV>
            <wp:extent cx="8890" cy="127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-1235710</wp:posOffset>
            </wp:positionV>
            <wp:extent cx="8890" cy="1270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-1235710</wp:posOffset>
            </wp:positionV>
            <wp:extent cx="8255" cy="1270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-1235710</wp:posOffset>
            </wp:positionV>
            <wp:extent cx="8890" cy="1270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-1235710</wp:posOffset>
            </wp:positionV>
            <wp:extent cx="8255" cy="127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-1235710</wp:posOffset>
            </wp:positionV>
            <wp:extent cx="8890" cy="127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-1235710</wp:posOffset>
            </wp:positionV>
            <wp:extent cx="8890" cy="127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-1090295</wp:posOffset>
            </wp:positionV>
            <wp:extent cx="8890" cy="1270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-1090295</wp:posOffset>
            </wp:positionV>
            <wp:extent cx="8890" cy="127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-1090295</wp:posOffset>
            </wp:positionV>
            <wp:extent cx="8890" cy="1270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-1090295</wp:posOffset>
            </wp:positionV>
            <wp:extent cx="8890" cy="1270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-1090295</wp:posOffset>
            </wp:positionV>
            <wp:extent cx="8255" cy="127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-1090295</wp:posOffset>
            </wp:positionV>
            <wp:extent cx="8890" cy="127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-1090295</wp:posOffset>
            </wp:positionV>
            <wp:extent cx="8890" cy="1270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-1090295</wp:posOffset>
            </wp:positionV>
            <wp:extent cx="8890" cy="127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-1090295</wp:posOffset>
            </wp:positionV>
            <wp:extent cx="8890" cy="1270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-944245</wp:posOffset>
            </wp:positionV>
            <wp:extent cx="8890" cy="127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-944245</wp:posOffset>
            </wp:positionV>
            <wp:extent cx="8890" cy="1270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-944245</wp:posOffset>
            </wp:positionV>
            <wp:extent cx="8255" cy="127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-944245</wp:posOffset>
            </wp:positionV>
            <wp:extent cx="8890" cy="127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-944245</wp:posOffset>
            </wp:positionV>
            <wp:extent cx="8890" cy="127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-944245</wp:posOffset>
            </wp:positionV>
            <wp:extent cx="8890" cy="1270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-944245</wp:posOffset>
            </wp:positionV>
            <wp:extent cx="8890" cy="127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-944245</wp:posOffset>
            </wp:positionV>
            <wp:extent cx="8890" cy="1270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-944245</wp:posOffset>
            </wp:positionV>
            <wp:extent cx="8255" cy="1270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-944245</wp:posOffset>
            </wp:positionV>
            <wp:extent cx="8255" cy="1270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-944245</wp:posOffset>
            </wp:positionV>
            <wp:extent cx="8255" cy="127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-944245</wp:posOffset>
            </wp:positionV>
            <wp:extent cx="8890" cy="1270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-798830</wp:posOffset>
            </wp:positionV>
            <wp:extent cx="8255" cy="127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-798830</wp:posOffset>
            </wp:positionV>
            <wp:extent cx="8890" cy="1270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-798830</wp:posOffset>
            </wp:positionV>
            <wp:extent cx="8255" cy="127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-798830</wp:posOffset>
            </wp:positionV>
            <wp:extent cx="8890" cy="1270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-798830</wp:posOffset>
            </wp:positionV>
            <wp:extent cx="8890" cy="127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-798830</wp:posOffset>
            </wp:positionV>
            <wp:extent cx="8890" cy="1270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-798830</wp:posOffset>
            </wp:positionV>
            <wp:extent cx="8890" cy="127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-798830</wp:posOffset>
            </wp:positionV>
            <wp:extent cx="8255" cy="1270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-798830</wp:posOffset>
            </wp:positionV>
            <wp:extent cx="8890" cy="127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-507365</wp:posOffset>
            </wp:positionV>
            <wp:extent cx="17145" cy="1270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7145"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-172720</wp:posOffset>
            </wp:positionV>
            <wp:extent cx="8890" cy="1270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-172720</wp:posOffset>
            </wp:positionV>
            <wp:extent cx="8890" cy="1270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-172720</wp:posOffset>
            </wp:positionV>
            <wp:extent cx="8255" cy="1270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-172720</wp:posOffset>
            </wp:positionV>
            <wp:extent cx="8890" cy="1270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-172720</wp:posOffset>
            </wp:positionV>
            <wp:extent cx="8255" cy="1270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-172720</wp:posOffset>
            </wp:positionV>
            <wp:extent cx="8890" cy="1270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-172720</wp:posOffset>
            </wp:positionV>
            <wp:extent cx="8890" cy="1270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-172720</wp:posOffset>
            </wp:positionV>
            <wp:extent cx="8890" cy="1270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-172720</wp:posOffset>
            </wp:positionV>
            <wp:extent cx="8890" cy="1270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-172720</wp:posOffset>
            </wp:positionV>
            <wp:extent cx="8255" cy="1270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12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08" w:right="719" w:bottom="1440" w:gutter="0" w:footer="0" w:header="0"/>
        </w:sectPr>
      </w:pPr>
    </w:p>
    <w:bookmarkStart w:id="17" w:name="page18"/>
    <w:bookmarkEnd w:id="17"/>
    <w:tbl>
      <w:tblPr>
        <w:tblLayout w:type="fixed"/>
        <w:tblInd w:w="1000" w:type="dxa"/>
        <w:tblCellMar>
          <w:top w:w="0" w:type="dxa"/>
          <w:left w:w="0" w:type="dxa"/>
          <w:bottom w:w="0" w:type="dxa"/>
          <w:right w:w="0" w:type="dxa"/>
        </w:tblCellMar>
      </w:tblPr>
      <w:tr>
        <w:trPr>
          <w:trHeight w:val="40"/>
        </w:trPr>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13.1.</w:t>
            </w:r>
          </w:p>
        </w:tc>
        <w:tc>
          <w:tcPr>
            <w:tcW w:w="6100" w:type="dxa"/>
            <w:vAlign w:val="bottom"/>
            <w:gridSpan w:val="25"/>
            <w:vMerge w:val="restart"/>
          </w:tcPr>
          <w:p>
            <w:pPr>
              <w:ind w:left="240"/>
              <w:spacing w:after="0"/>
              <w:rPr>
                <w:sz w:val="20"/>
                <w:szCs w:val="20"/>
                <w:color w:val="auto"/>
              </w:rPr>
            </w:pPr>
            <w:r>
              <w:rPr>
                <w:rFonts w:ascii="Times New Roman" w:cs="Times New Roman" w:eastAsia="Times New Roman" w:hAnsi="Times New Roman"/>
                <w:sz w:val="20"/>
                <w:szCs w:val="20"/>
                <w:color w:val="auto"/>
                <w:w w:val="99"/>
              </w:rPr>
              <w:t>Governing Law; Choice of Forum; Service of Process; Jury Trial Waiver</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rPr>
              <w:t>77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79</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6100" w:type="dxa"/>
            <w:vAlign w:val="bottom"/>
            <w:gridSpan w:val="25"/>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13.2.</w:t>
            </w:r>
          </w:p>
        </w:tc>
        <w:tc>
          <w:tcPr>
            <w:tcW w:w="182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Waiver of Notice</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79</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80</w:t>
            </w: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4"/>
                <w:szCs w:val="14"/>
                <w:color w:val="auto"/>
              </w:rPr>
            </w:pPr>
          </w:p>
        </w:tc>
        <w:tc>
          <w:tcPr>
            <w:tcW w:w="1820" w:type="dxa"/>
            <w:vAlign w:val="bottom"/>
            <w:gridSpan w:val="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13.3.</w:t>
            </w: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vMerge w:val="continue"/>
          </w:tcPr>
          <w:p>
            <w:pPr>
              <w:spacing w:after="0"/>
              <w:rPr>
                <w:sz w:val="14"/>
                <w:szCs w:val="14"/>
                <w:color w:val="auto"/>
              </w:rPr>
            </w:pPr>
          </w:p>
        </w:tc>
        <w:tc>
          <w:tcPr>
            <w:tcW w:w="2220" w:type="dxa"/>
            <w:vAlign w:val="bottom"/>
            <w:gridSpan w:val="11"/>
          </w:tcPr>
          <w:p>
            <w:pPr>
              <w:ind w:left="240"/>
              <w:spacing w:after="0" w:line="170" w:lineRule="exact"/>
              <w:rPr>
                <w:sz w:val="20"/>
                <w:szCs w:val="20"/>
                <w:color w:val="auto"/>
              </w:rPr>
            </w:pPr>
            <w:r>
              <w:rPr>
                <w:rFonts w:ascii="Times New Roman" w:cs="Times New Roman" w:eastAsia="Times New Roman" w:hAnsi="Times New Roman"/>
                <w:sz w:val="19"/>
                <w:szCs w:val="19"/>
                <w:color w:val="auto"/>
                <w:w w:val="97"/>
              </w:rPr>
              <w:t>Amendments and Waivers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79</w:t>
            </w: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80</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13.4.</w:t>
            </w:r>
          </w:p>
        </w:tc>
        <w:tc>
          <w:tcPr>
            <w:tcW w:w="142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Indemnification</w:t>
            </w: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1100" w:type="dxa"/>
            <w:vAlign w:val="bottom"/>
            <w:gridSpan w:val="9"/>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96"/>
              </w:rPr>
              <w:t xml:space="preserve">82 </w:t>
            </w:r>
            <w:r>
              <w:rPr>
                <w:rFonts w:ascii="Times New Roman" w:cs="Times New Roman" w:eastAsia="Times New Roman" w:hAnsi="Times New Roman"/>
                <w:sz w:val="20"/>
                <w:szCs w:val="20"/>
                <w:color w:val="000000"/>
                <w:w w:val="96"/>
              </w:rPr>
              <w:t>SECTION</w:t>
            </w:r>
          </w:p>
        </w:tc>
        <w:tc>
          <w:tcPr>
            <w:tcW w:w="200" w:type="dxa"/>
            <w:vAlign w:val="bottom"/>
            <w:tcBorders>
              <w:bottom w:val="single" w:sz="8" w:color="0000FF"/>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100" w:type="dxa"/>
            <w:vAlign w:val="bottom"/>
            <w:gridSpan w:val="9"/>
            <w:vMerge w:val="continue"/>
          </w:tcPr>
          <w:p>
            <w:pPr>
              <w:spacing w:after="0"/>
              <w:rPr>
                <w:sz w:val="14"/>
                <w:szCs w:val="14"/>
                <w:color w:val="auto"/>
              </w:rPr>
            </w:pPr>
          </w:p>
        </w:tc>
        <w:tc>
          <w:tcPr>
            <w:tcW w:w="3000" w:type="dxa"/>
            <w:vAlign w:val="bottom"/>
            <w:gridSpan w:val="8"/>
          </w:tcPr>
          <w:p>
            <w:pPr>
              <w:ind w:left="20"/>
              <w:spacing w:after="0" w:line="170" w:lineRule="exact"/>
              <w:rPr>
                <w:sz w:val="20"/>
                <w:szCs w:val="20"/>
                <w:color w:val="auto"/>
              </w:rPr>
            </w:pPr>
            <w:r>
              <w:rPr>
                <w:rFonts w:ascii="Times New Roman" w:cs="Times New Roman" w:eastAsia="Times New Roman" w:hAnsi="Times New Roman"/>
                <w:sz w:val="19"/>
                <w:szCs w:val="19"/>
                <w:color w:val="auto"/>
              </w:rPr>
              <w:t>14. NOTICES; MISCELLANEOUS</w:t>
            </w:r>
          </w:p>
        </w:tc>
        <w:tc>
          <w:tcPr>
            <w:tcW w:w="2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w w:val="94"/>
              </w:rPr>
              <w:t>82</w:t>
            </w:r>
          </w:p>
        </w:tc>
        <w:tc>
          <w:tcPr>
            <w:tcW w:w="2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83</w:t>
            </w: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14.1.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82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tcBorders>
              <w:bottom w:val="single" w:sz="8" w:color="0000FF"/>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14.2.</w:t>
            </w:r>
          </w:p>
        </w:tc>
        <w:tc>
          <w:tcPr>
            <w:tcW w:w="1220" w:type="dxa"/>
            <w:vAlign w:val="bottom"/>
            <w:gridSpan w:val="2"/>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87"/>
              </w:rPr>
              <w:t>Bank Product</w:t>
            </w:r>
          </w:p>
        </w:tc>
        <w:tc>
          <w:tcPr>
            <w:tcW w:w="200" w:type="dxa"/>
            <w:vAlign w:val="bottom"/>
            <w:tcBorders>
              <w:bottom w:val="single" w:sz="8" w:color="0000FF"/>
            </w:tcBorders>
          </w:tcPr>
          <w:p>
            <w:pPr>
              <w:spacing w:after="0" w:line="20" w:lineRule="exact"/>
              <w:rPr>
                <w:sz w:val="1"/>
                <w:szCs w:val="1"/>
                <w:color w:val="auto"/>
              </w:rPr>
            </w:pPr>
          </w:p>
        </w:tc>
        <w:tc>
          <w:tcPr>
            <w:tcW w:w="800" w:type="dxa"/>
            <w:vAlign w:val="bottom"/>
            <w:gridSpan w:val="8"/>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Providers</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83</w:t>
            </w:r>
          </w:p>
        </w:tc>
        <w:tc>
          <w:tcPr>
            <w:tcW w:w="1380" w:type="dxa"/>
            <w:vAlign w:val="bottom"/>
            <w:gridSpan w:val="4"/>
            <w:vMerge w:val="restart"/>
          </w:tcPr>
          <w:p>
            <w:pPr>
              <w:jc w:val="right"/>
              <w:ind w:right="1180"/>
              <w:spacing w:after="0" w:line="209" w:lineRule="exact"/>
              <w:rPr>
                <w:sz w:val="20"/>
                <w:szCs w:val="20"/>
                <w:color w:val="auto"/>
              </w:rPr>
            </w:pPr>
            <w:r>
              <w:rPr>
                <w:rFonts w:ascii="Times New Roman" w:cs="Times New Roman" w:eastAsia="Times New Roman" w:hAnsi="Times New Roman"/>
                <w:sz w:val="20"/>
                <w:szCs w:val="20"/>
                <w:color w:val="0000FF"/>
                <w:w w:val="89"/>
              </w:rPr>
              <w:t>84</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8"/>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14.3.</w:t>
            </w:r>
          </w:p>
        </w:tc>
        <w:tc>
          <w:tcPr>
            <w:tcW w:w="182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Partial Invalidity</w:t>
            </w:r>
          </w:p>
        </w:tc>
        <w:tc>
          <w:tcPr>
            <w:tcW w:w="22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99"/>
              </w:rPr>
              <w:t>84</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85</w:t>
            </w:r>
          </w:p>
        </w:tc>
        <w:tc>
          <w:tcPr>
            <w:tcW w:w="180" w:type="dxa"/>
            <w:vAlign w:val="bottom"/>
            <w:vMerge w:val="restart"/>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vMerge w:val="continue"/>
          </w:tcPr>
          <w:p>
            <w:pPr>
              <w:spacing w:after="0"/>
              <w:rPr>
                <w:sz w:val="14"/>
                <w:szCs w:val="14"/>
                <w:color w:val="auto"/>
              </w:rPr>
            </w:pPr>
          </w:p>
        </w:tc>
        <w:tc>
          <w:tcPr>
            <w:tcW w:w="1820" w:type="dxa"/>
            <w:vAlign w:val="bottom"/>
            <w:gridSpan w:val="7"/>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14.4.</w:t>
            </w:r>
          </w:p>
        </w:tc>
        <w:tc>
          <w:tcPr>
            <w:tcW w:w="2040" w:type="dxa"/>
            <w:vAlign w:val="bottom"/>
            <w:gridSpan w:val="10"/>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93"/>
              </w:rPr>
              <w:t>Successors and Assigns</w:t>
            </w:r>
          </w:p>
        </w:tc>
        <w:tc>
          <w:tcPr>
            <w:tcW w:w="200" w:type="dxa"/>
            <w:vAlign w:val="bottom"/>
            <w:tcBorders>
              <w:bottom w:val="single" w:sz="8" w:color="0000FF"/>
            </w:tcBorders>
            <w:gridSpan w:val="2"/>
          </w:tcPr>
          <w:p>
            <w:pPr>
              <w:spacing w:after="0" w:line="20" w:lineRule="exact"/>
              <w:rPr>
                <w:sz w:val="1"/>
                <w:szCs w:val="1"/>
                <w:color w:val="auto"/>
              </w:rPr>
            </w:pPr>
          </w:p>
        </w:tc>
        <w:tc>
          <w:tcPr>
            <w:tcW w:w="1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1380" w:type="dxa"/>
            <w:vAlign w:val="bottom"/>
            <w:gridSpan w:val="4"/>
            <w:vMerge w:val="restart"/>
          </w:tcPr>
          <w:p>
            <w:pPr>
              <w:jc w:val="right"/>
              <w:ind w:right="1180"/>
              <w:spacing w:after="0" w:line="209" w:lineRule="exact"/>
              <w:rPr>
                <w:sz w:val="20"/>
                <w:szCs w:val="20"/>
                <w:color w:val="auto"/>
              </w:rPr>
            </w:pPr>
            <w:r>
              <w:rPr>
                <w:rFonts w:ascii="Times New Roman" w:cs="Times New Roman" w:eastAsia="Times New Roman" w:hAnsi="Times New Roman"/>
                <w:sz w:val="20"/>
                <w:szCs w:val="20"/>
                <w:color w:val="0000FF"/>
                <w:w w:val="89"/>
              </w:rPr>
              <w:t>85</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vMerge w:val="continue"/>
          </w:tcPr>
          <w:p>
            <w:pPr>
              <w:spacing w:after="0"/>
              <w:rPr>
                <w:sz w:val="14"/>
                <w:szCs w:val="14"/>
                <w:color w:val="auto"/>
              </w:rPr>
            </w:pPr>
          </w:p>
        </w:tc>
        <w:tc>
          <w:tcPr>
            <w:tcW w:w="2040" w:type="dxa"/>
            <w:vAlign w:val="bottom"/>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14.5.</w:t>
            </w:r>
          </w:p>
        </w:tc>
        <w:tc>
          <w:tcPr>
            <w:tcW w:w="182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Entire Agreement</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87</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89</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4"/>
                <w:szCs w:val="14"/>
                <w:color w:val="auto"/>
              </w:rPr>
            </w:pPr>
          </w:p>
        </w:tc>
        <w:tc>
          <w:tcPr>
            <w:tcW w:w="1820" w:type="dxa"/>
            <w:vAlign w:val="bottom"/>
            <w:gridSpan w:val="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14.6.</w:t>
            </w:r>
          </w:p>
        </w:tc>
        <w:tc>
          <w:tcPr>
            <w:tcW w:w="182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USA Patriot Act</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87</w:t>
            </w: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vMerge w:val="continue"/>
          </w:tcPr>
          <w:p>
            <w:pPr>
              <w:spacing w:after="0"/>
              <w:rPr>
                <w:sz w:val="14"/>
                <w:szCs w:val="14"/>
                <w:color w:val="auto"/>
              </w:rPr>
            </w:pPr>
          </w:p>
        </w:tc>
        <w:tc>
          <w:tcPr>
            <w:tcW w:w="1820" w:type="dxa"/>
            <w:vAlign w:val="bottom"/>
            <w:gridSpan w:val="7"/>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4"/>
              </w:rPr>
              <w:t>89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14.7.</w:t>
            </w:r>
          </w:p>
        </w:tc>
        <w:tc>
          <w:tcPr>
            <w:tcW w:w="2020" w:type="dxa"/>
            <w:vAlign w:val="bottom"/>
            <w:gridSpan w:val="9"/>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89"/>
              </w:rPr>
              <w:t>Counterparts, Electronic</w:t>
            </w:r>
          </w:p>
        </w:tc>
        <w:tc>
          <w:tcPr>
            <w:tcW w:w="200" w:type="dxa"/>
            <w:vAlign w:val="bottom"/>
            <w:tcBorders>
              <w:bottom w:val="single" w:sz="8" w:color="0000FF"/>
            </w:tcBorders>
            <w:gridSpan w:val="2"/>
          </w:tcPr>
          <w:p>
            <w:pPr>
              <w:spacing w:after="0" w:line="20" w:lineRule="exact"/>
              <w:rPr>
                <w:sz w:val="1"/>
                <w:szCs w:val="1"/>
                <w:color w:val="auto"/>
              </w:rPr>
            </w:pPr>
          </w:p>
        </w:tc>
        <w:tc>
          <w:tcPr>
            <w:tcW w:w="1580" w:type="dxa"/>
            <w:vAlign w:val="bottom"/>
            <w:gridSpan w:val="6"/>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Signature, Etc.</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88</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89</w:t>
            </w:r>
          </w:p>
        </w:tc>
        <w:tc>
          <w:tcPr>
            <w:tcW w:w="4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4"/>
                <w:szCs w:val="14"/>
                <w:color w:val="auto"/>
              </w:rPr>
            </w:pPr>
          </w:p>
        </w:tc>
        <w:tc>
          <w:tcPr>
            <w:tcW w:w="2020" w:type="dxa"/>
            <w:vAlign w:val="bottom"/>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14.8.</w:t>
            </w:r>
          </w:p>
        </w:tc>
        <w:tc>
          <w:tcPr>
            <w:tcW w:w="1420" w:type="dxa"/>
            <w:vAlign w:val="bottom"/>
            <w:gridSpan w:val="3"/>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Disclosure</w:t>
            </w:r>
          </w:p>
        </w:tc>
        <w:tc>
          <w:tcPr>
            <w:tcW w:w="20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88</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14.9.</w:t>
            </w:r>
          </w:p>
        </w:tc>
        <w:tc>
          <w:tcPr>
            <w:tcW w:w="1620" w:type="dxa"/>
            <w:vAlign w:val="bottom"/>
            <w:gridSpan w:val="5"/>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w w:val="89"/>
              </w:rPr>
              <w:t>Acknowledgement</w:t>
            </w:r>
          </w:p>
        </w:tc>
        <w:tc>
          <w:tcPr>
            <w:tcW w:w="200" w:type="dxa"/>
            <w:vAlign w:val="bottom"/>
            <w:tcBorders>
              <w:bottom w:val="single" w:sz="8" w:color="0000FF"/>
            </w:tcBorders>
            <w:gridSpan w:val="2"/>
          </w:tcPr>
          <w:p>
            <w:pPr>
              <w:spacing w:after="0" w:line="20" w:lineRule="exact"/>
              <w:rPr>
                <w:sz w:val="1"/>
                <w:szCs w:val="1"/>
                <w:color w:val="auto"/>
              </w:rPr>
            </w:pPr>
          </w:p>
        </w:tc>
        <w:tc>
          <w:tcPr>
            <w:tcW w:w="4280" w:type="dxa"/>
            <w:vAlign w:val="bottom"/>
            <w:gridSpan w:val="18"/>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and Consent to Bail-In of EEA Financial Institutions</w:t>
            </w:r>
          </w:p>
        </w:tc>
        <w:tc>
          <w:tcPr>
            <w:tcW w:w="28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88</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89</w:t>
            </w: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18"/>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w w:val="95"/>
              </w:rPr>
              <w:t>14.10.</w:t>
            </w:r>
          </w:p>
        </w:tc>
        <w:tc>
          <w:tcPr>
            <w:tcW w:w="4600" w:type="dxa"/>
            <w:vAlign w:val="bottom"/>
            <w:gridSpan w:val="20"/>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2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89</w:t>
            </w: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90</w:t>
            </w:r>
          </w:p>
        </w:tc>
        <w:tc>
          <w:tcPr>
            <w:tcW w:w="1120" w:type="dxa"/>
            <w:vAlign w:val="bottom"/>
            <w:gridSpan w:val="3"/>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4"/>
                <w:szCs w:val="14"/>
                <w:color w:val="auto"/>
              </w:rPr>
            </w:pPr>
          </w:p>
        </w:tc>
        <w:tc>
          <w:tcPr>
            <w:tcW w:w="4600" w:type="dxa"/>
            <w:vAlign w:val="bottom"/>
            <w:gridSpan w:val="20"/>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w w:val="95"/>
              </w:rPr>
              <w:t>14.11.</w:t>
            </w:r>
          </w:p>
        </w:tc>
        <w:tc>
          <w:tcPr>
            <w:tcW w:w="1820" w:type="dxa"/>
            <w:vAlign w:val="bottom"/>
            <w:gridSpan w:val="7"/>
            <w:vMerge w:val="restart"/>
          </w:tcPr>
          <w:p>
            <w:pPr>
              <w:ind w:left="240"/>
              <w:spacing w:after="0" w:line="209" w:lineRule="exact"/>
              <w:rPr>
                <w:sz w:val="20"/>
                <w:szCs w:val="20"/>
                <w:color w:val="auto"/>
              </w:rPr>
            </w:pPr>
            <w:r>
              <w:rPr>
                <w:rFonts w:ascii="Times New Roman" w:cs="Times New Roman" w:eastAsia="Times New Roman" w:hAnsi="Times New Roman"/>
                <w:sz w:val="20"/>
                <w:szCs w:val="20"/>
                <w:color w:val="auto"/>
              </w:rPr>
              <w:t>Confidentiality</w:t>
            </w:r>
          </w:p>
        </w:tc>
        <w:tc>
          <w:tcPr>
            <w:tcW w:w="22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99"/>
              </w:rPr>
              <w:t>89</w:t>
            </w:r>
          </w:p>
        </w:tc>
        <w:tc>
          <w:tcPr>
            <w:tcW w:w="200" w:type="dxa"/>
            <w:vAlign w:val="bottom"/>
            <w:gridSpan w:val="2"/>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91</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vMerge w:val="continue"/>
          </w:tcPr>
          <w:p>
            <w:pPr>
              <w:spacing w:after="0"/>
              <w:rPr>
                <w:sz w:val="14"/>
                <w:szCs w:val="14"/>
                <w:color w:val="auto"/>
              </w:rPr>
            </w:pPr>
          </w:p>
        </w:tc>
        <w:tc>
          <w:tcPr>
            <w:tcW w:w="1820" w:type="dxa"/>
            <w:vAlign w:val="bottom"/>
            <w:gridSpan w:val="7"/>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00" w:type="dxa"/>
            <w:vAlign w:val="bottom"/>
            <w:tcBorders>
              <w:bottom w:val="single" w:sz="8" w:color="0000FF"/>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-2101850</wp:posOffset>
            </wp:positionV>
            <wp:extent cx="8255" cy="127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-2101850</wp:posOffset>
            </wp:positionV>
            <wp:extent cx="8890" cy="1270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-2101850</wp:posOffset>
            </wp:positionV>
            <wp:extent cx="8890" cy="1270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-2101850</wp:posOffset>
            </wp:positionV>
            <wp:extent cx="8255" cy="1270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-2101850</wp:posOffset>
            </wp:positionV>
            <wp:extent cx="8255" cy="127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-2101850</wp:posOffset>
            </wp:positionV>
            <wp:extent cx="8255" cy="1270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-1955800</wp:posOffset>
            </wp:positionV>
            <wp:extent cx="8890" cy="1270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-1955800</wp:posOffset>
            </wp:positionV>
            <wp:extent cx="8255" cy="1270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-1955800</wp:posOffset>
            </wp:positionV>
            <wp:extent cx="8890" cy="1270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-1955800</wp:posOffset>
            </wp:positionV>
            <wp:extent cx="8890" cy="1270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-1955800</wp:posOffset>
            </wp:positionV>
            <wp:extent cx="8890" cy="127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-1955800</wp:posOffset>
            </wp:positionV>
            <wp:extent cx="8890" cy="1270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-1955800</wp:posOffset>
            </wp:positionV>
            <wp:extent cx="8890" cy="127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-1955800</wp:posOffset>
            </wp:positionV>
            <wp:extent cx="8890" cy="127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-1810385</wp:posOffset>
            </wp:positionV>
            <wp:extent cx="8890" cy="1270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-1810385</wp:posOffset>
            </wp:positionV>
            <wp:extent cx="8890" cy="127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-1810385</wp:posOffset>
            </wp:positionV>
            <wp:extent cx="8890" cy="1270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-1810385</wp:posOffset>
            </wp:positionV>
            <wp:extent cx="8255" cy="1270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-1810385</wp:posOffset>
            </wp:positionV>
            <wp:extent cx="8890" cy="127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-1810385</wp:posOffset>
            </wp:positionV>
            <wp:extent cx="8890" cy="1270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-1810385</wp:posOffset>
            </wp:positionV>
            <wp:extent cx="8890" cy="127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-1810385</wp:posOffset>
            </wp:positionV>
            <wp:extent cx="8890" cy="1270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-1810385</wp:posOffset>
            </wp:positionV>
            <wp:extent cx="8255" cy="127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-1810385</wp:posOffset>
            </wp:positionV>
            <wp:extent cx="8890" cy="1270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-1664335</wp:posOffset>
            </wp:positionV>
            <wp:extent cx="8890" cy="1270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-1664335</wp:posOffset>
            </wp:positionV>
            <wp:extent cx="8890" cy="1270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-1664335</wp:posOffset>
            </wp:positionV>
            <wp:extent cx="8890" cy="1270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-1664335</wp:posOffset>
            </wp:positionV>
            <wp:extent cx="8890" cy="1270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-1664335</wp:posOffset>
            </wp:positionV>
            <wp:extent cx="8255" cy="1270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-1664335</wp:posOffset>
            </wp:positionV>
            <wp:extent cx="8890" cy="1270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-1664335</wp:posOffset>
            </wp:positionV>
            <wp:extent cx="8890" cy="1270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-1664335</wp:posOffset>
            </wp:positionV>
            <wp:extent cx="8890" cy="1270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-1664335</wp:posOffset>
            </wp:positionV>
            <wp:extent cx="8890" cy="1270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-1664335</wp:posOffset>
            </wp:positionV>
            <wp:extent cx="8255" cy="1270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-1664335</wp:posOffset>
            </wp:positionV>
            <wp:extent cx="8890" cy="1270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-1664335</wp:posOffset>
            </wp:positionV>
            <wp:extent cx="8255" cy="1270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-1664335</wp:posOffset>
            </wp:positionV>
            <wp:extent cx="8255" cy="1270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-1664335</wp:posOffset>
            </wp:positionV>
            <wp:extent cx="8255" cy="1270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-1484630</wp:posOffset>
            </wp:positionV>
            <wp:extent cx="8255" cy="1270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-1484630</wp:posOffset>
            </wp:positionV>
            <wp:extent cx="8890" cy="1270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-1484630</wp:posOffset>
            </wp:positionV>
            <wp:extent cx="8890" cy="1270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-1484630</wp:posOffset>
            </wp:positionV>
            <wp:extent cx="8890" cy="1270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-1484630</wp:posOffset>
            </wp:positionV>
            <wp:extent cx="8890" cy="1270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-1484630</wp:posOffset>
            </wp:positionV>
            <wp:extent cx="8255" cy="1270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-1484630</wp:posOffset>
            </wp:positionV>
            <wp:extent cx="8890" cy="1270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-1338580</wp:posOffset>
            </wp:positionV>
            <wp:extent cx="8890" cy="1270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-1338580</wp:posOffset>
            </wp:positionV>
            <wp:extent cx="8890" cy="1270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-1338580</wp:posOffset>
            </wp:positionV>
            <wp:extent cx="8890" cy="1270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-1338580</wp:posOffset>
            </wp:positionV>
            <wp:extent cx="8890" cy="1270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-1047115</wp:posOffset>
            </wp:positionV>
            <wp:extent cx="8890" cy="1270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-1047115</wp:posOffset>
            </wp:positionV>
            <wp:extent cx="8890" cy="1270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-1047115</wp:posOffset>
            </wp:positionV>
            <wp:extent cx="8890" cy="1270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-1047115</wp:posOffset>
            </wp:positionV>
            <wp:extent cx="8890" cy="1270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-901700</wp:posOffset>
            </wp:positionV>
            <wp:extent cx="8890" cy="1270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-901700</wp:posOffset>
            </wp:positionV>
            <wp:extent cx="8890" cy="1270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-901700</wp:posOffset>
            </wp:positionV>
            <wp:extent cx="8255" cy="1270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-901700</wp:posOffset>
            </wp:positionV>
            <wp:extent cx="8890" cy="1270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-901700</wp:posOffset>
            </wp:positionV>
            <wp:extent cx="8255" cy="1270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-901700</wp:posOffset>
            </wp:positionV>
            <wp:extent cx="8890" cy="1270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-901700</wp:posOffset>
            </wp:positionV>
            <wp:extent cx="8890" cy="1270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-755650</wp:posOffset>
            </wp:positionV>
            <wp:extent cx="8890" cy="127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-755650</wp:posOffset>
            </wp:positionV>
            <wp:extent cx="8255" cy="1270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-755650</wp:posOffset>
            </wp:positionV>
            <wp:extent cx="8890" cy="1270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-755650</wp:posOffset>
            </wp:positionV>
            <wp:extent cx="8890" cy="1270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-755650</wp:posOffset>
            </wp:positionV>
            <wp:extent cx="8890" cy="1270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-755650</wp:posOffset>
            </wp:positionV>
            <wp:extent cx="8890" cy="1270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-755650</wp:posOffset>
            </wp:positionV>
            <wp:extent cx="8255" cy="1270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-755650</wp:posOffset>
            </wp:positionV>
            <wp:extent cx="8890" cy="1270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-755650</wp:posOffset>
            </wp:positionV>
            <wp:extent cx="8255" cy="1270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-755650</wp:posOffset>
            </wp:positionV>
            <wp:extent cx="8890" cy="1270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-755650</wp:posOffset>
            </wp:positionV>
            <wp:extent cx="8890" cy="1270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-610235</wp:posOffset>
            </wp:positionV>
            <wp:extent cx="8890" cy="1270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-610235</wp:posOffset>
            </wp:positionV>
            <wp:extent cx="8890" cy="1270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-610235</wp:posOffset>
            </wp:positionV>
            <wp:extent cx="8255" cy="1270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-610235</wp:posOffset>
            </wp:positionV>
            <wp:extent cx="8255" cy="1270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-610235</wp:posOffset>
            </wp:positionV>
            <wp:extent cx="8255" cy="1270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-610235</wp:posOffset>
            </wp:positionV>
            <wp:extent cx="8890" cy="1270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-610235</wp:posOffset>
            </wp:positionV>
            <wp:extent cx="8890" cy="1270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-610235</wp:posOffset>
            </wp:positionV>
            <wp:extent cx="8255" cy="1270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-610235</wp:posOffset>
            </wp:positionV>
            <wp:extent cx="8255" cy="1270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-610235</wp:posOffset>
            </wp:positionV>
            <wp:extent cx="8255" cy="1270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-610235</wp:posOffset>
            </wp:positionV>
            <wp:extent cx="8890" cy="1270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-610235</wp:posOffset>
            </wp:positionV>
            <wp:extent cx="8890" cy="1270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-610235</wp:posOffset>
            </wp:positionV>
            <wp:extent cx="8255" cy="1270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-610235</wp:posOffset>
            </wp:positionV>
            <wp:extent cx="8255" cy="1270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-610235</wp:posOffset>
            </wp:positionV>
            <wp:extent cx="8255" cy="1270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-318770</wp:posOffset>
            </wp:positionV>
            <wp:extent cx="8255" cy="1270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-318770</wp:posOffset>
            </wp:positionV>
            <wp:extent cx="8255" cy="1270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-318770</wp:posOffset>
            </wp:positionV>
            <wp:extent cx="8255" cy="1270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-318770</wp:posOffset>
            </wp:positionV>
            <wp:extent cx="8890" cy="1270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-318770</wp:posOffset>
            </wp:positionV>
            <wp:extent cx="8890" cy="1270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-318770</wp:posOffset>
            </wp:positionV>
            <wp:extent cx="8255" cy="1270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-318770</wp:posOffset>
            </wp:positionV>
            <wp:extent cx="8255" cy="1270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-318770</wp:posOffset>
            </wp:positionV>
            <wp:extent cx="8255" cy="1270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-172720</wp:posOffset>
            </wp:positionV>
            <wp:extent cx="8255" cy="1270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-172720</wp:posOffset>
            </wp:positionV>
            <wp:extent cx="8255" cy="1270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-172720</wp:posOffset>
            </wp:positionV>
            <wp:extent cx="8255" cy="1270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-172720</wp:posOffset>
            </wp:positionV>
            <wp:extent cx="8890" cy="1270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-172720</wp:posOffset>
            </wp:positionV>
            <wp:extent cx="8890" cy="1270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1270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-172720</wp:posOffset>
            </wp:positionV>
            <wp:extent cx="8255" cy="1270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-172720</wp:posOffset>
            </wp:positionV>
            <wp:extent cx="8255" cy="1270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-172720</wp:posOffset>
            </wp:positionV>
            <wp:extent cx="8255" cy="1270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-172720</wp:posOffset>
            </wp:positionV>
            <wp:extent cx="8890" cy="1270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12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8" w:right="1440" w:bottom="1440" w:gutter="0" w:footer="0" w:header="0"/>
        </w:sectPr>
      </w:pPr>
    </w:p>
    <w:bookmarkStart w:id="18" w:name="page19"/>
    <w:bookmarkEnd w:id="18"/>
    <w:p>
      <w:pPr>
        <w:jc w:val="center"/>
        <w:ind w:left="360"/>
        <w:spacing w:after="0"/>
        <w:rPr>
          <w:sz w:val="20"/>
          <w:szCs w:val="20"/>
          <w:color w:val="auto"/>
        </w:rPr>
      </w:pPr>
      <w:r>
        <w:rPr>
          <w:rFonts w:ascii="Times New Roman" w:cs="Times New Roman" w:eastAsia="Times New Roman" w:hAnsi="Times New Roman"/>
          <w:sz w:val="20"/>
          <w:szCs w:val="20"/>
          <w:color w:val="auto"/>
        </w:rPr>
        <w:t>INDEX TO</w:t>
      </w:r>
    </w:p>
    <w:p>
      <w:pPr>
        <w:spacing w:after="0" w:line="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9"/>
          <w:szCs w:val="19"/>
          <w:color w:val="auto"/>
        </w:rPr>
        <w:t>EXHIBITS AND SCHEDULES</w:t>
      </w:r>
    </w:p>
    <w:p>
      <w:pPr>
        <w:spacing w:after="0" w:line="200" w:lineRule="exact"/>
        <w:rPr>
          <w:sz w:val="20"/>
          <w:szCs w:val="20"/>
          <w:color w:val="auto"/>
        </w:rPr>
      </w:pPr>
    </w:p>
    <w:p>
      <w:pPr>
        <w:spacing w:after="0" w:line="235" w:lineRule="exact"/>
        <w:rPr>
          <w:sz w:val="20"/>
          <w:szCs w:val="20"/>
          <w:color w:val="auto"/>
        </w:rPr>
      </w:pP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Exhibit B Form of Compliance Certificate</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Exhibit C Form of Assignment and Acceptance</w:t>
      </w:r>
    </w:p>
    <w:p>
      <w:pPr>
        <w:spacing w:after="0" w:line="216" w:lineRule="exact"/>
        <w:rPr>
          <w:sz w:val="20"/>
          <w:szCs w:val="20"/>
          <w:color w:val="auto"/>
        </w:rPr>
      </w:pP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Bank Product Provider Agreement</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Exhibit E Form(s) of U.S. Tax Compliance Certificate</w:t>
      </w:r>
    </w:p>
    <w:p>
      <w:pPr>
        <w:spacing w:after="0" w:line="216" w:lineRule="exact"/>
        <w:rPr>
          <w:sz w:val="20"/>
          <w:szCs w:val="20"/>
          <w:color w:val="auto"/>
        </w:rPr>
      </w:pPr>
    </w:p>
    <w:p>
      <w:pPr>
        <w:ind w:left="740"/>
        <w:spacing w:after="0"/>
        <w:tabs>
          <w:tab w:leader="none" w:pos="230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 Schedule 1.1(b)</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Excluded Loan Parties</w:t>
      </w: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Schedule 4</w:t>
      </w:r>
      <w:r>
        <w:rPr>
          <w:sz w:val="20"/>
          <w:szCs w:val="20"/>
          <w:color w:val="auto"/>
        </w:rPr>
        <w:tab/>
      </w:r>
      <w:r>
        <w:rPr>
          <w:rFonts w:ascii="Times New Roman" w:cs="Times New Roman" w:eastAsia="Times New Roman" w:hAnsi="Times New Roman"/>
          <w:sz w:val="19"/>
          <w:szCs w:val="19"/>
          <w:color w:val="auto"/>
        </w:rPr>
        <w:t>Conditions Precedent to Initial Loans</w:t>
      </w:r>
    </w:p>
    <w:p>
      <w:pPr>
        <w:spacing w:after="0" w:line="194" w:lineRule="exact"/>
        <w:rPr>
          <w:sz w:val="20"/>
          <w:szCs w:val="20"/>
          <w:color w:val="auto"/>
        </w:rPr>
      </w:pP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Schedule 6.7</w:t>
      </w:r>
      <w:r>
        <w:rPr>
          <w:sz w:val="20"/>
          <w:szCs w:val="20"/>
          <w:color w:val="auto"/>
        </w:rPr>
        <w:tab/>
      </w:r>
      <w:r>
        <w:rPr>
          <w:rFonts w:ascii="Times New Roman" w:cs="Times New Roman" w:eastAsia="Times New Roman" w:hAnsi="Times New Roman"/>
          <w:sz w:val="19"/>
          <w:szCs w:val="19"/>
          <w:color w:val="auto"/>
        </w:rPr>
        <w:t>Litigation</w:t>
      </w:r>
    </w:p>
    <w:p>
      <w:pPr>
        <w:spacing w:after="0" w:line="216" w:lineRule="exact"/>
        <w:rPr>
          <w:sz w:val="20"/>
          <w:szCs w:val="20"/>
          <w:color w:val="auto"/>
        </w:rPr>
      </w:pP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Schedule 6.9</w:t>
      </w:r>
      <w:r>
        <w:rPr>
          <w:sz w:val="20"/>
          <w:szCs w:val="20"/>
          <w:color w:val="auto"/>
        </w:rPr>
        <w:tab/>
      </w:r>
      <w:r>
        <w:rPr>
          <w:rFonts w:ascii="Times New Roman" w:cs="Times New Roman" w:eastAsia="Times New Roman" w:hAnsi="Times New Roman"/>
          <w:sz w:val="19"/>
          <w:szCs w:val="19"/>
          <w:color w:val="auto"/>
        </w:rPr>
        <w:t>Environmental Matters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6.11 Material Agreements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6.12 Restrictive Agreements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6.13 Tax Liens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6.15 Insurance</w:t>
      </w:r>
    </w:p>
    <w:p>
      <w:pPr>
        <w:spacing w:after="0" w:line="2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6.16 Subsidiaries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Schedule 6.19 Intellectual Property</w:t>
      </w:r>
    </w:p>
    <w:p>
      <w:pPr>
        <w:spacing w:after="0" w:line="216" w:lineRule="exact"/>
        <w:rPr>
          <w:sz w:val="20"/>
          <w:szCs w:val="20"/>
          <w:color w:val="auto"/>
        </w:rPr>
      </w:pPr>
    </w:p>
    <w:p>
      <w:pPr>
        <w:ind w:left="740"/>
        <w:spacing w:after="0"/>
        <w:tabs>
          <w:tab w:leader="none" w:pos="1620" w:val="left"/>
          <w:tab w:leader="none" w:pos="2300" w:val="left"/>
          <w:tab w:leader="none" w:pos="3300" w:val="left"/>
          <w:tab w:leader="none" w:pos="4360" w:val="left"/>
          <w:tab w:leader="none" w:pos="5500" w:val="left"/>
          <w:tab w:leader="none" w:pos="6420" w:val="left"/>
        </w:tabs>
        <w:rPr>
          <w:sz w:val="20"/>
          <w:szCs w:val="20"/>
          <w:color w:val="auto"/>
        </w:rPr>
      </w:pPr>
      <w:r>
        <w:rPr>
          <w:rFonts w:ascii="Times New Roman" w:cs="Times New Roman" w:eastAsia="Times New Roman" w:hAnsi="Times New Roman"/>
          <w:sz w:val="20"/>
          <w:szCs w:val="20"/>
          <w:color w:val="auto"/>
        </w:rPr>
        <w:t>Schedule</w:t>
        <w:tab/>
        <w:t>6.21</w:t>
      </w:r>
      <w:r>
        <w:rPr>
          <w:sz w:val="20"/>
          <w:szCs w:val="20"/>
          <w:color w:val="auto"/>
        </w:rPr>
        <w:tab/>
      </w:r>
      <w:r>
        <w:rPr>
          <w:rFonts w:ascii="Times New Roman" w:cs="Times New Roman" w:eastAsia="Times New Roman" w:hAnsi="Times New Roman"/>
          <w:sz w:val="20"/>
          <w:szCs w:val="20"/>
          <w:color w:val="auto"/>
        </w:rPr>
        <w:t>Collective</w:t>
        <w:tab/>
        <w:t>Bargaining</w:t>
        <w:tab/>
        <w:t>Agreements</w:t>
        <w:tab/>
        <w:t>Schedule</w:t>
      </w:r>
      <w:r>
        <w:rPr>
          <w:sz w:val="20"/>
          <w:szCs w:val="20"/>
          <w:color w:val="auto"/>
        </w:rPr>
        <w:tab/>
      </w:r>
      <w:r>
        <w:rPr>
          <w:rFonts w:ascii="Times New Roman" w:cs="Times New Roman" w:eastAsia="Times New Roman" w:hAnsi="Times New Roman"/>
          <w:sz w:val="19"/>
          <w:szCs w:val="19"/>
          <w:color w:val="auto"/>
        </w:rPr>
        <w:t>7.1</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Financial and Collateral Reporting Schedule 7.10 Bank Accounts</w:t>
      </w:r>
    </w:p>
    <w:p>
      <w:pPr>
        <w:spacing w:after="0" w:line="6" w:lineRule="exact"/>
        <w:rPr>
          <w:sz w:val="20"/>
          <w:szCs w:val="20"/>
          <w:color w:val="auto"/>
        </w:rPr>
      </w:pPr>
    </w:p>
    <w:p>
      <w:pPr>
        <w:ind w:left="740"/>
        <w:spacing w:after="0"/>
        <w:tabs>
          <w:tab w:leader="none" w:pos="1640" w:val="left"/>
          <w:tab w:leader="none" w:pos="2300" w:val="left"/>
          <w:tab w:leader="none" w:pos="3520" w:val="left"/>
          <w:tab w:leader="none" w:pos="4800" w:val="left"/>
          <w:tab w:leader="none" w:pos="5720" w:val="left"/>
        </w:tabs>
        <w:rPr>
          <w:sz w:val="20"/>
          <w:szCs w:val="20"/>
          <w:color w:val="auto"/>
        </w:rPr>
      </w:pPr>
      <w:r>
        <w:rPr>
          <w:rFonts w:ascii="Times New Roman" w:cs="Times New Roman" w:eastAsia="Times New Roman" w:hAnsi="Times New Roman"/>
          <w:sz w:val="20"/>
          <w:szCs w:val="20"/>
          <w:color w:val="auto"/>
        </w:rPr>
        <w:t>Schedule</w:t>
        <w:tab/>
        <w:t>7.15</w:t>
      </w:r>
      <w:r>
        <w:rPr>
          <w:sz w:val="20"/>
          <w:szCs w:val="20"/>
          <w:color w:val="auto"/>
        </w:rPr>
        <w:tab/>
      </w:r>
      <w:r>
        <w:rPr>
          <w:rFonts w:ascii="Times New Roman" w:cs="Times New Roman" w:eastAsia="Times New Roman" w:hAnsi="Times New Roman"/>
          <w:sz w:val="20"/>
          <w:szCs w:val="20"/>
          <w:color w:val="auto"/>
        </w:rPr>
        <w:t>Post-Closing</w:t>
        <w:tab/>
        <w:t>Requirements</w:t>
        <w:tab/>
        <w:t>Schedule</w:t>
      </w:r>
      <w:r>
        <w:rPr>
          <w:sz w:val="20"/>
          <w:szCs w:val="20"/>
          <w:color w:val="auto"/>
        </w:rPr>
        <w:tab/>
      </w:r>
      <w:r>
        <w:rPr>
          <w:rFonts w:ascii="Times New Roman" w:cs="Times New Roman" w:eastAsia="Times New Roman" w:hAnsi="Times New Roman"/>
          <w:sz w:val="19"/>
          <w:szCs w:val="19"/>
          <w:color w:val="auto"/>
        </w:rPr>
        <w:t>8.1</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Permitted Indebtedness</w:t>
      </w: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Schedule 8.2</w:t>
      </w:r>
      <w:r>
        <w:rPr>
          <w:sz w:val="20"/>
          <w:szCs w:val="20"/>
          <w:color w:val="auto"/>
        </w:rPr>
        <w:tab/>
      </w:r>
      <w:r>
        <w:rPr>
          <w:rFonts w:ascii="Times New Roman" w:cs="Times New Roman" w:eastAsia="Times New Roman" w:hAnsi="Times New Roman"/>
          <w:sz w:val="19"/>
          <w:szCs w:val="19"/>
          <w:color w:val="auto"/>
        </w:rPr>
        <w:t>Existing Liens</w:t>
      </w:r>
    </w:p>
    <w:p>
      <w:pPr>
        <w:spacing w:after="0" w:line="194" w:lineRule="exact"/>
        <w:rPr>
          <w:sz w:val="20"/>
          <w:szCs w:val="20"/>
          <w:color w:val="auto"/>
        </w:rPr>
      </w:pPr>
    </w:p>
    <w:p>
      <w:pPr>
        <w:ind w:left="740"/>
        <w:spacing w:after="0"/>
        <w:tabs>
          <w:tab w:leader="none" w:pos="1900" w:val="left"/>
        </w:tabs>
        <w:rPr>
          <w:sz w:val="20"/>
          <w:szCs w:val="20"/>
          <w:color w:val="auto"/>
        </w:rPr>
      </w:pPr>
      <w:r>
        <w:rPr>
          <w:rFonts w:ascii="Times New Roman" w:cs="Times New Roman" w:eastAsia="Times New Roman" w:hAnsi="Times New Roman"/>
          <w:sz w:val="20"/>
          <w:szCs w:val="20"/>
          <w:color w:val="auto"/>
        </w:rPr>
        <w:t>Schedule 9.4</w:t>
      </w:r>
      <w:r>
        <w:rPr>
          <w:sz w:val="20"/>
          <w:szCs w:val="20"/>
          <w:color w:val="auto"/>
        </w:rPr>
        <w:tab/>
      </w:r>
      <w:r>
        <w:rPr>
          <w:rFonts w:ascii="Times New Roman" w:cs="Times New Roman" w:eastAsia="Times New Roman" w:hAnsi="Times New Roman"/>
          <w:sz w:val="19"/>
          <w:szCs w:val="19"/>
          <w:color w:val="auto"/>
        </w:rPr>
        <w:t>Financial Covenant Example Calculations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19" w:name="page20"/>
    <w:bookmarkEnd w:id="19"/>
    <w:p>
      <w:pPr>
        <w:spacing w:after="0" w:line="200" w:lineRule="exact"/>
        <w:rPr>
          <w:sz w:val="20"/>
          <w:szCs w:val="20"/>
          <w:color w:val="auto"/>
        </w:rPr>
      </w:pPr>
    </w:p>
    <w:p>
      <w:pPr>
        <w:spacing w:after="0" w:line="21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u w:val="single" w:color="auto"/>
          <w:color w:val="auto"/>
        </w:rPr>
        <w:t>CREDIT AGREEMENT</w:t>
      </w:r>
    </w:p>
    <w:p>
      <w:pPr>
        <w:spacing w:after="0" w:line="220"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This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September 11, 2024 is entered into by and among GTI23, INC., a Delaware corporation (“</w:t>
      </w:r>
      <w:r>
        <w:rPr>
          <w:rFonts w:ascii="Times New Roman" w:cs="Times New Roman" w:eastAsia="Times New Roman" w:hAnsi="Times New Roman"/>
          <w:sz w:val="20"/>
          <w:szCs w:val="20"/>
          <w:u w:val="single" w:color="auto"/>
          <w:color w:val="auto"/>
        </w:rPr>
        <w:t>GTI23</w:t>
      </w:r>
      <w:r>
        <w:rPr>
          <w:rFonts w:ascii="Times New Roman" w:cs="Times New Roman" w:eastAsia="Times New Roman" w:hAnsi="Times New Roman"/>
          <w:sz w:val="20"/>
          <w:szCs w:val="20"/>
          <w:color w:val="auto"/>
        </w:rPr>
        <w:t>”, and together with any entity that may hereafter become party hereto as a Borrower, each individually,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collectively jointly and severally,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Guarantor party hereto from time to time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the parties hereto from time to time as lenders, whether by execution of this Agreement or an Assignment and Acceptance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as hereinafter further defined) and VALLEY NATIONAL BANK, a national banking association, in its capacity as agent for Lenders and other parties as provided herein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as hereinafter further defined) and as sole lead arranger (in such capacity, “</w:t>
      </w:r>
      <w:r>
        <w:rPr>
          <w:rFonts w:ascii="Times New Roman" w:cs="Times New Roman" w:eastAsia="Times New Roman" w:hAnsi="Times New Roman"/>
          <w:sz w:val="20"/>
          <w:szCs w:val="20"/>
          <w:u w:val="single" w:color="auto"/>
          <w:color w:val="auto"/>
        </w:rPr>
        <w:t>Lead Arranger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WHEREAS, each Borrower has requested that Agent and Lenders provide a credit facility to Borrowers, and Agent and Lenders are willing to provide such credit facility to Borrowers on the terms and conditions set forth herein and in the other Loan Documents (as defined below).</w:t>
      </w:r>
    </w:p>
    <w:p>
      <w:pPr>
        <w:spacing w:after="0" w:line="161"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conditions and agreements set forth herein, and for other good and valuable consideration, the receipt and sufficiency of which is hereby acknowledged, the parties hereto agree as follows:</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1. DEFINITIONS</w:t>
      </w:r>
    </w:p>
    <w:p>
      <w:pPr>
        <w:spacing w:after="0" w:line="220" w:lineRule="exact"/>
        <w:rPr>
          <w:sz w:val="20"/>
          <w:szCs w:val="20"/>
          <w:color w:val="auto"/>
        </w:rPr>
      </w:pPr>
    </w:p>
    <w:p>
      <w:pPr>
        <w:ind w:left="740" w:right="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Agreement, the following terms shall have the respective meanings given to them below:</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Accounts</w:t>
      </w:r>
      <w:r>
        <w:rPr>
          <w:rFonts w:ascii="Times New Roman" w:cs="Times New Roman" w:eastAsia="Times New Roman" w:hAnsi="Times New Roman"/>
          <w:sz w:val="20"/>
          <w:szCs w:val="20"/>
          <w:color w:val="auto"/>
        </w:rPr>
        <w:t>” has the meaning set forth in the UCC.</w:t>
      </w:r>
    </w:p>
    <w:p>
      <w:pPr>
        <w:spacing w:after="0" w:line="202" w:lineRule="exact"/>
        <w:rPr>
          <w:sz w:val="20"/>
          <w:szCs w:val="20"/>
          <w:color w:val="auto"/>
        </w:rPr>
      </w:pPr>
    </w:p>
    <w:p>
      <w:pPr>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Accrued Capex</w:t>
      </w:r>
      <w:r>
        <w:rPr>
          <w:rFonts w:ascii="Times New Roman" w:cs="Times New Roman" w:eastAsia="Times New Roman" w:hAnsi="Times New Roman"/>
          <w:sz w:val="20"/>
          <w:szCs w:val="20"/>
          <w:color w:val="auto"/>
        </w:rPr>
        <w:t>” means, with respect to any Person as of any date, the consolidated accrual for liabilities in respect of capital expenditures recorded as a current liability of such Person.</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Acquisition/Transaction/Other Non-recurring Expenses</w:t>
      </w:r>
      <w:r>
        <w:rPr>
          <w:rFonts w:ascii="Times New Roman" w:cs="Times New Roman" w:eastAsia="Times New Roman" w:hAnsi="Times New Roman"/>
          <w:sz w:val="20"/>
          <w:szCs w:val="20"/>
          <w:color w:val="auto"/>
        </w:rPr>
        <w:t xml:space="preserve">” means, for any period, the consolidated acquisition, transaction and other non-operating (income) costs of GTI and its Subsidiaries for such period as set forth in the non-GAAP reconciliation section of the financial statements of GTI most recently delivered to Agent pursuant to clause (b) of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or clause (a) or (b) of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without the consent of Agent (which consent shall not be unreasonably withheld), such amount shall not exceed [***] percent ([***]%) of Consolidated Adjusted EBITDA for any fiscal quarter nor more than $[***] with respect to any Test Period.</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Borrower</w:t>
      </w:r>
      <w:r>
        <w:rPr>
          <w:rFonts w:ascii="Times New Roman" w:cs="Times New Roman" w:eastAsia="Times New Roman" w:hAnsi="Times New Roman"/>
          <w:sz w:val="20"/>
          <w:szCs w:val="20"/>
          <w:color w:val="auto"/>
        </w:rPr>
        <w:t>” means GTI23.</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left="740" w:right="3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who controls, is controlled by, or is under common control with, such Person. For purposes of this definition, “control” means the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20" w:name="page21"/>
    <w:bookmarkEnd w:id="20"/>
    <w:p>
      <w:pPr>
        <w:jc w:val="both"/>
        <w:ind w:left="740" w:right="40"/>
        <w:spacing w:after="0" w:line="245" w:lineRule="auto"/>
        <w:rPr>
          <w:sz w:val="20"/>
          <w:szCs w:val="20"/>
          <w:color w:val="auto"/>
        </w:rPr>
      </w:pPr>
      <w:r>
        <w:rPr>
          <w:rFonts w:ascii="Times New Roman" w:cs="Times New Roman" w:eastAsia="Times New Roman" w:hAnsi="Times New Roman"/>
          <w:sz w:val="20"/>
          <w:szCs w:val="20"/>
          <w:color w:val="auto"/>
        </w:rPr>
        <w:t xml:space="preserve">possession, directly or indirectly through one or more intermediaries, of the power to direct the management and policies of a Person, whether through the ownership of Equity Interests, by contract,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(a) if any Person owns directly or indirectly 10% or more of the Equity Interests having ordinary voting power for the election of directors or equivalent governing body of a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84"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shall mean Valley National Bank, in its capacity as agent on behalf of Lenders pursuant to the terms hereof and any replacement or successor agent hereunder.</w:t>
      </w:r>
    </w:p>
    <w:p>
      <w:pPr>
        <w:spacing w:after="0" w:line="159" w:lineRule="exact"/>
        <w:rPr>
          <w:sz w:val="20"/>
          <w:szCs w:val="20"/>
          <w:color w:val="auto"/>
        </w:rPr>
      </w:pPr>
    </w:p>
    <w:p>
      <w:pPr>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Payment Account</w:t>
      </w:r>
      <w:r>
        <w:rPr>
          <w:rFonts w:ascii="Times New Roman" w:cs="Times New Roman" w:eastAsia="Times New Roman" w:hAnsi="Times New Roman"/>
          <w:sz w:val="20"/>
          <w:szCs w:val="20"/>
          <w:color w:val="auto"/>
        </w:rPr>
        <w:t>” means such deposit account of Agent as Agent may from time to time designate in writing to a Borrower as the Agent Payment Account for purposes of this Agreement and the other Loan Documents.</w:t>
      </w:r>
    </w:p>
    <w:p>
      <w:pPr>
        <w:spacing w:after="0" w:line="159"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u w:val="single" w:color="auto"/>
          <w:color w:val="0000FF"/>
        </w:rPr>
        <w:t>“Amendment No. 1” means Amendment No. 1 to Credit Agreement, dated as of February 19, 2026, by and among the Loan Parties, Lenders and Agent.</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0000FF"/>
        </w:rPr>
        <w:t>“Amendment No. 1 Additional Term Loan” has the meaning assigned thereto in Amendment No.</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1.</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0000FF"/>
        </w:rPr>
        <w:t>“Amendment No. 1 Additional Term Loan Commitment” has the meaning assigned thereto in Amendment No. 1.</w:t>
      </w:r>
    </w:p>
    <w:p>
      <w:pPr>
        <w:spacing w:after="0" w:line="216" w:lineRule="exact"/>
        <w:rPr>
          <w:sz w:val="20"/>
          <w:szCs w:val="20"/>
          <w:color w:val="auto"/>
        </w:rPr>
      </w:pPr>
    </w:p>
    <w:p>
      <w:pPr>
        <w:ind w:left="740" w:right="660" w:firstLine="749"/>
        <w:spacing w:after="0" w:line="269" w:lineRule="auto"/>
        <w:rPr>
          <w:sz w:val="20"/>
          <w:szCs w:val="20"/>
          <w:color w:val="auto"/>
        </w:rPr>
      </w:pPr>
      <w:r>
        <w:rPr>
          <w:rFonts w:ascii="Times New Roman" w:cs="Times New Roman" w:eastAsia="Times New Roman" w:hAnsi="Times New Roman"/>
          <w:sz w:val="20"/>
          <w:szCs w:val="20"/>
          <w:u w:val="single" w:color="auto"/>
          <w:color w:val="0000FF"/>
        </w:rPr>
        <w:t>“Amendment No. 1 Effective Date” means the date on which Amendment No. 1 became effective, which was February 19, 2026.</w:t>
      </w:r>
    </w:p>
    <w:p>
      <w:pPr>
        <w:spacing w:after="0" w:line="14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AMERIBOR</w:t>
      </w:r>
      <w:r>
        <w:rPr>
          <w:rFonts w:ascii="Times New Roman" w:cs="Times New Roman" w:eastAsia="Times New Roman" w:hAnsi="Times New Roman"/>
          <w:sz w:val="20"/>
          <w:szCs w:val="20"/>
          <w:color w:val="auto"/>
        </w:rPr>
        <w:t>” shall mean, for the corresponding tenor, the arithmetic average AMERIBOR benchmark interest rate as provided by American Financial Exchange, LLC as administrator of the benchmark (or a successor administrator) to, and published by, authorized distributors of AMERIBOR.</w:t>
      </w:r>
    </w:p>
    <w:p>
      <w:pPr>
        <w:spacing w:after="0" w:line="174"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the U.S. Foreign Corrupt Practices Act of 1977 and any other anti-bribery or anti-corruption laws, regulations or ordinances in any jurisdiction in which any member of the Loan Party, or its Affiliates or Subsidiaries or any officer, director or agent acting on its behalf, is located or doing business.</w:t>
      </w:r>
    </w:p>
    <w:p>
      <w:pPr>
        <w:spacing w:after="0" w:line="17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Applicable Laws in any jurisdiction in which any Loan Party, or its Affiliates or Subsidiaries or any officer, director or agent acting on its behalf, is located or doing business that relates to money laundering, any predicate crime to money laundering, or any financial record keeping and reporting requirements related thereto.</w:t>
      </w:r>
    </w:p>
    <w:p>
      <w:pPr>
        <w:spacing w:after="0" w:line="180"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all laws, rules, regulations, and governmental guidelines applicable to the Person or matter in question, including statutory law, common law, and equitable principles, as well as provisions of constitutions, treaties, statutes, rules, regulations, orders, and decrees of any Governmental Authority.</w:t>
      </w:r>
    </w:p>
    <w:p>
      <w:pPr>
        <w:spacing w:after="0" w:line="161"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as of any date of determination, (a) with respect to SOFR Loans, 5.00%, and (b) with respect to Base Rate Loans, 4.00%.</w:t>
      </w:r>
    </w:p>
    <w:p>
      <w:pPr>
        <w:spacing w:after="0" w:line="159"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1" w:name="page22"/>
    <w:bookmarkEnd w:id="21"/>
    <w:p>
      <w:pPr>
        <w:ind w:left="740" w:right="360"/>
        <w:spacing w:after="0" w:line="269" w:lineRule="auto"/>
        <w:rPr>
          <w:sz w:val="20"/>
          <w:szCs w:val="20"/>
          <w:color w:val="auto"/>
        </w:rPr>
      </w:pPr>
      <w:r>
        <w:rPr>
          <w:rFonts w:ascii="Times New Roman" w:cs="Times New Roman" w:eastAsia="Times New Roman" w:hAnsi="Times New Roman"/>
          <w:sz w:val="20"/>
          <w:szCs w:val="20"/>
          <w:color w:val="auto"/>
        </w:rPr>
        <w:t>in the ordinary course of its activities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shall mean an Assignment and Acceptance substantially in the form of Exhibit C attached hereto (with blanks appropriately completed) delivered to Agent in connection with an assignment of a Lender’s interest hereunder in accordance with the provisions of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hereof.</w:t>
      </w:r>
    </w:p>
    <w:p>
      <w:pPr>
        <w:spacing w:after="0" w:line="17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xml:space="preserve">” in respect of a Sale and Leaseback Transaction means, as at the time of determination, the carrying value of the lease liabilities in respect thereof on the balance sheet of the lessee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Sale and Leaseback Transaction results in a Capital Lease Obligation, the amount of Indebtedness represented thereby will be determined in accordance with the definition of “Capital Lease Obligation.”</w:t>
      </w:r>
    </w:p>
    <w:p>
      <w:pPr>
        <w:spacing w:after="0" w:line="180"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shall mean,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spacing w:after="0" w:line="166"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jc w:val="both"/>
        <w:ind w:left="740" w:right="40" w:hanging="5"/>
        <w:spacing w:after="0" w:line="241" w:lineRule="auto"/>
        <w:tabs>
          <w:tab w:leader="none" w:pos="102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8"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w:t>
      </w:r>
      <w:r>
        <w:rPr>
          <w:rFonts w:ascii="Times New Roman" w:cs="Times New Roman" w:eastAsia="Times New Roman" w:hAnsi="Times New Roman"/>
          <w:sz w:val="20"/>
          <w:szCs w:val="20"/>
          <w:color w:val="auto"/>
        </w:rPr>
        <w:t>” means any one or more of the following financial products or accommodations provided to a Loan Party or any Subsidiary of a Loan Party: (a) credit cards (including commercial cards (including so-called “purchase cards”, “procurement cards” or “p-cards”)), (b) payment card processing services, (c) debit cards, (d) stored value cards, (e)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or (f) transactions under Hedge Agreements.</w:t>
      </w:r>
    </w:p>
    <w:p>
      <w:pPr>
        <w:spacing w:after="0" w:line="172"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Agreement</w:t>
      </w:r>
      <w:r>
        <w:rPr>
          <w:rFonts w:ascii="Times New Roman" w:cs="Times New Roman" w:eastAsia="Times New Roman" w:hAnsi="Times New Roman"/>
          <w:sz w:val="20"/>
          <w:szCs w:val="20"/>
          <w:color w:val="auto"/>
        </w:rPr>
        <w:t>” means an agreement entered into at any time by a Loan Party or any Subsidiary of a Loan Party with a Bank Product Provider governing the terms and conditions with respect to a Bank Product provided by such Lender or its Affiliates to a Loan Party or any Subsidiary of a Loan Party.</w:t>
      </w:r>
    </w:p>
    <w:p>
      <w:pPr>
        <w:spacing w:after="0" w:line="174"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Obligations</w:t>
      </w:r>
      <w:r>
        <w:rPr>
          <w:rFonts w:ascii="Times New Roman" w:cs="Times New Roman" w:eastAsia="Times New Roman" w:hAnsi="Times New Roman"/>
          <w:sz w:val="20"/>
          <w:szCs w:val="20"/>
          <w:color w:val="auto"/>
        </w:rPr>
        <w:t>” means (a) all obligations, liabilities, reimbursement obligations, fees, or expenses owing by each Loan Party and its Subsidiaries to any Bank Product Provider pursuant to or evidenced by a Bank Product Agreement and irrespective of whether for the payment of money, whether direct or indirect, absolute or contingent, due or to become due, now existing or hereafter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2" w:name="page23"/>
    <w:bookmarkEnd w:id="22"/>
    <w:p>
      <w:pPr>
        <w:jc w:val="both"/>
        <w:ind w:left="740" w:right="20"/>
        <w:spacing w:after="0" w:line="249" w:lineRule="auto"/>
        <w:rPr>
          <w:sz w:val="20"/>
          <w:szCs w:val="20"/>
          <w:color w:val="auto"/>
        </w:rPr>
      </w:pPr>
      <w:r>
        <w:rPr>
          <w:rFonts w:ascii="Times New Roman" w:cs="Times New Roman" w:eastAsia="Times New Roman" w:hAnsi="Times New Roman"/>
          <w:sz w:val="20"/>
          <w:szCs w:val="20"/>
          <w:color w:val="auto"/>
        </w:rPr>
        <w:t>arising, (b) all Obligations under Hedge Agreements,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spacing w:after="0" w:line="180"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Provider</w:t>
      </w:r>
      <w:r>
        <w:rPr>
          <w:rFonts w:ascii="Times New Roman" w:cs="Times New Roman" w:eastAsia="Times New Roman" w:hAnsi="Times New Roman"/>
          <w:sz w:val="20"/>
          <w:szCs w:val="20"/>
          <w:color w:val="auto"/>
        </w:rPr>
        <w:t xml:space="preserve">” means any Person that (a) at the time it enters into a Bank Product Agreement with a Loan Party or any Subsidiary of a Loan Party is a Lender, an Affiliate of a Lender, Agent or an Affiliate of Agent or (b) at the time it (or its Affiliate) becomes a Lender (in its capacity as such) (including on the Closing Date), is a party to a Bank Product Agreement with a Loan Party or any Subsidiary of a Loan Party, in each case in its capacity as a party to such Bank Product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Person (other than Valley National Bank or its Affiliates) shall constitute a Bank Product Provider unless and until Agent receives a Bank Product Provider Agreement from such Person</w:t>
      </w:r>
    </w:p>
    <w:p>
      <w:pPr>
        <w:spacing w:after="0" w:line="2" w:lineRule="exact"/>
        <w:rPr>
          <w:sz w:val="20"/>
          <w:szCs w:val="20"/>
          <w:color w:val="auto"/>
        </w:rPr>
      </w:pPr>
    </w:p>
    <w:p>
      <w:pPr>
        <w:ind w:left="740" w:right="40" w:hanging="3"/>
        <w:spacing w:after="0" w:line="246" w:lineRule="auto"/>
        <w:tabs>
          <w:tab w:leader="none" w:pos="99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about the Closing Date in the case of any Bank Product Agreement in effect on the Closing Date or (ii) within ten (10) Business Days after the execution and delivery of a Bank Product Agreement established after the Closing Date.</w:t>
      </w:r>
    </w:p>
    <w:p>
      <w:pPr>
        <w:spacing w:after="0" w:line="168"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Provider Agreement</w:t>
      </w:r>
      <w:r>
        <w:rPr>
          <w:rFonts w:ascii="Times New Roman" w:cs="Times New Roman" w:eastAsia="Times New Roman" w:hAnsi="Times New Roman"/>
          <w:sz w:val="20"/>
          <w:szCs w:val="20"/>
          <w:color w:val="auto"/>
        </w:rPr>
        <w:t>” means an agreement, in substantially the form attached hereto as Exhibit D to this Agreement or in form and substance reasonably satisfactory to Agent, duly executed by the applicable Bank Product Provider, Borrowers, and Agent.</w:t>
      </w:r>
    </w:p>
    <w:p>
      <w:pPr>
        <w:spacing w:after="0" w:line="174"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for any day, a fluctuating rate per annum equal to the highest of (a) the Wall Street Journal Prime Rate, (b) Term SOFR for a one-month Interest Period plus 1.00%, and (c) 2.00% per annum. This rate of interest fluctuates and is subject to change without prior notice. If and when the Wall Street Journal Prime Rate or Term SOFR for a one-month Interest Period changes, the Base Rate will automatically change effective on the date of any such change, without notice to any Loan Party.</w:t>
      </w:r>
    </w:p>
    <w:p>
      <w:pPr>
        <w:spacing w:after="0" w:line="185"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means any Loans or portion thereof on which interest is payable based on the Base Rate in accordance with the terms hereof.</w:t>
      </w:r>
    </w:p>
    <w:p>
      <w:pPr>
        <w:spacing w:after="0" w:line="159"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shall mean,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a Benchmark Transition Event has occurred with respect to the Term SOFR Reference Rate or the then-current Benchmark, the “Benchmark” shall mean the applicable Benchmark Replacement to the extent that such Benchmark Replacement has replaced such prior benchmark rate. Any reference to “Benchmark” shall include, as applicable, the published component used in the calculation thereof.</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shall mean, for any Available Tenor:</w:t>
      </w:r>
    </w:p>
    <w:p>
      <w:pPr>
        <w:spacing w:after="0" w:line="216" w:lineRule="exact"/>
        <w:rPr>
          <w:sz w:val="20"/>
          <w:szCs w:val="20"/>
          <w:color w:val="auto"/>
        </w:rPr>
      </w:pPr>
    </w:p>
    <w:p>
      <w:pPr>
        <w:jc w:val="both"/>
        <w:ind w:left="740" w:right="60" w:firstLine="745"/>
        <w:spacing w:after="0" w:line="249" w:lineRule="auto"/>
        <w:tabs>
          <w:tab w:leader="none" w:pos="200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clause (a) or (b) of </w:t>
      </w:r>
      <w:r>
        <w:rPr>
          <w:rFonts w:ascii="Times New Roman" w:cs="Times New Roman" w:eastAsia="Times New Roman" w:hAnsi="Times New Roman"/>
          <w:sz w:val="20"/>
          <w:szCs w:val="20"/>
          <w:u w:val="single" w:color="auto"/>
          <w:color w:val="auto"/>
        </w:rPr>
        <w:t>Section 3.15</w:t>
      </w:r>
      <w:r>
        <w:rPr>
          <w:rFonts w:ascii="Times New Roman" w:cs="Times New Roman" w:eastAsia="Times New Roman" w:hAnsi="Times New Roman"/>
          <w:sz w:val="20"/>
          <w:szCs w:val="20"/>
          <w:color w:val="auto"/>
        </w:rPr>
        <w:t>, any of the alternative rates set forth below, in any combination of choices or in such order of priority as Agent shall determine in its sole and absolute discretion and which is (i) administratively feasible for Agent to establish and provide to its customers and (ii) a primary rate being utilized by banks in the New York lending market (each, an “</w:t>
      </w:r>
      <w:r>
        <w:rPr>
          <w:rFonts w:ascii="Times New Roman" w:cs="Times New Roman" w:eastAsia="Times New Roman" w:hAnsi="Times New Roman"/>
          <w:sz w:val="20"/>
          <w:szCs w:val="20"/>
          <w:u w:val="single" w:color="auto"/>
          <w:color w:val="auto"/>
        </w:rPr>
        <w:t>Alternative Rate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Term SOFR and (ii) an adjustment (which may be a positive or negative value or zero) that has been selected by Agent, giving due consideration to any evolving or then-prevailing market convention, including any applicable recommendations made by the Relevant Governmental Body, for U.S. dollar-denominated syndicated or bilateral credit facilities at such time; or</w:t>
      </w:r>
    </w:p>
    <w:p>
      <w:pPr>
        <w:spacing w:after="0" w:line="179" w:lineRule="exact"/>
        <w:rPr>
          <w:rFonts w:ascii="Times New Roman" w:cs="Times New Roman" w:eastAsia="Times New Roman" w:hAnsi="Times New Roman"/>
          <w:sz w:val="20"/>
          <w:szCs w:val="20"/>
          <w:color w:val="auto"/>
        </w:rPr>
      </w:pPr>
    </w:p>
    <w:p>
      <w:pPr>
        <w:ind w:left="740" w:right="40" w:firstLine="1494"/>
        <w:spacing w:after="0" w:line="269" w:lineRule="auto"/>
        <w:tabs>
          <w:tab w:leader="none" w:pos="252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Compounded SOFR and (ii) an adjustment (which may be a positive or negative value or zero) that has been selected by Agent, giving due consideration to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3" w:name="page24"/>
    <w:bookmarkEnd w:id="23"/>
    <w:p>
      <w:pPr>
        <w:ind w:left="740" w:right="40"/>
        <w:spacing w:after="0" w:line="269" w:lineRule="auto"/>
        <w:rPr>
          <w:sz w:val="20"/>
          <w:szCs w:val="20"/>
          <w:color w:val="auto"/>
        </w:rPr>
      </w:pPr>
      <w:r>
        <w:rPr>
          <w:rFonts w:ascii="Times New Roman" w:cs="Times New Roman" w:eastAsia="Times New Roman" w:hAnsi="Times New Roman"/>
          <w:sz w:val="20"/>
          <w:szCs w:val="20"/>
          <w:color w:val="auto"/>
        </w:rPr>
        <w:t>evolving or then-prevailing market convention, including any applicable recommendations made by the Relevant Governmental Body, for U.S. dollar-denominated syndicated or bilateral credit facilities at such time; or</w:t>
      </w:r>
    </w:p>
    <w:p>
      <w:pPr>
        <w:spacing w:after="0" w:line="159" w:lineRule="exact"/>
        <w:rPr>
          <w:sz w:val="20"/>
          <w:szCs w:val="20"/>
          <w:color w:val="auto"/>
        </w:rPr>
      </w:pPr>
    </w:p>
    <w:p>
      <w:pPr>
        <w:ind w:left="2980" w:hanging="746"/>
        <w:spacing w:after="0"/>
        <w:tabs>
          <w:tab w:leader="none" w:pos="29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AMERIBOR and (ii) an adjustment (which may be a positive or negative value or zero) that has been selected by Agent, giving due consideration to any evolving or then-prevailing market convention, including any applicable recommendations made by the Relevant Governmental Body, for U.S. dollar-denominated syndicated or bilateral credit facilities at such time; or</w:t>
      </w:r>
    </w:p>
    <w:p>
      <w:pPr>
        <w:spacing w:after="0" w:line="179" w:lineRule="exact"/>
        <w:rPr>
          <w:rFonts w:ascii="Times New Roman" w:cs="Times New Roman" w:eastAsia="Times New Roman" w:hAnsi="Times New Roman"/>
          <w:sz w:val="20"/>
          <w:szCs w:val="20"/>
          <w:color w:val="auto"/>
        </w:rPr>
      </w:pPr>
    </w:p>
    <w:p>
      <w:pPr>
        <w:jc w:val="both"/>
        <w:ind w:left="740" w:right="40" w:firstLine="1494"/>
        <w:spacing w:after="0" w:line="249" w:lineRule="auto"/>
        <w:tabs>
          <w:tab w:leader="none" w:pos="2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any SOFR Average and (ii) an adjustment (which may be a positive or negative value or zero) that has been selected by Agent, giving due consideration to any evolving or then- prevailing market convention, including any applicable recommendations made by the Relevant Governmental Body, for U.S. dollar-denominated syndicated or bilateral credit facilities at such time; or</w:t>
      </w:r>
    </w:p>
    <w:p>
      <w:pPr>
        <w:spacing w:after="0" w:line="166"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reference rate reasonably selected by Agent that Agent in its sole discretion commences to offer to its customers generally; or</w:t>
      </w:r>
    </w:p>
    <w:p>
      <w:pPr>
        <w:spacing w:after="0" w:line="159" w:lineRule="exact"/>
        <w:rPr>
          <w:rFonts w:ascii="Times New Roman" w:cs="Times New Roman" w:eastAsia="Times New Roman" w:hAnsi="Times New Roman"/>
          <w:sz w:val="20"/>
          <w:szCs w:val="20"/>
          <w:color w:val="auto"/>
        </w:rPr>
      </w:pPr>
    </w:p>
    <w:p>
      <w:pPr>
        <w:ind w:left="740" w:right="20" w:firstLine="1494"/>
        <w:spacing w:after="0" w:line="269" w:lineRule="auto"/>
        <w:tabs>
          <w:tab w:leader="none" w:pos="252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available reference rate satisfies the requirements set forth in this paragraph 1 and in the provisos below, the Prime Rate;</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case of clauses 1(d), 1(e) or 1(f) above, the relevant Alternative Rate is displayed on a screen or other information service selected by Agent in its reasonable discretion;</w:t>
      </w:r>
    </w:p>
    <w:p>
      <w:pPr>
        <w:spacing w:after="0" w:line="159"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the event any of the advances is hedged pursuant to one or more Swap Agreements (the “</w:t>
      </w:r>
      <w:r>
        <w:rPr>
          <w:rFonts w:ascii="Times New Roman" w:cs="Times New Roman" w:eastAsia="Times New Roman" w:hAnsi="Times New Roman"/>
          <w:sz w:val="20"/>
          <w:szCs w:val="20"/>
          <w:u w:val="single" w:color="auto"/>
          <w:color w:val="auto"/>
        </w:rPr>
        <w:t>Hedged Exposure</w:t>
      </w:r>
      <w:r>
        <w:rPr>
          <w:rFonts w:ascii="Times New Roman" w:cs="Times New Roman" w:eastAsia="Times New Roman" w:hAnsi="Times New Roman"/>
          <w:sz w:val="20"/>
          <w:szCs w:val="20"/>
          <w:color w:val="auto"/>
        </w:rPr>
        <w:t>”), then the Benchmark Replacement for such Hedged Exposure shall have the meaning in effect from time to time ascribed to the “</w:t>
      </w:r>
      <w:r>
        <w:rPr>
          <w:rFonts w:ascii="Times New Roman" w:cs="Times New Roman" w:eastAsia="Times New Roman" w:hAnsi="Times New Roman"/>
          <w:sz w:val="20"/>
          <w:szCs w:val="20"/>
          <w:u w:val="single" w:color="auto"/>
          <w:color w:val="auto"/>
        </w:rPr>
        <w:t>Floating Rate Option</w:t>
      </w:r>
      <w:r>
        <w:rPr>
          <w:rFonts w:ascii="Times New Roman" w:cs="Times New Roman" w:eastAsia="Times New Roman" w:hAnsi="Times New Roman"/>
          <w:sz w:val="20"/>
          <w:szCs w:val="20"/>
          <w:color w:val="auto"/>
        </w:rPr>
        <w:t>” under the relevant Confirmation(s) (as each of such terms is defined in the related Swap Agreement); and</w:t>
      </w:r>
    </w:p>
    <w:p>
      <w:pPr>
        <w:spacing w:after="0" w:line="180"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Benchmark Replacement as determined pursuant to clause (1) above would be less than the Floor, the Benchmark Replacement will be deemed to be the Floor for the purposes of this 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such Floor shall not apply to the portion of the Loan which has been hedged pursuant to a Hedge Agreement unless such Floor exists and is in effect under such Hedge Agreement.</w:t>
      </w:r>
    </w:p>
    <w:p>
      <w:pPr>
        <w:spacing w:after="0" w:line="166" w:lineRule="exact"/>
        <w:rPr>
          <w:sz w:val="20"/>
          <w:szCs w:val="20"/>
          <w:color w:val="auto"/>
        </w:rPr>
      </w:pPr>
    </w:p>
    <w:p>
      <w:pPr>
        <w:jc w:val="both"/>
        <w:ind w:left="740" w:right="40"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shall mean the earliest to occur of the following events with respect to the then-current Benchmark: (a) in the case of clause (a) of the definition of “</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the later of (i) the date of the public statement or publication of information referenced therein and (ii) the date on which the administrator of such Benchmark permanently or indefinitely ceases to provide all Available Tenors of such Benchmark; or (b) in the case of clause</w:t>
      </w:r>
    </w:p>
    <w:p>
      <w:pPr>
        <w:spacing w:after="0" w:line="1" w:lineRule="exact"/>
        <w:rPr>
          <w:sz w:val="20"/>
          <w:szCs w:val="20"/>
          <w:color w:val="auto"/>
        </w:rPr>
      </w:pPr>
    </w:p>
    <w:p>
      <w:pPr>
        <w:jc w:val="both"/>
        <w:ind w:left="740" w:right="60" w:hanging="5"/>
        <w:spacing w:after="0"/>
        <w:tabs>
          <w:tab w:leader="none" w:pos="104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xml:space="preserve">”, the first date on which such Benchmark has been determined and announced by or on behalf of the administrator of such Benchmark or the regulatory supervisor for the administrator of such Benchmark to be non-representative of the underlying market and economic reality that such Benchmark is intended to measure and that representativeness will not be restored;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non-representativeness, non-compliance or non-alignment will be determined by reference to the most recent statement or publication referenced in such clause (b) and even if any Available Tenor of such Benchmark continues to be provided on such date. For the avoidance of doubt, the “</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Replacement Date</w:t>
      </w:r>
      <w:r>
        <w:rPr>
          <w:rFonts w:ascii="Times New Roman" w:cs="Times New Roman" w:eastAsia="Times New Roman" w:hAnsi="Times New Roman"/>
          <w:sz w:val="20"/>
          <w:szCs w:val="20"/>
          <w:color w:val="auto"/>
        </w:rPr>
        <w:t>” will be deemed to have occurred in the case of</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4" w:name="page25"/>
    <w:bookmarkEnd w:id="24"/>
    <w:p>
      <w:pPr>
        <w:ind w:left="740" w:right="360"/>
        <w:spacing w:after="0" w:line="269" w:lineRule="auto"/>
        <w:rPr>
          <w:sz w:val="20"/>
          <w:szCs w:val="20"/>
          <w:color w:val="auto"/>
        </w:rPr>
      </w:pPr>
      <w:r>
        <w:rPr>
          <w:rFonts w:ascii="Times New Roman" w:cs="Times New Roman" w:eastAsia="Times New Roman" w:hAnsi="Times New Roman"/>
          <w:sz w:val="20"/>
          <w:szCs w:val="20"/>
          <w:color w:val="auto"/>
        </w:rPr>
        <w:t>clause (a) or (b) with respect to any Benchmark upon the occurrence of the applicable event or events set forth therein with respect to all then- current Available Tenors of such Benchmark.</w:t>
      </w:r>
    </w:p>
    <w:p>
      <w:pPr>
        <w:spacing w:after="0" w:line="159"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xml:space="preserve">” shall mean, with respect to any then-current Benchmark,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76"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 “defined benefit plan” (as defined in Section 3(35) of ERISA) subject to Title IV of ERISA, but excluding any Multiemployer Plan, for which any Loan Party or ERISA Affiliates has been an “employer” (as defined in Section 3(5) of ERISA) within the past six years.</w:t>
      </w:r>
    </w:p>
    <w:p>
      <w:pPr>
        <w:spacing w:after="0" w:line="174"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Person means an “affiliate” (as such term is defined under, and interpreted in accordance with, 12 U.S.C. 1841(k)) of such Person.</w:t>
      </w:r>
    </w:p>
    <w:p>
      <w:pPr>
        <w:spacing w:after="0" w:line="159" w:lineRule="exact"/>
        <w:rPr>
          <w:sz w:val="20"/>
          <w:szCs w:val="20"/>
          <w:color w:val="auto"/>
        </w:rPr>
      </w:pPr>
    </w:p>
    <w:p>
      <w:pPr>
        <w:jc w:val="both"/>
        <w:ind w:left="740"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shall mean any day that is not a Saturday, Sunday or other day on which banks in New York City are required or permitted to close;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when used in connection with determining Term SOFR,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152"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Cannabis Laws</w:t>
      </w:r>
      <w:r>
        <w:rPr>
          <w:rFonts w:ascii="Times New Roman" w:cs="Times New Roman" w:eastAsia="Times New Roman" w:hAnsi="Times New Roman"/>
          <w:sz w:val="20"/>
          <w:szCs w:val="20"/>
          <w:color w:val="auto"/>
        </w:rPr>
        <w:t>” shall mean the Cannabis Act (Canada), the Cannabis Regulations (Canada), the Excise Act (Canada) as well as any other Applicable Law enacted or enforced by a Canadian Governmental Authority that governs the production, processing, sale, distribution, transfer or possession of any cannabis, cannabis accessory, or cannabis service.</w:t>
      </w:r>
    </w:p>
    <w:p>
      <w:pPr>
        <w:spacing w:after="0" w:line="17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Cannabis License</w:t>
      </w:r>
      <w:r>
        <w:rPr>
          <w:rFonts w:ascii="Times New Roman" w:cs="Times New Roman" w:eastAsia="Times New Roman" w:hAnsi="Times New Roman"/>
          <w:sz w:val="20"/>
          <w:szCs w:val="20"/>
          <w:color w:val="auto"/>
        </w:rPr>
        <w:t>” means all permits, licenses, registrations, variances, land-use rights, clearances, consents, commissions, franchises, exemptions, orders, authorizations, and approvals from Regulatory Authorities authorizing the recipient to conduct business in accordance with the State Cannabis Laws of each applicable jurisdiction, and their applicable regulations.</w:t>
      </w:r>
    </w:p>
    <w:p>
      <w:pPr>
        <w:spacing w:after="0" w:line="180"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the amount of all expenditures by such Person during such period that are capital expenditures as determined in accordance with GAAP.</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means, as to any Person, the obligations of such Person under a lease that is required to be classified and accounted for as a capital lease or a finance lease under GAAP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5" w:name="page26"/>
    <w:bookmarkEnd w:id="25"/>
    <w:p>
      <w:pPr>
        <w:jc w:val="both"/>
        <w:ind w:left="740" w:right="20"/>
        <w:spacing w:after="0" w:line="269" w:lineRule="auto"/>
        <w:rPr>
          <w:sz w:val="20"/>
          <w:szCs w:val="20"/>
          <w:color w:val="auto"/>
        </w:rPr>
      </w:pPr>
      <w:r>
        <w:rPr>
          <w:rFonts w:ascii="Times New Roman" w:cs="Times New Roman" w:eastAsia="Times New Roman" w:hAnsi="Times New Roman"/>
          <w:sz w:val="20"/>
          <w:szCs w:val="20"/>
          <w:color w:val="auto"/>
        </w:rPr>
        <w:t>and, for purposes of this definition, the amount of such obligations at any date shall be the capitalized amount of such obligations at such date on a balance sheet prepared in accordance with GAAP.</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w:t>
      </w:r>
    </w:p>
    <w:p>
      <w:pPr>
        <w:spacing w:after="0" w:line="1" w:lineRule="exact"/>
        <w:rPr>
          <w:sz w:val="20"/>
          <w:szCs w:val="20"/>
          <w:color w:val="auto"/>
        </w:rPr>
      </w:pPr>
    </w:p>
    <w:p>
      <w:pPr>
        <w:ind w:left="740" w:hanging="5"/>
        <w:spacing w:after="0" w:line="252" w:lineRule="auto"/>
        <w:tabs>
          <w:tab w:leader="none" w:pos="103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and that has capital and surplus of not less than $100,000,000 and, in each case, repurchase agreements and reverse repurchase agreements relating thereto and (e) shares of any investment fund that has (i) substantially all of its assets invested in the types of investments referred to in clauses (a) through (d) above, (ii) net assets of not less than $250,000,000 and (iii) a rating of at least A-2 from S&amp;P or at least P-2 from Moody’s (or, if at any time</w:t>
      </w:r>
    </w:p>
    <w:p>
      <w:pPr>
        <w:spacing w:after="0" w:line="1" w:lineRule="exact"/>
        <w:rPr>
          <w:rFonts w:ascii="Times New Roman" w:cs="Times New Roman" w:eastAsia="Times New Roman" w:hAnsi="Times New Roman"/>
          <w:sz w:val="19"/>
          <w:szCs w:val="19"/>
          <w:color w:val="auto"/>
        </w:rPr>
      </w:pPr>
    </w:p>
    <w:p>
      <w:pPr>
        <w:jc w:val="both"/>
        <w:ind w:left="74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either S&amp;P or Moody’s are not rating such fund, an equivalent rating from another nationally recognized statistical rating agency). “Cash Equivalents” shall also include Investments of the type and maturity described in clauses (a) through (e) above of foreign obligors, which Investments or obligors (or the parent companies thereof) have the ratings described in such clauses or equivalent ratings from comparable foreign rating agencies.</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7.10(a)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Cannabis Law</w:t>
      </w:r>
      <w:r>
        <w:rPr>
          <w:rFonts w:ascii="Times New Roman" w:cs="Times New Roman" w:eastAsia="Times New Roman" w:hAnsi="Times New Roman"/>
          <w:sz w:val="20"/>
          <w:szCs w:val="20"/>
          <w:color w:val="auto"/>
        </w:rPr>
        <w:t>” shall mean any change after the Closing Date in Applicable Law, including Canadian Cannabis Law, Federal Cannabis Law and State Cannabis Law, that would (a) make it unlawful, or cause any Governmental Authority to formally assert that it is unlawful, for Agent or any Lender to (i) perform any of its obligations hereunder or under any other Loan Document, or (ii) to fund or maintain the Loans, or (b) result in the activities conducted by GTI, any Loan Party or any of their Subsidiaries being Restricted Cannabis Activities.</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w:t>
      </w:r>
    </w:p>
    <w:p>
      <w:pPr>
        <w:spacing w:after="0" w:line="216" w:lineRule="exact"/>
        <w:rPr>
          <w:sz w:val="20"/>
          <w:szCs w:val="20"/>
          <w:color w:val="auto"/>
        </w:rPr>
      </w:pPr>
    </w:p>
    <w:p>
      <w:pPr>
        <w:jc w:val="both"/>
        <w:ind w:left="740" w:firstLine="744"/>
        <w:spacing w:after="0" w:line="245" w:lineRule="auto"/>
        <w:tabs>
          <w:tab w:leader="none" w:pos="17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26" w:name="page27"/>
    <w:bookmarkEnd w:id="26"/>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4" w:lineRule="exact"/>
        <w:rPr>
          <w:sz w:val="20"/>
          <w:szCs w:val="20"/>
          <w:color w:val="auto"/>
        </w:rPr>
      </w:pPr>
    </w:p>
    <w:p>
      <w:pPr>
        <w:jc w:val="both"/>
        <w:ind w:left="740" w:right="20"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xml:space="preserve">” means, at any time, the occurrence of any of the following events: (i) any Person, or Persons acting in concert, shall have acquired beneficial ownership (within the meaning of Rule 13d-3 promulgated under the Securities Exchange Act of 1934) of any class of Equity Interests of GTI representing 25% or more of the combined voting power of all Equity Interests of GTI (on an as converted basis after giving effect to the conversion of any issued and outstanding Multiple Voting Shares and Super Voting Shares into Subordinate Voting Shares); (ii) a majority of the Board of Directors shall cease to consist of Continuing Directors; (iii) GTI shall cease to own and control, of record and beneficially, 100% of each class of outstanding Equity Interests of GTI23 (or any successor resulting from an internal reorganization) free and clear of all Liens; (iv) GTI23 shall cease to own and control, of record and beneficially, 100% of each class of outstanding Equity Interests of VCP23 (or any successor resulting from an internal reorganization) free and clear of all Liens; and (v) VCP23 shall cease to own and control, of record and beneficially, 100% of each class of outstanding Equity Interests of the other Loan Parties (or their respective successors resulting from internal reorganizations) free and clear of all Liens;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disposition of Equity Interests of a Subsidiary of GTI shall not be a Change of Control if the disposition is permitted by, and complies with,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For purposes of clause (i) of the preceding sentence, a Person shall be deemed to be the beneficial owner of a class of Equity Interests of GTI if such Person owns warrants, options or other rights exercisable for, or convertible into, such Equity Interests (whether or not consideration is payable upon any such exercise or conversion and whether or not the exercise or conversion rights are fixed or contingent, or exercisable only after the passage of time).</w:t>
      </w:r>
    </w:p>
    <w:p>
      <w:pPr>
        <w:spacing w:after="0" w:line="16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date on which the conditions specified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are satisfied or waived in writing by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u w:val="single" w:color="auto"/>
          <w:color w:val="0000FF"/>
        </w:rPr>
        <w:t>“Closing Date Commitment” has the meaning assigned thereto in Section 2.1(a).</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0000FF"/>
        </w:rPr>
        <w:t>“Closing Date Term Loan” has the meaning assigned thereto in Section 2.1(a).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02"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property of a Person subject (or purported to be subject) to a Lien under any Security Document and any and all other property of a Loan Party, now existing or hereafter acquired, that may at any time be, become or be purported to be, subject to a Lien in favor of Agent to secure the Obligations. Notwithstanding anything to the contrary contained herein or in the other Loan Documents, in no event shall any “fee owned” Real Property or any Excluded Collateral (as defined in the Security Agreement) constitute Collateral.</w:t>
      </w:r>
    </w:p>
    <w:p>
      <w:pPr>
        <w:spacing w:after="0" w:line="185"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an agreement in writing, in form and substance reasonably satisfactory to Agent, from any lessor of premises to a Loan Party or any other person to whom any Collateral is consigned or who has custody, control or possession of any such Collateral or is otherwise the owner or operator of any premises on which any of such Collateral is located, in favor of Agent.</w:t>
      </w:r>
    </w:p>
    <w:p>
      <w:pPr>
        <w:spacing w:after="0" w:line="180"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for any Lender, its obligation to make Loans subject to, and in accordance with, the terms hereof</w:t>
      </w:r>
      <w:r>
        <w:rPr>
          <w:rFonts w:ascii="Times New Roman" w:cs="Times New Roman" w:eastAsia="Times New Roman" w:hAnsi="Times New Roman"/>
          <w:sz w:val="20"/>
          <w:szCs w:val="20"/>
          <w:u w:val="single" w:color="auto"/>
          <w:color w:val="0000FF"/>
        </w:rPr>
        <w:t>, including, without limitation, its Closing Date Commitment and its Amendment No. 1 Additional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Commitment (if applicable)</w:t>
      </w:r>
      <w:r>
        <w:rPr>
          <w:rFonts w:ascii="Times New Roman" w:cs="Times New Roman" w:eastAsia="Times New Roman" w:hAnsi="Times New Roman"/>
          <w:sz w:val="20"/>
          <w:szCs w:val="20"/>
          <w:color w:val="000000"/>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7" w:name="page28"/>
    <w:bookmarkEnd w:id="27"/>
    <w:p>
      <w:pPr>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any Person that is a bona fide competitor of GTI, any Loan Party or any of their respective Subsidiaries.</w:t>
      </w:r>
    </w:p>
    <w:p>
      <w:pPr>
        <w:spacing w:after="0" w:line="159"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delivered in the form provided by Agent to a Borrower, as such form, subject to the terms hereof, may from time to time be modified by Agent with the consent of Administrative Borrower, which is duly completed (including all schedules thereto), and delivered by a Responsible Officer of a Borrower to Agent.</w:t>
      </w:r>
    </w:p>
    <w:p>
      <w:pPr>
        <w:spacing w:after="0" w:line="180"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shall mean, with respect to either the use or administration of Term SOFR, or with respect to the use, administration, adoption or implementation of any Benchmark Replacement, any technical, administrative or operational changes (including without limitation changes to the definition of “</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Agent decides in its sole discretion may be necessary or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reasonably decides is necessary in connection with the administration of this Agreement and the other Loan Documents).</w:t>
      </w:r>
    </w:p>
    <w:p>
      <w:pPr>
        <w:spacing w:after="0" w:line="174"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Directors</w:t>
      </w:r>
      <w:r>
        <w:rPr>
          <w:rFonts w:ascii="Times New Roman" w:cs="Times New Roman" w:eastAsia="Times New Roman" w:hAnsi="Times New Roman"/>
          <w:sz w:val="20"/>
          <w:szCs w:val="20"/>
          <w:color w:val="auto"/>
        </w:rPr>
        <w:t>” means (i) the directors of GTI on the Closing Date and (ii) each Person who becomes a director of GTI after the Closing Date by appointment of (or with the approval of or nomination by) a majority of the Continuing Directors or by election of shareholders, if the nomination of such Person elected by shareholders was approved or nominated, prior to such election, by a majority of the Continuing Directors. For the avoidance of doubt, a Continuing Director shall include Persons theretofore appointed or elected as directors as contemplated by the first sentence in this definition.</w:t>
      </w:r>
    </w:p>
    <w:p>
      <w:pPr>
        <w:spacing w:after="0" w:line="184" w:lineRule="exact"/>
        <w:rPr>
          <w:sz w:val="20"/>
          <w:szCs w:val="20"/>
          <w:color w:val="auto"/>
        </w:rPr>
      </w:pPr>
    </w:p>
    <w:p>
      <w:pPr>
        <w:jc w:val="both"/>
        <w:ind w:left="740" w:right="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xml:space="preserve">” means, with respect to any Person on a consolidated basis for any period, the sum of (a) Net Income before Non-Controlling Interest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Income Taxes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Depreciation and Amortization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Stock-based Compensation Expense for such period, plus (f) Other Income (Expense), Net for such period, plus (g) Impairment of Goodwill/Trade Names for such period, plus (h) Acquisition/Transaction/Other Non-recurring Expenses for such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 Interest Income for such period, in each case to the extent included in determining net income of such Person for such period.</w:t>
      </w:r>
    </w:p>
    <w:p>
      <w:pPr>
        <w:spacing w:after="0" w:line="171"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as of any date of determination, the total assets, in each case reflected on the consolidated balance sheet of GTI and its Subsidiaries as at the end of the most recently ended fiscal period of GTI for which a balance sheet has been delivered under Section 4 or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as the case may be, determined on a consolidated basis in accordance with GAAP (and, in the case of any determination relating to any incurrence of Indebtedness or Liens or any Investment, on a pro forma basis including any property or assets being acquired in connection therewith).</w:t>
      </w:r>
    </w:p>
    <w:p>
      <w:pPr>
        <w:spacing w:after="0" w:line="185"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Liabilities</w:t>
      </w:r>
      <w:r>
        <w:rPr>
          <w:rFonts w:ascii="Times New Roman" w:cs="Times New Roman" w:eastAsia="Times New Roman" w:hAnsi="Times New Roman"/>
          <w:sz w:val="20"/>
          <w:szCs w:val="20"/>
          <w:color w:val="auto"/>
        </w:rPr>
        <w:t xml:space="preserve">” means, as of any date of determination, the total liabilities, in each case reflected on the consolidated balance sheet of GTI and its Subsidiaries as at the end of the most recently ended fiscal period of GTI for which a balance sheet has been delivered under Section 4 or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as the case may be, determined on a consolidated basis in accordance with GAAP (and, 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28" w:name="page29"/>
    <w:bookmarkEnd w:id="28"/>
    <w:p>
      <w:pPr>
        <w:ind w:left="740" w:right="500"/>
        <w:spacing w:after="0" w:line="269" w:lineRule="auto"/>
        <w:rPr>
          <w:sz w:val="20"/>
          <w:szCs w:val="20"/>
          <w:color w:val="auto"/>
        </w:rPr>
      </w:pPr>
      <w:r>
        <w:rPr>
          <w:rFonts w:ascii="Times New Roman" w:cs="Times New Roman" w:eastAsia="Times New Roman" w:hAnsi="Times New Roman"/>
          <w:sz w:val="20"/>
          <w:szCs w:val="20"/>
          <w:color w:val="auto"/>
        </w:rPr>
        <w:t>the case of any determination relating to any incurrence of Indebtedness or Liens or any Investment, on a pro forma basis including any property or assets being acquired in connection therewith).</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a springing control agreement, in form and substance reasonably satisfactory to Agent, executed and delivered by a Loan Party, Agent and the applicable securities intermediary (with respect to a securities account) or bank (with respect to a deposit account).</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820" w:hanging="335"/>
        <w:spacing w:after="0"/>
        <w:tabs>
          <w:tab w:leader="none" w:pos="18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as that term is defined in, and interpreted in accordance with, 12 C.F.R.</w:t>
      </w:r>
    </w:p>
    <w:p>
      <w:pPr>
        <w:spacing w:after="0" w:line="21" w:lineRule="exact"/>
        <w:rPr>
          <w:rFonts w:ascii="Times New Roman" w:cs="Times New Roman" w:eastAsia="Times New Roman" w:hAnsi="Times New Roman"/>
          <w:sz w:val="20"/>
          <w:szCs w:val="20"/>
          <w:color w:val="auto"/>
        </w:rPr>
      </w:pPr>
    </w:p>
    <w:p>
      <w:pPr>
        <w:ind w:left="880" w:hanging="143"/>
        <w:spacing w:after="0"/>
        <w:tabs>
          <w:tab w:leader="none" w:pos="8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252.82(b);</w:t>
      </w:r>
    </w:p>
    <w:p>
      <w:pPr>
        <w:spacing w:after="0" w:line="193" w:lineRule="exact"/>
        <w:rPr>
          <w:rFonts w:ascii="Times New Roman" w:cs="Times New Roman" w:eastAsia="Times New Roman" w:hAnsi="Times New Roman"/>
          <w:sz w:val="20"/>
          <w:szCs w:val="20"/>
          <w:color w:val="auto"/>
        </w:rPr>
      </w:pPr>
    </w:p>
    <w:p>
      <w:pPr>
        <w:ind w:left="1820" w:hanging="335"/>
        <w:spacing w:after="0"/>
        <w:tabs>
          <w:tab w:leader="none" w:pos="18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covered bank</w:t>
      </w:r>
      <w:r>
        <w:rPr>
          <w:rFonts w:ascii="Times New Roman" w:cs="Times New Roman" w:eastAsia="Times New Roman" w:hAnsi="Times New Roman"/>
          <w:sz w:val="20"/>
          <w:szCs w:val="20"/>
          <w:color w:val="auto"/>
        </w:rPr>
        <w:t>” as that term is defined in, and interpreted in accordance with, 12 C.F.R.</w:t>
      </w:r>
    </w:p>
    <w:p>
      <w:pPr>
        <w:spacing w:after="0" w:line="21" w:lineRule="exact"/>
        <w:rPr>
          <w:rFonts w:ascii="Times New Roman" w:cs="Times New Roman" w:eastAsia="Times New Roman" w:hAnsi="Times New Roman"/>
          <w:sz w:val="20"/>
          <w:szCs w:val="20"/>
          <w:color w:val="auto"/>
        </w:rPr>
      </w:pPr>
    </w:p>
    <w:p>
      <w:pPr>
        <w:ind w:left="880" w:hanging="143"/>
        <w:spacing w:after="0"/>
        <w:tabs>
          <w:tab w:leader="none" w:pos="8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47.3(b); or</w:t>
      </w:r>
    </w:p>
    <w:p>
      <w:pPr>
        <w:spacing w:after="0" w:line="193" w:lineRule="exact"/>
        <w:rPr>
          <w:rFonts w:ascii="Times New Roman" w:cs="Times New Roman" w:eastAsia="Times New Roman" w:hAnsi="Times New Roman"/>
          <w:sz w:val="20"/>
          <w:szCs w:val="20"/>
          <w:color w:val="auto"/>
        </w:rPr>
      </w:pPr>
    </w:p>
    <w:p>
      <w:pPr>
        <w:ind w:left="1820" w:hanging="335"/>
        <w:spacing w:after="0"/>
        <w:tabs>
          <w:tab w:leader="none" w:pos="18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covered FSI</w:t>
      </w:r>
      <w:r>
        <w:rPr>
          <w:rFonts w:ascii="Times New Roman" w:cs="Times New Roman" w:eastAsia="Times New Roman" w:hAnsi="Times New Roman"/>
          <w:sz w:val="20"/>
          <w:szCs w:val="20"/>
          <w:color w:val="auto"/>
        </w:rPr>
        <w:t>” as that term is defined in, and interpreted in accordance with, 12 C.F.R.</w:t>
      </w:r>
    </w:p>
    <w:p>
      <w:pPr>
        <w:spacing w:after="0" w:line="21" w:lineRule="exact"/>
        <w:rPr>
          <w:rFonts w:ascii="Times New Roman" w:cs="Times New Roman" w:eastAsia="Times New Roman" w:hAnsi="Times New Roman"/>
          <w:sz w:val="20"/>
          <w:szCs w:val="20"/>
          <w:color w:val="auto"/>
        </w:rPr>
      </w:pPr>
    </w:p>
    <w:p>
      <w:pPr>
        <w:ind w:left="880" w:hanging="143"/>
        <w:spacing w:after="0"/>
        <w:tabs>
          <w:tab w:leader="none" w:pos="8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382.2(b).</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14.10</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Facility</w:t>
      </w:r>
      <w:r>
        <w:rPr>
          <w:rFonts w:ascii="Times New Roman" w:cs="Times New Roman" w:eastAsia="Times New Roman" w:hAnsi="Times New Roman"/>
          <w:sz w:val="20"/>
          <w:szCs w:val="20"/>
          <w:color w:val="auto"/>
        </w:rPr>
        <w:t xml:space="preserve">” means the Loans provided to or for the benefit of a Borrower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Portion of Long-Term Debt</w:t>
      </w:r>
      <w:r>
        <w:rPr>
          <w:rFonts w:ascii="Times New Roman" w:cs="Times New Roman" w:eastAsia="Times New Roman" w:hAnsi="Times New Roman"/>
          <w:sz w:val="20"/>
          <w:szCs w:val="20"/>
          <w:color w:val="auto"/>
        </w:rPr>
        <w:t>” means, as of any date, the consolidated current portion of notes payable of GTI and its Subsidiaries as of such date.</w:t>
      </w:r>
    </w:p>
    <w:p>
      <w:pPr>
        <w:spacing w:after="0" w:line="146"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Portion of Note Payable</w:t>
      </w:r>
      <w:r>
        <w:rPr>
          <w:rFonts w:ascii="Times New Roman" w:cs="Times New Roman" w:eastAsia="Times New Roman" w:hAnsi="Times New Roman"/>
          <w:sz w:val="20"/>
          <w:szCs w:val="20"/>
          <w:color w:val="auto"/>
        </w:rPr>
        <w:t>” means, as of any date, the consolidated current portion of notes payable of GTI and its Subsidiaries as of such date.</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Portion of Lease Liabilities</w:t>
      </w:r>
      <w:r>
        <w:rPr>
          <w:rFonts w:ascii="Times New Roman" w:cs="Times New Roman" w:eastAsia="Times New Roman" w:hAnsi="Times New Roman"/>
          <w:sz w:val="20"/>
          <w:szCs w:val="20"/>
          <w:color w:val="auto"/>
        </w:rPr>
        <w:t>” means, as of any date, the consolidated current portion of financed lease liabilities of GTI and its Subsidiaries as of such date.</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Compounded SOFR</w:t>
      </w:r>
      <w:r>
        <w:rPr>
          <w:rFonts w:ascii="Times New Roman" w:cs="Times New Roman" w:eastAsia="Times New Roman" w:hAnsi="Times New Roman"/>
          <w:sz w:val="20"/>
          <w:szCs w:val="20"/>
          <w:color w:val="auto"/>
        </w:rPr>
        <w:t>” shall mean, for any day, SOFR, with interest accruing on a compounded daily basis, with the methodology and conventions for this rate (which will include compounding in arrears with a lookback) being established by Agent in accordance with the methodology and conventions for this rate recommended by the Relevant Governmental Body for determining “</w:t>
      </w:r>
      <w:r>
        <w:rPr>
          <w:rFonts w:ascii="Times New Roman" w:cs="Times New Roman" w:eastAsia="Times New Roman" w:hAnsi="Times New Roman"/>
          <w:sz w:val="20"/>
          <w:szCs w:val="20"/>
          <w:u w:val="single" w:color="auto"/>
          <w:color w:val="auto"/>
        </w:rPr>
        <w:t>Daily Compounded SOFR</w:t>
      </w:r>
      <w:r>
        <w:rPr>
          <w:rFonts w:ascii="Times New Roman" w:cs="Times New Roman" w:eastAsia="Times New Roman" w:hAnsi="Times New Roman"/>
          <w:sz w:val="20"/>
          <w:szCs w:val="20"/>
          <w:color w:val="auto"/>
        </w:rPr>
        <w:t xml:space="preserve">” for bilateral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Agent decides that any such convention is not administratively feasible for Agent, then Agent may establish another convention in its reasonable discretion.</w:t>
      </w:r>
    </w:p>
    <w:p>
      <w:pPr>
        <w:spacing w:after="0" w:line="184"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Fund Affiliate</w:t>
      </w:r>
      <w:r>
        <w:rPr>
          <w:rFonts w:ascii="Times New Roman" w:cs="Times New Roman" w:eastAsia="Times New Roman" w:hAnsi="Times New Roman"/>
          <w:sz w:val="20"/>
          <w:szCs w:val="20"/>
          <w:color w:val="auto"/>
        </w:rPr>
        <w:t>” means, with respect to any Competitor, any debt fund, investment vehicle, regulated bank entity or unregulated lending entity (in each case, other than any Disqualified Institution) that is (a) primarily engaged in making, purchasing, holding or otherwise investing in commercial loans and similar extensions of credit in the ordinary course of business for financial investment purposes (but not with a view towards (i) owning the borrower or issuer of any such loan or similar extension of credit or (ii) investing in special or opportunistic situations) and (b) managed, sponsored or advised by any person that is controlling, controlled by or under common control with such Competitor, but only to the extent that no personnel involved with the investment in the relevant Competitor, or the management, control or operation thereof, (i) makes (or has the right to make or participate with others in making) investment decisions on behalf of, or otherwise cause the direction of the investment policies of, such debt fund, investment vehicle, regulated bank entity or unregulated entity or (ii) has access to 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29" w:name="page30"/>
    <w:bookmarkEnd w:id="29"/>
    <w:p>
      <w:pPr>
        <w:ind w:left="740" w:right="640"/>
        <w:spacing w:after="0" w:line="269" w:lineRule="auto"/>
        <w:rPr>
          <w:sz w:val="20"/>
          <w:szCs w:val="20"/>
          <w:color w:val="auto"/>
        </w:rPr>
      </w:pPr>
      <w:r>
        <w:rPr>
          <w:rFonts w:ascii="Times New Roman" w:cs="Times New Roman" w:eastAsia="Times New Roman" w:hAnsi="Times New Roman"/>
          <w:sz w:val="20"/>
          <w:szCs w:val="20"/>
          <w:color w:val="auto"/>
        </w:rPr>
        <w:t>information (other than information that is publicly available) relating to GTI, any Loan Party or any of their respective Subsidiaries.</w:t>
      </w:r>
    </w:p>
    <w:p>
      <w:pPr>
        <w:spacing w:after="0" w:line="159" w:lineRule="exact"/>
        <w:rPr>
          <w:sz w:val="20"/>
          <w:szCs w:val="20"/>
          <w:color w:val="auto"/>
        </w:rPr>
      </w:pPr>
    </w:p>
    <w:p>
      <w:pPr>
        <w:ind w:left="740" w:right="6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Service Coverage Ratio</w:t>
      </w:r>
      <w:r>
        <w:rPr>
          <w:rFonts w:ascii="Times New Roman" w:cs="Times New Roman" w:eastAsia="Times New Roman" w:hAnsi="Times New Roman"/>
          <w:sz w:val="20"/>
          <w:szCs w:val="20"/>
          <w:color w:val="auto"/>
        </w:rPr>
        <w:t xml:space="preserve">” means, as of any date, the ratio of (a) the sum of (i) Net Income Before Non-Controlling Interest of GTI and its Subsidiaries for the most recently ended Test Period, </w:t>
      </w:r>
      <w:r>
        <w:rPr>
          <w:rFonts w:ascii="Times New Roman" w:cs="Times New Roman" w:eastAsia="Times New Roman" w:hAnsi="Times New Roman"/>
          <w:sz w:val="20"/>
          <w:szCs w:val="20"/>
          <w:u w:val="single" w:color="auto"/>
          <w:color w:val="auto"/>
        </w:rPr>
        <w:t>plus</w:t>
      </w:r>
    </w:p>
    <w:p>
      <w:pPr>
        <w:spacing w:after="0" w:line="2" w:lineRule="exact"/>
        <w:rPr>
          <w:sz w:val="20"/>
          <w:szCs w:val="20"/>
          <w:color w:val="auto"/>
        </w:rPr>
      </w:pPr>
    </w:p>
    <w:p>
      <w:pPr>
        <w:ind w:left="740" w:right="60" w:hanging="3"/>
        <w:spacing w:after="0" w:line="239" w:lineRule="auto"/>
        <w:tabs>
          <w:tab w:leader="none" w:pos="108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Expense of GTI and its Subsidiaries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Depreciation and Amortization of GTI and its Subsidiaries for the most recently ended Test Period, </w:t>
      </w:r>
      <w:r>
        <w:rPr>
          <w:rFonts w:ascii="Times New Roman" w:cs="Times New Roman" w:eastAsia="Times New Roman" w:hAnsi="Times New Roman"/>
          <w:sz w:val="20"/>
          <w:szCs w:val="20"/>
          <w:u w:val="single" w:color="auto"/>
          <w:color w:val="auto"/>
        </w:rPr>
        <w:t>plus</w:t>
      </w:r>
    </w:p>
    <w:p>
      <w:pPr>
        <w:jc w:val="both"/>
        <w:ind w:left="740" w:right="40" w:hanging="3"/>
        <w:spacing w:after="0" w:line="239" w:lineRule="auto"/>
        <w:tabs>
          <w:tab w:leader="none" w:pos="109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Stock-based Compensation Expense of GTI and its Subsidiaries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(v) Other Income (Expense), Net of GTI and its Subsidiaries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(vi) Impairment of Goodwill/Trade Names of GTI and its Subsidiaries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(vii) Acquisition/Transaction/Other Non-recurring Expenses of GTI and its Subsidiaries for the most recently ended Test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(viii) Interest Income of GTI and its Subsidiaries for the most recently ended Test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(ix) Distributions to Minority Holders of GTI and its Subsidiaries for the most recently ended Test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(x) Accrued Capex of GTI and its Subsidiaries as of the last day of the most recently ended Test Period, to (b) (x) the sum, without duplication, of (A) the Current Portion of Long-Term Debt of GTI and its Subsidiaries as of the last day of the most recently ended Test Period, </w:t>
      </w:r>
      <w:r>
        <w:rPr>
          <w:rFonts w:ascii="Times New Roman" w:cs="Times New Roman" w:eastAsia="Times New Roman" w:hAnsi="Times New Roman"/>
          <w:sz w:val="20"/>
          <w:szCs w:val="20"/>
          <w:u w:val="single" w:color="auto"/>
          <w:color w:val="auto"/>
        </w:rPr>
        <w:t>plus</w:t>
      </w:r>
    </w:p>
    <w:p>
      <w:pPr>
        <w:spacing w:after="0" w:line="3" w:lineRule="exact"/>
        <w:rPr>
          <w:rFonts w:ascii="Times New Roman" w:cs="Times New Roman" w:eastAsia="Times New Roman" w:hAnsi="Times New Roman"/>
          <w:sz w:val="20"/>
          <w:szCs w:val="20"/>
          <w:color w:val="auto"/>
        </w:rPr>
      </w:pPr>
    </w:p>
    <w:p>
      <w:pPr>
        <w:jc w:val="both"/>
        <w:ind w:left="740" w:right="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the Current Portion of Lease Liabilities of GTI and its Subsidiaries as of the last day of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Interest Expense of GTI and its Subsidiaries for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Principal Repayment of Notes Payable of GTI and its Subsidiaries,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Note and Mortgage Balloon Payments of GTI and its Subsidiaries.</w:t>
      </w:r>
    </w:p>
    <w:p>
      <w:pPr>
        <w:spacing w:after="0" w:line="175"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 act, condition or event which with notice or passage of time or both would constitute an Event of</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Default.</w:t>
      </w:r>
    </w:p>
    <w:p>
      <w:pPr>
        <w:spacing w:after="0" w:line="194"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any Lender that (a) has failed to (i) fund all or any portion of the Term Loans required to be funded by it hereunder on the date such Term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amount required to be paid by it hereunder within two (2) Business Days of the date when due, (b) has notified Administrative Borrower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Administrative Borrower, to confirm in writing to Agent and Administrative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Lender shall cease to be a Defaulting Lender pursuant to this clause (c) upon receipt of such written confirmation by Agent and Administrative Borrower, or (d) has, or has a direct or indirect parent company that has, (i) become the subject of a proceeding under any Debtor Relief Law, (ii) had appointed for it a receiver, interim receiver, receiver and manager, custodian, conservator, trustee, administrator, assignee for the benefit of creditors or similar Person charged with reorganization or liquidation of its business or assets, including the Federal Deposit Insurance Corporation or any other state, federal or foreign regulatory authority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0" w:name="page31"/>
    <w:bookmarkEnd w:id="30"/>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 xml:space="preserve">acting in such a capacity, or (iii) become subject to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upon delivery of written notice of such determination to Administrative Borrower and each Lender.</w:t>
      </w:r>
    </w:p>
    <w:p>
      <w:pPr>
        <w:spacing w:after="0" w:line="186"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means, for any Obligation (including, to the extent permitted by law, interest not paid when due), three percent (3.00%) plus the interest rate otherwise applicable thereto.</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Depreciation and Amortization</w:t>
      </w:r>
      <w:r>
        <w:rPr>
          <w:rFonts w:ascii="Times New Roman" w:cs="Times New Roman" w:eastAsia="Times New Roman" w:hAnsi="Times New Roman"/>
          <w:sz w:val="20"/>
          <w:szCs w:val="20"/>
          <w:color w:val="auto"/>
        </w:rPr>
        <w:t>” means, for any period, the consolidated depreciation and amortization expense of GTI and its Subsidiaries for such period.</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40" w:right="60" w:firstLine="744"/>
        <w:spacing w:after="0" w:line="274" w:lineRule="auto"/>
        <w:tabs>
          <w:tab w:leader="none" w:pos="175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Person identified in writing to Agent on or prior to the Closing Date and (ii) any Affiliate of any Person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that is reasonably identifiable on the basis of such Affiliate’s name as an Affiliate of such Person, and (iii) any Affiliate of any Person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that is identified in a written notice to Agent at any time; and</w:t>
      </w:r>
    </w:p>
    <w:p>
      <w:pPr>
        <w:spacing w:after="0" w:line="156" w:lineRule="exact"/>
        <w:rPr>
          <w:rFonts w:ascii="Times New Roman" w:cs="Times New Roman" w:eastAsia="Times New Roman" w:hAnsi="Times New Roman"/>
          <w:sz w:val="19"/>
          <w:szCs w:val="19"/>
          <w:color w:val="auto"/>
        </w:rPr>
      </w:pPr>
    </w:p>
    <w:p>
      <w:pPr>
        <w:jc w:val="both"/>
        <w:ind w:left="740" w:right="60" w:firstLine="745"/>
        <w:spacing w:after="0" w:line="249" w:lineRule="auto"/>
        <w:tabs>
          <w:tab w:leader="none" w:pos="175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that is or becomes a Competitor, any Loan Party or any of their respective Subsidiaries, (ii) any Affiliate (other than a Debt Fund Affiliate) of any Person described in clause (i) above that is reasonably identifiable on the basis of such Affiliate’s name as an Affiliate of such Person, and (iii) any Affiliate (other than a Debt Fund Affiliate) of any Person described in clause (i) above that is identified in a written notice to Agent at any time;</w:t>
      </w:r>
    </w:p>
    <w:p>
      <w:pPr>
        <w:spacing w:after="0" w:line="180"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written notice delivered pursuant to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above shall apply retroactively to disqualify any person that has previously acquired an assignment or participation interest in the Loans under the applicable Credit Facility prior to the delivery of such notice.</w:t>
      </w:r>
    </w:p>
    <w:p>
      <w:pPr>
        <w:spacing w:after="0" w:line="161"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Distributions to Minority Holders</w:t>
      </w:r>
      <w:r>
        <w:rPr>
          <w:rFonts w:ascii="Times New Roman" w:cs="Times New Roman" w:eastAsia="Times New Roman" w:hAnsi="Times New Roman"/>
          <w:sz w:val="20"/>
          <w:szCs w:val="20"/>
          <w:color w:val="auto"/>
        </w:rPr>
        <w:t>” means, for any period, the consolidated distributions to holders (other than any Loan Party or any wholly owned Subsidiary of a Loan Party) of Equity Interests of all non-wholly owned Subsidiaries of and its Subsidiaries for such period.</w:t>
      </w:r>
    </w:p>
    <w:p>
      <w:pPr>
        <w:spacing w:after="0" w:line="174"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Norway.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1" w:name="page32"/>
    <w:bookmarkEnd w:id="31"/>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a commercial bank organized or chartered under the laws of the United States or any State thereof having total assets in excess of $100,000,000, (b) a Lender or an Affiliate of a Lender, (c) an Approved Fund, (d) any Person to whom a Lender assigns its rights and obligations under this Agreement as part of an assignment and transfer of such Lender’s rights in and to a material portion of such Lender’s portfolio of secured credit facilities or (e) so long as no Event of Default is then in existence, any other Person approved by Administrative Borrower (which approval shall not be unreasonably withheld, conditioned or delayed, and shall be deemed given if no objection is made within ten (10) Business Days after notice of the proposed assignment) and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no event shall a Loan Party or an Affiliate of a Loan Party be deemed to be an Eligible Assignee.</w:t>
      </w:r>
    </w:p>
    <w:p>
      <w:pPr>
        <w:spacing w:after="0" w:line="189"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spacing w:after="0" w:line="17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spacing w:after="0" w:line="174"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authorization, certificate, license, variance, filing or permission required by or from any Governmental Authority pursuant to any Environmental Law.</w:t>
      </w:r>
    </w:p>
    <w:p>
      <w:pPr>
        <w:spacing w:after="0" w:line="14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interests, participations or other equivalents (however designated) of such Person’s capital stock or partnership, limited liability company or other equity, ownership or profit interests at any time outstanding, all of the warrants, options or other rights for the purchase or acquisition from such Person of shares of capital stock of (or other interests in) such Person, all of the securities convertible into or exchangeable for shares of capital stock of (or other interests in) such Person or warrants, rights or options for the purchase or acquisition from such Person of such shares (or such other interests), but excluding any interests in phantom equity plans and any debt security that is convertible into or exchangeable for such shares,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any Loan Party, is treated as a single employer under Section 414(b) or (c) of the Code or, solely for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2" w:name="page33"/>
    <w:bookmarkEnd w:id="32"/>
    <w:p>
      <w:pPr>
        <w:ind w:left="740"/>
        <w:spacing w:after="0"/>
        <w:rPr>
          <w:sz w:val="20"/>
          <w:szCs w:val="20"/>
          <w:color w:val="auto"/>
        </w:rPr>
      </w:pPr>
      <w:r>
        <w:rPr>
          <w:rFonts w:ascii="Times New Roman" w:cs="Times New Roman" w:eastAsia="Times New Roman" w:hAnsi="Times New Roman"/>
          <w:sz w:val="19"/>
          <w:szCs w:val="19"/>
          <w:color w:val="auto"/>
        </w:rPr>
        <w:t>purposes of Section 302 of ERISA and Section 412 of the Code, is treated as a single employer under Section 414 of the Code.</w:t>
      </w:r>
    </w:p>
    <w:p>
      <w:pPr>
        <w:spacing w:after="0" w:line="227"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Benefit Plan (other than an event for which the 30 day notice period is waived); (b) the failure to satisfy the “minimum funding standard” (as defined in Section 412 of the Code or Section 302 of ERISA), whether or not waived, with respect to any Benefit Plan; (c) the filing pursuant to Section 412(c) of the Code or Section 302(c) of ERISA of an application for a waiver of the minimum funding standard with respect to any Benefit Plan; (d) the incurrence by a Borrower or any of its ERISA Affiliates of any liability under Title IV of ERISA with respect to the termination of any Benefit Plan; (e) the receipt by any Loan Party or any ERISA Affiliate from the PBGC or a plan administrator of any notice relating to an intention to terminate any Benefit Plan or Benefit Plans or to appoint a trustee to administer any Benefit Plan; (f) the incurrence by Borrower or any of its ERISA Affiliates of any liability with respect to the withdrawal or partial withdrawal of Borrower or any of its ERISA Affiliates from any Multiemployer Plan; or (g) the receipt by Borrower or any ERISA Affiliate of any notice, or the receipt by any Multiemployer Plan from Borrower or any ERISA Affiliate of any notice, concerning the imposition upon any Loan Party or any of its ERISA Affiliates of withdrawal liability or a determination that a Multiemployer Plan is insolvent within the meaning of Title IV of ERISA.</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1480" w:right="200"/>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Return Deficiency</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w:t>
      </w:r>
    </w:p>
    <w:p>
      <w:pPr>
        <w:spacing w:after="0" w:line="1" w:lineRule="exact"/>
        <w:rPr>
          <w:sz w:val="20"/>
          <w:szCs w:val="20"/>
          <w:color w:val="auto"/>
        </w:rPr>
      </w:pPr>
    </w:p>
    <w:p>
      <w:pPr>
        <w:ind w:left="1480" w:right="1520" w:hanging="683"/>
        <w:spacing w:after="0" w:line="241" w:lineRule="auto"/>
        <w:rPr>
          <w:sz w:val="20"/>
          <w:szCs w:val="20"/>
          <w:color w:val="auto"/>
        </w:rPr>
      </w:pPr>
      <w:r>
        <w:rPr>
          <w:rFonts w:ascii="Times New Roman" w:cs="Times New Roman" w:eastAsia="Times New Roman" w:hAnsi="Times New Roman"/>
          <w:sz w:val="20"/>
          <w:szCs w:val="20"/>
          <w:color w:val="auto"/>
        </w:rPr>
        <w:t>Loan Market Association (or any successor Person), as in effect from time to time.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Excluded Deposit Account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7.10(a)</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jc w:val="both"/>
        <w:ind w:left="740" w:right="20"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any direct or indirect Subsidiary of a Loan Party that holds a Cannabis License, and any of such Subsidiaries’ direct or indirect Subsidiaries, (b) any direct or indirect Subsidiary of a Loan Party that owns no material assets other than “fee owned” Real Property and leases (or subleases) in connection therewith, (c) any Immaterial Subsidiary created solely for the purpose of holdings a Cannabis License (or being a Subsidiary of a Person that holds a Cannabis License) or owning no material assets other than “fee owned” Real Property and leases (or subleases) in connection therewith, in each case, so long as such Subsidiary remains an Immaterial Subsidiary, (d) any non-wholly owned Subsidiary in respect of which less than 66.67% of the Equity Interests are directly or indirectly owned by the Loan Parties, (e) any non-wholly owned Subsidiary in respect of which 66.67% or more of the Equity Interests are directly or indirectly owned by the Loan Parties to the extent that, after commercially reasonable efforts, the Loan Parties are unable to obtain the consent to the joinder of such Subsidiary from the other investors in such Subsidiary, (f) any Subsidiary that (i) is prohibited or restricted from guaranteeing the Obligations by (x) any Applicable Law or (y) any contractual obligation that exists on the Closing Date or at the time such Subsidiary becomes a Subsidiary (which contractual obligation was not entered into in contemplation of the acquisition of such Subsidiary (including pursuant to assumed Indebtedness)), (ii) would require a governmental (including regulatory) or third party consent, approval, license or authorization (including any regulatory consent, approval, license or authorization) to provide a guarantee of the Obligations (in each case, on the Closing Date or at the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3" w:name="page34"/>
    <w:bookmarkEnd w:id="33"/>
    <w:p>
      <w:pPr>
        <w:jc w:val="both"/>
        <w:ind w:left="740"/>
        <w:spacing w:after="0" w:line="247" w:lineRule="auto"/>
        <w:rPr>
          <w:sz w:val="20"/>
          <w:szCs w:val="20"/>
          <w:color w:val="auto"/>
        </w:rPr>
      </w:pPr>
      <w:r>
        <w:rPr>
          <w:rFonts w:ascii="Times New Roman" w:cs="Times New Roman" w:eastAsia="Times New Roman" w:hAnsi="Times New Roman"/>
          <w:sz w:val="20"/>
          <w:szCs w:val="20"/>
          <w:color w:val="auto"/>
        </w:rPr>
        <w:t>such Subsidiary became a Subsidiary), unless such consent, approval, license or authorization has been obtained (it being understood and agreed that no Loan Party nor any of their respective Subsidiaries shall have any obligation to obtain (or seek to obtain) any such consent, approval, license or authorization), (g)</w:t>
      </w:r>
    </w:p>
    <w:p>
      <w:pPr>
        <w:jc w:val="both"/>
        <w:ind w:left="740" w:right="20" w:hanging="3"/>
        <w:spacing w:after="0"/>
        <w:tabs>
          <w:tab w:leader="none" w:pos="9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acquired by a Loan Party or any Subsidiary that, at the time of the relevant acquisition, is an obligor in respect of assumed Indebtedness permitted by clause (r) of the definition of Permitted Indebtedness to the extent (and for so long as) the documentation governing the applicable assumed Indebtedness prohibits such Subsidiary from guaranteeing the Obligations (which prohibition was not implemented in contemplation of such Subsidiary becoming a Subsidiary in order to avoid the requirement guaranteeing the Obligations) and (ii) any Subsidiary of any Subsidiary described in the immediately preceding clause (i) that is subject to any prohibition described in such clause, (h) any Subsidiary that is not organized under the laws of the United States or any State thereof and (i) any other Subsidiary with respect to which, in the joint determination of Administrative Borrower and Agent, the burden or cost of providing a guarantee of the Obligations outweighs, or would be excessive in light of, the practical benefits afforded to the Lenders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notwithstanding the above criteria, any Subsidiary of GTI that is a Loan Party as of the Closing Date shall not constitute an Excluded Subsidiary. Notwithstanding the foregoing, the parties hereto agree that the Subsidiaries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are not required to become Loan Parties on the Closing Date.</w:t>
      </w:r>
    </w:p>
    <w:p>
      <w:pPr>
        <w:spacing w:after="0" w:line="175"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(7 U.S.C. §1 et seq.), and any successor statute or any rule, regulation or order of the Commodity Futures Trading Commission (or the application or official interpretation of any thereof) due to such Loan Party’s failure for any reason to constitute an “eligible contract participant” as defined in the Commodity Exchange Act (7 U.S.C. §1 et seq.), and any successor statute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9"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Agent or any Lender or required to be withheld or deducted from a payment to Agent or such Lender: (a) Taxes imposed on or measured by net income (however denominated), franchise Taxes, and branch profits Taxes, in each case, (i) imposed as a result of Agent or such Lender being organized under the laws of, or having its principal office or its applicable lending office located in, the jurisdiction imposing such Tax (or any political subdivision thereof) or (ii) that are Other Connection Taxes, (b) in the case of a Lender,</w:t>
      </w:r>
    </w:p>
    <w:p>
      <w:pPr>
        <w:spacing w:after="0" w:line="2" w:lineRule="exact"/>
        <w:rPr>
          <w:sz w:val="20"/>
          <w:szCs w:val="20"/>
          <w:color w:val="auto"/>
        </w:rPr>
      </w:pPr>
    </w:p>
    <w:p>
      <w:pPr>
        <w:jc w:val="both"/>
        <w:ind w:left="740" w:right="20"/>
        <w:spacing w:after="0" w:line="256" w:lineRule="auto"/>
        <w:rPr>
          <w:sz w:val="20"/>
          <w:szCs w:val="20"/>
          <w:color w:val="auto"/>
        </w:rPr>
      </w:pPr>
      <w:r>
        <w:rPr>
          <w:rFonts w:ascii="Times New Roman" w:cs="Times New Roman" w:eastAsia="Times New Roman" w:hAnsi="Times New Roman"/>
          <w:sz w:val="19"/>
          <w:szCs w:val="19"/>
          <w:color w:val="auto"/>
        </w:rPr>
        <w:t xml:space="preserve">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5.7</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Agent or a Lender’s failure to comply with </w:t>
      </w:r>
      <w:r>
        <w:rPr>
          <w:rFonts w:ascii="Times New Roman" w:cs="Times New Roman" w:eastAsia="Times New Roman" w:hAnsi="Times New Roman"/>
          <w:sz w:val="19"/>
          <w:szCs w:val="19"/>
          <w:u w:val="single" w:color="auto"/>
          <w:color w:val="auto"/>
        </w:rPr>
        <w:t>Section 5.7(f)</w:t>
      </w:r>
      <w:r>
        <w:rPr>
          <w:rFonts w:ascii="Times New Roman" w:cs="Times New Roman" w:eastAsia="Times New Roman" w:hAnsi="Times New Roman"/>
          <w:sz w:val="19"/>
          <w:szCs w:val="19"/>
          <w:color w:val="auto"/>
        </w:rPr>
        <w:t xml:space="preserve"> and (d) any U.S. federal withholding Taxes imposed pursuant to FATCA.</w:t>
      </w:r>
    </w:p>
    <w:p>
      <w:pPr>
        <w:spacing w:after="0" w:line="173"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Note Purchase Agreement</w:t>
      </w:r>
      <w:r>
        <w:rPr>
          <w:rFonts w:ascii="Times New Roman" w:cs="Times New Roman" w:eastAsia="Times New Roman" w:hAnsi="Times New Roman"/>
          <w:sz w:val="20"/>
          <w:szCs w:val="20"/>
          <w:color w:val="auto"/>
        </w:rPr>
        <w:t>” means that certain Amended and Restated Note Purchase Agreement, dated as of April 30, 2021 (as amended, restated, supplemented and otherwise modified from time to time), among VCP23, GTI23, GTI Core. VCP Real Estate Holdings, LLC, Vision Management Services, LLC, VCP IP Holdings, LLC, TWD18, LLC and For Success Holding Company, as Issuers,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34" w:name="page35"/>
    <w:bookmarkEnd w:id="34"/>
    <w:p>
      <w:pPr>
        <w:ind w:left="740" w:right="280"/>
        <w:spacing w:after="0" w:line="269" w:lineRule="auto"/>
        <w:rPr>
          <w:sz w:val="20"/>
          <w:szCs w:val="20"/>
          <w:color w:val="auto"/>
        </w:rPr>
      </w:pPr>
      <w:r>
        <w:rPr>
          <w:rFonts w:ascii="Times New Roman" w:cs="Times New Roman" w:eastAsia="Times New Roman" w:hAnsi="Times New Roman"/>
          <w:sz w:val="20"/>
          <w:szCs w:val="20"/>
          <w:color w:val="auto"/>
        </w:rPr>
        <w:t>Acquiom Agency Services LLC, as Administrative Agent and Collateral Agent, and the purchasers from time-to-time party thereto.</w:t>
      </w:r>
    </w:p>
    <w:p>
      <w:pPr>
        <w:spacing w:after="0" w:line="15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in respect thereof (and any legislation, regulations or other official guidance pursuant to, or in respect of, such intergovernmental agreements).</w:t>
      </w:r>
    </w:p>
    <w:p>
      <w:pPr>
        <w:spacing w:after="0" w:line="185"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Cannabis Laws</w:t>
      </w:r>
      <w:r>
        <w:rPr>
          <w:rFonts w:ascii="Times New Roman" w:cs="Times New Roman" w:eastAsia="Times New Roman" w:hAnsi="Times New Roman"/>
          <w:sz w:val="20"/>
          <w:szCs w:val="20"/>
          <w:color w:val="auto"/>
        </w:rPr>
        <w:t>” means any United States of America federal law (civil, criminal, or otherwise), that is principally related to the cultivation, harvesting, production, testing, processing, marketing, distribution, sale, transfer, possession, and use of cannabis, marijuana or related substances or products containing cannabis, marijuana or related substances, including, without limitation, the prohibition on drug trafficking under the Controlled Substances Act, (21 U.S.C. § 801 et seq.) and other related federal statutes.</w:t>
      </w:r>
    </w:p>
    <w:p>
      <w:pPr>
        <w:spacing w:after="0" w:line="171"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(3) Federal funds brokers of recognized standing selected by it (and, if any such rate is below zero, then the rate determined pursuant to this definition shall be deemed to be zero).</w:t>
      </w:r>
    </w:p>
    <w:p>
      <w:pPr>
        <w:spacing w:after="0" w:line="184"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shall mean the fee letter, dated as of July 11, 2024, by and among Borrowers and Agent, setting forth certain fees payable by Borrowers to Agent for the benefit of itself and/or Lenders.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one percent (1.00%).</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 if the Borrower is a U.S. Person, a Lender that is not a U.S. Person and (b) if the Borrower is not a U.S. Person, a Lender that is resident or organized under the laws of a jurisdiction other than that in which a Borrower is resident for tax purposes.</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Funded Debt to Consolidated Adjusted EBITDA Ratio</w:t>
      </w:r>
      <w:r>
        <w:rPr>
          <w:rFonts w:ascii="Times New Roman" w:cs="Times New Roman" w:eastAsia="Times New Roman" w:hAnsi="Times New Roman"/>
          <w:sz w:val="20"/>
          <w:szCs w:val="20"/>
          <w:color w:val="auto"/>
        </w:rPr>
        <w:t>” means, as of any date, the ratio of (a)</w:t>
      </w:r>
    </w:p>
    <w:p>
      <w:pPr>
        <w:spacing w:after="0" w:line="22" w:lineRule="exact"/>
        <w:rPr>
          <w:sz w:val="20"/>
          <w:szCs w:val="20"/>
          <w:color w:val="auto"/>
        </w:rPr>
      </w:pPr>
    </w:p>
    <w:p>
      <w:pPr>
        <w:jc w:val="both"/>
        <w:ind w:left="740" w:right="20" w:hanging="5"/>
        <w:spacing w:after="0" w:line="242" w:lineRule="auto"/>
        <w:tabs>
          <w:tab w:leader="none" w:pos="102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Debt Obligations of GTI and its Subsidiaries as of the last day of the most recently ended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cash and Cash Equivalents of GTI and its Subsidiaries as of such date, to (b) Consolidated Adjusted EBITDA of GTI and its Subsidiaries for most the most recently ended Test Period.</w:t>
      </w:r>
    </w:p>
    <w:p>
      <w:pPr>
        <w:spacing w:after="0" w:line="173"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 as in effect from time to time as set forth in the opinions and pronouncements of the Accounting Principles Board and the American Institute of Certified Public Accountants and the statements and pronouncements of the Financial Accounting Standards Board which are applicable to the circumstances as of the date of determination consistently applied.</w:t>
      </w:r>
    </w:p>
    <w:p>
      <w:pPr>
        <w:spacing w:after="0" w:line="180" w:lineRule="exact"/>
        <w:rPr>
          <w:sz w:val="20"/>
          <w:szCs w:val="20"/>
          <w:color w:val="auto"/>
        </w:rPr>
      </w:pPr>
    </w:p>
    <w:p>
      <w:pPr>
        <w:jc w:val="both"/>
        <w:ind w:left="740" w:right="20" w:firstLine="749"/>
        <w:spacing w:after="0" w:line="23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foreign country or any multinational authority, or any state, commonwealth, protectorate or political subdivision thereof, and any entity, body or authority exercising executive, legislative, judicial, tax, regulatory or administrative functions of or pertaining to government, including, without limitation, other administrative bodies or quasi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governmental entities established to perform the functions of any such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35" w:name="page36"/>
    <w:bookmarkEnd w:id="35"/>
    <w:p>
      <w:pPr>
        <w:ind w:left="740" w:right="240"/>
        <w:spacing w:after="0" w:line="269" w:lineRule="auto"/>
        <w:rPr>
          <w:sz w:val="20"/>
          <w:szCs w:val="20"/>
          <w:color w:val="auto"/>
        </w:rPr>
      </w:pPr>
      <w:r>
        <w:rPr>
          <w:rFonts w:ascii="Times New Roman" w:cs="Times New Roman" w:eastAsia="Times New Roman" w:hAnsi="Times New Roman"/>
          <w:sz w:val="20"/>
          <w:szCs w:val="20"/>
          <w:color w:val="auto"/>
        </w:rPr>
        <w:t>agency or authority, and any agency, branch or other governmental body (federal or state) charged with the responsibility, or vested with the authority to administer or enforce, any Applicable Laws.</w:t>
      </w:r>
    </w:p>
    <w:p>
      <w:pPr>
        <w:spacing w:after="0" w:line="159" w:lineRule="exact"/>
        <w:rPr>
          <w:sz w:val="20"/>
          <w:szCs w:val="20"/>
          <w:color w:val="auto"/>
        </w:rPr>
      </w:pPr>
    </w:p>
    <w:p>
      <w:pPr>
        <w:ind w:left="1480" w:right="19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GTI</w:t>
      </w:r>
      <w:r>
        <w:rPr>
          <w:rFonts w:ascii="Times New Roman" w:cs="Times New Roman" w:eastAsia="Times New Roman" w:hAnsi="Times New Roman"/>
          <w:sz w:val="20"/>
          <w:szCs w:val="20"/>
          <w:color w:val="auto"/>
        </w:rPr>
        <w:t>” means Green Thumb Industries, Inc., a British Columbia corporation. “</w:t>
      </w:r>
      <w:r>
        <w:rPr>
          <w:rFonts w:ascii="Times New Roman" w:cs="Times New Roman" w:eastAsia="Times New Roman" w:hAnsi="Times New Roman"/>
          <w:sz w:val="20"/>
          <w:szCs w:val="20"/>
          <w:u w:val="single" w:color="auto"/>
          <w:color w:val="auto"/>
        </w:rPr>
        <w:t>GTI23</w:t>
      </w:r>
      <w:r>
        <w:rPr>
          <w:rFonts w:ascii="Times New Roman" w:cs="Times New Roman" w:eastAsia="Times New Roman" w:hAnsi="Times New Roman"/>
          <w:sz w:val="20"/>
          <w:szCs w:val="20"/>
          <w:color w:val="auto"/>
        </w:rPr>
        <w:t>” has the meaning assigned thereto in the preamble hereto.</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GTI Core</w:t>
      </w:r>
      <w:r>
        <w:rPr>
          <w:rFonts w:ascii="Times New Roman" w:cs="Times New Roman" w:eastAsia="Times New Roman" w:hAnsi="Times New Roman"/>
          <w:sz w:val="20"/>
          <w:szCs w:val="20"/>
          <w:color w:val="auto"/>
        </w:rPr>
        <w:t>” means GTI Core, LLC, a Delaware limited liability company.</w:t>
      </w:r>
    </w:p>
    <w:p>
      <w:pPr>
        <w:spacing w:after="0" w:line="194" w:lineRule="exact"/>
        <w:rPr>
          <w:sz w:val="20"/>
          <w:szCs w:val="20"/>
          <w:color w:val="auto"/>
        </w:rPr>
      </w:pPr>
    </w:p>
    <w:p>
      <w:pPr>
        <w:ind w:left="740" w:right="2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has the meaning assigned thereto in the preamble to this Agreement and includes any Loan Party other than a Borrower.</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Goodwill</w:t>
      </w:r>
      <w:r>
        <w:rPr>
          <w:rFonts w:ascii="Times New Roman" w:cs="Times New Roman" w:eastAsia="Times New Roman" w:hAnsi="Times New Roman"/>
          <w:sz w:val="20"/>
          <w:szCs w:val="20"/>
          <w:color w:val="auto"/>
        </w:rPr>
        <w:t>” means, with respect to any Person as of any date, the consolidated goodwill of such</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Person.</w:t>
      </w:r>
    </w:p>
    <w:p>
      <w:pPr>
        <w:spacing w:after="0" w:line="19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66"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as of the last day of any fiscal quarter ending after the Closing Date, any Subsidiary that, together with its direct and indirect Subsidiaries, holds consolidated total assets (as set forth in the financial statements delivered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 respect of such fiscal quarter) in an amount not exceeding $[***] individually or $[***] in the aggregate with all other Immaterial Subsidiaries, but excluding, in any event, any existing Loan Party.</w:t>
      </w:r>
    </w:p>
    <w:p>
      <w:pPr>
        <w:spacing w:after="0" w:line="180"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Impairment of Goodwill/Trade Names</w:t>
      </w:r>
      <w:r>
        <w:rPr>
          <w:rFonts w:ascii="Times New Roman" w:cs="Times New Roman" w:eastAsia="Times New Roman" w:hAnsi="Times New Roman"/>
          <w:sz w:val="20"/>
          <w:szCs w:val="20"/>
          <w:color w:val="auto"/>
        </w:rPr>
        <w:t xml:space="preserve">” means, for any period, the consolidated impairment and/or write-off of goodwill and intangibles of GTI and its Subsidiaries for such period as set forth in the non-GAAP reconciliation section of the financial statements of GTI most recently delivered to Agent pursuant to clause (b) of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or clause (a) or (b) of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Income Taxes</w:t>
      </w:r>
      <w:r>
        <w:rPr>
          <w:rFonts w:ascii="Times New Roman" w:cs="Times New Roman" w:eastAsia="Times New Roman" w:hAnsi="Times New Roman"/>
          <w:sz w:val="20"/>
          <w:szCs w:val="20"/>
          <w:color w:val="auto"/>
        </w:rPr>
        <w:t>” means, for any period, the income taxes provision of GTI and its Subsidiaries for such period.</w:t>
      </w:r>
    </w:p>
    <w:p>
      <w:pPr>
        <w:spacing w:after="0" w:line="216"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Person,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purchased by such Person, (e) all obligations of such Person issued or assumed as the deferred purchase price of property or services purchased by such Person, and including, without limitation, customary indemnification, adjustment of purchase price or similar obligations, earn-outs or other similar obligations to the extent such earn-outs or similar obligations have become a liability on the balance sheet of such person in accordance with GAAP (but excluding (i) trade debt and accrued expenses incurred in the ordinary course of business on normal trade terms and (ii) earn-out obligations or other deferred obligations in respect of acquisitions, to the extent payable in Equity Interests of GTI), (f) all obligations of such Person under take-or-pay or similar arrangements 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6" w:name="page37"/>
    <w:bookmarkEnd w:id="36"/>
    <w:p>
      <w:pPr>
        <w:jc w:val="both"/>
        <w:ind w:left="740" w:right="20"/>
        <w:spacing w:after="0" w:line="241" w:lineRule="auto"/>
        <w:rPr>
          <w:sz w:val="20"/>
          <w:szCs w:val="20"/>
          <w:color w:val="auto"/>
        </w:rPr>
      </w:pPr>
      <w:r>
        <w:rPr>
          <w:rFonts w:ascii="Times New Roman" w:cs="Times New Roman" w:eastAsia="Times New Roman" w:hAnsi="Times New Roman"/>
          <w:sz w:val="20"/>
          <w:szCs w:val="20"/>
          <w:color w:val="auto"/>
        </w:rPr>
        <w:t>under commodities agreements, (g) all Indebtedness of others secured by (or for which the holder of such Indebtedness has an existing right, contingent or otherwise, to be secured by) any security interest in, Lien or other encumbrance upon, or payable out of the proceeds of production from property owned or acquired by such Person, whether or not the obligations secured thereby have been assumed, (h) all obligations of such Person (other than endorsements in the ordinary course of business of negotiable instruments for deposit or collection) guaranteeing or intended to guarantee any Indebtedness of any other Person in any manner, whether direct or indirect, (i) the principal portion of all Capital Lease Obligations of such Person, (j) all obligations of such Person under Hedge Agreements, (k) the maximum amount of all standby letters of credit issued or bankers’ acceptances facilities created for the account of such Person and, without duplication, all drafts drawn thereunder (to the extent unreimbursed), (l) all preferred Equity Interests issued by such Person and which by the terms thereof could be (at the request of the holders thereof or otherwise) subject to mandatory sinking fund payments, redemption or other acceleration prior to the date which is 91 days after the Maturity Date, (m) the principal balance outstanding under any synthetic lease, tax retention operating lease, off-balance sheet loan or similar off-balance sheet financing product and (n) the Indebtedness of any partnership or unincorporated joint venture in which such Person is a general partner or a joint venturer, but only to the extent such Person is liable for such Indebtedness.</w:t>
      </w:r>
    </w:p>
    <w:p>
      <w:pPr>
        <w:spacing w:after="0" w:line="182"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Borrower under any Loan Document and (b) to the extent not otherwise described in subsection (a), Other Taxes.</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Intangibles</w:t>
      </w:r>
      <w:r>
        <w:rPr>
          <w:rFonts w:ascii="Times New Roman" w:cs="Times New Roman" w:eastAsia="Times New Roman" w:hAnsi="Times New Roman"/>
          <w:sz w:val="20"/>
          <w:szCs w:val="20"/>
          <w:color w:val="auto"/>
        </w:rPr>
        <w:t>” means, with respect to any Person as of any date, the consolidated (net) intangible assets of such</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Person.</w:t>
      </w:r>
    </w:p>
    <w:p>
      <w:pPr>
        <w:spacing w:after="0" w:line="194" w:lineRule="exact"/>
        <w:rPr>
          <w:sz w:val="20"/>
          <w:szCs w:val="20"/>
          <w:color w:val="auto"/>
        </w:rPr>
      </w:pPr>
    </w:p>
    <w:p>
      <w:pPr>
        <w:jc w:val="both"/>
        <w:ind w:left="740"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means a Loan Party’s and its Subsidiaries’ now owned and hereafter arising or acquired: patents, patent rights, patent applications, copyrights, works which are the subject matter of copyrights, copyright applications, copyright registrations, trademarks, servicemarks, trade names, trade styles, trademark and service mark applications, and licenses and rights to use any of the foregoing and all applications, registrations and recordings relating to any of the foregoing as may be filed in the United States Copyright Office, the United States Patent and Trademark Office or in any similar office or agency of the United States of America, any State thereof, any political subdivision thereof or in any other country or jurisdiction, together with all rights and privileges arising under Applicable Law with respect to such Loan Party’s and its Subsidiaries’ use of any of the foregoing; all extensions, renewals, reissues, divisions, continuations, and continuations-in-part of any of the foregoing; all rights to sue for past, present and future infringement of any of the foregoing; inventions, trade secrets, formulae, processes, compounds, drawings, designs, blueprints, surveys, reports, manuals, and operating standards; goodwill (including any goodwill associated with any trademark or servicemark, or the license of any trademark or servicemark); customer and other lists in whatever form maintained; trade secret rights, copyright rights, rights in works of authorship; software and contract rights relating to computer software programs, in whatever form created or maintained.</w:t>
      </w:r>
    </w:p>
    <w:p>
      <w:pPr>
        <w:spacing w:after="0" w:line="168"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Expense</w:t>
      </w:r>
      <w:r>
        <w:rPr>
          <w:rFonts w:ascii="Times New Roman" w:cs="Times New Roman" w:eastAsia="Times New Roman" w:hAnsi="Times New Roman"/>
          <w:sz w:val="20"/>
          <w:szCs w:val="20"/>
          <w:color w:val="auto"/>
        </w:rPr>
        <w:t>” means, for any period, all interest expense, whether paid or accrued, of GTI and its Subsidiaries for such period.</w:t>
      </w:r>
    </w:p>
    <w:p>
      <w:pPr>
        <w:spacing w:after="0" w:line="159" w:lineRule="exact"/>
        <w:rPr>
          <w:sz w:val="20"/>
          <w:szCs w:val="20"/>
          <w:color w:val="auto"/>
        </w:rPr>
      </w:pPr>
    </w:p>
    <w:p>
      <w:pPr>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Income</w:t>
      </w:r>
      <w:r>
        <w:rPr>
          <w:rFonts w:ascii="Times New Roman" w:cs="Times New Roman" w:eastAsia="Times New Roman" w:hAnsi="Times New Roman"/>
          <w:sz w:val="20"/>
          <w:szCs w:val="20"/>
          <w:color w:val="auto"/>
        </w:rPr>
        <w:t>” means, for any period, all interest income, whether paid or accrued, of GTI and its Subsidiaries for such period.</w:t>
      </w:r>
    </w:p>
    <w:p>
      <w:pPr>
        <w:spacing w:after="0" w:line="159"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shall mean as to any advance hereunder, the period of one (1) month (subject to availability thereof), with the initial Interest Period commencing on the date of the first disbursement of an advance hereunder, and each subsequent Interest Period commencing on the last day of the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7" w:name="page38"/>
    <w:bookmarkEnd w:id="37"/>
    <w:p>
      <w:pPr>
        <w:jc w:val="both"/>
        <w:ind w:left="740"/>
        <w:spacing w:after="0" w:line="244" w:lineRule="auto"/>
        <w:rPr>
          <w:sz w:val="20"/>
          <w:szCs w:val="20"/>
          <w:color w:val="auto"/>
        </w:rPr>
      </w:pPr>
      <w:r>
        <w:rPr>
          <w:rFonts w:ascii="Times New Roman" w:cs="Times New Roman" w:eastAsia="Times New Roman" w:hAnsi="Times New Roman"/>
          <w:sz w:val="20"/>
          <w:szCs w:val="20"/>
          <w:color w:val="auto"/>
        </w:rPr>
        <w:t xml:space="preserve">immediately preceding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if an Interest Period would end on a day which is not a Business Day, such Interest Period shall end on the next succeeding Business Day unless such day falls in the next succeeding calendar month in which case the Interest Period shall end on the next preceding Business Day, (ii) the final Interest Period shall commence on the last day of the immediately preceding Interest Period, and end on the Maturity Date, and (iii) any Interest Period that begins on the last Business Day of a calendar month (or a day for which there is no numerically corresponding day in the last calendar month of such Interest Period) shall end on the last Business Day of the last calendar month of such Interest Period.</w:t>
      </w:r>
    </w:p>
    <w:p>
      <w:pPr>
        <w:spacing w:after="0" w:line="186"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with respect to any Person, any investment by such Person in any other Person (including Affiliates) in the form of loans, guarantees, advances, capital contributions, or acquisitions (in one transaction or a series of transactions) of Indebtedness, Equity Interests, or all or a substantial part of the assets of such other Person, or of any division or business line of such other Person, whether through purchase of assets, merger or otherwise, or the formation or acquisition of any Subsidiaries.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7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U.S. Internal Revenue Service.</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shall mean the financial institutions who are signatories hereto as Lenders and other persons made a party to this Agreement as a Lender in accordance with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hereof, and their respective successors and assigns; each sometimes being referred to herein individually as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5" w:lineRule="exact"/>
        <w:rPr>
          <w:sz w:val="20"/>
          <w:szCs w:val="20"/>
          <w:color w:val="auto"/>
        </w:rPr>
      </w:pPr>
    </w:p>
    <w:p>
      <w:pPr>
        <w:ind w:left="1480" w:right="27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 made (or to be made) hereunder. “</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5.5(a)</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the Control Agreements, each Compliance Certificate, each Security Document, each mortgagee waiver, any note or notes executed by a Borrower in connection with this Agreement and payable to Lender, any subordination agreement, and any other instrument, document or agreement executed and/or delivered, at any time, by any Loan Party in connection with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Loan Documents shall not include Bank Product Agreements.</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the obligations of Loan Parties pursuant to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individually and/or collectively, as the case may be, any Borrower or any Guarantor.</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 Term Debt Notes Payable</w:t>
      </w:r>
      <w:r>
        <w:rPr>
          <w:rFonts w:ascii="Times New Roman" w:cs="Times New Roman" w:eastAsia="Times New Roman" w:hAnsi="Times New Roman"/>
          <w:sz w:val="20"/>
          <w:szCs w:val="20"/>
          <w:color w:val="auto"/>
        </w:rPr>
        <w:t>” means, with respect to any Person as of any date, the consolidated long-term portion of notes payable of such Person.</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 Term Lease Liability</w:t>
      </w:r>
      <w:r>
        <w:rPr>
          <w:rFonts w:ascii="Times New Roman" w:cs="Times New Roman" w:eastAsia="Times New Roman" w:hAnsi="Times New Roman"/>
          <w:sz w:val="20"/>
          <w:szCs w:val="20"/>
          <w:color w:val="auto"/>
        </w:rPr>
        <w:t>” means, with respect to any Person as of any date, the consolidated long-term portion of financed lease liabilities of such Person.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38" w:name="page39"/>
    <w:bookmarkEnd w:id="38"/>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as defined in Regulation U of the Board of Governors of the Federal Reserve System as in effect from time to time.</w:t>
      </w:r>
    </w:p>
    <w:p>
      <w:pPr>
        <w:spacing w:after="0" w:line="159" w:lineRule="exact"/>
        <w:rPr>
          <w:sz w:val="20"/>
          <w:szCs w:val="20"/>
          <w:color w:val="auto"/>
        </w:rPr>
      </w:pPr>
    </w:p>
    <w:p>
      <w:pPr>
        <w:ind w:left="740" w:right="6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business, assets, liabilities, operations, property or financial condition of the Loan Parties and their Subsidiaries, taken as a whole;</w:t>
      </w:r>
    </w:p>
    <w:p>
      <w:pPr>
        <w:spacing w:after="0" w:line="2" w:lineRule="exact"/>
        <w:rPr>
          <w:sz w:val="20"/>
          <w:szCs w:val="20"/>
          <w:color w:val="auto"/>
        </w:rPr>
      </w:pPr>
    </w:p>
    <w:p>
      <w:pPr>
        <w:jc w:val="both"/>
        <w:ind w:left="740" w:right="60" w:hanging="5"/>
        <w:spacing w:after="0" w:line="241" w:lineRule="auto"/>
        <w:tabs>
          <w:tab w:leader="none" w:pos="102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a Loan Party to perform its obligations under this Agreement or any of the other Loan Documents when such obligations are required to be performed under this Agreement or any of the other Loan Documents or (c) the validity or enforceability of this Agreement or any of the other Loan Documents or the rights or remedies of Agent or any Lender hereunder or thereunder or the perfection or priority of any security interest or Lien in favor of Agent.</w:t>
      </w:r>
    </w:p>
    <w:p>
      <w:pPr>
        <w:spacing w:after="0" w:line="188"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means (a) each written contract or other written agreement (other than the Loan Documents and Bank Product Agreements) of a Loan Party which is required by the Securities and Exchange Commission (or comparable agency in any applicable non-U.S. jurisdiction) to be disclosed as an exhibit to GTI’s Form 10-K (but excluding for this purpose contracts or other agreements for the purchase and sale of goods or services where the other party thereto has no obligation to purchase or sell such goods or services under such contract or other agreement) and (b) any other contract or other agreement (other than the Loan Documents and Bank Product Agreements), whether written or oral, to which a Loan Party is a party as to which the breach, nonperformance, cancellation or failure to renew by any party thereto has or could reasonably be expected to have a Material Adverse Effect.</w:t>
      </w:r>
    </w:p>
    <w:p>
      <w:pPr>
        <w:spacing w:after="0" w:line="17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or obligations in respect of one or more Bank Product Agreements), of a Loan Party or any of its Subsidiaries in an aggregate principal amount exceeding $[***]. For purposes of determining Material Indebtedness, the “principal amount” of the obligations of a Borrower in respect of any Hedge Agreement at any time shall be the maximum aggregate amount (giving effect to any netting agreements) that a Loan Party would be required to pay if such Hedge Agreement were terminated at such time.</w:t>
      </w:r>
    </w:p>
    <w:p>
      <w:pPr>
        <w:spacing w:after="0" w:line="185" w:lineRule="exact"/>
        <w:rPr>
          <w:sz w:val="20"/>
          <w:szCs w:val="20"/>
          <w:color w:val="auto"/>
        </w:rPr>
      </w:pPr>
    </w:p>
    <w:p>
      <w:pPr>
        <w:ind w:left="1480"/>
        <w:spacing w:after="0"/>
        <w:tabs>
          <w:tab w:leader="none" w:pos="2480" w:val="left"/>
          <w:tab w:leader="none" w:pos="3180" w:val="left"/>
          <w:tab w:leader="none" w:pos="3920" w:val="left"/>
          <w:tab w:leader="none" w:pos="5000" w:val="left"/>
          <w:tab w:leader="none" w:pos="54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w:t>
      </w:r>
      <w:r>
        <w:rPr>
          <w:sz w:val="20"/>
          <w:szCs w:val="20"/>
          <w:color w:val="auto"/>
        </w:rPr>
        <w:tab/>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w:t>
        <w:tab/>
        <w:t>September</w:t>
        <w:tab/>
        <w:t>11,</w:t>
      </w:r>
      <w:r>
        <w:rPr>
          <w:sz w:val="20"/>
          <w:szCs w:val="20"/>
          <w:color w:val="auto"/>
        </w:rPr>
        <w:tab/>
      </w:r>
      <w:r>
        <w:rPr>
          <w:rFonts w:ascii="Times New Roman" w:cs="Times New Roman" w:eastAsia="Times New Roman" w:hAnsi="Times New Roman"/>
          <w:sz w:val="19"/>
          <w:szCs w:val="19"/>
          <w:color w:val="auto"/>
        </w:rPr>
        <w:t>2029.</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Maximum Credit</w:t>
      </w:r>
      <w:r>
        <w:rPr>
          <w:rFonts w:ascii="Times New Roman" w:cs="Times New Roman" w:eastAsia="Times New Roman" w:hAnsi="Times New Roman"/>
          <w:sz w:val="20"/>
          <w:szCs w:val="20"/>
          <w:color w:val="FF0000"/>
          <w:strike w:val="1"/>
        </w:rPr>
        <w:t>” means $150,000,000.</w:t>
      </w:r>
    </w:p>
    <w:p>
      <w:pPr>
        <w:jc w:val="both"/>
        <w:ind w:left="740" w:right="6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Interest Rate</w:t>
      </w:r>
      <w:r>
        <w:rPr>
          <w:rFonts w:ascii="Times New Roman" w:cs="Times New Roman" w:eastAsia="Times New Roman" w:hAnsi="Times New Roman"/>
          <w:sz w:val="20"/>
          <w:szCs w:val="20"/>
          <w:color w:val="auto"/>
        </w:rPr>
        <w:t>” means the maximum non-usurious rate of interest under applicable Federal or State law as in effect from time to time that may be contracted for, taken, reserved, charged or received in respect of the indebtedness of a Loan Party to Agent or any Lender, or to the extent that at any time such Applicable Law may thereafter permit a higher maximum non-usurious rate of interest, then such higher rate.</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 subject to Title IV of ERISA which is or was at any time during the current year or the immediately preceding six (6) years contributed to by a Loan Party or any ERISA Affiliate or with respect to which a Loan Party or any ERISA Affiliate may incur any liability.</w:t>
      </w:r>
    </w:p>
    <w:p>
      <w:pPr>
        <w:spacing w:after="0" w:line="161"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Voting Shares</w:t>
      </w:r>
      <w:r>
        <w:rPr>
          <w:rFonts w:ascii="Times New Roman" w:cs="Times New Roman" w:eastAsia="Times New Roman" w:hAnsi="Times New Roman"/>
          <w:sz w:val="20"/>
          <w:szCs w:val="20"/>
          <w:color w:val="auto"/>
        </w:rPr>
        <w:t>” means those Multiple Voting Shares as described in the Organization Documents of GTI (as the same may be amended or modified from time to time).</w:t>
      </w:r>
    </w:p>
    <w:p>
      <w:pPr>
        <w:spacing w:after="0" w:line="159"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 Before Non-Controlling Interest</w:t>
      </w:r>
      <w:r>
        <w:rPr>
          <w:rFonts w:ascii="Times New Roman" w:cs="Times New Roman" w:eastAsia="Times New Roman" w:hAnsi="Times New Roman"/>
          <w:sz w:val="20"/>
          <w:szCs w:val="20"/>
          <w:color w:val="auto"/>
        </w:rPr>
        <w:t>” means, for any period, the consolidated net income of GTI and its Subsidiaries for such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39" w:name="page40"/>
    <w:bookmarkEnd w:id="39"/>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amendment, modification or termination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time.</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Non-Paying Guarantor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and Mortgage Balloon Payments</w:t>
      </w:r>
      <w:r>
        <w:rPr>
          <w:rFonts w:ascii="Times New Roman" w:cs="Times New Roman" w:eastAsia="Times New Roman" w:hAnsi="Times New Roman"/>
          <w:sz w:val="20"/>
          <w:szCs w:val="20"/>
          <w:color w:val="auto"/>
        </w:rPr>
        <w:t>” means, as of any date, the sum of (a) all voluntary redemptions, retirements or prepayments by GTI and its Subsidiaries of (i) Indebtedness of GTI and its Subsidiaries which is subordinated in right of payment to the Term Loans, (ii) the notes under that certain Existing Note Purchase Agreement and (iii) Indebtedness of GTI and its Subsidiaries which is secured by Liens on Real Property, in each case, under this clause (a), prior to its regularly scheduled maturity date which occurred during the most recently ended Test Period and (b) all principal payments at maturity required to be made in respect of (i) Indebtedness of GTI and its Subsidiaries which is subordinated in right of payment to the Term Loans and (ii) Indebtedness of GTI and its Subsidiaries which is secured by Liens on Real Property, in each case, under this clause (b) during the twelve-month period immediately following such date.</w:t>
      </w:r>
    </w:p>
    <w:p>
      <w:pPr>
        <w:spacing w:after="0" w:line="176"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any and all Loans, Bank Product Obligations and all other obligations, liabilities and indebtedness of every kind, nature and description owing by a Borrower to Agent or any Lender (or in the case of Bank Product Agreements, Affiliates of Agent or any Lender), including principal, interest, charges, indemnities, reimbursement and indemnification obligations with respect to fees, costs and expenses, however evidenced, whether as principal, surety, endorser, guarantor or otherwise, arising under any of the Loan Documents or the Bank Product Agreements, whether now existing or hereafter arising, whether arising before, during or after the initial or any renewal term of this Agreement or after the commencement of any case with respect to under the United States Bankruptcy Code or any similar statute (including the payment of interest and other amounts which would accrue and become due but for the commencement of such case, whether or not such amounts are allowed or allowable in whole or in part in such case), whether direct or indirect, absolute or contingent, joint or several, due or not due, primary or secondary, liquidated or unliquidated, or secured or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notwithstanding anything to the contrary contained herein, the Obligations shall exclude any Excluded Swap Obligation.</w:t>
      </w:r>
    </w:p>
    <w:p>
      <w:pPr>
        <w:spacing w:after="0" w:line="12" w:lineRule="exact"/>
        <w:rPr>
          <w:sz w:val="20"/>
          <w:szCs w:val="20"/>
          <w:color w:val="auto"/>
        </w:rPr>
      </w:pPr>
    </w:p>
    <w:p>
      <w:pPr>
        <w:ind w:left="1480" w:right="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U.S. Department of the Treasury’s Office of Foreign Assets Control. “</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with respect to any Person, the certificate or articles of</w:t>
      </w:r>
    </w:p>
    <w:p>
      <w:pPr>
        <w:spacing w:after="0" w:line="2" w:lineRule="exact"/>
        <w:rPr>
          <w:sz w:val="20"/>
          <w:szCs w:val="20"/>
          <w:color w:val="auto"/>
        </w:rPr>
      </w:pPr>
    </w:p>
    <w:p>
      <w:pPr>
        <w:ind w:left="740" w:right="2560"/>
        <w:spacing w:after="0" w:line="246" w:lineRule="auto"/>
        <w:rPr>
          <w:sz w:val="20"/>
          <w:szCs w:val="20"/>
          <w:color w:val="auto"/>
        </w:rPr>
      </w:pPr>
      <w:r>
        <w:rPr>
          <w:rFonts w:ascii="Times New Roman" w:cs="Times New Roman" w:eastAsia="Times New Roman" w:hAnsi="Times New Roman"/>
          <w:sz w:val="20"/>
          <w:szCs w:val="20"/>
          <w:color w:val="auto"/>
        </w:rPr>
        <w:t>incorporation, certificate of formation, by-laws, limited liability company agreement, operating agreement or other organizational or governing documents of such Person.</w:t>
      </w:r>
    </w:p>
    <w:p>
      <w:pPr>
        <w:spacing w:after="0" w:line="182"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0" w:name="page41"/>
    <w:bookmarkEnd w:id="40"/>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Income (Expense), Net</w:t>
      </w:r>
      <w:r>
        <w:rPr>
          <w:rFonts w:ascii="Times New Roman" w:cs="Times New Roman" w:eastAsia="Times New Roman" w:hAnsi="Times New Roman"/>
          <w:sz w:val="20"/>
          <w:szCs w:val="20"/>
          <w:color w:val="auto"/>
        </w:rPr>
        <w:t>” means, for any period, the consolidated other income (expense) of GTI and its Subsidiaries for such period.</w:t>
      </w:r>
    </w:p>
    <w:p>
      <w:pPr>
        <w:spacing w:after="0" w:line="159"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present or future stamp, court or documentary, intangible, recording, filing or similar Taxes that arise from any payment made hereunder or under any of the other Loan Documents or from the execution, delivery or registration of, or otherwise with respect to, this Agreement or any of the other Loan Documents, except any such Taxes that are Other Connection Taxes imposed with respect to an assignment.</w:t>
      </w:r>
    </w:p>
    <w:p>
      <w:pPr>
        <w:spacing w:after="0" w:line="180" w:lineRule="exact"/>
        <w:rPr>
          <w:sz w:val="20"/>
          <w:szCs w:val="20"/>
          <w:color w:val="auto"/>
        </w:rPr>
      </w:pPr>
    </w:p>
    <w:p>
      <w:pPr>
        <w:ind w:left="740" w:right="1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means GTI and each other direct or indirect parent company of any Loan Party, in each case, that is not (and is not required to become) a Loan Party.</w:t>
      </w:r>
    </w:p>
    <w:p>
      <w:pPr>
        <w:spacing w:after="0" w:line="159" w:lineRule="exact"/>
        <w:rPr>
          <w:sz w:val="20"/>
          <w:szCs w:val="20"/>
          <w:color w:val="auto"/>
        </w:rPr>
      </w:pPr>
    </w:p>
    <w:p>
      <w:pPr>
        <w:ind w:left="1480" w:right="18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14.4(d)(i)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14.4(d)(ii)</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194" w:lineRule="exact"/>
        <w:rPr>
          <w:sz w:val="20"/>
          <w:szCs w:val="20"/>
          <w:color w:val="auto"/>
        </w:rPr>
      </w:pPr>
    </w:p>
    <w:p>
      <w:pPr>
        <w:ind w:left="1480" w:right="16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Permitted Dispositions</w:t>
      </w:r>
      <w:r>
        <w:rPr>
          <w:rFonts w:ascii="Times New Roman" w:cs="Times New Roman" w:eastAsia="Times New Roman" w:hAnsi="Times New Roman"/>
          <w:sz w:val="20"/>
          <w:szCs w:val="20"/>
          <w:color w:val="auto"/>
        </w:rPr>
        <w:t>” means each of the following:</w:t>
      </w:r>
    </w:p>
    <w:p>
      <w:pPr>
        <w:spacing w:after="0" w:line="2" w:lineRule="exact"/>
        <w:rPr>
          <w:sz w:val="20"/>
          <w:szCs w:val="20"/>
          <w:color w:val="auto"/>
        </w:rPr>
      </w:pPr>
    </w:p>
    <w:p>
      <w:pPr>
        <w:ind w:left="2980" w:hanging="746"/>
        <w:spacing w:after="0"/>
        <w:tabs>
          <w:tab w:leader="none" w:pos="2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leasing of inventory in the ordinary course of business,</w:t>
      </w:r>
    </w:p>
    <w:p>
      <w:pPr>
        <w:spacing w:after="0" w:line="193"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(including leases, subleases and assignments) of used, worn-out, obsolete machinery, equipment and interests in real property or machinery, equipment and interests in real property no longer used or useful in the conduct of the business of a Loan Party or its Subsidiaries;</w:t>
      </w:r>
    </w:p>
    <w:p>
      <w:pPr>
        <w:spacing w:after="0" w:line="174"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accounts receivable in connection with the collection or compromise thereof in the ordinary course of business consistent with the practices of a Loan Party and its Subsidiaries as of the date hereof;</w:t>
      </w:r>
    </w:p>
    <w:p>
      <w:pPr>
        <w:spacing w:after="0" w:line="145" w:lineRule="exact"/>
        <w:rPr>
          <w:rFonts w:ascii="Times New Roman" w:cs="Times New Roman" w:eastAsia="Times New Roman" w:hAnsi="Times New Roman"/>
          <w:sz w:val="20"/>
          <w:szCs w:val="20"/>
          <w:color w:val="auto"/>
        </w:rPr>
      </w:pPr>
    </w:p>
    <w:p>
      <w:pPr>
        <w:jc w:val="both"/>
        <w:ind w:left="740" w:right="60" w:firstLine="1494"/>
        <w:spacing w:after="0" w:line="246" w:lineRule="auto"/>
        <w:tabs>
          <w:tab w:leader="none" w:pos="252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of Equity Interests of a Loan Party or any of its Subsidiaries consisting of common stock pursuant to an employee stock option or grant or similar equity plan or 401(k) plans of a Loan Party for the benefit of its employees, directors and consultants;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no event shall a Loan Party or any of its Subsidiaries be required to issue, or shall a Loan Party or any of its Subsidiaries issue, Equity Interests pursuant to such stock plans or 401(k) plans which would result in a Change of Control or other Default or Event of Default;</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or other disposition of Intellectual Property that is not material and is no longer used or useful in any material respect in the business of a Loan Party and its Subsidiaries and, unless such Intellectual Property is in the process of being abandoned (as otherwise permitted under this clause (e)), does not appear on is or otherwise not affixed to or incorporated in any inventory or necessary in connection with the Records or have any material value;</w:t>
      </w:r>
    </w:p>
    <w:p>
      <w:pPr>
        <w:spacing w:after="0" w:line="179" w:lineRule="exact"/>
        <w:rPr>
          <w:rFonts w:ascii="Times New Roman" w:cs="Times New Roman" w:eastAsia="Times New Roman" w:hAnsi="Times New Roman"/>
          <w:sz w:val="20"/>
          <w:szCs w:val="20"/>
          <w:color w:val="auto"/>
        </w:rPr>
      </w:pPr>
    </w:p>
    <w:p>
      <w:pPr>
        <w:ind w:left="740" w:right="60" w:firstLine="1494"/>
        <w:spacing w:after="0" w:line="295" w:lineRule="auto"/>
        <w:tabs>
          <w:tab w:leader="none" w:pos="252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transfer of property or assets, or issuance of Equity Interests, that is a Restricted Payment permitted under </w:t>
      </w:r>
      <w:r>
        <w:rPr>
          <w:rFonts w:ascii="Times New Roman" w:cs="Times New Roman" w:eastAsia="Times New Roman" w:hAnsi="Times New Roman"/>
          <w:sz w:val="19"/>
          <w:szCs w:val="19"/>
          <w:u w:val="single" w:color="auto"/>
          <w:color w:val="auto"/>
        </w:rPr>
        <w:t>Section 8.8</w:t>
      </w:r>
      <w:r>
        <w:rPr>
          <w:rFonts w:ascii="Times New Roman" w:cs="Times New Roman" w:eastAsia="Times New Roman" w:hAnsi="Times New Roman"/>
          <w:sz w:val="19"/>
          <w:szCs w:val="19"/>
          <w:color w:val="auto"/>
        </w:rPr>
        <w:t xml:space="preserve">, a Permitted Investment permitted under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xml:space="preserve"> or a permitted transaction under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1" w:name="page42"/>
    <w:bookmarkEnd w:id="41"/>
    <w:p>
      <w:pPr>
        <w:jc w:val="both"/>
        <w:ind w:left="740" w:right="40" w:firstLine="1494"/>
        <w:spacing w:after="0" w:line="254" w:lineRule="auto"/>
        <w:tabs>
          <w:tab w:leader="none" w:pos="2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cash and Cash Equivalents for the payment of Indebtedness to the extent such payments are permitted hereunder and for the payment of other payables in the ordinary course of the business of a Loan Party and its Subsidiaries;</w:t>
      </w:r>
    </w:p>
    <w:p>
      <w:pPr>
        <w:spacing w:after="0" w:line="174" w:lineRule="exact"/>
        <w:rPr>
          <w:rFonts w:ascii="Times New Roman" w:cs="Times New Roman" w:eastAsia="Times New Roman" w:hAnsi="Times New Roman"/>
          <w:sz w:val="20"/>
          <w:szCs w:val="20"/>
          <w:color w:val="auto"/>
        </w:rPr>
      </w:pPr>
    </w:p>
    <w:p>
      <w:pPr>
        <w:jc w:val="both"/>
        <w:ind w:left="740" w:right="60" w:firstLine="1494"/>
        <w:spacing w:after="0" w:line="259" w:lineRule="auto"/>
        <w:tabs>
          <w:tab w:leader="none" w:pos="252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sales or other dispositions of assets of a Loan Party and any of its Subsidiaries not otherwise subject to the provisions set forth in this definition;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as to any such sale or other disposition, each of the following conditions is satisfied: (i) not less than [***]% of the consideration to be received by such Loan Party or such Subsidiary shall be paid or payable in cash and shall be paid contemporaneously with consummation of the transaction; (ii) the consideration paid or payable shall be in an amount not less than the fair market value of the property disposed of, (iii) the assets subject to such disposition are not material to be business of the Loan Parties and their subsidiaries, taken as a whole, and (iii) as of the date of any such sale or other disposition, and after giving effect thereto, no Default or Event of Default shall exist;</w:t>
      </w:r>
    </w:p>
    <w:p>
      <w:pPr>
        <w:spacing w:after="0" w:line="172" w:lineRule="exact"/>
        <w:rPr>
          <w:rFonts w:ascii="Times New Roman" w:cs="Times New Roman" w:eastAsia="Times New Roman" w:hAnsi="Times New Roman"/>
          <w:sz w:val="19"/>
          <w:szCs w:val="19"/>
          <w:color w:val="auto"/>
        </w:rPr>
      </w:pPr>
    </w:p>
    <w:p>
      <w:pPr>
        <w:jc w:val="both"/>
        <w:ind w:left="740" w:right="60" w:firstLine="1494"/>
        <w:spacing w:after="0" w:line="249" w:lineRule="auto"/>
        <w:tabs>
          <w:tab w:leader="none" w:pos="2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property or assets as a consequence of any loss, damage, destruction or other casualty or any condemnation in respect of property or assets with a fair market value not exceeding $[***] in the aggregate (except to the extent covered by insurance), or (ii) dispositions resulting from the taking of an immaterial amount of property or assets by eminent domain proceedings;</w:t>
      </w:r>
    </w:p>
    <w:p>
      <w:pPr>
        <w:spacing w:after="0" w:line="166"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dispositions of Cash Equivalents for not less than the then fair market</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value thereof;</w:t>
      </w:r>
    </w:p>
    <w:p>
      <w:pPr>
        <w:spacing w:after="0" w:line="194" w:lineRule="exact"/>
        <w:rPr>
          <w:sz w:val="20"/>
          <w:szCs w:val="20"/>
          <w:color w:val="auto"/>
        </w:rPr>
      </w:pPr>
    </w:p>
    <w:p>
      <w:pPr>
        <w:ind w:left="740" w:right="40" w:firstLine="1494"/>
        <w:spacing w:after="0" w:line="269" w:lineRule="auto"/>
        <w:tabs>
          <w:tab w:leader="none" w:pos="25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other dispositions of properties or assets by (i) any Loan Party to any other Loan Party and (ii) any Subsidiary that is not a Loan Party to any other Subsidiary that is not a Loan Party;</w:t>
      </w:r>
    </w:p>
    <w:p>
      <w:pPr>
        <w:spacing w:after="0" w:line="159" w:lineRule="exact"/>
        <w:rPr>
          <w:rFonts w:ascii="Times New Roman" w:cs="Times New Roman" w:eastAsia="Times New Roman" w:hAnsi="Times New Roman"/>
          <w:sz w:val="20"/>
          <w:szCs w:val="20"/>
          <w:color w:val="auto"/>
        </w:rPr>
      </w:pPr>
    </w:p>
    <w:p>
      <w:pPr>
        <w:jc w:val="both"/>
        <w:ind w:left="740" w:firstLine="1494"/>
        <w:spacing w:after="0" w:line="254" w:lineRule="auto"/>
        <w:tabs>
          <w:tab w:leader="none" w:pos="25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other dispositions of properties or assets to the extent required to comply with Applicable Law so long as such properties and assets are not material to the business of the Loan Parties and their Subsidiaries, taken as a whole;</w:t>
      </w:r>
    </w:p>
    <w:p>
      <w:pPr>
        <w:spacing w:after="0" w:line="174" w:lineRule="exact"/>
        <w:rPr>
          <w:sz w:val="20"/>
          <w:szCs w:val="20"/>
          <w:color w:val="auto"/>
        </w:rPr>
      </w:pPr>
    </w:p>
    <w:p>
      <w:pPr>
        <w:jc w:val="both"/>
        <w:ind w:left="740" w:right="20" w:firstLine="1497"/>
        <w:spacing w:after="0" w:line="249" w:lineRule="auto"/>
        <w:rPr>
          <w:sz w:val="20"/>
          <w:szCs w:val="20"/>
          <w:color w:val="auto"/>
        </w:rPr>
      </w:pPr>
      <w:r>
        <w:rPr>
          <w:rFonts w:ascii="Times New Roman" w:cs="Times New Roman" w:eastAsia="Times New Roman" w:hAnsi="Times New Roman"/>
          <w:sz w:val="20"/>
          <w:szCs w:val="20"/>
          <w:color w:val="auto"/>
        </w:rPr>
        <w:t>(m)the leasing or subleasing of Real Property to any Loan Party or any Subsidiary in the ordinary course of business and (in the good faith reasonable determination of Administrative Borrower) on arms-length terms so long as any such leases or subleases do not interfere in any material respect with the ordinary conduct of the business of such Loan Party or such Subsidiary; and</w:t>
      </w:r>
    </w:p>
    <w:p>
      <w:pPr>
        <w:spacing w:after="0" w:line="166" w:lineRule="exact"/>
        <w:rPr>
          <w:sz w:val="20"/>
          <w:szCs w:val="20"/>
          <w:color w:val="auto"/>
        </w:rPr>
      </w:pPr>
    </w:p>
    <w:p>
      <w:pPr>
        <w:jc w:val="both"/>
        <w:ind w:left="740" w:right="60" w:firstLine="1494"/>
        <w:spacing w:after="0" w:line="266" w:lineRule="auto"/>
        <w:tabs>
          <w:tab w:leader="none" w:pos="2525"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or disposition of any Cannabis License, and the issuance, sale or disposition of Equity Interests of any Subsidiary that is not a Loan Party, so long as (i) no Default or Event of Default has occurred and is continuing and (ii) the Loan Parties and their Subsidiaries are in compliance with the covenants set forth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hereof after giving pro forma effect thereto, as demonstrated in a certificate of a Responsible Officer, in a form reasonably acceptable to Agent.</w:t>
      </w:r>
    </w:p>
    <w:p>
      <w:pPr>
        <w:spacing w:after="0" w:line="1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 the Obligations (excluding Obligations under Hedge Agreements permitted pursuant to clause (b)</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p>
      <w:pPr>
        <w:jc w:val="both"/>
        <w:ind w:left="740" w:right="20" w:firstLine="1494"/>
        <w:spacing w:after="0" w:line="254" w:lineRule="auto"/>
        <w:tabs>
          <w:tab w:leader="none" w:pos="25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Loan Party and any of its Subsidiaries entered into in the ordinary course of business pursuant to a Hedge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 such arrangements are not for speculative purposes, and (ii) such Indebtedness shall be unsecured, except to the extent such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2" w:name="page43"/>
    <w:bookmarkEnd w:id="42"/>
    <w:p>
      <w:pPr>
        <w:ind w:left="740"/>
        <w:spacing w:after="0" w:line="269" w:lineRule="auto"/>
        <w:rPr>
          <w:sz w:val="20"/>
          <w:szCs w:val="20"/>
          <w:color w:val="auto"/>
        </w:rPr>
      </w:pPr>
      <w:r>
        <w:rPr>
          <w:rFonts w:ascii="Times New Roman" w:cs="Times New Roman" w:eastAsia="Times New Roman" w:hAnsi="Times New Roman"/>
          <w:sz w:val="20"/>
          <w:szCs w:val="20"/>
          <w:color w:val="auto"/>
        </w:rPr>
        <w:t>Indebtedness constitutes part of the Obligations arising under or pursuant to Hedge Agreements with a Lender (or its Affiliates) that are secured under the terms hereof;</w:t>
      </w:r>
    </w:p>
    <w:p>
      <w:pPr>
        <w:spacing w:after="0" w:line="159" w:lineRule="exact"/>
        <w:rPr>
          <w:sz w:val="20"/>
          <w:szCs w:val="20"/>
          <w:color w:val="auto"/>
        </w:rPr>
      </w:pPr>
    </w:p>
    <w:p>
      <w:pPr>
        <w:jc w:val="both"/>
        <w:ind w:left="740" w:right="40" w:firstLine="1494"/>
        <w:spacing w:after="0" w:line="246" w:lineRule="auto"/>
        <w:tabs>
          <w:tab w:leader="none" w:pos="252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Bank Products (other than transactions under Hedge Agreements) entered into in the ordinary course of business (including netting services, overdraft protections and otherwise in connection with deposit accounts and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Indebtedness is extinguished within five (5) Business Days of incurrence);</w:t>
      </w:r>
    </w:p>
    <w:p>
      <w:pPr>
        <w:spacing w:after="0" w:line="184"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Loan Party and any of its Subsidiaries in respect of bid, payment and performance bonds, workers’ compensation claims, unemployment insurance, health, disability and other employee benefits or property, casualty or liability insurance, or guarantees of the foregoing types of Indebtedness, in the ordinary course of business and consistent with current practices as of the date hereof;</w:t>
      </w:r>
    </w:p>
    <w:p>
      <w:pPr>
        <w:spacing w:after="0" w:line="17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Property Financing Debt and unsecured guarantees in respect thereof;</w:t>
      </w:r>
    </w:p>
    <w:p>
      <w:pPr>
        <w:spacing w:after="0" w:line="202"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Indebtedness set forth in </w:t>
      </w:r>
      <w:r>
        <w:rPr>
          <w:rFonts w:ascii="Times New Roman" w:cs="Times New Roman" w:eastAsia="Times New Roman" w:hAnsi="Times New Roman"/>
          <w:sz w:val="20"/>
          <w:szCs w:val="20"/>
          <w:u w:val="single" w:color="auto"/>
          <w:color w:val="auto"/>
        </w:rPr>
        <w:t>Schedule 8.1</w:t>
      </w:r>
      <w:r>
        <w:rPr>
          <w:rFonts w:ascii="Times New Roman" w:cs="Times New Roman" w:eastAsia="Times New Roman" w:hAnsi="Times New Roman"/>
          <w:sz w:val="20"/>
          <w:szCs w:val="20"/>
          <w:color w:val="auto"/>
        </w:rPr>
        <w:t xml:space="preserve"> which is not otherwise permitted by the other clauses of this</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w:t>
      </w:r>
    </w:p>
    <w:p>
      <w:pPr>
        <w:spacing w:after="0" w:line="193"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debt incurred in the ordinary course of business and (unless subject to a good faith dispute) not past due for more than sixty (60) days;</w:t>
      </w:r>
    </w:p>
    <w:p>
      <w:pPr>
        <w:spacing w:after="0" w:line="15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intercompany loans among the Loan Parties and their wholly-owned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Subsidiaries;</w:t>
      </w:r>
    </w:p>
    <w:p>
      <w:pPr>
        <w:spacing w:after="0" w:line="194" w:lineRule="exact"/>
        <w:rPr>
          <w:sz w:val="20"/>
          <w:szCs w:val="20"/>
          <w:color w:val="auto"/>
        </w:rPr>
      </w:pPr>
    </w:p>
    <w:p>
      <w:pPr>
        <w:jc w:val="both"/>
        <w:ind w:left="740" w:right="60" w:firstLine="1494"/>
        <w:spacing w:after="0" w:line="246" w:lineRule="auto"/>
        <w:tabs>
          <w:tab w:leader="none" w:pos="252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incurred by any Loan Party or any of their Subsidiaries to the extent of customary indemnification, working capital adjustments or adjustment of purchase price or similar obligations (excluding “earn-outs”, deferred purchase price or similar obligations in connection with acquisitions), or guaranties securing the performance of any Subsidiary of Administrative Borrower, in each case pursuant to any agreement entered into in connection with dispositions or acquisitions of any business or assets (including Equity Interests of any Subsidiary);</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with respect to Capital Lease Obligations and Indebtedness incurred solely for the purpose of financing all or any part of the purchase price or cost of acquisition, repair, construction or improvement of any equipment, real property or other fixed assets in the ordinary course of business of any Loan Party or any of their Subsidiaries in an aggregate amount at any time outstanding not to exceed $[***]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such Indebtedness is issued and any Liens securing such Indebtedness are created within 180 days after the acquisition, construction, lease or improvement of the asset financed and (ii) any such Indebtedness shall be secured only by the asset acquired, constructed, leased or improved in connection with the incurrence of such Indebtedness or proceeds thereof and related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individual purchase money financings provided by a lender or group of lenders may be cross collateralized to other purchase money financings provided solely by such lender or group;</w:t>
      </w:r>
    </w:p>
    <w:p>
      <w:pPr>
        <w:spacing w:after="0" w:line="172" w:lineRule="exact"/>
        <w:rPr>
          <w:rFonts w:ascii="Times New Roman" w:cs="Times New Roman" w:eastAsia="Times New Roman" w:hAnsi="Times New Roman"/>
          <w:sz w:val="20"/>
          <w:szCs w:val="20"/>
          <w:color w:val="auto"/>
        </w:rPr>
      </w:pPr>
    </w:p>
    <w:p>
      <w:pPr>
        <w:jc w:val="both"/>
        <w:ind w:left="740" w:right="20" w:firstLine="1494"/>
        <w:spacing w:after="0" w:line="246" w:lineRule="auto"/>
        <w:tabs>
          <w:tab w:leader="none" w:pos="252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seller notes, “earn-outs”, deferred purchase price or similar obligations) incurred or assumed in connection with any Permitted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no Default or Event of Default shall have occurred and be continuing at the time of such incurrence, or result therefrom, (ii) the Loan Parties and their Subsidiaries shall be in compliance with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after giving pro forma effect thereto (and to the use of proceeds thereof), as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3" w:name="page44"/>
    <w:bookmarkEnd w:id="43"/>
    <w:p>
      <w:pPr>
        <w:jc w:val="both"/>
        <w:ind w:left="740" w:right="40"/>
        <w:spacing w:after="0" w:line="259" w:lineRule="auto"/>
        <w:rPr>
          <w:sz w:val="20"/>
          <w:szCs w:val="20"/>
          <w:color w:val="auto"/>
        </w:rPr>
      </w:pPr>
      <w:r>
        <w:rPr>
          <w:rFonts w:ascii="Times New Roman" w:cs="Times New Roman" w:eastAsia="Times New Roman" w:hAnsi="Times New Roman"/>
          <w:sz w:val="19"/>
          <w:szCs w:val="19"/>
          <w:color w:val="auto"/>
        </w:rPr>
        <w:t>demonstrated in a certificate of a Responsible Officer in a form reasonably acceptable to Agent, (iii) the aggregate principal amount of all such Indebtedness incurred or assumed during any fiscal year shall not exceed $[***], (iv) to the extent such Indebtedness is assumed, such Indebtedness was not incurred in contemplation of such Permitted Investment, (iii) to the extent such Indebtedness constitutes seller notes, “earn-outs”, deferred purchase price or similar obligations, such Indebtedness shall be unsecured, (iv) to the extent such Indebtedness is incurred (other than seller notes, “earn-outs”, deferred purchase price or similar obligations), such Indebtedness shall not have a final maturity date earlier than, or have a weighted average life to maturity shorter than, the maturity date and weighted average life to maturity then-applicable to the Loans;</w:t>
      </w:r>
    </w:p>
    <w:p>
      <w:pPr>
        <w:spacing w:after="0" w:line="172" w:lineRule="exact"/>
        <w:rPr>
          <w:sz w:val="20"/>
          <w:szCs w:val="20"/>
          <w:color w:val="auto"/>
        </w:rPr>
      </w:pPr>
    </w:p>
    <w:p>
      <w:pPr>
        <w:ind w:left="2980" w:hanging="746"/>
        <w:spacing w:after="0"/>
        <w:tabs>
          <w:tab w:leader="none" w:pos="29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Attributable Debt in respect of Sale and 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p>
    <w:p>
      <w:pPr>
        <w:spacing w:after="0" w:line="21" w:lineRule="exact"/>
        <w:rPr>
          <w:rFonts w:ascii="Times New Roman" w:cs="Times New Roman" w:eastAsia="Times New Roman" w:hAnsi="Times New Roman"/>
          <w:sz w:val="20"/>
          <w:szCs w:val="20"/>
          <w:color w:val="auto"/>
        </w:rPr>
      </w:pPr>
    </w:p>
    <w:p>
      <w:pPr>
        <w:jc w:val="both"/>
        <w:ind w:left="740" w:right="20" w:hanging="3"/>
        <w:spacing w:after="0"/>
        <w:tabs>
          <w:tab w:leader="none" w:pos="103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Loan Parties and their Subsidiaries are in compliance with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after giving pro forma effect thereto (and to the use of proceeds thereof), (B) in the good faith determination of Administrative Borrower based on assumptions and forecasted results of operations believed by it to be reasonable, the Loan Parties and their Subsidiaries will be in compliance with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at such time as they are required to be tested throughout the life of the Loans, and (C) no Default or Event of Default shall have occurred and be continuing, or would be caused by such Sale and Leaseback Transaction and (y) Administrative Borrower shall have delivered to Agent a certificate of the chief financial officer of Administrative Borrower as to the matters set forth in clause (x), including calculations demonstrating pro forma compliance with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w:t>
      </w:r>
    </w:p>
    <w:p>
      <w:pPr>
        <w:spacing w:after="0" w:line="177" w:lineRule="exact"/>
        <w:rPr>
          <w:sz w:val="20"/>
          <w:szCs w:val="20"/>
          <w:color w:val="auto"/>
        </w:rPr>
      </w:pPr>
    </w:p>
    <w:p>
      <w:pPr>
        <w:ind w:left="740" w:right="40" w:firstLine="1498"/>
        <w:spacing w:after="0" w:line="269" w:lineRule="auto"/>
        <w:rPr>
          <w:sz w:val="20"/>
          <w:szCs w:val="20"/>
          <w:color w:val="auto"/>
        </w:rPr>
      </w:pPr>
      <w:r>
        <w:rPr>
          <w:rFonts w:ascii="Times New Roman" w:cs="Times New Roman" w:eastAsia="Times New Roman" w:hAnsi="Times New Roman"/>
          <w:sz w:val="20"/>
          <w:szCs w:val="20"/>
          <w:color w:val="auto"/>
        </w:rPr>
        <w:t>(m)Indebtedness of any Loan Party or any Subsidiary consisting of (i) the financing of insurance premiums or (ii) take or pay obligations contained in supply arrangements, in each case, in the ordinary course of business;</w:t>
      </w:r>
    </w:p>
    <w:p>
      <w:pPr>
        <w:spacing w:after="0" w:line="159" w:lineRule="exact"/>
        <w:rPr>
          <w:sz w:val="20"/>
          <w:szCs w:val="20"/>
          <w:color w:val="auto"/>
        </w:rPr>
      </w:pPr>
    </w:p>
    <w:p>
      <w:pPr>
        <w:ind w:left="740" w:right="60" w:firstLine="1494"/>
        <w:spacing w:after="0" w:line="269" w:lineRule="auto"/>
        <w:tabs>
          <w:tab w:leader="none" w:pos="2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or any Subsidiary consisting of surety and appeal bonds in respect of any litigation, arbitration or other dispute at any time outstanding not to exceed $[***];</w:t>
      </w:r>
    </w:p>
    <w:p>
      <w:pPr>
        <w:spacing w:after="0" w:line="159"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any Loan Party or any of its Subsidiaries in an aggregate principal amount at any time outstanding not to exceed $[***]; and</w:t>
      </w:r>
    </w:p>
    <w:p>
      <w:pPr>
        <w:spacing w:after="0" w:line="159"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any refinancing Indebtedness incurred in respect thereof,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refinancing, refunding or replacing any Indebtedness permitted under clauses (b) through (o) of this definition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xml:space="preserve">”) and any subsequent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740" w:firstLine="2243"/>
        <w:spacing w:after="0" w:line="245" w:lineRule="auto"/>
        <w:tabs>
          <w:tab w:leader="none" w:pos="353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and (B) an amount equal to any existing commitments unutilized thereunder;</w:t>
      </w:r>
    </w:p>
    <w:p>
      <w:pPr>
        <w:spacing w:after="0" w:line="184" w:lineRule="exact"/>
        <w:rPr>
          <w:rFonts w:ascii="Times New Roman" w:cs="Times New Roman" w:eastAsia="Times New Roman" w:hAnsi="Times New Roman"/>
          <w:sz w:val="20"/>
          <w:szCs w:val="20"/>
          <w:color w:val="auto"/>
        </w:rPr>
      </w:pPr>
    </w:p>
    <w:p>
      <w:pPr>
        <w:jc w:val="both"/>
        <w:ind w:left="740" w:right="60" w:firstLine="2243"/>
        <w:spacing w:after="0" w:line="254" w:lineRule="auto"/>
        <w:tabs>
          <w:tab w:leader="none" w:pos="353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Refinanced Indebtedness was required to have maturity date no earlier than, or a weighted average life to maturity shorter than, the maturity date and weighted average life to maturity then applicable to the Loans, then the Refinancing Indebtedness in respect thereof shall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4" w:name="page45"/>
    <w:bookmarkEnd w:id="44"/>
    <w:p>
      <w:pPr>
        <w:ind w:left="740" w:right="200"/>
        <w:spacing w:after="0" w:line="269" w:lineRule="auto"/>
        <w:rPr>
          <w:sz w:val="20"/>
          <w:szCs w:val="20"/>
          <w:color w:val="auto"/>
        </w:rPr>
      </w:pPr>
      <w:r>
        <w:rPr>
          <w:rFonts w:ascii="Times New Roman" w:cs="Times New Roman" w:eastAsia="Times New Roman" w:hAnsi="Times New Roman"/>
          <w:sz w:val="20"/>
          <w:szCs w:val="20"/>
          <w:color w:val="auto"/>
        </w:rPr>
        <w:t>not mature earlier than, or have a shorter weighted average life to maturity than, the corresponding Refinanced Indebtedness; and</w:t>
      </w:r>
    </w:p>
    <w:p>
      <w:pPr>
        <w:spacing w:after="0" w:line="159" w:lineRule="exact"/>
        <w:rPr>
          <w:sz w:val="20"/>
          <w:szCs w:val="20"/>
          <w:color w:val="auto"/>
        </w:rPr>
      </w:pPr>
    </w:p>
    <w:p>
      <w:pPr>
        <w:jc w:val="both"/>
        <w:ind w:left="740" w:right="40" w:firstLine="2243"/>
        <w:spacing w:after="0" w:line="249" w:lineRule="auto"/>
        <w:tabs>
          <w:tab w:leader="none" w:pos="353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if such Refinanced Indebtedness is secured, no Refinancing Indebtedness incurred in respect thereof shall be secured by Liens on any assets not constituting collateral in respect of such Refinanced Indebtedness (it being understood that such Refinancing Indebtedness may be unsecured), and (y) no Refinancing Indebtedness shall have obligors that were not obligors in respect of the corresponding Refinanced Debt.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 each of the following:</w:t>
      </w:r>
    </w:p>
    <w:p>
      <w:pPr>
        <w:spacing w:after="0" w:line="216" w:lineRule="exact"/>
        <w:rPr>
          <w:sz w:val="20"/>
          <w:szCs w:val="20"/>
          <w:color w:val="auto"/>
        </w:rPr>
      </w:pPr>
    </w:p>
    <w:p>
      <w:pPr>
        <w:ind w:left="740" w:right="60" w:firstLine="1494"/>
        <w:spacing w:after="0" w:line="269" w:lineRule="auto"/>
        <w:tabs>
          <w:tab w:leader="none" w:pos="25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accounts receivables owing to a Loan Party if created or acquired in the ordinary course of business and payable or dischargeable in accordance with customary terms;</w:t>
      </w:r>
    </w:p>
    <w:p>
      <w:pPr>
        <w:spacing w:after="0" w:line="15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endorsement of instruments for collection or deposit in the ordinary course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business;</w:t>
      </w:r>
    </w:p>
    <w:p>
      <w:pPr>
        <w:spacing w:after="0" w:line="194" w:lineRule="exact"/>
        <w:rPr>
          <w:sz w:val="20"/>
          <w:szCs w:val="20"/>
          <w:color w:val="auto"/>
        </w:rPr>
      </w:pPr>
    </w:p>
    <w:p>
      <w:pPr>
        <w:ind w:left="2980" w:hanging="746"/>
        <w:spacing w:after="0"/>
        <w:tabs>
          <w:tab w:leader="none" w:pos="29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or Cash Equivalents;</w:t>
      </w:r>
    </w:p>
    <w:p>
      <w:pPr>
        <w:spacing w:after="0" w:line="202"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for leases, utilities, worker’s compensation and similar matters in the ordinary course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of business;</w:t>
      </w:r>
    </w:p>
    <w:p>
      <w:pPr>
        <w:spacing w:after="0" w:line="194" w:lineRule="exact"/>
        <w:rPr>
          <w:sz w:val="20"/>
          <w:szCs w:val="20"/>
          <w:color w:val="auto"/>
        </w:rPr>
      </w:pPr>
    </w:p>
    <w:p>
      <w:pPr>
        <w:ind w:left="2520" w:hanging="286"/>
        <w:spacing w:after="0"/>
        <w:tabs>
          <w:tab w:leader="none" w:pos="25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Hedge Agreements permitted under clause (b) of the definition of Permitted</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hereof;</w:t>
      </w:r>
    </w:p>
    <w:p>
      <w:pPr>
        <w:spacing w:after="0" w:line="193"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travel, commission and similar advances to cover matters that in good faith are expected at the time of such advances to be treated as expenses for accounting purposes in accordance with GAAP and that are made in the ordinary course of business consistent with current practices as of the date hereof;</w:t>
      </w:r>
    </w:p>
    <w:p>
      <w:pPr>
        <w:spacing w:after="0" w:line="174"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by a Loan Party or any of its Subsidiaries to directors, officers and employees of GTI, a Loan Party or a Subsidiary in the ordinary course of business for bona fide business purposes (including, without limitation, in connection with the purchase of Equity Interests by such directors, officers and employees) not to exceed $500,000 at any time outstanding;</w:t>
      </w:r>
    </w:p>
    <w:p>
      <w:pPr>
        <w:spacing w:after="0" w:line="179" w:lineRule="exact"/>
        <w:rPr>
          <w:rFonts w:ascii="Times New Roman" w:cs="Times New Roman" w:eastAsia="Times New Roman" w:hAnsi="Times New Roman"/>
          <w:sz w:val="20"/>
          <w:szCs w:val="20"/>
          <w:color w:val="auto"/>
        </w:rPr>
      </w:pPr>
    </w:p>
    <w:p>
      <w:pPr>
        <w:jc w:val="both"/>
        <w:ind w:left="740" w:firstLine="1494"/>
        <w:spacing w:after="0" w:line="244" w:lineRule="auto"/>
        <w:tabs>
          <w:tab w:leader="none" w:pos="252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or received by a Loan Party or any of its Subsidiaries (i) from any Person (or the representative of such Person) in respect of Indebtedness or accounts receivable of such Person owing to such Loan Party or such Subsidiary in connection with the insolvency, bankruptcy, receivership or reorganization of such Person or a composition or readjustment of the debts or accounts receivable of such Person, (ii) in satisfaction of judgments against other Persons, (iii) as a result of a foreclosure by such Loan Party or Subsidiary with respect to any secured Investment in default or</w:t>
      </w:r>
    </w:p>
    <w:p>
      <w:pPr>
        <w:jc w:val="both"/>
        <w:ind w:left="740" w:right="20" w:hanging="3"/>
        <w:spacing w:after="0" w:line="242" w:lineRule="auto"/>
        <w:tabs>
          <w:tab w:leader="none" w:pos="107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settlement, compromise or resolution of litigation, arbitration or other disputes, so long as, in each case, if any such Investment is held by a Loan Party and constitutes Collateral, Agent is granted a first priority security interest in such Investment, which Lien is perfected contemporaneously with the acquisition of such Investment;</w:t>
      </w:r>
    </w:p>
    <w:p>
      <w:pPr>
        <w:spacing w:after="0" w:line="173"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of account debtors to a Loan Party or any of its Subsidiaries arising from accounts which are</w:t>
      </w:r>
    </w:p>
    <w:p>
      <w:pPr>
        <w:spacing w:after="0" w:line="33" w:lineRule="exact"/>
        <w:rPr>
          <w:rFonts w:ascii="Times New Roman" w:cs="Times New Roman" w:eastAsia="Times New Roman" w:hAnsi="Times New Roman"/>
          <w:sz w:val="19"/>
          <w:szCs w:val="19"/>
          <w:color w:val="auto"/>
        </w:rPr>
      </w:pPr>
    </w:p>
    <w:p>
      <w:pPr>
        <w:ind w:left="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past due;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5" w:name="page46"/>
    <w:bookmarkEnd w:id="45"/>
    <w:p>
      <w:pPr>
        <w:ind w:left="2240"/>
        <w:spacing w:after="0"/>
        <w:rPr>
          <w:sz w:val="20"/>
          <w:szCs w:val="20"/>
          <w:color w:val="auto"/>
        </w:rPr>
      </w:pPr>
      <w:r>
        <w:rPr>
          <w:rFonts w:ascii="Times New Roman" w:cs="Times New Roman" w:eastAsia="Times New Roman" w:hAnsi="Times New Roman"/>
          <w:sz w:val="20"/>
          <w:szCs w:val="20"/>
          <w:color w:val="auto"/>
        </w:rPr>
        <w:t>(j) Investments by a Loan Party or any of its Subsidiaries in another Loan Party or any wholly-owned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Subsidiary;</w:t>
      </w:r>
    </w:p>
    <w:p>
      <w:pPr>
        <w:spacing w:after="0" w:line="194" w:lineRule="exact"/>
        <w:rPr>
          <w:sz w:val="20"/>
          <w:szCs w:val="20"/>
          <w:color w:val="auto"/>
        </w:rPr>
      </w:pPr>
    </w:p>
    <w:p>
      <w:pPr>
        <w:jc w:val="both"/>
        <w:ind w:left="740" w:right="20" w:firstLine="1494"/>
        <w:spacing w:after="0" w:line="241" w:lineRule="auto"/>
        <w:tabs>
          <w:tab w:leader="none" w:pos="25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(including acquisitions) after the date hereof by a Loan Party or any of its Subsidiaries in or to any Person (including, without limitation, a joint venture, partnership or other similar arrangement, whether in corporate, partnership or other legal form) not otherwise described in the provisions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as to any such Investment (unless financed entirely by the issuance of Equity Interests of GTI), each of the following conditions is satisfied: (i) as of the date of such Investment and after giving effect to the Investment, no Default or Event of Default shall have occurred and be continuing or result therefrom, (ii) the Investment shall be in or to a Person that engages in a line of business substantially similar to, or ancillary or related to, or used or useful to, the business that Loan Parties and their Subsidiaries are engaged in on the date hereof, (iii) for any such Investments (or series of related investments) with aggregate consideration in excess of $[***] and to the extent such Investments occur after the date that is fifteen (15) months prior to the Maturity Date, such Investment is anticipated to be neutral or accretive to the consolidated net income of the Loan Parties and their Subsidiaries within fifteen (15) months after the date of such acquisition, based upon pro forma projections by the Loan Parties giving effect to such Investment as of the effective date thereof, and (iv) the Loan Parties and their Subsidiaries are in compliance with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after giving pro forma effect thereto;</w:t>
      </w:r>
    </w:p>
    <w:p>
      <w:pPr>
        <w:spacing w:after="0" w:line="183"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(i) trade credit, deposits, prepayments and other credits to suppliers, (ii) purchases of inventory, supplies and materials and (iii) the non-exclusive licensing or contribution of Intellectual Property pursuant to joint marketing arrangements with other Persons, in each case described in this clause (l), in the ordinary course of business;</w:t>
      </w:r>
    </w:p>
    <w:p>
      <w:pPr>
        <w:spacing w:after="0" w:line="180" w:lineRule="exact"/>
        <w:rPr>
          <w:sz w:val="20"/>
          <w:szCs w:val="20"/>
          <w:color w:val="auto"/>
        </w:rPr>
      </w:pPr>
    </w:p>
    <w:p>
      <w:pPr>
        <w:jc w:val="both"/>
        <w:ind w:left="740" w:right="60" w:firstLine="1497"/>
        <w:spacing w:after="0" w:line="245" w:lineRule="auto"/>
        <w:rPr>
          <w:sz w:val="20"/>
          <w:szCs w:val="20"/>
          <w:color w:val="auto"/>
        </w:rPr>
      </w:pPr>
      <w:r>
        <w:rPr>
          <w:rFonts w:ascii="Times New Roman" w:cs="Times New Roman" w:eastAsia="Times New Roman" w:hAnsi="Times New Roman"/>
          <w:sz w:val="20"/>
          <w:szCs w:val="20"/>
          <w:color w:val="auto"/>
        </w:rPr>
        <w:t>(m)to the extent constituting Investments, capital expenditures in accordance with GAAP (other than any expenditure that involves the acquisition, whether by purchase, merger or otherwise, of all or substantially all of the assets of, all of the Equity Interests of, or a business line or unit or a division of, any Person but including purchases and other acquisitions of inventory, materials, equipment and tangible property in the ordinary course of business and guarantees of performance of suppliers, licensees or customers in the ordinary course of business and not related to Indebtedness or constituting guaranties);</w:t>
      </w:r>
    </w:p>
    <w:p>
      <w:pPr>
        <w:spacing w:after="0" w:line="171" w:lineRule="exact"/>
        <w:rPr>
          <w:sz w:val="20"/>
          <w:szCs w:val="20"/>
          <w:color w:val="auto"/>
        </w:rPr>
      </w:pPr>
    </w:p>
    <w:p>
      <w:pPr>
        <w:jc w:val="both"/>
        <w:ind w:left="740" w:right="40" w:firstLine="1494"/>
        <w:spacing w:after="0" w:line="254" w:lineRule="auto"/>
        <w:tabs>
          <w:tab w:leader="none" w:pos="25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of any Person that becomes a Subsidiary on or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such Investments exist at the time such Person is acquired, and (ii) such Investments are not made in anticipation or contemplation of such Person becoming a Subsidiary; and</w:t>
      </w:r>
    </w:p>
    <w:p>
      <w:pPr>
        <w:spacing w:after="0" w:line="174" w:lineRule="exact"/>
        <w:rPr>
          <w:rFonts w:ascii="Times New Roman" w:cs="Times New Roman" w:eastAsia="Times New Roman" w:hAnsi="Times New Roman"/>
          <w:sz w:val="20"/>
          <w:szCs w:val="20"/>
          <w:color w:val="auto"/>
        </w:rPr>
      </w:pPr>
    </w:p>
    <w:p>
      <w:pPr>
        <w:ind w:left="740" w:right="140" w:firstLine="1494"/>
        <w:spacing w:after="0" w:line="250" w:lineRule="auto"/>
        <w:tabs>
          <w:tab w:leader="none" w:pos="25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(excluding acquisitions) acquired after the date hereby hereof by a Loan Party or any of its Subsidiaries in or to any Person in an aggregate amount not exceeding</w:t>
      </w:r>
    </w:p>
    <w:p>
      <w:pPr>
        <w:spacing w:after="0" w:line="1" w:lineRule="exact"/>
        <w:rPr>
          <w:rFonts w:ascii="Times New Roman" w:cs="Times New Roman" w:eastAsia="Times New Roman" w:hAnsi="Times New Roman"/>
          <w:sz w:val="20"/>
          <w:szCs w:val="20"/>
          <w:color w:val="auto"/>
        </w:rPr>
      </w:pPr>
    </w:p>
    <w:p>
      <w:pPr>
        <w:ind w:left="1480" w:right="6000" w:hanging="615"/>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at any time outstanding. “</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ind w:left="740" w:right="480" w:firstLine="1494"/>
        <w:spacing w:after="0" w:line="246" w:lineRule="auto"/>
        <w:tabs>
          <w:tab w:leader="none" w:pos="25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interests and Liens of Agent and the rights of setoff of Agent and Lenders provided for herein or under Applicable Law;</w:t>
      </w:r>
    </w:p>
    <w:p>
      <w:pPr>
        <w:spacing w:after="0" w:line="181"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payment of taxes, assessments or other governmental charges or levies either not yet overdue or the validity of which are being contested in good faith by appropriate proceedings diligently pursued and available to a Loan Party or any Subsidiary, which proceedings (or orders entered in connection with such proceedings) do not involve any material risk of the sale or loss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6" w:name="page47"/>
    <w:bookmarkEnd w:id="46"/>
    <w:p>
      <w:pPr>
        <w:ind w:left="740"/>
        <w:spacing w:after="0"/>
        <w:rPr>
          <w:sz w:val="20"/>
          <w:szCs w:val="20"/>
          <w:color w:val="auto"/>
        </w:rPr>
      </w:pPr>
      <w:r>
        <w:rPr>
          <w:rFonts w:ascii="Times New Roman" w:cs="Times New Roman" w:eastAsia="Times New Roman" w:hAnsi="Times New Roman"/>
          <w:sz w:val="20"/>
          <w:szCs w:val="20"/>
          <w:color w:val="auto"/>
        </w:rPr>
        <w:t>any of the Collateral and with respect to which adequate reserves have been set aside on its books in accordance with GAAP;</w:t>
      </w:r>
    </w:p>
    <w:p>
      <w:pPr>
        <w:spacing w:after="0" w:line="216" w:lineRule="exact"/>
        <w:rPr>
          <w:sz w:val="20"/>
          <w:szCs w:val="20"/>
          <w:color w:val="auto"/>
        </w:rPr>
      </w:pPr>
    </w:p>
    <w:p>
      <w:pPr>
        <w:jc w:val="both"/>
        <w:ind w:left="740" w:right="60" w:firstLine="1494"/>
        <w:spacing w:after="0" w:line="242"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non-consensual statutory Liens (other than Liens arising under ERISA or securing the payment of taxes) arising in the ordinary course of a Loan Party’s and its Subsidiaries’ business that do not secure Indebtedness for borrowed money, such as carriers’, warehousemen’s, materialmen’s, landlords’, workmen’s suppliers’, repairmen’s and mechanics’ Liens, to the extent: (i) such Liens do not in the aggregate materially detract from the value of the property of a Loan Party and do not materially impair the use thereof in the operation of a Loan Party and its Subsidiaries, and (ii) such Liens secure Indebtedness which is (x) not overdue by more than thirty (30) days, (y) fully insured and being defended at the sole cost and expense and at the sole risk of the insurer or (z) being contested in good faith by appropriate proceedings diligently pursued and available to a Loan Party or any of its Subsidiaries, in each case prior to the commencement of foreclosure or other similar proceedings, which proceedings (or orders entered in connection with such proceeding) do not involve any material risk of the sale or loss of any of the Collateral and with respect to which adequate reserves have been set aside on its books in accordance with GAAP;</w:t>
      </w:r>
    </w:p>
    <w:p>
      <w:pPr>
        <w:spacing w:after="0" w:line="176"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restrictions, easements, licenses, covenants and other restrictions affecting the use of Real Property which do not interfere in any material respect with the use of such Real Property or ordinary conduct of the business of a Loan Party or any of its Subsidiaries as presently conducted thereon or materially impair the value or marketability of the Real Property which may be subject thereto;</w:t>
      </w:r>
    </w:p>
    <w:p>
      <w:pPr>
        <w:spacing w:after="0" w:line="179"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of cash by a Loan Party or any of its Subsidiaries after the date hereof in the ordinary course of business in connection with workers’ compensation, unemployment insurance and other types of social security benefits;</w:t>
      </w:r>
    </w:p>
    <w:p>
      <w:pPr>
        <w:spacing w:after="0" w:line="174"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of cash by a Loan Party or any of its Subsidiaries after the date hereof to secure the performance of tenders, bids, leases, trade contracts (other than for the repayment of Indebtedness), surety and appeal bonds, statutory obligations and other similar obligations in each case in the ordinary course of business;</w:t>
      </w:r>
    </w:p>
    <w:p>
      <w:pPr>
        <w:spacing w:after="0" w:line="174" w:lineRule="exact"/>
        <w:rPr>
          <w:rFonts w:ascii="Times New Roman" w:cs="Times New Roman" w:eastAsia="Times New Roman" w:hAnsi="Times New Roman"/>
          <w:sz w:val="20"/>
          <w:szCs w:val="20"/>
          <w:color w:val="auto"/>
        </w:rPr>
      </w:pPr>
    </w:p>
    <w:p>
      <w:pPr>
        <w:jc w:val="both"/>
        <w:ind w:left="740" w:right="40" w:firstLine="1494"/>
        <w:spacing w:after="0" w:line="246"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(i) operating leases and the precautionary UCC financing statement filings in respect thereof and (ii) equipment or other materials which are not owned by a Loan Party or any of its Subsidiaries located on the premises of a Loan Party or any of its Subsidiaries (but not in connection with, or as part of, the financing thereof) from time to time in the ordinary course of business and consistent with current practices of such Loan Party or such Subsidiary and the precautionary UCC financing statement filings in respect thereof;</w:t>
      </w:r>
    </w:p>
    <w:p>
      <w:pPr>
        <w:spacing w:after="0" w:line="171"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or common law Liens or rights of setoff of depository banks with respect to funds of a Loan Party or any of its Subsidiaries at such banks to secure fees and charges in connection with returned items or the standard fees and charges of such banks in connection with the deposit accounts maintained by a Loan Party or any of its Subsidiaries at such banks (but not any other Indebtedness or obligations);</w:t>
      </w:r>
    </w:p>
    <w:p>
      <w:pPr>
        <w:spacing w:after="0" w:line="179" w:lineRule="exact"/>
        <w:rPr>
          <w:rFonts w:ascii="Times New Roman" w:cs="Times New Roman" w:eastAsia="Times New Roman" w:hAnsi="Times New Roman"/>
          <w:sz w:val="20"/>
          <w:szCs w:val="20"/>
          <w:color w:val="auto"/>
        </w:rPr>
      </w:pPr>
    </w:p>
    <w:p>
      <w:pPr>
        <w:jc w:val="both"/>
        <w:ind w:left="740" w:right="60" w:firstLine="1494"/>
        <w:spacing w:after="0" w:line="247" w:lineRule="auto"/>
        <w:tabs>
          <w:tab w:leader="none" w:pos="252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judgments and other similar Liens arising in connection with court proceedings that do not constitute an Event of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 such Liens are being contested in good faith and by appropriate proceedings diligently pursued, (ii) adequate reserves or other appropriate provision, if any, as are required by GAAP have been made therefor and</w:t>
      </w:r>
    </w:p>
    <w:p>
      <w:pPr>
        <w:ind w:left="1080" w:hanging="343"/>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stay of enforcement of any such Liens is in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7" w:name="page48"/>
    <w:bookmarkEnd w:id="47"/>
    <w:p>
      <w:pPr>
        <w:jc w:val="both"/>
        <w:ind w:left="740" w:right="60" w:firstLine="1494"/>
        <w:spacing w:after="0" w:line="254" w:lineRule="auto"/>
        <w:tabs>
          <w:tab w:leader="none" w:pos="252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granted by a Loan Party or any of its Subsidiaries in the ordinary course of business so long as any such leases or subleases do not interfere in any material respect with the ordinary conduct of the business of such Loan Party or such Subsidiary;</w:t>
      </w:r>
    </w:p>
    <w:p>
      <w:pPr>
        <w:spacing w:after="0" w:line="174"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goods in favor of customs and revenue authorities arising as a matter of law to secure custom duties in connection with the importation of such goods;</w:t>
      </w:r>
    </w:p>
    <w:p>
      <w:pPr>
        <w:spacing w:after="0" w:line="159" w:lineRule="exact"/>
        <w:rPr>
          <w:rFonts w:ascii="Times New Roman" w:cs="Times New Roman" w:eastAsia="Times New Roman" w:hAnsi="Times New Roman"/>
          <w:sz w:val="20"/>
          <w:szCs w:val="20"/>
          <w:color w:val="auto"/>
        </w:rPr>
      </w:pPr>
    </w:p>
    <w:p>
      <w:pPr>
        <w:ind w:left="740" w:right="20" w:firstLine="1494"/>
        <w:spacing w:after="0" w:line="269" w:lineRule="auto"/>
        <w:tabs>
          <w:tab w:leader="none" w:pos="252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security interests and Liens set forth on </w:t>
      </w:r>
      <w:r>
        <w:rPr>
          <w:rFonts w:ascii="Times New Roman" w:cs="Times New Roman" w:eastAsia="Times New Roman" w:hAnsi="Times New Roman"/>
          <w:sz w:val="20"/>
          <w:szCs w:val="20"/>
          <w:u w:val="single" w:color="auto"/>
          <w:color w:val="auto"/>
        </w:rPr>
        <w:t>Schedule 8.2</w:t>
      </w:r>
      <w:r>
        <w:rPr>
          <w:rFonts w:ascii="Times New Roman" w:cs="Times New Roman" w:eastAsia="Times New Roman" w:hAnsi="Times New Roman"/>
          <w:sz w:val="20"/>
          <w:szCs w:val="20"/>
          <w:color w:val="auto"/>
        </w:rPr>
        <w:t xml:space="preserve"> which are not otherwise permitted under the other clauses of this definition, and any modification, replacement, refinancing, renewal or extension thereof;</w:t>
      </w:r>
    </w:p>
    <w:p>
      <w:pPr>
        <w:spacing w:after="0" w:line="159" w:lineRule="exact"/>
        <w:rPr>
          <w:sz w:val="20"/>
          <w:szCs w:val="20"/>
          <w:color w:val="auto"/>
        </w:rPr>
      </w:pPr>
    </w:p>
    <w:p>
      <w:pPr>
        <w:jc w:val="both"/>
        <w:ind w:left="740" w:right="60" w:firstLine="1497"/>
        <w:spacing w:after="0" w:line="254" w:lineRule="auto"/>
        <w:rPr>
          <w:sz w:val="20"/>
          <w:szCs w:val="20"/>
          <w:color w:val="auto"/>
        </w:rPr>
      </w:pPr>
      <w:r>
        <w:rPr>
          <w:rFonts w:ascii="Times New Roman" w:cs="Times New Roman" w:eastAsia="Times New Roman" w:hAnsi="Times New Roman"/>
          <w:sz w:val="20"/>
          <w:szCs w:val="20"/>
          <w:color w:val="auto"/>
        </w:rPr>
        <w:t>(m)Liens that do not secure Indebtedness and are incurred solely to the extent required for compliance by a Loan Party or any of its Subsidiaries with any Canadian Cannabis Law, Federal Cannabis Law or State Cannabis Law, so long as such Liens do not materially interfere with Agent’s Liens and rights under the Loan Documents;</w:t>
      </w:r>
    </w:p>
    <w:p>
      <w:pPr>
        <w:spacing w:after="0" w:line="174" w:lineRule="exact"/>
        <w:rPr>
          <w:sz w:val="20"/>
          <w:szCs w:val="20"/>
          <w:color w:val="auto"/>
        </w:rPr>
      </w:pPr>
    </w:p>
    <w:p>
      <w:pPr>
        <w:jc w:val="both"/>
        <w:ind w:left="740" w:right="40" w:firstLine="1494"/>
        <w:spacing w:after="0" w:line="254"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non-consensual Liens so long as such Liens are terminated and released within ten (10) Business Days of the first to occur of (i) any of the Loan Parties becoming aware of such Lien and (ii) the filing of a financing statement, or similar document or instrument with a public recording office related to such Lien;</w:t>
      </w:r>
    </w:p>
    <w:p>
      <w:pPr>
        <w:spacing w:after="0" w:line="160"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collateralization of any letters of credit in an amount not to exceed, based on the face amount of each such letter of credit, 105%;</w:t>
      </w:r>
    </w:p>
    <w:p>
      <w:pPr>
        <w:spacing w:after="0" w:line="15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Real Property Financing Debt, subject to the terms thereof;</w:t>
      </w:r>
    </w:p>
    <w:p>
      <w:pPr>
        <w:spacing w:after="0" w:line="215"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 respect of Capital Lease Obligations and other Indebtedness, in each case permitted pursuant to clause (j)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any such Lien shall encumber only the asset acquired, constructed, leased or improved with the proceeds of such Indebtedness;</w:t>
      </w:r>
    </w:p>
    <w:p>
      <w:pPr>
        <w:spacing w:after="0" w:line="174" w:lineRule="exact"/>
        <w:rPr>
          <w:rFonts w:ascii="Times New Roman" w:cs="Times New Roman" w:eastAsia="Times New Roman" w:hAnsi="Times New Roman"/>
          <w:sz w:val="20"/>
          <w:szCs w:val="20"/>
          <w:color w:val="auto"/>
        </w:rPr>
      </w:pPr>
    </w:p>
    <w:p>
      <w:pPr>
        <w:jc w:val="both"/>
        <w:ind w:left="740" w:right="60" w:firstLine="1494"/>
        <w:spacing w:after="0" w:line="244"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assumed Indebtedness permitted pursuant to clause (k)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Liens shall only encumber the specific, or type or class of, assets, as applicable, of the subject of such Permitted Investment that secured such Indebtedness at the time of such Permitted Investment (and not provided as security in connection with, or in contemplation of, such Permitted Investment), and not by any other assets other than no such Lien extends to any additional property other than (A) after-acquired property that is affixed or incorporated into the property covered by such Lien and (B) proceeds and products thereof, replacements, accessions or additions thereto and improvements thereon;</w:t>
      </w:r>
    </w:p>
    <w:p>
      <w:pPr>
        <w:spacing w:after="0" w:line="172"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incurred Indebtedness permitted pursuant to clause (k) of the definition of Permitted</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93"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Sale and Leaseback Transactions permitted under clause (l) of the definition of Permitted Indebtedness;</w:t>
      </w:r>
    </w:p>
    <w:p>
      <w:pPr>
        <w:spacing w:after="0" w:line="159"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incurred under clause (p) of the definition of Permitted Indebtedness, subject to the terms thereof;</w:t>
      </w:r>
    </w:p>
    <w:p>
      <w:pPr>
        <w:spacing w:after="0" w:line="159"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in the ordinary course of business on deposits to secure liability for premiums to insurance carriers or securing insurance premium financing arrangements, arising 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8" w:name="page49"/>
    <w:bookmarkEnd w:id="48"/>
    <w:p>
      <w:pPr>
        <w:ind w:left="740"/>
        <w:spacing w:after="0" w:line="269" w:lineRule="auto"/>
        <w:rPr>
          <w:sz w:val="20"/>
          <w:szCs w:val="20"/>
          <w:color w:val="auto"/>
        </w:rPr>
      </w:pPr>
      <w:r>
        <w:rPr>
          <w:rFonts w:ascii="Times New Roman" w:cs="Times New Roman" w:eastAsia="Times New Roman" w:hAnsi="Times New Roman"/>
          <w:sz w:val="20"/>
          <w:szCs w:val="20"/>
          <w:color w:val="auto"/>
        </w:rPr>
        <w:t>connection with conditional sale, title retention, consignment or similar arrangements for the sale of goods or securing letters of credit issued in the ordinary course of business;</w:t>
      </w:r>
    </w:p>
    <w:p>
      <w:pPr>
        <w:spacing w:after="0" w:line="159" w:lineRule="exact"/>
        <w:rPr>
          <w:sz w:val="20"/>
          <w:szCs w:val="20"/>
          <w:color w:val="auto"/>
        </w:rPr>
      </w:pPr>
    </w:p>
    <w:p>
      <w:pPr>
        <w:ind w:left="740" w:right="500" w:firstLine="1497"/>
        <w:spacing w:after="0" w:line="269" w:lineRule="auto"/>
        <w:rPr>
          <w:sz w:val="20"/>
          <w:szCs w:val="20"/>
          <w:color w:val="auto"/>
        </w:rPr>
      </w:pPr>
      <w:r>
        <w:rPr>
          <w:rFonts w:ascii="Times New Roman" w:cs="Times New Roman" w:eastAsia="Times New Roman" w:hAnsi="Times New Roman"/>
          <w:sz w:val="20"/>
          <w:szCs w:val="20"/>
          <w:color w:val="auto"/>
        </w:rPr>
        <w:t>(w)Liens on the Capital Stock of a joint venture securing financing arrangements for the benefit of the applicable joint venture; and</w:t>
      </w:r>
    </w:p>
    <w:p>
      <w:pPr>
        <w:spacing w:after="0" w:line="15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(x) other Liens securing obligations in an aggregate principal amount at any time outstanding not to exceed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$5,000,000.</w:t>
      </w:r>
    </w:p>
    <w:p>
      <w:pPr>
        <w:spacing w:after="0" w:line="19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sole proprietorship, partnership, corporation (including any corporation which elects subchapter S status under the Code), limited liability company, limited liability partnership, business trust, unincorporated association, joint stock corporation, trust, joint venture or other entity or any government or any agency or instrumentality or political subdivision thereof.</w:t>
      </w:r>
    </w:p>
    <w:p>
      <w:pPr>
        <w:spacing w:after="0" w:line="180"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Repayment of Notes Payable</w:t>
      </w:r>
      <w:r>
        <w:rPr>
          <w:rFonts w:ascii="Times New Roman" w:cs="Times New Roman" w:eastAsia="Times New Roman" w:hAnsi="Times New Roman"/>
          <w:sz w:val="20"/>
          <w:szCs w:val="20"/>
          <w:color w:val="auto"/>
        </w:rPr>
        <w:t xml:space="preserve">” means, as of any date, the aggregate principal amount of required principal repayments due in respect of the Term Loan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during the twelve-month period immediately following such date.</w:t>
      </w:r>
    </w:p>
    <w:p>
      <w:pPr>
        <w:spacing w:after="0" w:line="161"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shall mean as to any Lender, the fraction (expressed as a percentage) the numerator of which is such Lender’s Commitment and the denominator of which is the aggregate amount of all of the Commitments of Lenders, as adjusted from time to time in accordance with the provisions of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Commitments have been terminated, the numerator shall be the unpaid amount of such Lender’s Term Loans and the denominator shall be the aggregate amount of all unpaid Term Loans.</w:t>
      </w:r>
    </w:p>
    <w:p>
      <w:pPr>
        <w:spacing w:after="0" w:line="185"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Company Costs</w:t>
      </w:r>
      <w:r>
        <w:rPr>
          <w:rFonts w:ascii="Times New Roman" w:cs="Times New Roman" w:eastAsia="Times New Roman" w:hAnsi="Times New Roman"/>
          <w:sz w:val="20"/>
          <w:szCs w:val="20"/>
          <w:color w:val="auto"/>
        </w:rPr>
        <w:t>” means any charge, expense, cost, accrual, reserve or loss associated with, or in anticipation of, or preparation for, compliance with the requirements of the Sarbanes-Oxley Act of 2002 (and, in each case, similar Applicable Law under other jurisdictions) and the rules and regulations promulgated in connection therewith and any charge, expense, cost, accrual, reserve or loss relating to compliance with the provisions of the Securities Act and the Exchange Act (and, in each case, similar Applicable Law under other jurisdictions), as applicable to companies with equity or debt securities held by the public, the rules of national securities exchange companies with listed equity or debt securities, directors’, managers’ and/or employees’ compensation, fees and expense reimbursement, any charge, expense, cost, accrual, reserve or loss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79" w:lineRule="exact"/>
        <w:rPr>
          <w:sz w:val="20"/>
          <w:szCs w:val="20"/>
          <w:color w:val="auto"/>
        </w:rPr>
      </w:pPr>
    </w:p>
    <w:p>
      <w:pPr>
        <w:jc w:val="both"/>
        <w:ind w:left="740" w:right="60" w:firstLine="749"/>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 5390(c)(8)(D).</w:t>
      </w:r>
    </w:p>
    <w:p>
      <w:pPr>
        <w:spacing w:after="0" w:line="1" w:lineRule="exact"/>
        <w:rPr>
          <w:sz w:val="20"/>
          <w:szCs w:val="20"/>
          <w:color w:val="auto"/>
        </w:rPr>
      </w:pPr>
    </w:p>
    <w:p>
      <w:pPr>
        <w:ind w:left="1480" w:right="1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14.10</w:t>
      </w:r>
      <w:r>
        <w:rPr>
          <w:rFonts w:ascii="Times New Roman" w:cs="Times New Roman" w:eastAsia="Times New Roman" w:hAnsi="Times New Roman"/>
          <w:sz w:val="20"/>
          <w:szCs w:val="20"/>
          <w:color w:val="auto"/>
        </w:rPr>
        <w:t xml:space="preserve"> of this Agreement.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all now owned and hereafter acquired real property of each Loan Party,</w:t>
      </w:r>
    </w:p>
    <w:p>
      <w:pPr>
        <w:spacing w:after="0" w:line="2" w:lineRule="exact"/>
        <w:rPr>
          <w:sz w:val="20"/>
          <w:szCs w:val="20"/>
          <w:color w:val="auto"/>
        </w:rPr>
      </w:pPr>
    </w:p>
    <w:p>
      <w:pPr>
        <w:ind w:left="740" w:right="2080"/>
        <w:spacing w:after="0" w:line="271" w:lineRule="auto"/>
        <w:rPr>
          <w:sz w:val="20"/>
          <w:szCs w:val="20"/>
          <w:color w:val="auto"/>
        </w:rPr>
      </w:pPr>
      <w:r>
        <w:rPr>
          <w:rFonts w:ascii="Times New Roman" w:cs="Times New Roman" w:eastAsia="Times New Roman" w:hAnsi="Times New Roman"/>
          <w:sz w:val="19"/>
          <w:szCs w:val="19"/>
          <w:color w:val="auto"/>
        </w:rPr>
        <w:t>including leasehold interests, together with all fixtures, buildings, structures, and other improvements located thereon and all licenses, easements and appurtenances relating thereto, wherever located.</w:t>
      </w:r>
    </w:p>
    <w:p>
      <w:pPr>
        <w:spacing w:after="0" w:line="14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 Financing Debt</w:t>
      </w:r>
      <w:r>
        <w:rPr>
          <w:rFonts w:ascii="Times New Roman" w:cs="Times New Roman" w:eastAsia="Times New Roman" w:hAnsi="Times New Roman"/>
          <w:sz w:val="20"/>
          <w:szCs w:val="20"/>
          <w:color w:val="auto"/>
        </w:rPr>
        <w:t>” means any Indebtedness that meets each of the following requirements and conditions: (1) all of the proceeds of such Indebtedness are used either (x) to finance the acquisition by a Loan Party or a Subsidiary of a Loan Party of Real Property and fixtures on, and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49" w:name="page50"/>
    <w:bookmarkEnd w:id="49"/>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capital improvements to, such Real Property or (y) in the case of Real Property owned solely by a Loan Party or a Subsidiary of a Loan Party, to refinance or finance, as the case may be, the interest of such Loan Party or Subsidiary in such Real Property and fixtures on, and capital improvements to, such Real Property (the Real Property and fixtures on, and capital improvements to, such real property, whether covered under the foregoing clause (x) or clause (y), is hereinafter referred to as “</w:t>
      </w:r>
      <w:r>
        <w:rPr>
          <w:rFonts w:ascii="Times New Roman" w:cs="Times New Roman" w:eastAsia="Times New Roman" w:hAnsi="Times New Roman"/>
          <w:sz w:val="20"/>
          <w:szCs w:val="20"/>
          <w:u w:val="single" w:color="auto"/>
          <w:color w:val="auto"/>
        </w:rPr>
        <w:t>Debt-Financed Real Estate</w:t>
      </w:r>
      <w:r>
        <w:rPr>
          <w:rFonts w:ascii="Times New Roman" w:cs="Times New Roman" w:eastAsia="Times New Roman" w:hAnsi="Times New Roman"/>
          <w:sz w:val="20"/>
          <w:szCs w:val="20"/>
          <w:color w:val="auto"/>
        </w:rPr>
        <w:t>”); (2) the collateral securing such Indebtedness is limited to the Debt-Financed Real Estate that was financed or refinanced by such lender and rents under leases of space on such Debt-Financed Real Estate; (3) the amount of such Indebtedness does not exceed the sum of: (x) 80% of the sum of (I) the fair market value of the Debt-Financed Real Estate at the time of the incurrence of such Indebtedness plus (II) without duplication of costs covered under the foregoing clause (I) the costs of fixtures on, and capital improvements to, such Debt-Financed Real Estate that will be financed with the proceeds of such Indebtedness; plus (y) the reasonable fees and expenses incurred in connection with the refinancing or financing, as the case may be; plus (z) the costs of architects, engineers and other professionals engaged in the design or development of the capital improvements forming part of the Debt-Financed Real Estate;</w:t>
      </w:r>
    </w:p>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(4) at the time of, and immediately after giving effect to, the incurrence of such Indebtedness, no Default</w:t>
      </w:r>
    </w:p>
    <w:p>
      <w:pPr>
        <w:ind w:left="740" w:right="60"/>
        <w:spacing w:after="0" w:line="243" w:lineRule="auto"/>
        <w:rPr>
          <w:sz w:val="20"/>
          <w:szCs w:val="20"/>
          <w:color w:val="auto"/>
        </w:rPr>
      </w:pPr>
      <w:r>
        <w:rPr>
          <w:rFonts w:ascii="Times New Roman" w:cs="Times New Roman" w:eastAsia="Times New Roman" w:hAnsi="Times New Roman"/>
          <w:sz w:val="20"/>
          <w:szCs w:val="20"/>
          <w:color w:val="auto"/>
        </w:rPr>
        <w:t xml:space="preserve">or Event of Default has occurred and is continuing; and (5) if an Affiliate of a Loan Party or a Subsidiary of a Loan Party provides such Indebtedness, such Indebtedness is incurred in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17"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means all of each Loan Party’s present and future books of account of every kind or nature, purchase and sale agreements, invoices, ledger cards, bills of lading and other shipping evidence, statements, correspondence, memoranda, credit files and other data relating to the Collateral or any account debtor, together with the tapes, disks, diskettes and other data and software storage media and devices, file cabinets or containers in or on which the foregoing are stored (including any rights of a Loan Party with respect to the foregoing maintained with or by any other person).</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assigned thereto in </w:t>
      </w:r>
      <w:r>
        <w:rPr>
          <w:rFonts w:ascii="Times New Roman" w:cs="Times New Roman" w:eastAsia="Times New Roman" w:hAnsi="Times New Roman"/>
          <w:sz w:val="20"/>
          <w:szCs w:val="20"/>
          <w:u w:val="single" w:color="auto"/>
          <w:color w:val="auto"/>
        </w:rPr>
        <w:t>Section 14.4(c)</w:t>
      </w:r>
      <w:r>
        <w:rPr>
          <w:rFonts w:ascii="Times New Roman" w:cs="Times New Roman" w:eastAsia="Times New Roman" w:hAnsi="Times New Roman"/>
          <w:sz w:val="20"/>
          <w:szCs w:val="20"/>
          <w:color w:val="auto"/>
        </w:rPr>
        <w:t xml:space="preserve"> hereof.</w:t>
      </w:r>
    </w:p>
    <w:p>
      <w:pPr>
        <w:spacing w:after="0" w:line="216"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means every Person, political subdivision, agency, commission or similar authority authorized by any Governmental Authority with jurisdiction over the Loan Parties and their respective Subsidiaries and Affiliates to regulate the growth, processing, testing, or sale of cannabis or medical marijuana in any state in which such Loan Party, Subsidiary or Affiliate operates.</w:t>
      </w:r>
    </w:p>
    <w:p>
      <w:pPr>
        <w:spacing w:after="0" w:line="180"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1"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shall mean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Percentage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two or more unaffiliated Lenders holding more than 50% of the sum of (i) the aggregate outstanding principal amount of the Term Loans and (ii) any unused Commitments. The aggregate principal amount of Term Loans and any unused Commitments of any Defaulting Lender shall be disregarded in determining Required Lenders at any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0" w:name="page51"/>
    <w:bookmarkEnd w:id="50"/>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chief financial officer, treasurer or assistant treasurer of a Loan Party or any of the other individuals designated in writing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Loan Party and such Responsible Officer shall be conclusively presumed to have acted on behalf of a Loan Party.</w:t>
      </w:r>
    </w:p>
    <w:p>
      <w:pPr>
        <w:spacing w:after="0" w:line="184"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Cannabis Activities</w:t>
      </w:r>
      <w:r>
        <w:rPr>
          <w:rFonts w:ascii="Times New Roman" w:cs="Times New Roman" w:eastAsia="Times New Roman" w:hAnsi="Times New Roman"/>
          <w:sz w:val="20"/>
          <w:szCs w:val="20"/>
          <w:color w:val="auto"/>
        </w:rPr>
        <w:t>” shall mean, in connection with the cultivation, processing, distribution, sale, possession, disposal and destruction of cannabis and related products, accessories, or services: (a) any activity that is prohibited under applicable State Cannabis Laws or Canadian Cannabis Laws to the extent the conduct of such activity by any Loan Party or any of their Subsidiaries could give rise to criminal penalties or forfeiture of assets with a value in excess of $[***] (based on the cost of such assets); (b) any activity that is prohibited under applicable Federal Cannabis Laws and for which a Loan Party or Subsidiary of a Loan Party is convicted or otherwise found liable (as determined by a court of competent jurisdiction by final and nonappealable judgment) notwithstanding its compliance with applicable State Cannabis Laws; (c) knowingly or (as determined by a court of competent jurisdiction by final and nonappealable judgment) recklessly distributing or selling cannabis and related cannabis products to minors, except those minors who are duly registered medical patients under the applicable State Cannabis Laws; (d) knowingly making payments to criminal enterprises, gangs, cartels and persons subject to Sanctions; (e) non-compliance with anti-terrorism laws and other Applicable Law related to money-laundering; (f) the diversion of cannabis and related products from states where it is legal under State Cannabis Law to other states or to Canada, or, unless permitted by Applicable Law, importing cannabis and related products from Canada; (g) use of activities permitted under State Cannabis Laws or Canadian Cannabis Laws as a cover or pretext for the trafficking of other controlled substances or illegal drugs or other illegal activity; (h) the commission, or making threats, of violence and, unless required for security purposes under applicable State Cannabis Laws or Canadian Cannabis Laws, the use of firearms; and (i) directly or indirectly, aiding, abetting or otherwise participating in a common enterprise with any Person or Persons in any activities described in clauses (a) through (h) of this definition.</w:t>
      </w:r>
    </w:p>
    <w:p>
      <w:pPr>
        <w:spacing w:after="0" w:line="163"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(a) dividend or other distribution (whether in cash, securities or other property) with respect to any Equity Interests of a Loan Party, or any payment (whether in cash, securities or other property), including any sinking fund or similar deposit, on account of the purchase, redemption, retirement, acquisition, cancellation or termination of any such Equity Interests or on account of any return of capital to a Loan Party’s stockholders, partners or members (or the equivalent Person thereof), or payment made to redeem, purchase, repurchase or retire, or to obtain the surrender of, any outstanding warrants, options or other rights to acquire any Equity Interests of a Loan Party, or any setting apart of funds or property for any of the foregoing, and (b) the payment by a Loan Party of any management, advisory or consulting fee to any Person or the payment of any extraordinary salary, bonus or other form of compensation to any Person who is directly or indirectly a significant partner, shareholder, owner or executive officer of any such Person, to the extent such extraordinary salary, bonus or other form of compensation is not included in the corporate overhead of a Loan Party.</w:t>
      </w:r>
    </w:p>
    <w:p>
      <w:pPr>
        <w:spacing w:after="0" w:line="192"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arrangement, directly or indirectly, whereby a Loan Party or a Subsidiary shall sell or transfer any property, real or personal, used or useful in its business, whether now owned or hereafter acquired, and thereafter rents or leases such property or other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1" w:name="page52"/>
    <w:bookmarkEnd w:id="51"/>
    <w:p>
      <w:pPr>
        <w:ind w:left="740"/>
        <w:spacing w:after="0"/>
        <w:rPr>
          <w:sz w:val="20"/>
          <w:szCs w:val="20"/>
          <w:color w:val="auto"/>
        </w:rPr>
      </w:pPr>
      <w:r>
        <w:rPr>
          <w:rFonts w:ascii="Times New Roman" w:cs="Times New Roman" w:eastAsia="Times New Roman" w:hAnsi="Times New Roman"/>
          <w:sz w:val="20"/>
          <w:szCs w:val="20"/>
          <w:color w:val="auto"/>
        </w:rPr>
        <w:t>property that it intends to use for substantially the same purpose or purposes as the property sold or transferred.</w:t>
      </w:r>
    </w:p>
    <w:p>
      <w:pPr>
        <w:spacing w:after="0" w:line="216" w:lineRule="exact"/>
        <w:rPr>
          <w:sz w:val="20"/>
          <w:szCs w:val="20"/>
          <w:color w:val="auto"/>
        </w:rPr>
      </w:pPr>
    </w:p>
    <w:p>
      <w:pPr>
        <w:ind w:left="1480" w:right="2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Assets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Sale Notice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740" w:right="2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means any target of Sanctions or Person subject to Sanctions, including: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Entity, or (d) otherwise a target of Sanctions, including vessels, planes and ships, that are designated under any Sanctions program.</w:t>
      </w:r>
    </w:p>
    <w:p>
      <w:pPr>
        <w:spacing w:after="0" w:line="187"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 economic or financial sanctions or trade embargoes imposed, administered or enforced from time to time by the U.S. Government, including those administered by OFAC or the U.S. Department of State, the United Nations Security Council, the European Union, any European Union member state, or any other Governmental Authority in any jurisdiction.</w:t>
      </w:r>
    </w:p>
    <w:p>
      <w:pPr>
        <w:spacing w:after="0" w:line="180"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Pledge and Security Agreement, dated as of the Closing Date, by and among Borrowers and Agent.</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collectively, the Security Agreement and any other agreements, instruments and documents at any time executed and/or delivered by any Loan Party or any other Person in connection with this Agreement that are intended to (or purpose to) create, perfect or evidence a Lien to secure the Obligations.</w:t>
      </w:r>
    </w:p>
    <w:p>
      <w:pPr>
        <w:spacing w:after="0" w:line="1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Average</w:t>
      </w:r>
      <w:r>
        <w:rPr>
          <w:rFonts w:ascii="Times New Roman" w:cs="Times New Roman" w:eastAsia="Times New Roman" w:hAnsi="Times New Roman"/>
          <w:sz w:val="20"/>
          <w:szCs w:val="20"/>
          <w:color w:val="auto"/>
        </w:rPr>
        <w:t>” shall mean a rate per annum equal to any of the 30-day, 90-day or 180-day rolling compounded averages of SOFR published on such Business Day by the Federal Reserve Bank of New York (or a successor administrator of the compounded average SOFR rates) on the website of the Federal Reserve Bank of New York, currently at http://www.newyorkfed.org (or any successor source for the compounded average SOFR rates identified as such by the administrator of the compounded average SOFR rates from time to time).</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shall mean a loan that bears interest at a rate based on Term SOFR.</w:t>
      </w:r>
    </w:p>
    <w:p>
      <w:pPr>
        <w:spacing w:after="0" w:line="21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at any time with respect to any Person, that at such time such Person (a) is able to pay its debts as they mature and has (and has a reasonable basis to believe it will continue to have) sufficient capital (and not unreasonably small capital) to carry on its business consistent with its practices as of the date hereof, and (b) the assets and properties of such Person at a fair valuation (and including as assets for this purpose at a fair valuation all rights of subrogation, contribution or indemnification arising pursuant to any guarantees given by such Person) are greater than the Indebtedness of such Person, and including subordinated and contingent liabilities computed at the amount which, such person has a reasonable basis to believe, represents an amount which can reasonably be expected to become an actual or matured liability (and including as to contingent liabilities arising pursuant to any guarantee the face amount of such liability as reduced to reflect the probability of it becoming a matured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2" w:name="page53"/>
    <w:bookmarkEnd w:id="52"/>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 Cannabis Law</w:t>
      </w:r>
      <w:r>
        <w:rPr>
          <w:rFonts w:ascii="Times New Roman" w:cs="Times New Roman" w:eastAsia="Times New Roman" w:hAnsi="Times New Roman"/>
          <w:sz w:val="20"/>
          <w:szCs w:val="20"/>
          <w:color w:val="auto"/>
        </w:rPr>
        <w:t>” means any state, or local statute, law, ordinance, regulation, rule, code, order (whether executive, legislative, judicial or otherwise), judgment, injunction, notice, decree or other requirement or rule of law or legal process, or any other order of, or agreement issued, promulgated or entered into by any Governmental Authority, in each case related to the cultivation, manufacture, development, distribution, or sale of cannabis or products containing cannabis, but in any event excluding any Federal Cannabis Laws.</w:t>
      </w:r>
    </w:p>
    <w:p>
      <w:pPr>
        <w:spacing w:after="0" w:line="185"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Stock-based Compensation Expense</w:t>
      </w:r>
      <w:r>
        <w:rPr>
          <w:rFonts w:ascii="Times New Roman" w:cs="Times New Roman" w:eastAsia="Times New Roman" w:hAnsi="Times New Roman"/>
          <w:sz w:val="20"/>
          <w:szCs w:val="20"/>
          <w:color w:val="auto"/>
        </w:rPr>
        <w:t>” means, for any period, the consolidated stock-based compensation expense of GTI and its Subsidiaries for such period.</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 Voting Shares</w:t>
      </w:r>
      <w:r>
        <w:rPr>
          <w:rFonts w:ascii="Times New Roman" w:cs="Times New Roman" w:eastAsia="Times New Roman" w:hAnsi="Times New Roman"/>
          <w:sz w:val="20"/>
          <w:szCs w:val="20"/>
          <w:color w:val="auto"/>
        </w:rPr>
        <w:t>” means those Subordinate Voting Shares as described in the Organization Documents of GTI (as the same may be amended or modified from time to time).</w:t>
      </w:r>
    </w:p>
    <w:p>
      <w:pPr>
        <w:spacing w:after="0" w:line="159"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 corporation, partnership, limited liability company, or other entity in which that Person directly or indirectly owns or controls the Equity Interests having ordinary voting power to elect a majority of the board of directors (or equivalent) of such corporation, partnership, limited liability company, or other entity.</w:t>
      </w:r>
    </w:p>
    <w:p>
      <w:pPr>
        <w:spacing w:after="0" w:line="161" w:lineRule="exact"/>
        <w:rPr>
          <w:sz w:val="20"/>
          <w:szCs w:val="20"/>
          <w:color w:val="auto"/>
        </w:rPr>
      </w:pPr>
    </w:p>
    <w:p>
      <w:pPr>
        <w:jc w:val="both"/>
        <w:ind w:left="740" w:right="20" w:firstLine="749"/>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Super Voting Shares</w:t>
      </w:r>
      <w:r>
        <w:rPr>
          <w:rFonts w:ascii="Times New Roman" w:cs="Times New Roman" w:eastAsia="Times New Roman" w:hAnsi="Times New Roman"/>
          <w:sz w:val="20"/>
          <w:szCs w:val="20"/>
          <w:color w:val="auto"/>
        </w:rPr>
        <w:t>” means those Super Voting Shares as described in the Organization Documents of GTI (as the same may be amended or modified from time to time).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14.10</w:t>
      </w:r>
      <w:r>
        <w:rPr>
          <w:rFonts w:ascii="Times New Roman" w:cs="Times New Roman" w:eastAsia="Times New Roman" w:hAnsi="Times New Roman"/>
          <w:sz w:val="20"/>
          <w:szCs w:val="20"/>
          <w:color w:val="auto"/>
        </w:rPr>
        <w:t xml:space="preserve"> of this Agreement. “</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means</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any and all rate swap transactions, basis swaps, credit derivative</w:t>
      </w:r>
    </w:p>
    <w:p>
      <w:pPr>
        <w:ind w:left="740"/>
        <w:spacing w:after="0"/>
        <w:rPr>
          <w:sz w:val="20"/>
          <w:szCs w:val="20"/>
          <w:color w:val="auto"/>
        </w:rPr>
      </w:pPr>
      <w:r>
        <w:rPr>
          <w:rFonts w:ascii="Times New Roman" w:cs="Times New Roman" w:eastAsia="Times New Roman" w:hAnsi="Times New Roman"/>
          <w:sz w:val="20"/>
          <w:szCs w:val="20"/>
          <w:color w:val="auto"/>
        </w:rPr>
        <w:t>transactions, forward rate transactions, commodity swaps, commodity options, forward commodity</w:t>
      </w:r>
    </w:p>
    <w:p>
      <w:pPr>
        <w:jc w:val="both"/>
        <w:ind w:left="740"/>
        <w:spacing w:after="0" w:line="254" w:lineRule="auto"/>
        <w:rPr>
          <w:sz w:val="20"/>
          <w:szCs w:val="20"/>
          <w:color w:val="auto"/>
        </w:rPr>
      </w:pPr>
      <w:r>
        <w:rPr>
          <w:rFonts w:ascii="Times New Roman" w:cs="Times New Roman" w:eastAsia="Times New Roman" w:hAnsi="Times New Roman"/>
          <w:sz w:val="19"/>
          <w:szCs w:val="19"/>
          <w:color w:val="auto"/>
        </w:rPr>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65"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Tangible Net Worth</w:t>
      </w:r>
      <w:r>
        <w:rPr>
          <w:rFonts w:ascii="Times New Roman" w:cs="Times New Roman" w:eastAsia="Times New Roman" w:hAnsi="Times New Roman"/>
          <w:sz w:val="20"/>
          <w:szCs w:val="20"/>
          <w:color w:val="auto"/>
        </w:rPr>
        <w:t xml:space="preserve">” means, as of any date, (a) Consolidated Total Assets of GTI and its Subsidiaries as of the last day of the most recently ended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Consolidated Total Liabilities of GTI and its Subsidiaries as of the last day of the most recently ended Test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Intangibles of GTI and its Subsidiaries as of the last day of the most recently ended Test Period, </w:t>
      </w:r>
      <w:r>
        <w:rPr>
          <w:rFonts w:ascii="Times New Roman" w:cs="Times New Roman" w:eastAsia="Times New Roman" w:hAnsi="Times New Roman"/>
          <w:sz w:val="20"/>
          <w:szCs w:val="20"/>
          <w:u w:val="single" w:color="auto"/>
          <w:color w:val="auto"/>
        </w:rPr>
        <w:t>minus</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 Goodwill of GTI and its Subsidiaries as of the last day of the most recently ended Test Period.</w:t>
      </w:r>
    </w:p>
    <w:p>
      <w:pPr>
        <w:spacing w:after="0" w:line="194"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Distributions</w:t>
      </w:r>
      <w:r>
        <w:rPr>
          <w:rFonts w:ascii="Times New Roman" w:cs="Times New Roman" w:eastAsia="Times New Roman" w:hAnsi="Times New Roman"/>
          <w:sz w:val="20"/>
          <w:szCs w:val="20"/>
          <w:color w:val="auto"/>
        </w:rPr>
        <w:t>” means with respect to any tax period (or portion thereof) in which a Loan Party and, if applicable, its Subsidiaries are members, or disregarded as separate from a member, of a consolidated, combined, unitary or similar income tax group for U.S. federal and/or applicable state or local income tax purposes (a “</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of which a direct or indirect parent of such Loan Party is the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53" w:name="page54"/>
    <w:bookmarkEnd w:id="53"/>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common parent, distributions, without duplication, to such common parent in amounts necessary to enable such common parent to pay the actual consolidated, combined, unitary or similar income Tax liabilities of such Tax Group for such taxable period (or portion thereof) that are attributable to income of such Loan Party and its applicable Subsidiaries.</w:t>
      </w:r>
    </w:p>
    <w:p>
      <w:pPr>
        <w:spacing w:after="0" w:line="174"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means, individually and collectively, the </w:t>
      </w:r>
      <w:r>
        <w:rPr>
          <w:rFonts w:ascii="Times New Roman" w:cs="Times New Roman" w:eastAsia="Times New Roman" w:hAnsi="Times New Roman"/>
          <w:sz w:val="20"/>
          <w:szCs w:val="20"/>
          <w:color w:val="FF0000"/>
          <w:strike w:val="1"/>
        </w:rPr>
        <w:t>term loans made by Lenders on the</w:t>
      </w:r>
      <w:r>
        <w:rPr>
          <w:rFonts w:ascii="Times New Roman" w:cs="Times New Roman" w:eastAsia="Times New Roman" w:hAnsi="Times New Roman"/>
          <w:sz w:val="20"/>
          <w:szCs w:val="20"/>
          <w:color w:val="auto"/>
        </w:rPr>
        <w:t xml:space="preserve"> Closing Date </w:t>
      </w:r>
      <w:r>
        <w:rPr>
          <w:rFonts w:ascii="Times New Roman" w:cs="Times New Roman" w:eastAsia="Times New Roman" w:hAnsi="Times New Roman"/>
          <w:sz w:val="20"/>
          <w:szCs w:val="20"/>
          <w:color w:val="FF0000"/>
          <w:strike w:val="1"/>
        </w:rPr>
        <w:t>as set forth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FF0000"/>
          <w:strike w:val="1"/>
        </w:rPr>
        <w:t>Section 2.1</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hereof</w:t>
      </w:r>
      <w:r>
        <w:rPr>
          <w:rFonts w:ascii="Times New Roman" w:cs="Times New Roman" w:eastAsia="Times New Roman" w:hAnsi="Times New Roman"/>
          <w:sz w:val="20"/>
          <w:szCs w:val="20"/>
          <w:u w:val="single" w:color="auto"/>
          <w:color w:val="0000FF"/>
        </w:rPr>
        <w:t>Term Loans and the Amendment No. 1 Additional Term Loans</w:t>
      </w:r>
      <w:r>
        <w:rPr>
          <w:rFonts w:ascii="Times New Roman" w:cs="Times New Roman" w:eastAsia="Times New Roman" w:hAnsi="Times New Roman"/>
          <w:sz w:val="20"/>
          <w:szCs w:val="20"/>
          <w:color w:val="000000"/>
        </w:rPr>
        <w:t>.</w:t>
      </w:r>
    </w:p>
    <w:p>
      <w:pPr>
        <w:spacing w:after="0" w:line="159"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 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as of 5:00 p.m. (New York City time) on any Periodic Term SOFR Determination Day the Term SOFR Reference Rate for the applicable tenor has not been published by the Term SOFR Administrator and a Benchmark Replacement Date (defined below)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shall ever be less than the Floor, then Term SOFR shall be deemed to be the Floor.</w:t>
      </w:r>
    </w:p>
    <w:p>
      <w:pPr>
        <w:spacing w:after="0" w:line="176" w:lineRule="exact"/>
        <w:rPr>
          <w:sz w:val="20"/>
          <w:szCs w:val="20"/>
          <w:color w:val="auto"/>
        </w:rPr>
      </w:pPr>
    </w:p>
    <w:p>
      <w:pPr>
        <w:jc w:val="both"/>
        <w:ind w:left="740" w:firstLine="74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CME Group Benchmark Administration Limited (CBA) (or a successor administrator of the Term SOFR Reference Rate selected by Agent in its reasonable discretion).</w:t>
      </w:r>
    </w:p>
    <w:p>
      <w:pPr>
        <w:spacing w:after="0" w:line="1" w:lineRule="exact"/>
        <w:rPr>
          <w:sz w:val="20"/>
          <w:szCs w:val="20"/>
          <w:color w:val="auto"/>
        </w:rPr>
      </w:pPr>
    </w:p>
    <w:p>
      <w:pPr>
        <w:ind w:left="1480"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earliest to occur of (a) the Maturity Date, or (b) the date on which</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maturity of the Obligations is accelerated (or deemed accelerated).</w:t>
      </w:r>
    </w:p>
    <w:p>
      <w:pPr>
        <w:spacing w:after="0" w:line="194"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as of any date, the period of four consecutive fiscal quarters then most recently ended for which financial statements have been delivered (or are required to have been delivered) to Agent pursuant to clause (a) or (b) of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Debt Obligations</w:t>
      </w:r>
      <w:r>
        <w:rPr>
          <w:rFonts w:ascii="Times New Roman" w:cs="Times New Roman" w:eastAsia="Times New Roman" w:hAnsi="Times New Roman"/>
          <w:sz w:val="20"/>
          <w:szCs w:val="20"/>
          <w:color w:val="auto"/>
        </w:rPr>
        <w:t xml:space="preserve">” means, with respect to any Person as of any date, the sum of (a) Current Portion of Lease Liabilities,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Current Portion of Note Payable,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Long Term Lease Liability,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Long Term Debt Notes Payable.</w:t>
      </w:r>
    </w:p>
    <w:p>
      <w:pPr>
        <w:spacing w:after="0" w:line="174"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State of New York and any successor statute, as in effect from time to time (except that terms used herein which are not otherwise defined herein and defined in the Uniform Commercial Code as in effect in the State of New York on the date hereof shall continue to have the same meaning notwithstanding any replacement or amendment of such statute except as Agent may otherwise determine) or any other state the laws of which are required to be applied in connection with the creation or perfection of security interests.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54" w:name="page55"/>
    <w:bookmarkEnd w:id="54"/>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14.10</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jc w:val="both"/>
        <w:ind w:left="1480" w:right="46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5.7(f)(ii)(B)(3)</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Valley National Bank</w:t>
      </w:r>
      <w:r>
        <w:rPr>
          <w:rFonts w:ascii="Times New Roman" w:cs="Times New Roman" w:eastAsia="Times New Roman" w:hAnsi="Times New Roman"/>
          <w:sz w:val="20"/>
          <w:szCs w:val="20"/>
          <w:color w:val="auto"/>
        </w:rPr>
        <w:t>” means Valley National Bank, a national banking association. “</w:t>
      </w:r>
      <w:r>
        <w:rPr>
          <w:rFonts w:ascii="Times New Roman" w:cs="Times New Roman" w:eastAsia="Times New Roman" w:hAnsi="Times New Roman"/>
          <w:sz w:val="20"/>
          <w:szCs w:val="20"/>
          <w:u w:val="single" w:color="auto"/>
          <w:color w:val="auto"/>
        </w:rPr>
        <w:t>VCP23</w:t>
      </w:r>
      <w:r>
        <w:rPr>
          <w:rFonts w:ascii="Times New Roman" w:cs="Times New Roman" w:eastAsia="Times New Roman" w:hAnsi="Times New Roman"/>
          <w:sz w:val="20"/>
          <w:szCs w:val="20"/>
          <w:color w:val="auto"/>
        </w:rPr>
        <w:t>” means VCP23, LLC, a Delaware limited liability company.</w:t>
      </w:r>
    </w:p>
    <w:p>
      <w:pPr>
        <w:jc w:val="both"/>
        <w:ind w:left="740" w:right="40"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Wall Street Journal Prime Rate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designated as the “</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which appears in each publication of The Wall Street Journal under the designation entitled “</w:t>
      </w:r>
      <w:r>
        <w:rPr>
          <w:rFonts w:ascii="Times New Roman" w:cs="Times New Roman" w:eastAsia="Times New Roman" w:hAnsi="Times New Roman"/>
          <w:sz w:val="20"/>
          <w:szCs w:val="20"/>
          <w:u w:val="single" w:color="auto"/>
          <w:color w:val="auto"/>
        </w:rPr>
        <w:t>Money Rates</w:t>
      </w:r>
      <w:r>
        <w:rPr>
          <w:rFonts w:ascii="Times New Roman" w:cs="Times New Roman" w:eastAsia="Times New Roman" w:hAnsi="Times New Roman"/>
          <w:sz w:val="20"/>
          <w:szCs w:val="20"/>
          <w:color w:val="auto"/>
        </w:rPr>
        <w:t>.” This rate of interest fluctuates and is subject to change without prior notice. If and when the Wall Street Journal Prime Rate changes, the rate of interest on the Obligations will automatically change effective on the date of any such change, without notice to Borrower. In the event that the Wall Street Journal Prime Rate cannot be ascertained from publication of The Wall Street Journal, the rate of interest which shall be used in substitution thereof and until such time as the Wall Street Journal Prime Rate can be ascertained by reference to The Wall Street Journal shall be a rate equal to the average of the prime rate of interest announced from time to time by three (3) New York banks selected by Agent in its sole and absolute discretion.</w:t>
      </w:r>
    </w:p>
    <w:p>
      <w:pPr>
        <w:spacing w:after="0" w:line="177"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740" w:right="8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Interpretative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59" w:lineRule="exact"/>
        <w:rPr>
          <w:sz w:val="20"/>
          <w:szCs w:val="20"/>
          <w:color w:val="auto"/>
        </w:rPr>
      </w:pPr>
    </w:p>
    <w:p>
      <w:pPr>
        <w:jc w:val="both"/>
        <w:ind w:left="740" w:right="60" w:firstLine="1494"/>
        <w:spacing w:after="0" w:line="249" w:lineRule="auto"/>
        <w:tabs>
          <w:tab w:leader="none" w:pos="252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5" w:name="page56"/>
    <w:bookmarkEnd w:id="55"/>
    <w:p>
      <w:pPr>
        <w:jc w:val="both"/>
        <w:ind w:left="740" w:right="20"/>
        <w:spacing w:after="0" w:line="241" w:lineRule="auto"/>
        <w:rPr>
          <w:sz w:val="20"/>
          <w:szCs w:val="20"/>
          <w:color w:val="auto"/>
        </w:rPr>
      </w:pPr>
      <w:r>
        <w:rPr>
          <w:rFonts w:ascii="Times New Roman" w:cs="Times New Roman" w:eastAsia="Times New Roman" w:hAnsi="Times New Roman"/>
          <w:sz w:val="20"/>
          <w:szCs w:val="20"/>
          <w:color w:val="auto"/>
        </w:rPr>
        <w:t>have the same meaning and effect as the word “shall.” Unless the context requires otherwise, (i) any definition of or reference to any agreement, instrument or other document shall be construed as referring to such agreement, instrument or other document as from time to time amended, modified, supplemented, extended, renewed, restated or replaced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Sections, Exhibits and Schedules shall be construed to refer to Sections of, and Exhibits and Schedules to, the Loan Document in which such references appear, (v) any reference to any law shall include all statutory and regulatory provisions consolidating, amending, replacing, recodifying, supplementing or interpreting such law and any reference to any law or regulation shall, unless otherwise specified, refer to such law or regulation as amended, modified or supplemented from time to time, and</w:t>
      </w:r>
    </w:p>
    <w:p>
      <w:pPr>
        <w:spacing w:after="0" w:line="6" w:lineRule="exact"/>
        <w:rPr>
          <w:sz w:val="20"/>
          <w:szCs w:val="20"/>
          <w:color w:val="auto"/>
        </w:rPr>
      </w:pPr>
    </w:p>
    <w:p>
      <w:pPr>
        <w:ind w:left="740" w:right="160" w:hanging="5"/>
        <w:spacing w:after="0" w:line="239" w:lineRule="auto"/>
        <w:tabs>
          <w:tab w:leader="none" w:pos="107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“asset” and “property” shall be construed to have the same meaning and effect and to refer to any and all tangible and intangible assets and properties, including cash, securities, accounts and contract rights. Section headings herein and in the other Loan Documents are included for convenience of reference only and shall not affect the interpretation of this Agreement or any other Loan Document. An Event of Default shall exist or continue or be continuing until such Event of Default is waived in accordance with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or cured (if applicable) in accordance with the terms hereof. Loan Parties shall have the burden of establishing any alleged negligence, misconduct or lack of good faith by Agent or any Lender under any Loan Documents. No provision of any Loan Documents shall be construed against any party by reason of such party having, or being deemed to have, drafted the provision. Reference to a Loan Party’s “knowledge” or similar concept means actual knowledge of a Responsible Officer, or knowledge that a Responsible Officer would have obtained if he or she had engaged in good faith and diligent performance of his or her duties, including reasonably specific inquiries of employees or agents and a good faith attempt to ascertain the matter.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Any reference herein to any Person shall be construed to include such Person’s successors and assigns.</w:t>
      </w:r>
    </w:p>
    <w:p>
      <w:pPr>
        <w:spacing w:after="0" w:line="175"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UCC Terms</w:t>
      </w:r>
      <w:r>
        <w:rPr>
          <w:rFonts w:ascii="Times New Roman" w:cs="Times New Roman" w:eastAsia="Times New Roman" w:hAnsi="Times New Roman"/>
          <w:sz w:val="20"/>
          <w:szCs w:val="20"/>
          <w:color w:val="auto"/>
        </w:rPr>
        <w:t xml:space="preserve">. Any term used in this Agreement that is defined in the UCC shall be construed and defined as set forth in the UCC unless otherwise defined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to the extent that the UCC is used to define any term herein and such term is defined differently in different Articles of the UCC, the definition of such term contained in Article 9 of the UCC shall govern.</w:t>
      </w:r>
    </w:p>
    <w:p>
      <w:pPr>
        <w:spacing w:after="0" w:line="179" w:lineRule="exact"/>
        <w:rPr>
          <w:rFonts w:ascii="Times New Roman" w:cs="Times New Roman" w:eastAsia="Times New Roman" w:hAnsi="Times New Roman"/>
          <w:sz w:val="20"/>
          <w:szCs w:val="20"/>
          <w:color w:val="auto"/>
        </w:rPr>
      </w:pPr>
    </w:p>
    <w:p>
      <w:pPr>
        <w:jc w:val="both"/>
        <w:ind w:left="740" w:right="40" w:firstLine="1494"/>
        <w:spacing w:after="0" w:line="246" w:lineRule="auto"/>
        <w:tabs>
          <w:tab w:leader="none" w:pos="252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References</w:t>
      </w:r>
      <w:r>
        <w:rPr>
          <w:rFonts w:ascii="Times New Roman" w:cs="Times New Roman" w:eastAsia="Times New Roman" w:hAnsi="Times New Roman"/>
          <w:sz w:val="20"/>
          <w:szCs w:val="20"/>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and including”;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 computation of fees or interest payable to Agent or any Lender, such period shall in any event consist of at least one full day.</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Any reference herein or in any other Loan Document to the satisfaction, repayment, or payment in full of the Obligations shall mean (i) the payment in full in cash of the principal and accrued and unpaid interest with respect to the Loans, (ii) the payment in full of all fees, charges and expenses that have accrued and are unpaid regardless of whether payment has been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6" w:name="page57"/>
    <w:bookmarkEnd w:id="56"/>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 xml:space="preserve">demanded or is otherwise due, (iii) the delivery to Agent of cash collateral, or at Agent’s option, the delivery to Agent of a letter of credit payable to Agent issued by a bank acceptable to Agent and in form and substance satisfactory to Agent, in either case in respect of (A) Bank Product Obligations (or, at the option of Agent, the termination of the applicable Bank Product or cash management arrangements and the payment in full in cash of the Bank Product Obligations due and payable in connection with such termination), (B) continuing obligations of Agent under Control Agreements and (C) other contingent Obligations for which a claim or demand for payment has been made at such time or in respect of matters or circumstances known to Agent at the time, and which are reasonably expected to result in any loss, cost, damage or expense (including attorneys’ fees and legal expenses) to Agent for which Agent or any Lender would be entitled to indemnification by a Loan Party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credit support required under this clause (iii) shall not exceed 105% of the aggregate amount of such contingent Obligations (as reasonably determined in good faith) and (iv) the termination of the Commitments and the financing arrangements provided by each Lender to each Borrower hereunder.</w:t>
      </w:r>
    </w:p>
    <w:p>
      <w:pPr>
        <w:spacing w:after="0" w:line="19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right="40" w:firstLine="1494"/>
        <w:spacing w:after="0" w:line="242" w:lineRule="auto"/>
        <w:tabs>
          <w:tab w:leader="none" w:pos="252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specified herein, all accounting terms used herein shall be interpreted, all accounting determinations hereunder shall be made, and all financial statements required to be delivered hereunder shall be prepared in accordance with GAAP applied on a basis consistent with the most recent audited consolidated financial statements of GTI delivered to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the event of any change in GAAP after the date hereof, a Borrower may by notice to Agent, or Agent may by notice to a Borrower, require that such covenants be calculated in accordance with GAAP as in effect, and as applied by a Borrower immediately before the applicable change in GAAP became effective (regardless of when such notice is given), until either the notice from the applicable party is withdrawn or such covenant is amended in a manner satisfactory to such Borrower and Agent. Each Borrower shall deliver to Agent at the same time as the delivery of any financial statements given in accordance with the provisions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hereof (i) a description in reasonable detail of any material change in the application of accounting principles employed in the preparation of such financial statements from those applied in the most recently preceding monthly, quarterly or annual financial statements and (ii) a reasonable estimate of the effect on the financial statements on account of such changes in application.</w:t>
      </w:r>
    </w:p>
    <w:p>
      <w:pPr>
        <w:spacing w:after="0" w:line="173" w:lineRule="exact"/>
        <w:rPr>
          <w:rFonts w:ascii="Times New Roman" w:cs="Times New Roman" w:eastAsia="Times New Roman" w:hAnsi="Times New Roman"/>
          <w:sz w:val="20"/>
          <w:szCs w:val="20"/>
          <w:color w:val="auto"/>
        </w:rPr>
      </w:pPr>
    </w:p>
    <w:p>
      <w:pPr>
        <w:jc w:val="both"/>
        <w:ind w:left="740" w:right="20" w:firstLine="1494"/>
        <w:spacing w:after="0" w:line="258" w:lineRule="auto"/>
        <w:tabs>
          <w:tab w:leader="none" w:pos="2525"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w:t>
      </w:r>
    </w:p>
    <w:p>
      <w:pPr>
        <w:jc w:val="both"/>
        <w:ind w:left="740" w:right="20" w:hanging="3"/>
        <w:spacing w:after="0"/>
        <w:tabs>
          <w:tab w:leader="none" w:pos="10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“unqualified opinion” as used herein to refer to opinions or reports provided by accountants shall mean an opinion or report that is (A) unqualified (other than any such qualification, exception or explanatory paragraph that is solely with respect to, or expressly resulting solely from, (x) an upcoming maturity date under this Agreement or in respect of other Indebtedness permitted hereunder outstanding at such time that is scheduled to occur within one year from the time such report and opinion are delivered, or (y) any actual or projected inability to satisfy any covenant under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and (B) does not include any explanation, supplemental comment, or other comment concerning the ability of the applicable Person to continue as a going concern or concerning the scope of the audit.</w:t>
      </w:r>
    </w:p>
    <w:p>
      <w:pPr>
        <w:spacing w:after="0" w:line="191"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by a Borrower pursuant to this Agreement shall be calculated by dividing the appropriate component by the other component, carrying the result to one place more than the number of places by which such ratio is expressed herein and rounding the result down to the nearest number (with a rounding-up if there is no nearest number).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57" w:name="page58"/>
    <w:bookmarkEnd w:id="57"/>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Federal Cannabis Laws</w:t>
      </w:r>
      <w:r>
        <w:rPr>
          <w:rFonts w:ascii="Times New Roman" w:cs="Times New Roman" w:eastAsia="Times New Roman" w:hAnsi="Times New Roman"/>
          <w:sz w:val="20"/>
          <w:szCs w:val="20"/>
          <w:color w:val="auto"/>
        </w:rPr>
        <w:t>. Agent and the Loan Parties acknowledge that although Canadian Cannabis Laws and certain State Cannabis Laws have legalized the cultivation, distribution, sale, transfer and possession of cannabis and related products, (a) the nature and scope of Federal Cannabis Laws may result in circumstances where activities permitted under Canadian Cannabis Laws and State Cannabis Laws may contravene Federal Cannabis Laws and (b) engagement in Restricted Cannabis Activities may contravene Federal Cannabis Laws. Accordingly, for the purposes of this Agreement and any other Loan Document, each representation, covenant and other provision hereof relating to compliance with Applicable Law will be subject to the following: (i) engagement in any activity that is permitted by Canadian Cannabis Laws or State Cannabis Laws but contravenes Federal Cannabis Laws, and in respect of which the general practice of the applicable Governmental Authority is, or the applicable Governmental Authority has agreed (or is bound by Applicable Law (e.g., the proposed Secure and Fair Enforcement (SAFE) Banking Act (H.R. 1595) and the proposed Clarifying Law Around Insurance of Marijuana (CLAIM) Act (H.R. 4074 and Senate Bill 2201))) to forego or have otherwise suspended prosecution and enforcement of such Federal Cannabis Laws will not, in and of itself, be deemed to be non-compliance with Applicable Law or engagement in any Restricted Cannabis Activity;</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(ii) engagement in any Restricted Cannabis Activity will be deemed to be non-compliance with</w:t>
      </w:r>
    </w:p>
    <w:p>
      <w:pPr>
        <w:jc w:val="both"/>
        <w:ind w:left="740" w:right="60"/>
        <w:spacing w:after="0" w:line="241" w:lineRule="auto"/>
        <w:rPr>
          <w:sz w:val="20"/>
          <w:szCs w:val="20"/>
          <w:color w:val="auto"/>
        </w:rPr>
      </w:pPr>
      <w:r>
        <w:rPr>
          <w:rFonts w:ascii="Times New Roman" w:cs="Times New Roman" w:eastAsia="Times New Roman" w:hAnsi="Times New Roman"/>
          <w:sz w:val="20"/>
          <w:szCs w:val="20"/>
          <w:color w:val="auto"/>
        </w:rPr>
        <w:t>Applicable Law; and (iii) if any Change in Cannabis Law results in the business activities of GTI, any Loan Party or any of their Subsidiaries becoming Restricted Cannabis Activities, such Change in Cannabis Law will be deemed to have had a Material Adverse Effect. Nothing contained in this Agreement or in any other Loan Document shall require GTI, the Loan Parties or their Subsidiaries to violate any provision of the Canadian Cannabis Law or State Cannabis Law or its attending regulations, as applicable.</w:t>
      </w:r>
    </w:p>
    <w:p>
      <w:pPr>
        <w:spacing w:after="0" w:line="187"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w:t>
      </w:r>
    </w:p>
    <w:p>
      <w:pPr>
        <w:spacing w:after="0" w:line="2" w:lineRule="exact"/>
        <w:rPr>
          <w:sz w:val="20"/>
          <w:szCs w:val="20"/>
          <w:color w:val="auto"/>
        </w:rPr>
      </w:pPr>
    </w:p>
    <w:p>
      <w:pPr>
        <w:jc w:val="both"/>
        <w:ind w:left="740" w:right="40" w:hanging="3"/>
        <w:spacing w:after="0" w:line="241" w:lineRule="auto"/>
        <w:tabs>
          <w:tab w:leader="none" w:pos="101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2. CREDIT FACILITY</w:t>
      </w:r>
    </w:p>
    <w:p>
      <w:pPr>
        <w:spacing w:after="0" w:line="220"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Term Loans; Commitments</w:t>
      </w:r>
      <w:r>
        <w:rPr>
          <w:rFonts w:ascii="Times New Roman" w:cs="Times New Roman" w:eastAsia="Times New Roman" w:hAnsi="Times New Roman"/>
          <w:sz w:val="20"/>
          <w:szCs w:val="20"/>
          <w:color w:val="FF0000"/>
          <w:strike w:val="1"/>
        </w:rPr>
        <w:t>. Subject to the terms and conditions set forth herein, each Lender agrees to make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its Pro Rata Share of the Term Loans in Dollars to Borrowers on the Closing Date in an aggregate principal amount not to exceed its Commitment on the Closing Date. The Commitments shall terminate on the Closing Date following the funding to Borrowers in full in immediately available funds of the Term Loans.</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0000FF"/>
        </w:rPr>
        <w:t>.</w:t>
      </w:r>
    </w:p>
    <w:p>
      <w:pPr>
        <w:spacing w:after="0" w:line="216" w:lineRule="exact"/>
        <w:rPr>
          <w:sz w:val="20"/>
          <w:szCs w:val="20"/>
          <w:color w:val="auto"/>
        </w:rPr>
      </w:pPr>
    </w:p>
    <w:p>
      <w:pPr>
        <w:jc w:val="both"/>
        <w:ind w:left="740" w:right="20" w:firstLine="1494"/>
        <w:spacing w:after="0" w:line="246" w:lineRule="auto"/>
        <w:tabs>
          <w:tab w:leader="none" w:pos="2525" w:val="left"/>
        </w:tabs>
        <w:numPr>
          <w:ilvl w:val="0"/>
          <w:numId w:val="66"/>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Closing Date Term Loans. Each Lender with a Closing Date Commitment on the Closing Date made its Pro Rata Share of a term loans in Dollars to Borrowers on the Closing Date (each, a “Closing Date Term Loan”) in an aggregate principal amount equal to its Closing Date Commitment on the Closing Date. Upon the funding of its Closing Date Term Loan by each Lender on the Closing Date, the Closing Date Commitments of such Lender were satisfied in full and reduced to $0.</w:t>
      </w:r>
    </w:p>
    <w:p>
      <w:pPr>
        <w:spacing w:after="0" w:line="171" w:lineRule="exact"/>
        <w:rPr>
          <w:rFonts w:ascii="Times New Roman" w:cs="Times New Roman" w:eastAsia="Times New Roman" w:hAnsi="Times New Roman"/>
          <w:sz w:val="20"/>
          <w:szCs w:val="20"/>
          <w:color w:val="0000FF"/>
        </w:rPr>
      </w:pPr>
    </w:p>
    <w:p>
      <w:pPr>
        <w:jc w:val="both"/>
        <w:ind w:left="740" w:right="60" w:firstLine="1494"/>
        <w:spacing w:after="0" w:line="249" w:lineRule="auto"/>
        <w:tabs>
          <w:tab w:leader="none" w:pos="2525" w:val="left"/>
        </w:tabs>
        <w:numPr>
          <w:ilvl w:val="0"/>
          <w:numId w:val="66"/>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Amendment No. 1 Additional Term Loans. Each Lender with an Amendment No. 1 Additional Term Loan Commitment on the Amendment No. 1 Effective Date, severally agrees to make its Amendment No. 1 Additional Term Loan to Borrowers on the Amendment No. 1 Effective Date, in an aggregate principal amount equal to such Lender’s Amendment No. 1 Additional Term Loan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8" w:name="page59"/>
    <w:bookmarkEnd w:id="58"/>
    <w:p>
      <w:pPr>
        <w:ind w:left="740" w:right="200"/>
        <w:spacing w:after="0" w:line="269" w:lineRule="auto"/>
        <w:rPr>
          <w:sz w:val="20"/>
          <w:szCs w:val="20"/>
          <w:color w:val="auto"/>
        </w:rPr>
      </w:pPr>
      <w:r>
        <w:rPr>
          <w:rFonts w:ascii="Times New Roman" w:cs="Times New Roman" w:eastAsia="Times New Roman" w:hAnsi="Times New Roman"/>
          <w:sz w:val="20"/>
          <w:szCs w:val="20"/>
          <w:u w:val="single" w:color="auto"/>
          <w:color w:val="0000FF"/>
        </w:rPr>
        <w:t>Commitment as set forth on Annex B to Amendment No. 1, and which loan shall rank pari passu with, and have terms which are identical to the existing Closing Date Term Loans.</w:t>
      </w:r>
    </w:p>
    <w:p>
      <w:pPr>
        <w:spacing w:after="0" w:line="159" w:lineRule="exact"/>
        <w:rPr>
          <w:sz w:val="20"/>
          <w:szCs w:val="20"/>
          <w:color w:val="auto"/>
        </w:rPr>
      </w:pPr>
    </w:p>
    <w:p>
      <w:pPr>
        <w:ind w:left="740" w:firstLine="749"/>
        <w:spacing w:after="0" w:line="25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Repayment of Term Loans</w:t>
      </w:r>
      <w:r>
        <w:rPr>
          <w:rFonts w:ascii="Times New Roman" w:cs="Times New Roman" w:eastAsia="Times New Roman" w:hAnsi="Times New Roman"/>
          <w:sz w:val="20"/>
          <w:szCs w:val="20"/>
          <w:color w:val="auto"/>
        </w:rPr>
        <w:t>. The outstanding unpaid principal balance and all accrued and unpaid interest on the Term Loans shall be due and payable on the earlier of (i) the Maturity Date, and</w:t>
      </w:r>
    </w:p>
    <w:p>
      <w:pPr>
        <w:spacing w:after="0" w:line="2" w:lineRule="exact"/>
        <w:rPr>
          <w:sz w:val="20"/>
          <w:szCs w:val="20"/>
          <w:color w:val="auto"/>
        </w:rPr>
      </w:pPr>
    </w:p>
    <w:p>
      <w:pPr>
        <w:jc w:val="both"/>
        <w:ind w:left="740" w:right="60" w:hanging="3"/>
        <w:spacing w:after="0" w:line="242" w:lineRule="auto"/>
        <w:tabs>
          <w:tab w:leader="none" w:pos="105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acceleration of the Term Loans in accordance with the terms hereof. Any principal amount of the Term Loans that is repaid or prepaid may not be reborrowed. All principal of, interest on, and other amounts payable in respect of the Term Loans shall constitute Obligations hereunder.</w:t>
      </w:r>
    </w:p>
    <w:p>
      <w:pPr>
        <w:spacing w:after="0" w:line="187"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Amortization of Term Loans</w:t>
      </w:r>
      <w:r>
        <w:rPr>
          <w:rFonts w:ascii="Times New Roman" w:cs="Times New Roman" w:eastAsia="Times New Roman" w:hAnsi="Times New Roman"/>
          <w:sz w:val="19"/>
          <w:szCs w:val="19"/>
          <w:color w:val="0000FF"/>
        </w:rPr>
        <w:t>.</w:t>
      </w:r>
    </w:p>
    <w:p>
      <w:pPr>
        <w:spacing w:after="0" w:line="216" w:lineRule="exact"/>
        <w:rPr>
          <w:sz w:val="20"/>
          <w:szCs w:val="20"/>
          <w:color w:val="auto"/>
        </w:rPr>
      </w:pPr>
    </w:p>
    <w:p>
      <w:pPr>
        <w:jc w:val="both"/>
        <w:ind w:left="740" w:right="40" w:firstLine="1494"/>
        <w:spacing w:after="0" w:line="246" w:lineRule="auto"/>
        <w:tabs>
          <w:tab w:leader="none" w:pos="25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Closing Date Term Loans</w:t>
      </w:r>
      <w:r>
        <w:rPr>
          <w:rFonts w:ascii="Times New Roman" w:cs="Times New Roman" w:eastAsia="Times New Roman" w:hAnsi="Times New Roman"/>
          <w:sz w:val="20"/>
          <w:szCs w:val="20"/>
          <w:color w:val="000000"/>
        </w:rPr>
        <w:t>. The outstanding principal amount of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Closing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 Loans 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repaid in quarterly installments on the first day of each calendar quarter (subject to </w:t>
      </w:r>
      <w:r>
        <w:rPr>
          <w:rFonts w:ascii="Times New Roman" w:cs="Times New Roman" w:eastAsia="Times New Roman" w:hAnsi="Times New Roman"/>
          <w:sz w:val="20"/>
          <w:szCs w:val="20"/>
          <w:u w:val="single" w:color="auto"/>
          <w:color w:val="000000"/>
        </w:rPr>
        <w:t>Section 5.1(a)</w:t>
      </w:r>
      <w:r>
        <w:rPr>
          <w:rFonts w:ascii="Times New Roman" w:cs="Times New Roman" w:eastAsia="Times New Roman" w:hAnsi="Times New Roman"/>
          <w:sz w:val="20"/>
          <w:szCs w:val="20"/>
          <w:color w:val="000000"/>
        </w:rPr>
        <w:t>) as follows: (i) on each of January 1, 2025, April 1, 2025, July 1, 2025 and October 1, 2025, in an amount equal to $1,875,000, (ii) on January 1, 2026 and on the first day of each calendar quarter thereafter, in an amount equal to $3,750,000, and (iii) on the Maturity Date, in the amount necessary to repay in full the unpaid principal amount of the Term Loans and all other outstanding Obligations.</w:t>
      </w:r>
    </w:p>
    <w:p>
      <w:pPr>
        <w:spacing w:after="0" w:line="171" w:lineRule="exact"/>
        <w:rPr>
          <w:rFonts w:ascii="Times New Roman" w:cs="Times New Roman" w:eastAsia="Times New Roman" w:hAnsi="Times New Roman"/>
          <w:sz w:val="20"/>
          <w:szCs w:val="20"/>
          <w:color w:val="auto"/>
        </w:rPr>
      </w:pPr>
    </w:p>
    <w:p>
      <w:pPr>
        <w:jc w:val="both"/>
        <w:ind w:left="740" w:right="40" w:firstLine="1494"/>
        <w:spacing w:after="0" w:line="246" w:lineRule="auto"/>
        <w:tabs>
          <w:tab w:leader="none" w:pos="25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Amendment No. 1 Additional Term Loans. The outstanding principal amount of the Amendment No. 1 Additional Term Loans shall be repaid in quarterly installments on the first day of each calendar quarter (subject to Section 5.1(a)) as follows: (i) on April 1, 2025 and on the first day of each calendar quarter thereafter, in an amount equal to $1,250,000, and (ii) on the Maturity Date, in the amount necessary to repay in full the unpaid principal amount of the Amendment No. 1 Additional Term Loans and all other outstanding Obligations.</w:t>
      </w:r>
    </w:p>
    <w:p>
      <w:pPr>
        <w:spacing w:after="0" w:line="185"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14.12.</w:t>
      </w:r>
      <w:r>
        <w:rPr>
          <w:sz w:val="20"/>
          <w:szCs w:val="20"/>
          <w:color w:val="auto"/>
        </w:rPr>
        <w:tab/>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60" w:firstLine="1494"/>
        <w:spacing w:after="0" w:line="244" w:lineRule="auto"/>
        <w:tabs>
          <w:tab w:leader="none" w:pos="252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the Term Loans, Administrative Borrower shall make a request for such Term Loans through Agent’s electronic platform or portal established for such purpose (or in such other manner as is acceptable to Agent) prior to 11:00 a.m. New York time three (3) Business Days prior to the date of the proposed Term Loans, which shall all be SOFR Loans. Each such request shall be irrevocable. All requests which are not made through Agent’s electronic platform or portal shall be subject to (and unless Agent elects otherwise in the exercise of its sole discretion, such Loans shall not be made until the completion of) Agent’s authentication process (with results satisfactory to Agent) prior to the funding of any such requested Loan. Each such request shall specify the following information:</w:t>
      </w:r>
    </w:p>
    <w:p>
      <w:pPr>
        <w:spacing w:after="0" w:line="172"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Term Loans;</w:t>
      </w:r>
    </w:p>
    <w:p>
      <w:pPr>
        <w:spacing w:after="0" w:line="215"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Term Loans, which shall be the Closing Date; and</w:t>
      </w:r>
    </w:p>
    <w:p>
      <w:pPr>
        <w:spacing w:after="0" w:line="215" w:lineRule="exact"/>
        <w:rPr>
          <w:rFonts w:ascii="Times New Roman" w:cs="Times New Roman" w:eastAsia="Times New Roman" w:hAnsi="Times New Roman"/>
          <w:sz w:val="20"/>
          <w:szCs w:val="20"/>
          <w:color w:val="auto"/>
        </w:rPr>
      </w:pPr>
    </w:p>
    <w:p>
      <w:pPr>
        <w:jc w:val="both"/>
        <w:ind w:left="740" w:firstLine="2243"/>
        <w:spacing w:after="0" w:line="254" w:lineRule="auto"/>
        <w:tabs>
          <w:tab w:leader="none" w:pos="353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deposit account of a Borrower specified on </w:t>
      </w:r>
      <w:r>
        <w:rPr>
          <w:rFonts w:ascii="Times New Roman" w:cs="Times New Roman" w:eastAsia="Times New Roman" w:hAnsi="Times New Roman"/>
          <w:sz w:val="20"/>
          <w:szCs w:val="20"/>
          <w:u w:val="single" w:color="auto"/>
          <w:color w:val="auto"/>
        </w:rPr>
        <w:t>Schedule 7.10</w:t>
      </w:r>
      <w:r>
        <w:rPr>
          <w:rFonts w:ascii="Times New Roman" w:cs="Times New Roman" w:eastAsia="Times New Roman" w:hAnsi="Times New Roman"/>
          <w:sz w:val="20"/>
          <w:szCs w:val="20"/>
          <w:color w:val="auto"/>
        </w:rPr>
        <w:t xml:space="preserve"> to disburse such proceeds or any other account with Agent that shall be specified in a written notice signed by a Responsible Officer of a Borrower and delivered to and approved by Agent.</w:t>
      </w:r>
    </w:p>
    <w:p>
      <w:pPr>
        <w:spacing w:after="0" w:line="174"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under this Agreement shall be conclusively presumed to have been made to, and at the request of and for the benefit of, a Borrower when deposited to the credit of Borrower or otherwise disbursed or established in accordance with the instructions of a Borrower or in accordance with the terms and conditions of this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59" w:name="page60"/>
    <w:bookmarkEnd w:id="59"/>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14.13.</w:t>
      </w:r>
      <w:r>
        <w:rPr>
          <w:sz w:val="20"/>
          <w:szCs w:val="20"/>
          <w:color w:val="auto"/>
        </w:rPr>
        <w:tab/>
      </w:r>
      <w:r>
        <w:rPr>
          <w:rFonts w:ascii="Times New Roman" w:cs="Times New Roman" w:eastAsia="Times New Roman" w:hAnsi="Times New Roman"/>
          <w:sz w:val="19"/>
          <w:szCs w:val="19"/>
          <w:u w:val="single" w:color="auto"/>
          <w:color w:val="auto"/>
        </w:rPr>
        <w:t>Disbursement of Funds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2" w:lineRule="auto"/>
        <w:tabs>
          <w:tab w:leader="none" w:pos="25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notify Lenders by telecopy, telephone, e-mail or other electronic form of transmission of the requested Term Loans on the Business Day that is one Business Day prior to the requested date for such Term Loans to be made. If Agent has notified Lenders of the requested Term Loans in accordance with the immediately preceding sentence, then each Lender shall make the amount of such Lender’s Pro Rata Share of the requested Term Loans available to Agent in immediately available funds, to the Agent Payment Account, not later than 10:00 a.m. on the Business Day that is the requested date for such Term Loans to be made. After Agent’s receipt of the proceeds of such Term Loans from Lenders, Agent shall make the proceeds thereof available to the applicable Borrower (or Administrative Borrower on behalf of such Borrower) on the Business Day requested for such Term Loans by transferring immediately available funds equal to such proceeds received by Agent to the applicable deposit account of such Borrower or Administrative Borrower, or as otherwise agreed in writing.</w:t>
      </w:r>
    </w:p>
    <w:p>
      <w:pPr>
        <w:spacing w:after="0" w:line="192" w:lineRule="exact"/>
        <w:rPr>
          <w:rFonts w:ascii="Times New Roman" w:cs="Times New Roman" w:eastAsia="Times New Roman" w:hAnsi="Times New Roman"/>
          <w:sz w:val="20"/>
          <w:szCs w:val="20"/>
          <w:color w:val="auto"/>
        </w:rPr>
      </w:pPr>
    </w:p>
    <w:p>
      <w:pPr>
        <w:jc w:val="both"/>
        <w:ind w:left="740" w:firstLine="1494"/>
        <w:spacing w:after="0" w:line="263" w:lineRule="auto"/>
        <w:tabs>
          <w:tab w:leader="none" w:pos="252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Lenders under this Agreement to make its Pro Rata Share of the Term Loans are several and are not joint or joint and several. The failure of any Lender to make available its Pro Rata Share of the Term Loans requested by any Borrower shall not relieve it or any other Lender of its obligation, if any, hereunder to make its Pro Rata Share of such Term Loans available on the date requested for such Term Loans, but no Lender shall be responsible for the failure of any other Lender to make its Pro Rata Share of such Term Loans available on the requested date of the Term Loans.</w:t>
      </w:r>
    </w:p>
    <w:p>
      <w:pPr>
        <w:spacing w:after="0" w:line="153"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14.14.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4" w:lineRule="exact"/>
        <w:rPr>
          <w:sz w:val="20"/>
          <w:szCs w:val="20"/>
          <w:color w:val="auto"/>
        </w:rPr>
      </w:pPr>
    </w:p>
    <w:p>
      <w:pPr>
        <w:jc w:val="both"/>
        <w:ind w:left="740" w:right="40" w:firstLine="1494"/>
        <w:spacing w:after="0" w:line="254" w:lineRule="auto"/>
        <w:tabs>
          <w:tab w:leader="none" w:pos="252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0" w:right="20" w:firstLine="1494"/>
        <w:spacing w:after="0" w:line="257" w:lineRule="auto"/>
        <w:tabs>
          <w:tab w:leader="none" w:pos="2525"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not be obligated to transfer to such Defaulting Lender any payments made by any Borrower to Agent for such Defaulting Lender’s benefit, and, in the absence of such transfer to such Defaulting Lender, Agent shall transfer any such payments to each other non-Defaulting Lender ratably in accordance with their Pro Rata Shares (without giving effect to the Pro Rata Shares of such Defaulting Lender) (but only to the extent that such Defaulting Lender’s Term Loans were funded by the other Lenders) or, if so directed by Administrative Borrower and if no Default or Event of Default has occurred and is continuing (and to the extent such Defaulting Lender’s Term Loans were not funded by the other Lenders), retain the same to be re-advanced to the Borrowers as if such Defaulting Lender had made such Term Loans to Borrowers. Subject to the foregoing, Agent may hold and, in its discretion, re-lend to the Borrowers for the account of such Defaulting Lender the amount of all such payments received and retained by Agent for the account of such Defaulting Lender.</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3. INTEREST AND FEES</w:t>
      </w:r>
    </w:p>
    <w:p>
      <w:pPr>
        <w:spacing w:after="0" w:line="22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u w:val="single" w:color="auto"/>
          <w:color w:val="auto"/>
        </w:rPr>
        <w:t>Rates and Payment of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40" w:firstLine="1494"/>
        <w:spacing w:after="0" w:line="249" w:lineRule="auto"/>
        <w:tabs>
          <w:tab w:leader="none" w:pos="252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Loans shall bear interest at Term SOFR as in effect from time to time plus the Applicable Margin for SOFR Loans, except as otherwise provided herein. Base Rate Loans (if applicable) shall bear interest at the Base Rate as in effect from time to time plus the Applicable Margin for Base Rate Loans. All other Obligations (including, to the extent permitted by law, interest not paid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60" w:name="page61"/>
    <w:bookmarkEnd w:id="60"/>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when due) shall bear interest at Term SOFR as in effect from time to time plus the Applicable Margin for SOFR Loans. At any time an Event of Default has occurred and is continuing, Obligations shall bear interest at the Default Rate (whether before or after any judgment).</w:t>
      </w:r>
    </w:p>
    <w:p>
      <w:pPr>
        <w:spacing w:after="0" w:line="174" w:lineRule="exact"/>
        <w:rPr>
          <w:sz w:val="20"/>
          <w:szCs w:val="20"/>
          <w:color w:val="auto"/>
        </w:rPr>
      </w:pPr>
    </w:p>
    <w:p>
      <w:pPr>
        <w:jc w:val="both"/>
        <w:ind w:left="740" w:right="20" w:firstLine="1494"/>
        <w:spacing w:after="0" w:line="243" w:lineRule="auto"/>
        <w:tabs>
          <w:tab w:leader="none" w:pos="252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accrue from the date a Loan is made or Obligation is incurred or payable until paid in full by a Borrower. If a Loan is repaid on the same day made, one day’s interest shall accrue. Interest accrued on the Loans shall be due and payable in arrears, (i) (x) in the case of Base Rate Loans, on the first day (subject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of each calendar month and (y) in the case of SOFR Loans, on the last day of the respective Interest Period for such advance and, if any Interest Period is longer than three (3) months, then also on the three (3) month anniversary of such Interest Period and every three (3) months thereafter, and (ii) on the Termination Date. Interest accrued on any other Obligations shall be due and payable as provided in the Loan Documents and, if no payment date is specified, shall be due and payable on earlier of the first day (subject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of the calendar month after incurred or demand or the Termination Date. Notwithstanding the foregoing, interest accrued at the Default Rate shall be due and payable on demand.</w:t>
      </w:r>
    </w:p>
    <w:p>
      <w:pPr>
        <w:spacing w:after="0" w:line="172"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Interest and fees calculated on a per annum basis shall be calculated on the basis of a 360-day year and actual days elapsed. The interest rate on non-contingent Obligations shall increase or decrease by an amount equal to each increase or decrease in SOFR in the case of SOFR Loans effective on the date of any change in SOFR, and if at any time there are Base Rate Loans, an amount equal to each increase or decrease in the Base Rate effective on the date of any change in the Base Rate. Each determination by Agent of any interest, fees or interest rate hereunder shall be final, conclusive and binding for all purposes, absent manifest error. All fees shall be fully earned when due and shall not be subject to rebate, refund or proration.</w:t>
      </w:r>
    </w:p>
    <w:p>
      <w:pPr>
        <w:spacing w:after="0" w:line="18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Additional Fees</w:t>
      </w:r>
      <w:r>
        <w:rPr>
          <w:rFonts w:ascii="Times New Roman" w:cs="Times New Roman" w:eastAsia="Times New Roman" w:hAnsi="Times New Roman"/>
          <w:sz w:val="20"/>
          <w:szCs w:val="20"/>
          <w:color w:val="auto"/>
        </w:rPr>
        <w:t>. Borrowers shall pay to Agent the other fees and amounts set forth in the Fee Letter in the amounts and at the times specified therein or as has otherwise been agreed by or on behalf of Borrowers. To the extent payment in full of the applicable fee is received by Agent from Borrowers on or about the date hereof, Agent shall pay to each Lender its share of such fees in accordance with the terms of the arrangements of Agent with such Lender.</w:t>
      </w:r>
    </w:p>
    <w:p>
      <w:pPr>
        <w:spacing w:after="0" w:line="16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Notwithstanding anything to the contrary contained herein, if (a) any Change in Law makes it unlawful for Agent or any Lender to make or maintain a SOFR Loan or to maintain any Commitment with respect to a SOFR Loan or (b) Agent or any Lender determines in good faith (which determination shall, absent manifest error, be final and conclusive and binding upon all parties hereto) that it has become impracticable as a result of a circumstance that adversely affects the applicable interbank market or the position of Agent or such Lender in such market, then Agent or such Lender, as the case may be, shall give notice thereof to Administrative Borrower and may require that all outstanding SOFR Loans made by Agent or such Lender be converted to Base Rate Loans immediately, in which event all outstanding SOFR Loans shall be so converted.</w:t>
      </w:r>
    </w:p>
    <w:p>
      <w:pPr>
        <w:spacing w:after="0" w:line="189"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Compensation for Losses</w:t>
      </w:r>
      <w:r>
        <w:rPr>
          <w:rFonts w:ascii="Times New Roman" w:cs="Times New Roman" w:eastAsia="Times New Roman" w:hAnsi="Times New Roman"/>
          <w:sz w:val="20"/>
          <w:szCs w:val="20"/>
          <w:color w:val="auto"/>
        </w:rPr>
        <w:t xml:space="preserve">. In the event of (a) the payment or prepayment of any principal of any SOFR Loan other than on the date on which payments of interest on SOFR Loans are due and payable </w:t>
      </w:r>
      <w:r>
        <w:rPr>
          <w:rFonts w:ascii="Times New Roman" w:cs="Times New Roman" w:eastAsia="Times New Roman" w:hAnsi="Times New Roman"/>
          <w:sz w:val="20"/>
          <w:szCs w:val="20"/>
          <w:u w:val="single" w:color="auto"/>
          <w:color w:val="auto"/>
        </w:rPr>
        <w:t>pursuant</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therefor (such date, the “</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whether voluntary, mandatory, automatic, by reason of acceleration (including as a result of an Event of Default),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61" w:name="page62"/>
    <w:bookmarkEnd w:id="61"/>
    <w:p>
      <w:pPr>
        <w:jc w:val="both"/>
        <w:ind w:left="740" w:hanging="5"/>
        <w:spacing w:after="0" w:line="243" w:lineRule="auto"/>
        <w:tabs>
          <w:tab w:leader="none" w:pos="103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conversion of any SOFR Loan other than on the Interest Payment Date therefor (including as a result of an Event of Default), (c) the failure to borrow, convert or prepay any SOFR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on the date specified in any notice delivered pursuant hereto, or (d) the assignment of any SOFR Loan other than on the Interest Payment Date therefor or maturity date applicable thereto as a result of a request by Borrowers pursuant to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 then, in any such event, Borrowers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Administrative Borrower and shall be conclusive absent manifest error. Borrowers shall pay such Lender the amount shown as due on any such certificate within 10 days after receipt thereof.</w:t>
      </w:r>
    </w:p>
    <w:p>
      <w:pPr>
        <w:spacing w:after="0" w:line="18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13.13.</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 If any Change in Law shall:</w:t>
      </w:r>
    </w:p>
    <w:p>
      <w:pPr>
        <w:spacing w:after="0" w:line="216" w:lineRule="exact"/>
        <w:rPr>
          <w:sz w:val="20"/>
          <w:szCs w:val="20"/>
          <w:color w:val="auto"/>
        </w:rPr>
      </w:pPr>
    </w:p>
    <w:p>
      <w:pPr>
        <w:jc w:val="both"/>
        <w:ind w:left="740" w:right="40" w:firstLine="1494"/>
        <w:spacing w:after="0" w:line="254" w:lineRule="auto"/>
        <w:tabs>
          <w:tab w:leader="none" w:pos="252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Agent or a Lender;</w:t>
      </w:r>
    </w:p>
    <w:p>
      <w:pPr>
        <w:spacing w:after="0" w:line="160"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Agent or any Lender to any tax of any kind whatsoever with respect to this Agreement or any SOFR Loan made by it, or change the basis of taxation of payments to Agent, or any Lender in respect thereof (except for Indemnified Taxes or Excluded Taxes, or any change in the rate of, any Taxes payable by Agent, or any Lender described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or</w:t>
      </w:r>
    </w:p>
    <w:p>
      <w:pPr>
        <w:spacing w:after="0" w:line="179" w:lineRule="exact"/>
        <w:rPr>
          <w:rFonts w:ascii="Times New Roman" w:cs="Times New Roman" w:eastAsia="Times New Roman" w:hAnsi="Times New Roman"/>
          <w:sz w:val="20"/>
          <w:szCs w:val="20"/>
          <w:color w:val="auto"/>
        </w:rPr>
      </w:pPr>
    </w:p>
    <w:p>
      <w:pPr>
        <w:jc w:val="both"/>
        <w:ind w:left="740" w:right="20" w:firstLine="1494"/>
        <w:spacing w:after="0" w:line="244" w:lineRule="auto"/>
        <w:tabs>
          <w:tab w:leader="none" w:pos="252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Agent, or any Lender or the applicable interbank market any other condition, cost or expense affecting this Agreement or SOFR Loans made by Agent, or any Lender or participation therein, and the result of any of the foregoing shall be to increase the cost to any Lender of making or maintaining any SOFR Loan (or of maintaining its obligation to make any such SOFR Loan), or to reduce the amount of any sum received or receivable by Agent, or any Lender hereunder (whether of principal, interest or any other amount) then, upon the request of Agent, or any Lender, Borrowers will pay to Agent, or such Lender, as the case may be, such additional amount or amounts as will compensate Agent, or such Lender, as the case may be, for such additional costs incurred or reduction suffered.</w:t>
      </w:r>
    </w:p>
    <w:p>
      <w:pPr>
        <w:spacing w:after="0" w:line="200" w:lineRule="exact"/>
        <w:rPr>
          <w:sz w:val="20"/>
          <w:szCs w:val="20"/>
          <w:color w:val="auto"/>
        </w:rPr>
      </w:pPr>
    </w:p>
    <w:p>
      <w:pPr>
        <w:spacing w:after="0" w:line="229" w:lineRule="exact"/>
        <w:rPr>
          <w:sz w:val="20"/>
          <w:szCs w:val="20"/>
          <w:color w:val="auto"/>
        </w:rPr>
      </w:pPr>
    </w:p>
    <w:p>
      <w:pPr>
        <w:jc w:val="both"/>
        <w:ind w:left="740"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13.14. </w:t>
      </w: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 Lender determines that any Change in Law affecting such Lender or any lending office of such Lender or Lender’s holding company, if any, regarding capital requirements has or would have the effect of reducing the rate of return on such Lender’s capital or on the capital of such Lender’s holding company, if any, as a consequence of this Agreement, the Commitment of such Lender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Borrowers will pay to such Lender such additional amount or amounts as will compensate such Lender or such Lender’s holding company for any such reduction suffered.</w:t>
      </w:r>
    </w:p>
    <w:p>
      <w:pPr>
        <w:spacing w:after="0" w:line="162" w:lineRule="exact"/>
        <w:rPr>
          <w:sz w:val="20"/>
          <w:szCs w:val="20"/>
          <w:color w:val="auto"/>
        </w:rPr>
      </w:pPr>
    </w:p>
    <w:p>
      <w:pPr>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13.15. </w:t>
      </w: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and delivered to Administrative Borrower shall be conclusive absent manifest error. Borrowers shall pay such Lender the amount shown as due on any such certificate within fifteen (15) days after receipt thereof.</w:t>
      </w:r>
    </w:p>
    <w:p>
      <w:pPr>
        <w:spacing w:after="0" w:line="180"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13.16. </w:t>
      </w:r>
      <w:r>
        <w:rPr>
          <w:rFonts w:ascii="Times New Roman" w:cs="Times New Roman" w:eastAsia="Times New Roman" w:hAnsi="Times New Roman"/>
          <w:sz w:val="20"/>
          <w:szCs w:val="20"/>
          <w:u w:val="single" w:color="auto"/>
          <w:color w:val="auto"/>
        </w:rPr>
        <w:t>Delay in Request</w:t>
      </w:r>
      <w:r>
        <w:rPr>
          <w:rFonts w:ascii="Times New Roman" w:cs="Times New Roman" w:eastAsia="Times New Roman" w:hAnsi="Times New Roman"/>
          <w:sz w:val="20"/>
          <w:szCs w:val="20"/>
          <w:color w:val="auto"/>
        </w:rPr>
        <w:t xml:space="preserve">. Failure or delay on the part of a Lender to demand compensation pursuant to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Borrower shall not be required to compensate such Lender pursuant 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62" w:name="page63"/>
    <w:bookmarkEnd w:id="62"/>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this Section for any increased costs incurred or reductions occurring more than one hundred eighty (180) days prior to the date that such Lender becomes aware of the event giving rise to such Lender’s claim for compensation therefor (except that, if the Change in Law giving rise to such increased costs or reductions is retroactive, then the one hundred eighty (180) day period referred to above shall be extended to include the period of retroactive effect thereof).</w:t>
      </w:r>
    </w:p>
    <w:p>
      <w:pPr>
        <w:spacing w:after="0" w:line="180" w:lineRule="exact"/>
        <w:rPr>
          <w:sz w:val="20"/>
          <w:szCs w:val="20"/>
          <w:color w:val="auto"/>
        </w:rPr>
      </w:pPr>
    </w:p>
    <w:p>
      <w:pPr>
        <w:jc w:val="both"/>
        <w:ind w:left="740" w:right="6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13.17. </w:t>
      </w:r>
      <w:r>
        <w:rPr>
          <w:rFonts w:ascii="Times New Roman" w:cs="Times New Roman" w:eastAsia="Times New Roman" w:hAnsi="Times New Roman"/>
          <w:sz w:val="20"/>
          <w:szCs w:val="20"/>
          <w:u w:val="single" w:color="auto"/>
          <w:color w:val="auto"/>
        </w:rPr>
        <w:t>Maximum Interest</w:t>
      </w:r>
      <w:r>
        <w:rPr>
          <w:rFonts w:ascii="Times New Roman" w:cs="Times New Roman" w:eastAsia="Times New Roman" w:hAnsi="Times New Roman"/>
          <w:sz w:val="20"/>
          <w:szCs w:val="20"/>
          <w:color w:val="auto"/>
        </w:rPr>
        <w:t>. Notwithstanding anything to the contrary contained in this Agreement or any of the other Loan Documents, in no event whatsoever shall the aggregate of all amounts that are contracted for, charged or received by Agent or any Lender pursuant to the terms of this Agreement or any of the other Loan Documents and that are deemed interest under Applicable Law exceed the Maximum Interest Rate (including, to the extent applicable, the provisions of Section 5197 of the Revised Statutes of the United States of America as amended, 12 U.S.C. Section 85, as amended). In the event any interest is charged or received in excess of the Maximum Interest Rate (“</w:t>
      </w:r>
      <w:r>
        <w:rPr>
          <w:rFonts w:ascii="Times New Roman" w:cs="Times New Roman" w:eastAsia="Times New Roman" w:hAnsi="Times New Roman"/>
          <w:sz w:val="20"/>
          <w:szCs w:val="20"/>
          <w:u w:val="single" w:color="auto"/>
          <w:color w:val="auto"/>
        </w:rPr>
        <w:t>Excess</w:t>
      </w:r>
      <w:r>
        <w:rPr>
          <w:rFonts w:ascii="Times New Roman" w:cs="Times New Roman" w:eastAsia="Times New Roman" w:hAnsi="Times New Roman"/>
          <w:sz w:val="20"/>
          <w:szCs w:val="20"/>
          <w:color w:val="auto"/>
        </w:rPr>
        <w:t>”), each Borrower acknowledges and stipulates that any such charge or receipt shall be the result of an accident and bona fide error, and that any Excess received by Agent or any Lender shall be applied, first, to the payment of the then outstanding and unpaid principal hereunder; second to the payment of the other Obligations then outstanding and unpaid; and third, returned to a Borrower. All monies paid to Agent or any Lender hereunder or under any of the other Loan Documents, whether at maturity or by prepayment, shall be subject to any rebate of unearned interest as and to the extent required by Applicable Law.</w:t>
      </w:r>
    </w:p>
    <w:p>
      <w:pPr>
        <w:spacing w:after="0" w:line="17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13.18. </w:t>
      </w:r>
      <w:r>
        <w:rPr>
          <w:rFonts w:ascii="Times New Roman" w:cs="Times New Roman" w:eastAsia="Times New Roman" w:hAnsi="Times New Roman"/>
          <w:sz w:val="20"/>
          <w:szCs w:val="20"/>
          <w:u w:val="single" w:color="auto"/>
          <w:color w:val="auto"/>
        </w:rPr>
        <w:t>Term SOFR Conforming Changes</w:t>
      </w:r>
      <w:r>
        <w:rPr>
          <w:rFonts w:ascii="Times New Roman" w:cs="Times New Roman" w:eastAsia="Times New Roman" w:hAnsi="Times New Roman"/>
          <w:sz w:val="20"/>
          <w:szCs w:val="20"/>
          <w:color w:val="auto"/>
        </w:rPr>
        <w:t>. In connection with the use or administration of Term SOFR, Agent shall have the right to make Conforming Changes from time to time and, notwithstanding anything to the contrary herein or in any other Loan Document, any amendments implementing such Conforming Changes will become effective without any further action or consent of Borrowers or any other party to any other Loan Document. Agent shall promptly notify Administrative Borrower of the effectiveness of any Conforming Changes in connection with the use or administration of Term SOFR.</w:t>
      </w:r>
    </w:p>
    <w:p>
      <w:pPr>
        <w:spacing w:after="0" w:line="185"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13.19. </w:t>
      </w: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 Notwithstanding anything to the contrary herein or in any other Loan Document:</w:t>
      </w:r>
    </w:p>
    <w:p>
      <w:pPr>
        <w:spacing w:after="0" w:line="159" w:lineRule="exact"/>
        <w:rPr>
          <w:sz w:val="20"/>
          <w:szCs w:val="20"/>
          <w:color w:val="auto"/>
        </w:rPr>
      </w:pPr>
    </w:p>
    <w:p>
      <w:pPr>
        <w:jc w:val="both"/>
        <w:ind w:left="740" w:firstLine="1494"/>
        <w:spacing w:after="0" w:line="256" w:lineRule="auto"/>
        <w:tabs>
          <w:tab w:leader="none" w:pos="2526"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Replacing Benchmarks</w:t>
      </w:r>
      <w:r>
        <w:rPr>
          <w:rFonts w:ascii="Times New Roman" w:cs="Times New Roman" w:eastAsia="Times New Roman" w:hAnsi="Times New Roman"/>
          <w:sz w:val="19"/>
          <w:szCs w:val="19"/>
          <w:color w:val="auto"/>
        </w:rPr>
        <w:t>. Upon the occurrence of a Benchmark Transition Event, the Benchmark Replacement will replace the then-current Benchmark for all purposes hereunder and under any Loan Document in respect of any Benchmark setting at or after 5:00 p.m. on the tenth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Business Day after the date notice of such Benchmark Replacement is provided to Administrative Borrower without any amendment to this Agreement or any other Loan Document, or further action or consent of Borrowers.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Borrowers may revoke any request for a borrowing of, or continuation of advances to be made or continued that would bear interest by reference to such Benchmark until Administrative Borrower’s receipt of notice from Agent that a Benchmark Replacement has replaced such Benchmark, and, failing that, Borrowers will be deemed to have converted any such request into a request for a borrowing of or conversion to advances bearing interest at the Prime Rate.</w:t>
      </w:r>
    </w:p>
    <w:p>
      <w:pPr>
        <w:spacing w:after="0" w:line="160" w:lineRule="exact"/>
        <w:rPr>
          <w:rFonts w:ascii="Times New Roman" w:cs="Times New Roman" w:eastAsia="Times New Roman" w:hAnsi="Times New Roman"/>
          <w:sz w:val="19"/>
          <w:szCs w:val="19"/>
          <w:color w:val="auto"/>
        </w:rPr>
      </w:pPr>
    </w:p>
    <w:p>
      <w:pPr>
        <w:jc w:val="both"/>
        <w:ind w:left="740" w:right="40" w:firstLine="1494"/>
        <w:spacing w:after="0" w:line="247" w:lineRule="auto"/>
        <w:tabs>
          <w:tab w:leader="none" w:pos="252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Rate Conversion</w:t>
      </w:r>
      <w:r>
        <w:rPr>
          <w:rFonts w:ascii="Times New Roman" w:cs="Times New Roman" w:eastAsia="Times New Roman" w:hAnsi="Times New Roman"/>
          <w:sz w:val="20"/>
          <w:szCs w:val="20"/>
          <w:color w:val="auto"/>
        </w:rPr>
        <w:t>. At any time following the effectiveness of a Benchmark Replacement in accordance with this Section, Agent shall have the right, by providing written notice to Administrative Borrower, to convert the then-current Benchmark to a different Alternative Rate in accordance with and subject to the conditions set forth in clause</w:t>
      </w:r>
    </w:p>
    <w:p>
      <w:pPr>
        <w:ind w:left="1020" w:hanging="28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“Benchmark Replacement.” Such Alternative Rate shall be deemed to be a “Benchmark Replacement”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63" w:name="page64"/>
    <w:bookmarkEnd w:id="63"/>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hereunder and will replace the then-current Benchmark for all purposes hereunder and under any Loan Document in respect of any Benchmark setting at or after 5:00 p.m. on the tenth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Benchmark Replacement is provided to Administrative Borrower without any amendment to this Agreement or any other Loan Document, or further action or consent of Borrower.</w:t>
      </w:r>
    </w:p>
    <w:p>
      <w:pPr>
        <w:spacing w:after="0" w:line="180" w:lineRule="exact"/>
        <w:rPr>
          <w:sz w:val="20"/>
          <w:szCs w:val="20"/>
          <w:color w:val="auto"/>
        </w:rPr>
      </w:pPr>
    </w:p>
    <w:p>
      <w:pPr>
        <w:jc w:val="both"/>
        <w:ind w:left="740" w:right="40" w:firstLine="1494"/>
        <w:spacing w:after="0" w:line="246" w:lineRule="auto"/>
        <w:tabs>
          <w:tab w:leader="none" w:pos="25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implementation and administration of a Benchmark Replacement,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such other Loan Document.</w:t>
      </w:r>
    </w:p>
    <w:p>
      <w:pPr>
        <w:spacing w:after="0" w:line="184" w:lineRule="exact"/>
        <w:rPr>
          <w:rFonts w:ascii="Times New Roman" w:cs="Times New Roman" w:eastAsia="Times New Roman" w:hAnsi="Times New Roman"/>
          <w:sz w:val="20"/>
          <w:szCs w:val="20"/>
          <w:color w:val="auto"/>
        </w:rPr>
      </w:pPr>
    </w:p>
    <w:p>
      <w:pPr>
        <w:jc w:val="both"/>
        <w:ind w:left="740" w:right="40" w:firstLine="1494"/>
        <w:spacing w:after="0" w:line="244" w:lineRule="auto"/>
        <w:tabs>
          <w:tab w:leader="none" w:pos="25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Agent will promptly notify Administrative Borrower of (i) the implementation of any Benchmark Replacement and (ii) the effectiveness of any Conforming Changes;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any failure to so notify will not affect Agent’s rights hereunder. Any determination, decision or election that may be made by Agent pursuant to this Section, including any determination with respect to a tenor, rate or adjustment or of the occurrence or non- 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w:t>
      </w:r>
    </w:p>
    <w:p>
      <w:pPr>
        <w:spacing w:after="0" w:line="172" w:lineRule="exact"/>
        <w:rPr>
          <w:rFonts w:ascii="Times New Roman" w:cs="Times New Roman" w:eastAsia="Times New Roman" w:hAnsi="Times New Roman"/>
          <w:sz w:val="20"/>
          <w:szCs w:val="20"/>
          <w:color w:val="auto"/>
        </w:rPr>
      </w:pPr>
    </w:p>
    <w:p>
      <w:pPr>
        <w:jc w:val="both"/>
        <w:ind w:left="740" w:right="20" w:firstLine="1494"/>
        <w:spacing w:after="0" w:line="246" w:lineRule="auto"/>
        <w:tabs>
          <w:tab w:leader="none" w:pos="252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At any time (including in connection with the implementation of a Benchmark Replacement), (i) if the then-current Benchmark is a term rate (including the Term SOFR Reference Rate), then Agent may remove any tenor of such Benchmark that is unavailable or non-representative for Benchmark (including Benchmark Replacement) settings and (ii) Agent may reinstate any such previously removed tenor for Benchmark (including Benchmark Replacement) settings.</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Disclaimer</w:t>
      </w:r>
      <w:r>
        <w:rPr>
          <w:rFonts w:ascii="Times New Roman" w:cs="Times New Roman" w:eastAsia="Times New Roman" w:hAnsi="Times New Roman"/>
          <w:sz w:val="20"/>
          <w:szCs w:val="20"/>
          <w:color w:val="auto"/>
        </w:rPr>
        <w:t>. Agent does not warrant or accept responsibility for, and shall not have any liability with respect to (a) the administration, submission, calculation of or any other matter related to the rates in the definition of “Term SOFR” or with respect to any component definition thereof or rates referenced in the definition thereof or any alternative, comparable or successor rate thereto (including any Benchmark or any Benchmark Replacement or the effect, implementation or composition of any Conforming Changes (defined above)) and including, without limitation, whether the composition or characteristics of any such alternative, successor or replacement reference rate, as it may or may not be adjusted pursuant hereto, will be similar to, or produce the same value or economic equivalence of, such Benchmark or any other Benchmark or have the same volume or liquidity as did such Benchmark or any other Benchmark prior to its discontinuance or unavailability, or (b) the impact or effect of such alternative, successor or replacement reference rate or Conforming Changes on any other financial products or agreements in effect or offered to any obligor or any of their respective affiliates, including, without limitation, any Swap Obligation or Hedge Agreement.</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4. CONDITIONS PRECEDENT</w:t>
      </w:r>
    </w:p>
    <w:p>
      <w:pPr>
        <w:spacing w:after="0" w:line="220"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The effectiveness of the terms and conditions of this Agreement and the agreement of Agent and Lenders to make the Term Loans shall become effective upon the satisfaction, or waiver, immediately prior to or concurrently therewith of each of the conditions precedent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5. PAYMENTS AND ADMINISTRATION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64" w:name="page65"/>
    <w:bookmarkEnd w:id="64"/>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u w:val="single" w:color="auto"/>
          <w:color w:val="auto"/>
        </w:rPr>
        <w:t>Payments Generally, Priority of Application of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60" w:firstLine="1494"/>
        <w:spacing w:after="0" w:line="260" w:lineRule="auto"/>
        <w:tabs>
          <w:tab w:leader="none" w:pos="2525"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payments of Obligations shall be made in US Dollars, without offset, counterclaim or defense of any kind, free and clear of (and without deduction for) any Taxes, and in immediately available funds, not later than 2:00 p.m. on the due date. Any payment after such time shall be deemed made on the next Business Day. If any payment is due on a day that is not a Business Day, the date for payment shall be extended to the next succeeding Business Day (except for those amounts which are paid with charges to the Loan Account in accordance with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All Obligations shall be payable to the Agent Payment Account or such other place as Agent may designate in writing to a Borrower from time to time.</w:t>
      </w:r>
    </w:p>
    <w:p>
      <w:pPr>
        <w:spacing w:after="0" w:line="172" w:lineRule="exact"/>
        <w:rPr>
          <w:rFonts w:ascii="Times New Roman" w:cs="Times New Roman" w:eastAsia="Times New Roman" w:hAnsi="Times New Roman"/>
          <w:sz w:val="19"/>
          <w:szCs w:val="19"/>
          <w:color w:val="auto"/>
        </w:rPr>
      </w:pPr>
    </w:p>
    <w:p>
      <w:pPr>
        <w:jc w:val="both"/>
        <w:ind w:left="740" w:right="40" w:firstLine="1494"/>
        <w:spacing w:after="0" w:line="242" w:lineRule="auto"/>
        <w:tabs>
          <w:tab w:leader="none" w:pos="252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Borrowers have not failed to make payment of the Obligations in full on the Maturity Date and no so long as no other Event of Default has occurred and is continuing and Agent or Required Lenders have not elected to require the application of payments and proceeds of Collateral as provided below, and except as otherwise provided herein with respect to Defaulting Lenders, all principal and interest payments received by Agent shall be apportioned ratably among Lenders (according to the unpaid amount of the Obligations to which such payments relate held by each Lender) entitled to such payments and all payments of fees and expenses received by Agent (other than fees or expenses that are for Agent’s separate account or as otherwise agreed by Lenders) shall be apportioned ratably among Lenders based on their respective Pro Rata Shares with respect to the type of Obligation to which a particular fee or expense relates. Except as otherwise specifically provided herein, all payments to be made hereunder by Loan Parties shall be remitted to Agent and all such payments, and all proceeds of Collateral received by Agent, shall be applied in accordance with the terms hereof.</w:t>
      </w:r>
    </w:p>
    <w:p>
      <w:pPr>
        <w:spacing w:after="0" w:line="178" w:lineRule="exact"/>
        <w:rPr>
          <w:rFonts w:ascii="Times New Roman" w:cs="Times New Roman" w:eastAsia="Times New Roman" w:hAnsi="Times New Roman"/>
          <w:sz w:val="20"/>
          <w:szCs w:val="20"/>
          <w:color w:val="auto"/>
        </w:rPr>
      </w:pPr>
    </w:p>
    <w:p>
      <w:pPr>
        <w:jc w:val="both"/>
        <w:ind w:left="740" w:firstLine="1494"/>
        <w:spacing w:after="0" w:line="246" w:lineRule="auto"/>
        <w:tabs>
          <w:tab w:leader="none" w:pos="252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Borrowers have failed to make payment in full of the Obligations on the Maturity Date or any other Event of Default has occurred and is continuing and Agent or Required Lenders have elected to require that payments and proceeds of Collateral be applied pursuant to this clause, and except as otherwise provided herein with respect to Defaulting Lenders, all payments remitted to Agent from or on behalf of any Loan Party, and all proceeds of Collateral, shall be applied as follows:</w:t>
      </w:r>
    </w:p>
    <w:p>
      <w:pPr>
        <w:spacing w:after="0" w:line="184"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pay any expenses under the Loan Documents (other than Bank Product Agreements), and including cost or expense reimbursements or indemnities payable by any Loan Party then due to Agent under the Loan Documents, until paid in full;</w:t>
      </w:r>
    </w:p>
    <w:p>
      <w:pPr>
        <w:spacing w:after="0" w:line="160" w:lineRule="exact"/>
        <w:rPr>
          <w:rFonts w:ascii="Times New Roman" w:cs="Times New Roman" w:eastAsia="Times New Roman" w:hAnsi="Times New Roman"/>
          <w:sz w:val="20"/>
          <w:szCs w:val="20"/>
          <w:color w:val="auto"/>
        </w:rPr>
      </w:pPr>
    </w:p>
    <w:p>
      <w:pPr>
        <w:ind w:left="740" w:right="60" w:firstLine="2243"/>
        <w:spacing w:after="0" w:line="269" w:lineRule="auto"/>
        <w:tabs>
          <w:tab w:leader="none" w:pos="353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to pay any fees payable by any Loan Party then due to Agent under the Loan Documents (other than Bank Product Agreements) until paid in full;</w:t>
      </w:r>
    </w:p>
    <w:p>
      <w:pPr>
        <w:spacing w:after="0" w:line="159"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to pay interest then due in respect of the Term Loans until paid in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full;</w:t>
      </w:r>
    </w:p>
    <w:p>
      <w:pPr>
        <w:spacing w:after="0" w:line="194" w:lineRule="exact"/>
        <w:rPr>
          <w:sz w:val="20"/>
          <w:szCs w:val="20"/>
          <w:color w:val="auto"/>
        </w:rPr>
      </w:pPr>
    </w:p>
    <w:p>
      <w:pPr>
        <w:jc w:val="both"/>
        <w:ind w:left="740" w:right="60" w:firstLine="2243"/>
        <w:spacing w:after="0" w:line="254" w:lineRule="auto"/>
        <w:tabs>
          <w:tab w:leader="none" w:pos="353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ratably, to pay any expenses under the Loan Documents (including cost or expense reimbursements) or indemnities payable by Loan Parties then due to any of Lenders under the Loan Documents until paid in full;</w:t>
      </w:r>
    </w:p>
    <w:p>
      <w:pPr>
        <w:spacing w:after="0" w:line="174" w:lineRule="exact"/>
        <w:rPr>
          <w:rFonts w:ascii="Times New Roman" w:cs="Times New Roman" w:eastAsia="Times New Roman" w:hAnsi="Times New Roman"/>
          <w:sz w:val="20"/>
          <w:szCs w:val="20"/>
          <w:color w:val="auto"/>
        </w:rPr>
      </w:pPr>
    </w:p>
    <w:p>
      <w:pPr>
        <w:ind w:left="3520" w:hanging="537"/>
        <w:spacing w:after="0"/>
        <w:tabs>
          <w:tab w:leader="none" w:pos="35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fifth, ratably, to pay any fees payable by Loan Parties then due to any Lender under the</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Documents until paid in full;</w:t>
      </w:r>
    </w:p>
    <w:p>
      <w:pPr>
        <w:spacing w:after="0" w:line="193" w:lineRule="exact"/>
        <w:rPr>
          <w:rFonts w:ascii="Times New Roman" w:cs="Times New Roman" w:eastAsia="Times New Roman" w:hAnsi="Times New Roman"/>
          <w:sz w:val="20"/>
          <w:szCs w:val="20"/>
          <w:color w:val="auto"/>
        </w:rPr>
      </w:pPr>
    </w:p>
    <w:p>
      <w:pPr>
        <w:ind w:left="740" w:right="60" w:firstLine="2243"/>
        <w:spacing w:after="0" w:line="269" w:lineRule="auto"/>
        <w:tabs>
          <w:tab w:leader="none" w:pos="353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sixth, to the Bank Product Providers based upon amounts then certified by the applicable Bank Product Provider to Agent (in form and substance satisfactory to Agent) to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65" w:name="page66"/>
    <w:bookmarkEnd w:id="65"/>
    <w:p>
      <w:pPr>
        <w:ind w:left="740"/>
        <w:spacing w:after="0"/>
        <w:rPr>
          <w:sz w:val="20"/>
          <w:szCs w:val="20"/>
          <w:color w:val="auto"/>
        </w:rPr>
      </w:pPr>
      <w:r>
        <w:rPr>
          <w:rFonts w:ascii="Times New Roman" w:cs="Times New Roman" w:eastAsia="Times New Roman" w:hAnsi="Times New Roman"/>
          <w:sz w:val="20"/>
          <w:szCs w:val="20"/>
          <w:color w:val="auto"/>
        </w:rPr>
        <w:t>then due and payable to such Bank Product Providers on account of Bank Product Obligations, until paid in full;</w:t>
      </w:r>
    </w:p>
    <w:p>
      <w:pPr>
        <w:spacing w:after="0" w:line="216" w:lineRule="exact"/>
        <w:rPr>
          <w:sz w:val="20"/>
          <w:szCs w:val="20"/>
          <w:color w:val="auto"/>
        </w:rPr>
      </w:pPr>
    </w:p>
    <w:p>
      <w:pPr>
        <w:ind w:left="3520" w:hanging="537"/>
        <w:spacing w:after="0"/>
        <w:tabs>
          <w:tab w:leader="none" w:pos="35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seventh, ratably, to pay in full any other Obligations (other than Obligations owed to</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Defaulting Lenders) then due;</w:t>
      </w:r>
    </w:p>
    <w:p>
      <w:pPr>
        <w:spacing w:after="0" w:line="193"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eighth, ratably, to pay in any Obligations owed to Defaulting Lenders</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then due; and</w:t>
      </w:r>
    </w:p>
    <w:p>
      <w:pPr>
        <w:spacing w:after="0" w:line="194" w:lineRule="exact"/>
        <w:rPr>
          <w:sz w:val="20"/>
          <w:szCs w:val="20"/>
          <w:color w:val="auto"/>
        </w:rPr>
      </w:pPr>
    </w:p>
    <w:p>
      <w:pPr>
        <w:ind w:left="3740" w:hanging="757"/>
        <w:spacing w:after="0"/>
        <w:tabs>
          <w:tab w:leader="none" w:pos="37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ninth, to Administrative Borrower or such other Person entitled thereto</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under Applicable Law.</w:t>
      </w:r>
    </w:p>
    <w:p>
      <w:pPr>
        <w:spacing w:after="0" w:line="194" w:lineRule="exact"/>
        <w:rPr>
          <w:sz w:val="20"/>
          <w:szCs w:val="20"/>
          <w:color w:val="auto"/>
        </w:rPr>
      </w:pPr>
    </w:p>
    <w:p>
      <w:pPr>
        <w:jc w:val="both"/>
        <w:ind w:left="740" w:right="20" w:firstLine="1494"/>
        <w:spacing w:after="0" w:line="243" w:lineRule="auto"/>
        <w:tabs>
          <w:tab w:leader="none" w:pos="252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“paid in full” of a type of Obligation means payment in cash or immediately available funds of all amounts owing on account of such type of Obligation, including interest accrued after the commencement of any Insolvency Proceeding, default interest, interest on interest, fee and expense reimbursements, whether or not any of the foregoing would be or is allowed or disallowed in whole or in part in any Insolvency Proceeding. All references to the term “ratably” as used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means pro rata on the basis of the amount owing to any one Person in relationship to the amounts owing to all Persons of the same category of Obligations within the same level of priority. Notwithstanding the foregoing, amounts received from any Loan Party shall not be applied to any Excluded Swap Obligation of such Loan Party.</w:t>
      </w:r>
    </w:p>
    <w:p>
      <w:pPr>
        <w:spacing w:after="0" w:line="175"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fund any repayment of the Credit Facility with proceeds, or provide as Collateral any property, that is directly or indirectly derived from any transaction or activity that is prohibited by Sanctions, Anti-Money Laundering Laws or Anti-Corruption Laws, or that could otherwise cause Agent, any Lender or any other party to any Loan Document to be in breach of Sanctions, Anti- Money Laundering Laws or Anti-Corruption Laws</w:t>
      </w:r>
    </w:p>
    <w:p>
      <w:pPr>
        <w:spacing w:after="0" w:line="179" w:lineRule="exact"/>
        <w:rPr>
          <w:rFonts w:ascii="Times New Roman" w:cs="Times New Roman" w:eastAsia="Times New Roman" w:hAnsi="Times New Roman"/>
          <w:sz w:val="20"/>
          <w:szCs w:val="20"/>
          <w:color w:val="auto"/>
        </w:rPr>
      </w:pPr>
    </w:p>
    <w:p>
      <w:pPr>
        <w:ind w:left="740" w:right="140" w:firstLine="1494"/>
        <w:spacing w:after="0" w:line="243" w:lineRule="auto"/>
        <w:tabs>
          <w:tab w:leader="none" w:pos="252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Agent shall have received notice from Administrative Borrower prior to the date on which any payment is due to Agent for the account of Lenders hereunder that any Loan Party will not make such payment, Agent may assume that Borrowers have made such payment on such date in accordance herewith and may, in reliance upon such assumption, distribute to Lenders the amount due. In such event, if a Borrower has not in fact made such payment, then each of Lenders severally agrees to repay to Agent immediately on demand the amount so distributed to such Lender,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w:t>
      </w:r>
    </w:p>
    <w:p>
      <w:pPr>
        <w:spacing w:after="0" w:line="175" w:lineRule="exact"/>
        <w:rPr>
          <w:rFonts w:ascii="Times New Roman" w:cs="Times New Roman" w:eastAsia="Times New Roman" w:hAnsi="Times New Roman"/>
          <w:sz w:val="20"/>
          <w:szCs w:val="20"/>
          <w:color w:val="auto"/>
        </w:rPr>
      </w:pPr>
    </w:p>
    <w:p>
      <w:pPr>
        <w:ind w:left="740" w:right="60" w:firstLine="1494"/>
        <w:spacing w:after="0" w:line="250" w:lineRule="auto"/>
        <w:tabs>
          <w:tab w:leader="none" w:pos="252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the term hereof, then Agent may, in its discretion and notwithstanding any contrary provision hereof,</w:t>
      </w:r>
    </w:p>
    <w:p>
      <w:pPr>
        <w:spacing w:after="0" w:line="1" w:lineRule="exact"/>
        <w:rPr>
          <w:rFonts w:ascii="Times New Roman" w:cs="Times New Roman" w:eastAsia="Times New Roman" w:hAnsi="Times New Roman"/>
          <w:sz w:val="20"/>
          <w:szCs w:val="20"/>
          <w:color w:val="auto"/>
        </w:rPr>
      </w:pPr>
    </w:p>
    <w:p>
      <w:pPr>
        <w:ind w:left="740" w:right="34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(xii)apply any amounts thereafter received by Agent for the account of such Lender for the benefit of Agent to satisfy such Lender’s obligations to Agent until all such unsatisfied obligations are fully paid or</w:t>
      </w:r>
    </w:p>
    <w:p>
      <w:pPr>
        <w:ind w:left="740" w:right="9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(xiii)hold any such amounts in a segregated account as cash collateral for, and for application to, any future funding obligations of such Lender under any such Section, in the case of each of clauses (i) and</w:t>
      </w:r>
    </w:p>
    <w:p>
      <w:pPr>
        <w:ind w:left="1020" w:hanging="283"/>
        <w:spacing w:after="0"/>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in any order as determined by Agent in its discretion</w:t>
      </w:r>
    </w:p>
    <w:p>
      <w:pPr>
        <w:spacing w:after="0" w:line="194"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Indemnity for Returned Payments</w:t>
      </w:r>
      <w:r>
        <w:rPr>
          <w:rFonts w:ascii="Times New Roman" w:cs="Times New Roman" w:eastAsia="Times New Roman" w:hAnsi="Times New Roman"/>
          <w:sz w:val="20"/>
          <w:szCs w:val="20"/>
          <w:color w:val="auto"/>
        </w:rPr>
        <w:t>. If after receipt of any payment of, or proceeds of Collateral applied to the payment of, any of the Obligations, Agent or any Lender is required to surrender or return such payment or proceeds to any Person for any reason, then the Obligations intended to be satisfied by such payment or proceeds shall be reinstated and continue and this Agreement shall continue in full force and effect as if such payment or proceeds had not been received by Agent or such 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66" w:name="page67"/>
    <w:bookmarkEnd w:id="66"/>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 xml:space="preserve">Each Borrower shall be liable to pay to Agent and each Lender, and does hereby agree to indemnify and hold Agent and each Lender harmless for the amount of any payments or proceeds surrendered or returned.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remain effective notwithstanding any contrary action which may be taken by Agent in reliance upon such payment or proceeds.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180"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12.14. </w:t>
      </w:r>
      <w:r>
        <w:rPr>
          <w:rFonts w:ascii="Times New Roman" w:cs="Times New Roman" w:eastAsia="Times New Roman" w:hAnsi="Times New Roman"/>
          <w:sz w:val="20"/>
          <w:szCs w:val="20"/>
          <w:u w:val="single" w:color="auto"/>
          <w:color w:val="auto"/>
        </w:rPr>
        <w:t>Maturity; Effect of Maturity</w:t>
      </w:r>
      <w:r>
        <w:rPr>
          <w:rFonts w:ascii="Times New Roman" w:cs="Times New Roman" w:eastAsia="Times New Roman" w:hAnsi="Times New Roman"/>
          <w:sz w:val="20"/>
          <w:szCs w:val="20"/>
          <w:color w:val="auto"/>
        </w:rPr>
        <w:t>. On the Maturity Date, or if earlier, the Termination Date, the Commitments shall automatically terminate and all of the Obligations shall become due and payable without notice or demand and each Borrower shall be required to pay in full all of the Obligations. No termination of the Commitments shall relieve or discharge any Loan Party of its duties, obligations, or covenants under any Loan Document and the Liens of Agent in the Collateral shall continue to secure the Obligations and shall remain in effect until payment in full of all Obligations.</w:t>
      </w:r>
    </w:p>
    <w:p>
      <w:pPr>
        <w:spacing w:after="0" w:line="185"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12.15. </w:t>
      </w: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 xml:space="preserve">. A Borrower may prepay without penalty or premium the principal of any Loan, in whole or in part, except as otherwise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12.16.</w:t>
      </w:r>
      <w:r>
        <w:rPr>
          <w:sz w:val="20"/>
          <w:szCs w:val="20"/>
          <w:color w:val="auto"/>
        </w:rPr>
        <w:tab/>
      </w:r>
      <w:r>
        <w:rPr>
          <w:rFonts w:ascii="Times New Roman" w:cs="Times New Roman" w:eastAsia="Times New Roman" w:hAnsi="Times New Roman"/>
          <w:sz w:val="19"/>
          <w:szCs w:val="19"/>
          <w:u w:val="single" w:color="auto"/>
          <w:color w:val="auto"/>
        </w:rPr>
        <w:t>Maintenance of Loan Account; Statements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40" w:right="40" w:firstLine="1494"/>
        <w:spacing w:after="0" w:line="242" w:lineRule="auto"/>
        <w:tabs>
          <w:tab w:leader="none" w:pos="252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maintain an account on its books in the name of Borrowers (the “</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xml:space="preserve">”) on which Borrowers will be charged with all Loans made by Agent or Lenders to a Borrower or for a Borrower’s account, and with all other payment Obligations hereunder or under the other Loan Documents, including, accrued interest, fees and expenses payable hereunder or under the other Loan Documents, to the extent such payment Obligations are not made by the Borrowers in cash. No amounts (other than the Loans) shall be charged to the Loan Account if such amounts are paid by the Borrowers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or before the date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no event shall any expenses or other amounts required to be paid by the Borrowers in accordance with </w:t>
      </w:r>
      <w:r>
        <w:rPr>
          <w:rFonts w:ascii="Times New Roman" w:cs="Times New Roman" w:eastAsia="Times New Roman" w:hAnsi="Times New Roman"/>
          <w:sz w:val="20"/>
          <w:szCs w:val="20"/>
          <w:u w:val="single" w:color="auto"/>
          <w:color w:val="auto"/>
        </w:rPr>
        <w:t>Sections 3.8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13.4</w:t>
      </w:r>
      <w:r>
        <w:rPr>
          <w:rFonts w:ascii="Times New Roman" w:cs="Times New Roman" w:eastAsia="Times New Roman" w:hAnsi="Times New Roman"/>
          <w:sz w:val="20"/>
          <w:szCs w:val="20"/>
          <w:color w:val="auto"/>
        </w:rPr>
        <w:t xml:space="preserve"> of this Agreement be charged to the Loan Account prior to the date that is sixty (60) days after receipt by Administrative Borrower of a written request therefor (together with reasonably detailed supporting documentation).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the Loan Account will be credited with all payments received by Agent from Borrowers or for Borrowers’ account. Notwithstanding the foregoing, Agent shall not be obligated to charge any fees, charges or expenses to the Loan Account, and any such actions shall be in Agent’s sole discretion.</w:t>
      </w:r>
    </w:p>
    <w:p>
      <w:pPr>
        <w:spacing w:after="0" w:line="173" w:lineRule="exact"/>
        <w:rPr>
          <w:rFonts w:ascii="Times New Roman" w:cs="Times New Roman" w:eastAsia="Times New Roman" w:hAnsi="Times New Roman"/>
          <w:sz w:val="20"/>
          <w:szCs w:val="20"/>
          <w:color w:val="auto"/>
        </w:rPr>
      </w:pPr>
    </w:p>
    <w:p>
      <w:pPr>
        <w:jc w:val="both"/>
        <w:ind w:left="740" w:right="20" w:firstLine="1494"/>
        <w:spacing w:after="0" w:line="243" w:lineRule="auto"/>
        <w:tabs>
          <w:tab w:leader="none" w:pos="252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render to Administrative Borrower each month a statement setting forth the balance in the Loan Account(s) maintained by Agent for a Borrower pursuant to the provisions of this Agreement, including principal, interest, fees, costs and expenses. Each such statement shall be subject to subsequent adjustment by Agent but shall, absent manifest errors or omissions, be considered correct and deemed accepted by Loan Parties and conclusively binding upon Loan Parties as an account stated except to the extent that Agent receives a written notice from Administrative Borrower of any specific exceptions of a Borrower thereto within thirty (30) days after the date such statement has been received by Administrative Borrower. Until such time as Agent shall have rendered to Administrative Borrower a written statement as provided above, the balance in such Borrower’s Loan Account(s) shall be presumptive evidence of the amounts due and owing to Agent and Lenders by Borrowers, absent manifest error.</w:t>
      </w:r>
    </w:p>
    <w:p>
      <w:pPr>
        <w:spacing w:after="0" w:line="18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12.17. </w:t>
      </w:r>
      <w:r>
        <w:rPr>
          <w:rFonts w:ascii="Times New Roman" w:cs="Times New Roman" w:eastAsia="Times New Roman" w:hAnsi="Times New Roman"/>
          <w:sz w:val="20"/>
          <w:szCs w:val="20"/>
          <w:u w:val="single" w:color="auto"/>
          <w:color w:val="auto"/>
        </w:rPr>
        <w:t>Evidence of Debt</w:t>
      </w:r>
      <w:r>
        <w:rPr>
          <w:rFonts w:ascii="Times New Roman" w:cs="Times New Roman" w:eastAsia="Times New Roman" w:hAnsi="Times New Roman"/>
          <w:sz w:val="20"/>
          <w:szCs w:val="20"/>
          <w:color w:val="auto"/>
        </w:rPr>
        <w:t>. A Lender may request that Term Loans made by it be evidenced by a promissory note. In such event, Borrowers shall execute and deliver to Agent for such Lender a promissory note payable to the order of such Lender (or, if requested by such Lender, to such Lender and its registered assigns) and in a form approved by Agent and such Lender. Thereafter, the Term Loans evidenced by such promissory note(s) and interest thereon shall at all times be represented by one 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67" w:name="page68"/>
    <w:bookmarkEnd w:id="67"/>
    <w:p>
      <w:pPr>
        <w:ind w:left="740" w:right="40"/>
        <w:spacing w:after="0" w:line="269" w:lineRule="auto"/>
        <w:rPr>
          <w:sz w:val="20"/>
          <w:szCs w:val="20"/>
          <w:color w:val="auto"/>
        </w:rPr>
      </w:pPr>
      <w:r>
        <w:rPr>
          <w:rFonts w:ascii="Times New Roman" w:cs="Times New Roman" w:eastAsia="Times New Roman" w:hAnsi="Times New Roman"/>
          <w:sz w:val="20"/>
          <w:szCs w:val="20"/>
          <w:color w:val="auto"/>
        </w:rPr>
        <w:t>more promissory notes in such form payable to the order of the payee named therein (or, if such promissory note is a registered note, to such payee and its registered assigns).</w:t>
      </w:r>
    </w:p>
    <w:p>
      <w:pPr>
        <w:spacing w:after="0" w:line="15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12.18.</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2" w:lineRule="auto"/>
        <w:tabs>
          <w:tab w:leader="none" w:pos="252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of Taxes; Gross-Up</w:t>
      </w:r>
      <w:r>
        <w:rPr>
          <w:rFonts w:ascii="Times New Roman" w:cs="Times New Roman" w:eastAsia="Times New Roman" w:hAnsi="Times New Roman"/>
          <w:sz w:val="20"/>
          <w:szCs w:val="20"/>
          <w:color w:val="auto"/>
        </w:rPr>
        <w:t xml:space="preserve">. Any and all payments by or on account of any obligation of a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78"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Loan Parties</w:t>
      </w:r>
      <w:r>
        <w:rPr>
          <w:rFonts w:ascii="Times New Roman" w:cs="Times New Roman" w:eastAsia="Times New Roman" w:hAnsi="Times New Roman"/>
          <w:sz w:val="20"/>
          <w:szCs w:val="20"/>
          <w:color w:val="auto"/>
        </w:rPr>
        <w:t>. Loan Parties shall timely pay to the relevant Governmental Authority in accordance with Applicable Law, or at the option of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left="740" w:right="40" w:firstLine="1494"/>
        <w:spacing w:after="0" w:line="249" w:lineRule="auto"/>
        <w:tabs>
          <w:tab w:leader="none" w:pos="25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 Loan Party to a Governmental Authority pursuant to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such Loan Party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79" w:lineRule="exact"/>
        <w:rPr>
          <w:rFonts w:ascii="Times New Roman" w:cs="Times New Roman" w:eastAsia="Times New Roman" w:hAnsi="Times New Roman"/>
          <w:sz w:val="20"/>
          <w:szCs w:val="20"/>
          <w:color w:val="auto"/>
        </w:rPr>
      </w:pPr>
    </w:p>
    <w:p>
      <w:pPr>
        <w:jc w:val="both"/>
        <w:ind w:left="740" w:right="60" w:firstLine="1494"/>
        <w:spacing w:after="0" w:line="243" w:lineRule="auto"/>
        <w:tabs>
          <w:tab w:leader="none" w:pos="25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Without duplication of any other amounts payable by a Loan Party under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the Loan Parties shall indemnify Agent and each Lender within ten (10) days after written demand therefor, for the full amount of any Indemnified Taxes (including Indemnified Taxes imposed or asserted on or attributable to amounts payable under this Section) payable or paid by Agent or such Lender or required to be withheld or deducted from a payment to Agent or such Lender and any reasonable expenses arising therefrom or with respect thereto, whether or not such Indemnified Taxes were correctly or legally imposed or asserted by the relevant Governmental Authority. A certificate as to the amount of such payment or liability delivered to Administrative Borrower by Agent or any Lender shall be conclusive absent manifest error.</w:t>
      </w:r>
    </w:p>
    <w:p>
      <w:pPr>
        <w:spacing w:after="0" w:line="175" w:lineRule="exact"/>
        <w:rPr>
          <w:rFonts w:ascii="Times New Roman" w:cs="Times New Roman" w:eastAsia="Times New Roman" w:hAnsi="Times New Roman"/>
          <w:sz w:val="20"/>
          <w:szCs w:val="20"/>
          <w:color w:val="auto"/>
        </w:rPr>
      </w:pPr>
    </w:p>
    <w:p>
      <w:pPr>
        <w:jc w:val="both"/>
        <w:ind w:left="740" w:right="20" w:firstLine="1494"/>
        <w:spacing w:after="0" w:line="242" w:lineRule="auto"/>
        <w:tabs>
          <w:tab w:leader="none" w:pos="25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Agent or any Lender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with respect to the Taxes giving rise to such refund), net of all out-of-pocket expenses (including Taxes) of Agent or such Lender and without interest (other than any interest paid by the relevant Governmental Authority with respect to such refund). Such indemnifying party, upon the request of Agent or such Lender, shall repay to Agent or such Lender the amount paid over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5.7(e)</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Agent or such Lender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5.7(e)</w:t>
      </w:r>
      <w:r>
        <w:rPr>
          <w:rFonts w:ascii="Times New Roman" w:cs="Times New Roman" w:eastAsia="Times New Roman" w:hAnsi="Times New Roman"/>
          <w:sz w:val="20"/>
          <w:szCs w:val="20"/>
          <w:color w:val="auto"/>
        </w:rPr>
        <w:t xml:space="preserve">, in no event will Agent or any Lender be required to pay any amount to an indemnifying party pursuant to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the payment of which would place Agent or such Lender in a less favorable net after-Tax position than Agent or such Lender would have been in if the Tax subject to indemnification and giving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68" w:name="page69"/>
    <w:bookmarkEnd w:id="68"/>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 xml:space="preserve">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20"/>
          <w:szCs w:val="20"/>
          <w:u w:val="single" w:color="auto"/>
          <w:color w:val="auto"/>
        </w:rPr>
        <w:t>Section 5.7(e)</w:t>
      </w:r>
      <w:r>
        <w:rPr>
          <w:rFonts w:ascii="Times New Roman" w:cs="Times New Roman" w:eastAsia="Times New Roman" w:hAnsi="Times New Roman"/>
          <w:sz w:val="20"/>
          <w:szCs w:val="20"/>
          <w:color w:val="auto"/>
        </w:rPr>
        <w:t xml:space="preserve"> shall not be construed to require Agent or any Lender to make available its Tax returns (or any other information relating to its Taxes that it deems confidential) to the indemnifying party or any other Person.</w:t>
      </w:r>
    </w:p>
    <w:p>
      <w:pPr>
        <w:spacing w:after="0" w:line="180" w:lineRule="exact"/>
        <w:rPr>
          <w:sz w:val="20"/>
          <w:szCs w:val="20"/>
          <w:color w:val="auto"/>
        </w:rPr>
      </w:pPr>
    </w:p>
    <w:p>
      <w:pPr>
        <w:jc w:val="both"/>
        <w:ind w:left="740" w:firstLine="1494"/>
        <w:spacing w:after="0" w:line="242" w:lineRule="auto"/>
        <w:tabs>
          <w:tab w:leader="none" w:pos="252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 made under any Loan Document shall deliver to Administrative Borrower and Agent, at the time or times reasonably requested by Administrative Borrower or Agent, such properly completed and executed documentation reasonably requested by Administrative Borrower or Agent as will permit such payments to be made without withholding or at a reduced rate of withholding. In addition, any Lender, if reasonably requested by Administrative Borrower or Agent, shall deliver such other documentation prescribed by Applicable Law or reasonably requested by Administrative Borrower or Agent as will enable Administrative Borrower or Agent to determine whether such Lender is subject to backup withholding or information reporting requirements. Notwithstanding anything to the contrary in the preceding two sentences, the completion, execution and submission of such documentation (other than such documentation set forth in clauses (ii)(A),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3" w:lineRule="exact"/>
        <w:rPr>
          <w:rFonts w:ascii="Times New Roman" w:cs="Times New Roman" w:eastAsia="Times New Roman" w:hAnsi="Times New Roman"/>
          <w:sz w:val="20"/>
          <w:szCs w:val="20"/>
          <w:color w:val="auto"/>
        </w:rPr>
      </w:pPr>
    </w:p>
    <w:p>
      <w:pPr>
        <w:ind w:left="3520" w:hanging="537"/>
        <w:spacing w:after="0"/>
        <w:tabs>
          <w:tab w:leader="none" w:pos="352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w:t>
      </w:r>
    </w:p>
    <w:p>
      <w:pPr>
        <w:spacing w:after="0" w:line="21" w:lineRule="exact"/>
        <w:rPr>
          <w:rFonts w:ascii="Times New Roman" w:cs="Times New Roman" w:eastAsia="Times New Roman" w:hAnsi="Times New Roman"/>
          <w:sz w:val="20"/>
          <w:szCs w:val="20"/>
          <w:color w:val="auto"/>
        </w:rPr>
      </w:pPr>
    </w:p>
    <w:p>
      <w:pPr>
        <w:ind w:left="2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w:t>
      </w:r>
    </w:p>
    <w:p>
      <w:pPr>
        <w:spacing w:after="0" w:line="193" w:lineRule="exact"/>
        <w:rPr>
          <w:rFonts w:ascii="Times New Roman" w:cs="Times New Roman" w:eastAsia="Times New Roman" w:hAnsi="Times New Roman"/>
          <w:sz w:val="20"/>
          <w:szCs w:val="20"/>
          <w:color w:val="auto"/>
        </w:rPr>
      </w:pPr>
    </w:p>
    <w:p>
      <w:pPr>
        <w:jc w:val="both"/>
        <w:ind w:left="2980" w:right="40" w:firstLine="752"/>
        <w:spacing w:after="0" w:line="246" w:lineRule="auto"/>
        <w:tabs>
          <w:tab w:leader="none" w:pos="404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Administrative Borrower and Agent on or prior to the date on which such Lender becomes a Lender under this Agreement (and from time to time thereafter upon the reasonable request of Administrative Borrower or Agent), executed originals of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2980" w:right="20" w:firstLine="752"/>
        <w:spacing w:after="0" w:line="246" w:lineRule="auto"/>
        <w:tabs>
          <w:tab w:leader="none" w:pos="4041"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Administrative Borrower and Agent (in such number of copies as shall be requested by the recipient) on or prior to the date on which such Foreign Lender becomes a Lender under this Agreement (and from time to time thereafter upon the reasonable request of Administrative Borrower or Agent), whichever of the following is applicable:</w:t>
      </w:r>
    </w:p>
    <w:p>
      <w:pPr>
        <w:spacing w:after="0" w:line="171" w:lineRule="exact"/>
        <w:rPr>
          <w:sz w:val="20"/>
          <w:szCs w:val="20"/>
          <w:color w:val="auto"/>
        </w:rPr>
      </w:pPr>
    </w:p>
    <w:p>
      <w:pPr>
        <w:jc w:val="both"/>
        <w:ind w:left="3740" w:right="40" w:firstLine="749"/>
        <w:spacing w:after="0" w:line="244" w:lineRule="auto"/>
        <w:rPr>
          <w:sz w:val="20"/>
          <w:szCs w:val="20"/>
          <w:color w:val="auto"/>
        </w:rPr>
      </w:pPr>
      <w:r>
        <w:rPr>
          <w:rFonts w:ascii="Times New Roman" w:cs="Times New Roman" w:eastAsia="Times New Roman" w:hAnsi="Times New Roman"/>
          <w:sz w:val="20"/>
          <w:szCs w:val="20"/>
          <w:color w:val="auto"/>
        </w:rPr>
        <w:t>1.in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w:t>
      </w:r>
    </w:p>
    <w:p>
      <w:pPr>
        <w:jc w:val="both"/>
        <w:ind w:left="3740" w:right="40" w:hanging="8"/>
        <w:spacing w:after="0" w:line="241" w:lineRule="auto"/>
        <w:tabs>
          <w:tab w:leader="none" w:pos="402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69" w:name="page70"/>
    <w:bookmarkEnd w:id="69"/>
    <w:p>
      <w:pPr>
        <w:ind w:left="5220" w:hanging="739"/>
        <w:spacing w:after="0"/>
        <w:tabs>
          <w:tab w:leader="none" w:pos="52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w:t>
      </w:r>
    </w:p>
    <w:p>
      <w:pPr>
        <w:spacing w:after="0" w:line="216" w:lineRule="exact"/>
        <w:rPr>
          <w:sz w:val="20"/>
          <w:szCs w:val="20"/>
          <w:color w:val="auto"/>
        </w:rPr>
      </w:pPr>
    </w:p>
    <w:p>
      <w:pPr>
        <w:ind w:left="3740" w:right="60" w:firstLine="749"/>
        <w:spacing w:after="0" w:line="250" w:lineRule="auto"/>
        <w:rPr>
          <w:sz w:val="20"/>
          <w:szCs w:val="20"/>
          <w:color w:val="auto"/>
        </w:rPr>
      </w:pPr>
      <w:r>
        <w:rPr>
          <w:rFonts w:ascii="Times New Roman" w:cs="Times New Roman" w:eastAsia="Times New Roman" w:hAnsi="Times New Roman"/>
          <w:sz w:val="20"/>
          <w:szCs w:val="20"/>
          <w:color w:val="auto"/>
        </w:rPr>
        <w:t>3.in the case of a Foreign Lender claiming the benefits of the exemption for portfolio interest under Section 881(c) of the Code,</w:t>
      </w:r>
    </w:p>
    <w:p>
      <w:pPr>
        <w:spacing w:after="0" w:line="2" w:lineRule="exact"/>
        <w:rPr>
          <w:sz w:val="20"/>
          <w:szCs w:val="20"/>
          <w:color w:val="auto"/>
        </w:rPr>
      </w:pPr>
    </w:p>
    <w:p>
      <w:pPr>
        <w:jc w:val="both"/>
        <w:ind w:left="3740" w:hanging="10"/>
        <w:spacing w:after="0"/>
        <w:tabs>
          <w:tab w:leader="none" w:pos="404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substantially in the form of Exhibit E-1 to the effect that such Foreign Lender is not a “bank” within the meaning of Section 881(c)(3)(A) of the Code, a “10 percent shareholder” of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originals of IRS Form W-8BEN (or W-8BEN-E, as applicable); or</w:t>
      </w:r>
    </w:p>
    <w:p>
      <w:pPr>
        <w:spacing w:after="0" w:line="191" w:lineRule="exact"/>
        <w:rPr>
          <w:sz w:val="20"/>
          <w:szCs w:val="20"/>
          <w:color w:val="auto"/>
        </w:rPr>
      </w:pPr>
    </w:p>
    <w:p>
      <w:pPr>
        <w:jc w:val="both"/>
        <w:ind w:left="3740" w:right="60" w:firstLine="749"/>
        <w:spacing w:after="0" w:line="247" w:lineRule="auto"/>
        <w:rPr>
          <w:sz w:val="20"/>
          <w:szCs w:val="20"/>
          <w:color w:val="auto"/>
        </w:rPr>
      </w:pPr>
      <w:r>
        <w:rPr>
          <w:rFonts w:ascii="Times New Roman" w:cs="Times New Roman" w:eastAsia="Times New Roman" w:hAnsi="Times New Roman"/>
          <w:sz w:val="20"/>
          <w:szCs w:val="20"/>
          <w:color w:val="auto"/>
        </w:rPr>
        <w:t>4.to the extent a Foreign Lender is not the beneficial owner, executed originals of IRS Form W-8IMY, accompanied by IRS Form W-8ECI, IRS Form W-8BEN (or W-8BEN-E, as applicable), a</w:t>
      </w:r>
    </w:p>
    <w:p>
      <w:pPr>
        <w:jc w:val="both"/>
        <w:ind w:left="3740" w:right="40"/>
        <w:spacing w:after="0" w:line="256" w:lineRule="auto"/>
        <w:rPr>
          <w:sz w:val="20"/>
          <w:szCs w:val="20"/>
          <w:color w:val="auto"/>
        </w:rPr>
      </w:pPr>
      <w:r>
        <w:rPr>
          <w:rFonts w:ascii="Times New Roman" w:cs="Times New Roman" w:eastAsia="Times New Roman" w:hAnsi="Times New Roman"/>
          <w:sz w:val="19"/>
          <w:szCs w:val="19"/>
          <w:color w:val="auto"/>
        </w:rPr>
        <w:t xml:space="preserve">U.S. Tax Compliance Certificate substantially in the form of Exhibit E-2 or E-3,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59" w:lineRule="exact"/>
        <w:rPr>
          <w:sz w:val="20"/>
          <w:szCs w:val="20"/>
          <w:color w:val="auto"/>
        </w:rPr>
      </w:pPr>
    </w:p>
    <w:p>
      <w:pPr>
        <w:jc w:val="both"/>
        <w:ind w:left="2980" w:right="40" w:firstLine="752"/>
        <w:spacing w:after="0" w:line="243" w:lineRule="auto"/>
        <w:tabs>
          <w:tab w:leader="none" w:pos="404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Administrative Borrower and Agent (in such number of copies as shall be requested by the recipient) on or prior to the date on which such Foreign Lender becomes a Lender under this Agreement (and from time to time thereafter upon the reasonable request of Administrative Borrower or Agent), executed originals of any other form prescribed by Applicable Law as a basis for claiming exemption from or a reduction in U.S. federal withholding Tax, duly completed, together with such supplementary documentation as may be prescribed by Applicable Law to permit Administrative Borrower or Agent to determine the withholding or deduction required to be made;</w:t>
      </w:r>
    </w:p>
    <w:p>
      <w:pPr>
        <w:spacing w:after="0" w:line="172" w:lineRule="exact"/>
        <w:rPr>
          <w:rFonts w:ascii="Times New Roman" w:cs="Times New Roman" w:eastAsia="Times New Roman" w:hAnsi="Times New Roman"/>
          <w:sz w:val="20"/>
          <w:szCs w:val="20"/>
          <w:color w:val="auto"/>
        </w:rPr>
      </w:pPr>
    </w:p>
    <w:p>
      <w:pPr>
        <w:jc w:val="both"/>
        <w:ind w:left="2980" w:right="40" w:firstLine="752"/>
        <w:spacing w:after="0" w:line="242" w:lineRule="auto"/>
        <w:tabs>
          <w:tab w:leader="none" w:pos="404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Administrative Borrower and Agent at the time or times prescribed by law and at such time or times reasonably requested by Administrative Borrower or Agent such documentation prescribed by Applicable Law (including as prescribed by Section 1471(b)(3)(C)(i) of the Code) and such additional documentation reasonably requested by Borrower or Agent as may be necessary for Administrative Borrower and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include any amendments made to FATCA after the date of this Agreement; and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0" w:name="page71"/>
    <w:bookmarkEnd w:id="70"/>
    <w:p>
      <w:pPr>
        <w:jc w:val="both"/>
        <w:ind w:left="2980" w:firstLine="752"/>
        <w:spacing w:after="0" w:line="241" w:lineRule="auto"/>
        <w:tabs>
          <w:tab w:leader="none" w:pos="404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Agent is a U.S. Person, it shall provide Administrative Borrower on or prior to the date on which it becomes Agent under this Agreement with a duly completed copy of IRS Form W-9. If Agent is a Foreign Lender, it shall provide to Administrative Borrower on or prior to the date on which it becomes Agent under this Agreement (and from time to time thereafter upon the reasonable request of Administrative Borrower): (A) an executed copy of IRS Form W-8ECI with respect to any amounts payable to Agent for its own account; and (B) a copy of IRS Form W-8IMY with respect to any amounts payable to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Administrative Borrower to be treated as a U.S. Person with respect to such payments (and Administrative Borrower and Agent agree to so treat Agent as a U.S. Person with respect to such payments as contemplated by U.S. Treasury Regulations Section 1.1441-1(b)(2)(iv)).</w:t>
      </w:r>
    </w:p>
    <w:p>
      <w:pPr>
        <w:spacing w:after="0" w:line="184"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Administrative Borrower and Agent in writing of its legal inability to do so.</w:t>
      </w:r>
    </w:p>
    <w:p>
      <w:pPr>
        <w:spacing w:after="0" w:line="174" w:lineRule="exact"/>
        <w:rPr>
          <w:sz w:val="20"/>
          <w:szCs w:val="20"/>
          <w:color w:val="auto"/>
        </w:rPr>
      </w:pPr>
    </w:p>
    <w:p>
      <w:pPr>
        <w:jc w:val="both"/>
        <w:ind w:left="740" w:firstLine="1494"/>
        <w:spacing w:after="0" w:line="254" w:lineRule="auto"/>
        <w:tabs>
          <w:tab w:leader="none" w:pos="252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shall survive the resignation or replacement of Agent or any assignment of rights by, or the replacement of a, a Lender, the termination of the Commitments and the repayment, satisfaction or discharge of all obligations under any Loan Document.</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12.19. </w:t>
      </w:r>
      <w:r>
        <w:rPr>
          <w:rFonts w:ascii="Times New Roman" w:cs="Times New Roman" w:eastAsia="Times New Roman" w:hAnsi="Times New Roman"/>
          <w:sz w:val="20"/>
          <w:szCs w:val="20"/>
          <w:u w:val="single" w:color="auto"/>
          <w:color w:val="auto"/>
        </w:rPr>
        <w:t>Pro Rata Treatment</w:t>
      </w:r>
      <w:r>
        <w:rPr>
          <w:rFonts w:ascii="Times New Roman" w:cs="Times New Roman" w:eastAsia="Times New Roman" w:hAnsi="Times New Roman"/>
          <w:sz w:val="20"/>
          <w:szCs w:val="20"/>
          <w:color w:val="auto"/>
        </w:rPr>
        <w:t>. Except to the extent otherwise provided in this Agreement or as otherwise agreed by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Lenders: (a) the making and conversion of Loans shall be made among Lenders based on their respective Pro Rata Shares as to</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Loans and (b) each payment on account of any Obligations to or for the account of one or more of Lenders in respect of</w:t>
      </w:r>
    </w:p>
    <w:p>
      <w:pPr>
        <w:ind w:left="740"/>
        <w:spacing w:after="0"/>
        <w:rPr>
          <w:sz w:val="20"/>
          <w:szCs w:val="20"/>
          <w:color w:val="auto"/>
        </w:rPr>
      </w:pPr>
      <w:r>
        <w:rPr>
          <w:rFonts w:ascii="Times New Roman" w:cs="Times New Roman" w:eastAsia="Times New Roman" w:hAnsi="Times New Roman"/>
          <w:sz w:val="20"/>
          <w:szCs w:val="20"/>
          <w:color w:val="auto"/>
        </w:rPr>
        <w:t>any Obligations due on a particular day shall be allocated among Lenders entitled to such payments based on their respective</w:t>
      </w:r>
    </w:p>
    <w:p>
      <w:pPr>
        <w:ind w:left="740"/>
        <w:spacing w:after="0"/>
        <w:rPr>
          <w:sz w:val="20"/>
          <w:szCs w:val="20"/>
          <w:color w:val="auto"/>
        </w:rPr>
      </w:pPr>
      <w:r>
        <w:rPr>
          <w:rFonts w:ascii="Times New Roman" w:cs="Times New Roman" w:eastAsia="Times New Roman" w:hAnsi="Times New Roman"/>
          <w:sz w:val="20"/>
          <w:szCs w:val="20"/>
          <w:color w:val="auto"/>
        </w:rPr>
        <w:t>Pro Rata Shares and shall be distributed accordingly.</w:t>
      </w:r>
    </w:p>
    <w:p>
      <w:pPr>
        <w:spacing w:after="0" w:line="18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12.20.</w:t>
      </w:r>
      <w:r>
        <w:rPr>
          <w:sz w:val="20"/>
          <w:szCs w:val="20"/>
          <w:color w:val="auto"/>
        </w:rPr>
        <w:tab/>
      </w:r>
      <w:r>
        <w:rPr>
          <w:rFonts w:ascii="Times New Roman" w:cs="Times New Roman" w:eastAsia="Times New Roman" w:hAnsi="Times New Roman"/>
          <w:sz w:val="19"/>
          <w:szCs w:val="19"/>
          <w:u w:val="single" w:color="auto"/>
          <w:color w:val="auto"/>
        </w:rPr>
        <w:t>Sharing of Payments, Etc.</w:t>
      </w:r>
    </w:p>
    <w:p>
      <w:pPr>
        <w:spacing w:after="0" w:line="216" w:lineRule="exact"/>
        <w:rPr>
          <w:sz w:val="20"/>
          <w:szCs w:val="20"/>
          <w:color w:val="auto"/>
        </w:rPr>
      </w:pPr>
    </w:p>
    <w:p>
      <w:pPr>
        <w:jc w:val="both"/>
        <w:ind w:left="740" w:firstLine="1494"/>
        <w:spacing w:after="0" w:line="244" w:lineRule="auto"/>
        <w:tabs>
          <w:tab w:leader="none" w:pos="252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agrees that, in addition to (and without limitation of) any right of setoff, banker’s Lien or counterclaim Agent or any Lender may otherwise have, each Lender shall be entitled, at its option (but subject, as among Agent and Lenders, to the provisions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hereof), to offset balances held by it for the account of such Loan Party at any of its offices, in dollars or in any other currency, against any principal of or interest on any Loans owed to such Lender or any other amount payable to such Lender hereunder, that is not paid when due (regardless of whether such balances are then due to such Loan Party), in which case it shall promptly notify Administrative Borrower and Agent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Lender’s failure to give such notice shall not affect the validity thereof.</w:t>
      </w:r>
    </w:p>
    <w:p>
      <w:pPr>
        <w:spacing w:after="0" w:line="185" w:lineRule="exact"/>
        <w:rPr>
          <w:rFonts w:ascii="Times New Roman" w:cs="Times New Roman" w:eastAsia="Times New Roman" w:hAnsi="Times New Roman"/>
          <w:sz w:val="20"/>
          <w:szCs w:val="20"/>
          <w:color w:val="auto"/>
        </w:rPr>
      </w:pPr>
    </w:p>
    <w:p>
      <w:pPr>
        <w:jc w:val="both"/>
        <w:ind w:left="740" w:right="60" w:firstLine="1494"/>
        <w:spacing w:after="0" w:line="245" w:lineRule="auto"/>
        <w:tabs>
          <w:tab w:leader="none" w:pos="25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(including Agent) shall obtain from any Loan Party payment of any principal of or interest on any Term Loan owing to it or payment of any other amount under this Agreement or any of the other Loan Documents through the exercise of any right of setoff, banker’s Lien or counterclaim or similar right or otherwise (other than from Agent as provided herein), and, as a result of such payment, such Lender shall have received more than its Pro Rata Share of the principal of the Term Loans or more than its share of such other amounts then due hereunder or thereunder by any Loan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1" w:name="page72"/>
    <w:bookmarkEnd w:id="71"/>
    <w:p>
      <w:pPr>
        <w:ind w:left="740"/>
        <w:spacing w:after="0" w:line="254" w:lineRule="auto"/>
        <w:rPr>
          <w:sz w:val="20"/>
          <w:szCs w:val="20"/>
          <w:color w:val="auto"/>
        </w:rPr>
      </w:pPr>
      <w:r>
        <w:rPr>
          <w:rFonts w:ascii="Times New Roman" w:cs="Times New Roman" w:eastAsia="Times New Roman" w:hAnsi="Times New Roman"/>
          <w:sz w:val="19"/>
          <w:szCs w:val="19"/>
          <w:color w:val="auto"/>
        </w:rPr>
        <w:t xml:space="preserve">Party to such Lender than the percentage thereof received by any other Lender, it shall promptly pay to Agent, for the benefit of Lenders, the amount of such excess and simultaneously purchase from such other Lenders a participation in the Loans or such other amounts, respectively, owing to such other Lenders (or such interest due thereon, as the case may be) in such amounts, and make such other adjustments from time to time as shall be equitable, to the end that all Lenders shall share the benefit of such excess payment (net of any expenses that may be incurred by such Lender in obtaining or preserving such excess payment) in accordance with their respective Pro Rata Shares or as otherwise agreed by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a Loan Party pursuant to and in accordance with the express terms of this Agreement (including the application of funds arising from the existence of a Defaulting Lender)), (B) reserved, or (C) any payment obtained by a Lender as consideration for the assignment of or sale of a participation in any of its Term Loans to any assignee or participant, other than to any Borrower or any Subsidiary thereof (as to which the provisions of this paragraph shall apply). Each Loan Party consents to the foregoing and agrees, to the extent it may effectively do so under Applicable Law, that any Lender acquiring a participation pursuant to the foregoing arrangements may exercise against any Loan Party rights of setoff and counterclaim with respect to such participation as fully as if such Lender were a direct creditor of such Loan Party in the amount of such participation. To such end all Lenders shall make appropriate adjustments among themselves (by the resale of participation sold or otherwise) if such payment is rescinded or must otherwise be restored.</w:t>
      </w:r>
    </w:p>
    <w:p>
      <w:pPr>
        <w:spacing w:after="0" w:line="173" w:lineRule="exact"/>
        <w:rPr>
          <w:sz w:val="20"/>
          <w:szCs w:val="20"/>
          <w:color w:val="auto"/>
        </w:rPr>
      </w:pPr>
    </w:p>
    <w:p>
      <w:pPr>
        <w:jc w:val="both"/>
        <w:ind w:left="740" w:right="80" w:firstLine="1494"/>
        <w:spacing w:after="0" w:line="249" w:lineRule="auto"/>
        <w:tabs>
          <w:tab w:leader="none" w:pos="25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any Lender purchasing a participation (or direct interest) as provided in this Section may exercise, in a manner consistent with this Section,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79" w:lineRule="exact"/>
        <w:rPr>
          <w:rFonts w:ascii="Times New Roman" w:cs="Times New Roman" w:eastAsia="Times New Roman" w:hAnsi="Times New Roman"/>
          <w:sz w:val="20"/>
          <w:szCs w:val="20"/>
          <w:color w:val="auto"/>
        </w:rPr>
      </w:pPr>
    </w:p>
    <w:p>
      <w:pPr>
        <w:jc w:val="both"/>
        <w:ind w:left="740" w:right="40" w:firstLine="1494"/>
        <w:spacing w:after="0" w:line="244" w:lineRule="auto"/>
        <w:tabs>
          <w:tab w:leader="none" w:pos="25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require any Lender to exercise any right of setoff, banker’s Lien, counterclaims or similar rights or shall affect the right of any Lender to exercise, and retain the benefits of exercising, any such right with respect to any other Indebtedness or obligation of any Loan Party. If, under any applicable bankruptcy, insolvency or other similar law, any Lender receives a secured claim in lieu of a setoff to which this Section applies, such Lender shall, to the extent practicable, assign such rights to Agent for the benefit of Lenders and, in any event, exercise its rights in respect of such secured claim in a manner consistent with the rights of Lenders entitled under this Section to share in the benefits of any recovery on such secured claim.</w:t>
      </w:r>
    </w:p>
    <w:p>
      <w:pPr>
        <w:spacing w:after="0" w:line="172"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6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12.22. </w:t>
      </w:r>
      <w:r>
        <w:rPr>
          <w:rFonts w:ascii="Times New Roman" w:cs="Times New Roman" w:eastAsia="Times New Roman" w:hAnsi="Times New Roman"/>
          <w:sz w:val="20"/>
          <w:szCs w:val="20"/>
          <w:u w:val="single" w:color="auto"/>
          <w:color w:val="auto"/>
        </w:rPr>
        <w:t>Agent for Borrowers</w:t>
      </w:r>
      <w:r>
        <w:rPr>
          <w:rFonts w:ascii="Times New Roman" w:cs="Times New Roman" w:eastAsia="Times New Roman" w:hAnsi="Times New Roman"/>
          <w:sz w:val="20"/>
          <w:szCs w:val="20"/>
          <w:color w:val="auto"/>
        </w:rPr>
        <w:t>. Each Loan Party hereby irrevocably appoints GTI23 as the borrowing agent and attorney-in-fact for all Loan Parties (the “</w:t>
      </w:r>
      <w:r>
        <w:rPr>
          <w:rFonts w:ascii="Times New Roman" w:cs="Times New Roman" w:eastAsia="Times New Roman" w:hAnsi="Times New Roman"/>
          <w:sz w:val="20"/>
          <w:szCs w:val="20"/>
          <w:u w:val="single" w:color="auto"/>
          <w:color w:val="auto"/>
        </w:rPr>
        <w:t>Administrative Borrower</w:t>
      </w:r>
      <w:r>
        <w:rPr>
          <w:rFonts w:ascii="Times New Roman" w:cs="Times New Roman" w:eastAsia="Times New Roman" w:hAnsi="Times New Roman"/>
          <w:sz w:val="20"/>
          <w:szCs w:val="20"/>
          <w:color w:val="auto"/>
        </w:rPr>
        <w:t>”) which appointment shall remain in full force and effect unless and until Agent shall have received prior written notice signed by each Loan Party that such appointment has been revoked and that another Loan Party has been appointed Administrative Borrower. Each Loan Party hereby irrevocably appoints and authorizes Administrative Borrower (a) to provide Agent with all notices with respect to Term Loans and all other notices and instructions under the Loan Documents (and any notice or instruction provided by Administrative Borrower shall be deemed to be given by Loan Parties hereunder and shall bind each Loan Party), (b) to receive all notices, instructions and other information from Agent (and any notice, instructions or other information provided by Agent to Administrative Borrower shall be deemed to have been given to each Loan Party), and (c) to take such action as Administrative Borrower deems appropriate on its behalf to obtain Term Loans and to exercise such other powers as are reasonably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13" w:right="699" w:bottom="1440" w:gutter="0" w:footer="0" w:header="0"/>
        </w:sectPr>
      </w:pPr>
    </w:p>
    <w:bookmarkStart w:id="72" w:name="page73"/>
    <w:bookmarkEnd w:id="72"/>
    <w:p>
      <w:pPr>
        <w:jc w:val="both"/>
        <w:ind w:left="740" w:right="40"/>
        <w:spacing w:after="0" w:line="242" w:lineRule="auto"/>
        <w:rPr>
          <w:sz w:val="20"/>
          <w:szCs w:val="20"/>
          <w:color w:val="auto"/>
        </w:rPr>
      </w:pPr>
      <w:r>
        <w:rPr>
          <w:rFonts w:ascii="Times New Roman" w:cs="Times New Roman" w:eastAsia="Times New Roman" w:hAnsi="Times New Roman"/>
          <w:sz w:val="20"/>
          <w:szCs w:val="20"/>
          <w:color w:val="auto"/>
        </w:rPr>
        <w:t>incidental thereto to carry out the purposes of this Agreement. Each Loan Party agrees that the handling of the Credit Facility, with Loan Parties and Collateral in a combined fashion, as more fully set forth herein, is done solely as an accommodation to Loan Parties in order to utilize the collective borrowing powers of Borrowers in the most efficient and economical manner and at their request, and that Agent and Lenders shall not incur liability to any Loan Party as a result hereof. Each Loan Party expects to derive benefit, directly or indirectly, from the handling of the Credit Facility, with Loan Parties and Collateral in a combined fashion, since the successful operation of each Loan Party is dependent on the continued successful performance of the integrated group. Each Loan Party hereby agrees to indemnify Agent and each Lender and hold Agent and each Lender harmless against any and all liability, expense, loss or claim of damage or injury, made against Agent or such Lender by any Loan Party or by any third party whosoever, arising from or incurred by reason of (i) the handling of the Credit Facility as herein provided, or (ii) Agent or any Lender relying on any instructions of Administrative Borrower. This Section shall survive the termination of this Agreement and the payment in full of the Obligations.</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6. REPRESENTATIONS AND WARRANTIES</w:t>
      </w:r>
    </w:p>
    <w:p>
      <w:pPr>
        <w:spacing w:after="0" w:line="2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Each Loan Party hereby represents and warrants to Agent and Lenders the following:</w:t>
      </w:r>
    </w:p>
    <w:p>
      <w:pPr>
        <w:spacing w:after="0" w:line="216" w:lineRule="exact"/>
        <w:rPr>
          <w:sz w:val="20"/>
          <w:szCs w:val="20"/>
          <w:color w:val="auto"/>
        </w:rPr>
      </w:pPr>
    </w:p>
    <w:p>
      <w:pPr>
        <w:jc w:val="both"/>
        <w:ind w:left="740"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xml:space="preserve">. Each Loan Party and each of their Subsidiaries (a) is duly organized, validly existing and in good standing under the laws of the jurisdiction of its organization, (b) has all requisite power and authority to carry on its business as now conducted and (c) is qualified to do business, and is in good standing in, every jurisdiction where such qualification is required except, in each case referred to in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(other than clauses (a) and (b) with respect to any Borrower) where the failure to do so, individually or in the aggregate, would not reasonably be expected to result in a Material Adverse Effect.</w:t>
      </w:r>
    </w:p>
    <w:p>
      <w:pPr>
        <w:spacing w:after="0" w:line="171"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execution, delivery and performance by each Loan Party of the Loan Documents to which it is a party have been duly authorized by all necessary organizational actions and, if required, actions by equity holders. Each Loan Document to which a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xml:space="preserve">. The execution, delivery, and performance by each Loan Party of the Loan Documents to which it is a party do not and will not (a) violate (i) subject to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any provision of Federal, State, or local law or regulation applicable to such Loan Party which violation, in the case of this clause (i), would reasonably be expected to have a Material Adverse Effect, (ii) the Organization Documents of such Loan Party, or (iii) any order, judgment, or decree of any court or other Governmental Authority binding on such Loan Party or its property which violation, in the case of this clause (iii), would reasonably be expected to have a Material Adverse Effect, (b) conflict with, result in a breach of, or constitute (with due notice or lapse of time or both) a default under any Material Contract of such Loan Party or of any of its Subsidiaries where any such conflict, breach or default could individually or in the aggregate reasonably be expected to have a Material Adverse Effect, (c) result in the creation or imposition of, or require or give rise to any obligation to grant, any Lien, security interest, charge or other encumbrance upon any property of such Loan Party or any of its Subsidiaries, other than Permitted Liens, or (d) require any approval of any holder of Equity Interests of such Loan Party or any approval or consent of any Person under any Material Contract of such Loan Party, other than consents or approvals that have been obtained and that are still in force and effect and except, in the case of</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3" w:name="page74"/>
    <w:bookmarkEnd w:id="73"/>
    <w:p>
      <w:pPr>
        <w:ind w:left="740" w:right="420"/>
        <w:spacing w:after="0" w:line="269" w:lineRule="auto"/>
        <w:rPr>
          <w:sz w:val="20"/>
          <w:szCs w:val="20"/>
          <w:color w:val="auto"/>
        </w:rPr>
      </w:pPr>
      <w:r>
        <w:rPr>
          <w:rFonts w:ascii="Times New Roman" w:cs="Times New Roman" w:eastAsia="Times New Roman" w:hAnsi="Times New Roman"/>
          <w:sz w:val="20"/>
          <w:szCs w:val="20"/>
          <w:color w:val="auto"/>
        </w:rPr>
        <w:t>Material Contracts, for consents or approvals, the failure to obtain could not individually or in the aggregate reasonably be expected to cause a Material Adverse Effect.</w:t>
      </w:r>
    </w:p>
    <w:p>
      <w:pPr>
        <w:spacing w:after="0" w:line="159"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(i) filings and recordings with respect to the Collateral to be made, or otherwise delivered to Agent for filing or recordation, as of the Closing Date, (ii) filings, notices and recordings required to be made by or on behalf of Agent, any Lender or any other Secured Party, (iii) such as have been obtained or made and are in full force and effect and (iv) consents, approvals, registrations, filings, notices or other actions the failure to obtain or perform which would not reasonably be expected to have, individually or in the aggregate, a Material Adverse Effect. To the best knowledge of the Loan Parties, no consent, approval or other authorization of or by a federal Governmental Authority that regulates, oversees or prosecutes the sale, growing or dispensing of cannabis is required in connection with the Loan Parties’ execution and delivery of or compliance with any of the Loan Documents or of any other document or instrument relating to the Loans executed by a Loan Party, or the conduct of the business of the Loan Parties and their Subsidiaries as currently conducted and anticipated to be conducted, in each case which has not been obtained.</w:t>
      </w:r>
    </w:p>
    <w:p>
      <w:pPr>
        <w:spacing w:after="0" w:line="182"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Financial Statements; No Material Adverse Effect; Solvent</w:t>
      </w:r>
      <w:r>
        <w:rPr>
          <w:rFonts w:ascii="Times New Roman" w:cs="Times New Roman" w:eastAsia="Times New Roman" w:hAnsi="Times New Roman"/>
          <w:sz w:val="20"/>
          <w:szCs w:val="20"/>
          <w:color w:val="auto"/>
        </w:rPr>
        <w:t>. The consolidated and consolidating balance sheets, and related statements of income, cash flow and shareholders’ equity, of GTI that have been and are hereafter delivered to Agent, have been prepared in accordance with GAAP (except, in the case of unaudited financial statements, for the lack of footnotes and being subject to year-end audit adjustments) and present fairly in all material respects, the financial condition, on a consolidated basis, of the Persons described in such financial statements as of the date thereof and results of operations for the period then ended. Since December 31, 2023, no event, circumstance, or change has occurred that has or could reasonably be expected to have a Material Adverse Effect with respect to a Loan Party. No financial statement delivered to Agent at any time contains any untrue statement of a material fact, nor fails to disclose any material fact necessary to make such statement not materially misleading. Each projected consolidated and consolidating balance sheet, income statement, funds flow statement and availability received by Agent have been prepared in light of the past operations of the businesses of each Loan Party and are based upon estimates and assumptions stated therein, all of which such Loan Party believes to be reasonable and fair in light of the then current conditions and current facts and reflect the good faith and reasonable estimates of such Loan Party of the future financial performance of such Loan Party and of the other information projected therein for the periods set forth therein, it being understood that any such projections are not to be viewed as facts, are subject to significant uncertainties and contingencies, many of which are beyond the Loan Parties’ control, that no assurance can be given that any particular projections will be realized, that actual results may differ and that such differences may be material. Each Loan Party is Solvent and will continue to be Solvent after the creation of the Obligations, the security interests of Agent and the other transaction contemplated hereunder.</w:t>
      </w:r>
    </w:p>
    <w:p>
      <w:pPr>
        <w:spacing w:after="0" w:line="177"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Properties; No Liens</w:t>
      </w:r>
      <w:r>
        <w:rPr>
          <w:rFonts w:ascii="Times New Roman" w:cs="Times New Roman" w:eastAsia="Times New Roman" w:hAnsi="Times New Roman"/>
          <w:sz w:val="20"/>
          <w:szCs w:val="20"/>
          <w:color w:val="auto"/>
        </w:rPr>
        <w:t>. Except as to any deficiency or defect that would not, individually or in the aggregate, reasonably be expected to have a Material Adverse Effect, each Loan Party and each of its Subsidiaries has (a) good, sufficient and legal title to (in the case of fee interests in Real Property),</w:t>
      </w:r>
    </w:p>
    <w:p>
      <w:pPr>
        <w:jc w:val="both"/>
        <w:ind w:left="740" w:hanging="3"/>
        <w:spacing w:after="0" w:line="242" w:lineRule="auto"/>
        <w:tabs>
          <w:tab w:leader="none" w:pos="102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valid leasehold interests in (in the case of leasehold interests in real or personal property), and (c) good and marketable title to (in the case of all other personal property), all of its assets reflected in its most recent financial statements delivered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in each case except for assets disposed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4" w:name="page75"/>
    <w:bookmarkEnd w:id="74"/>
    <w:p>
      <w:pPr>
        <w:ind w:left="740" w:right="520"/>
        <w:spacing w:after="0" w:line="269" w:lineRule="auto"/>
        <w:rPr>
          <w:sz w:val="20"/>
          <w:szCs w:val="20"/>
          <w:color w:val="auto"/>
        </w:rPr>
      </w:pPr>
      <w:r>
        <w:rPr>
          <w:rFonts w:ascii="Times New Roman" w:cs="Times New Roman" w:eastAsia="Times New Roman" w:hAnsi="Times New Roman"/>
          <w:sz w:val="20"/>
          <w:szCs w:val="20"/>
          <w:color w:val="auto"/>
        </w:rPr>
        <w:t>of since the date of such financial statements to the extent permitted hereby. All of such assets are free and clear of Liens except for Permitted Liens.</w:t>
      </w:r>
    </w:p>
    <w:p>
      <w:pPr>
        <w:spacing w:after="0" w:line="159"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there are no actions, suits, proceedings or investigations pending or, to each Loan Party’s knowledge, threatened in writing against a Loan Party or any of its Subsidiaries, or its business or assets, that (a) relate to any Loan Documents or transactions contemplated thereby or (b) either individually or in the aggregate has or could reasonably be expected to have a Material Adverse Effect.</w:t>
      </w:r>
    </w:p>
    <w:p>
      <w:pPr>
        <w:spacing w:after="0" w:line="18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u w:val="single" w:color="auto"/>
          <w:color w:val="auto"/>
        </w:rPr>
        <w:t>Compliance with Laws; Permits; Cannabis Licenses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60" w:firstLine="1494"/>
        <w:spacing w:after="0" w:line="254" w:lineRule="auto"/>
        <w:tabs>
          <w:tab w:leader="none" w:pos="252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of its Subsidiaries is in compliance with the requirements of all Applicable Laws (other than Federal Cannabis Laws), in each case where the failure to comply individually or in the aggregate has or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740" w:right="40" w:firstLine="1494"/>
        <w:spacing w:after="0" w:line="254" w:lineRule="auto"/>
        <w:tabs>
          <w:tab w:leader="none" w:pos="252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have been no citations, notices or orders of noncompliance issued to a Loan Party or any of its Subsidiaries under any Applicable Laws except as would not, individually or in the aggregate, reasonably be expected to have a Material Adverse Effect. No inventory has been produced in violation of the Fair Labor Standards Act of 1938.</w:t>
      </w:r>
    </w:p>
    <w:p>
      <w:pPr>
        <w:spacing w:after="0" w:line="160" w:lineRule="exact"/>
        <w:rPr>
          <w:rFonts w:ascii="Times New Roman" w:cs="Times New Roman" w:eastAsia="Times New Roman" w:hAnsi="Times New Roman"/>
          <w:sz w:val="20"/>
          <w:szCs w:val="20"/>
          <w:color w:val="auto"/>
        </w:rPr>
      </w:pPr>
    </w:p>
    <w:p>
      <w:pPr>
        <w:jc w:val="both"/>
        <w:ind w:left="740" w:right="40" w:firstLine="1494"/>
        <w:spacing w:after="0" w:line="249" w:lineRule="auto"/>
        <w:tabs>
          <w:tab w:leader="none" w:pos="252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individually or in the aggregate, reasonably be expected to have a Material Adverse Effect, the Loan Parties and each of their Subsidiaries have all permits and licenses (including all Cannabis Licenses) required to conduct their business, and all such permits and licenses (including all Cannabis Licenses) are in full force and effect.</w:t>
      </w:r>
    </w:p>
    <w:p>
      <w:pPr>
        <w:spacing w:after="0" w:line="179"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any Subsidiary of a Loan Party is engaged in any Restricted Cannabis Activities.</w:t>
      </w:r>
    </w:p>
    <w:p>
      <w:pPr>
        <w:spacing w:after="0" w:line="216"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Environmental Condition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6.9</w:t>
      </w:r>
      <w:r>
        <w:rPr>
          <w:rFonts w:ascii="Times New Roman" w:cs="Times New Roman" w:eastAsia="Times New Roman" w:hAnsi="Times New Roman"/>
          <w:sz w:val="20"/>
          <w:szCs w:val="20"/>
          <w:color w:val="auto"/>
        </w:rPr>
        <w:t xml:space="preserve"> or would not, individually or in the aggregate, reasonably be expected to have a Material Adverse Effect, each Loan Party and each of its Subsidiaries is in compliance with all applicable Federal, State and local environmental, hazardous waste, health and safety statutes, and any rules or regulations related to such statutes, which govern or affect the operations or properties of such Loan Party or such Subsidiary. Except as would not, individually or in the aggregate, reasonably be expected to have a Material Adverse Effect, none of the operations of any Loan Party or any of its Subsidiaries is the subject of any Federal, State or local investigation evaluating whether any remedial action involving a material expenditure is needed to respond to a release of any toxic or hazardous waste or substance into the environment. Except as would not, individually or in the aggregate, reasonably be expected to have a Material Adverse Effect, no Loan Party nor any of its Subsidiaries has any contingent liability in connection with any release of any toxic or hazardous waste or substance into the environment.</w:t>
      </w:r>
    </w:p>
    <w:p>
      <w:pPr>
        <w:spacing w:after="0" w:line="1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No Defaults</w:t>
      </w:r>
      <w:r>
        <w:rPr>
          <w:rFonts w:ascii="Times New Roman" w:cs="Times New Roman" w:eastAsia="Times New Roman" w:hAnsi="Times New Roman"/>
          <w:sz w:val="20"/>
          <w:szCs w:val="20"/>
          <w:color w:val="auto"/>
        </w:rPr>
        <w:t>. No event or circumstance has occurred or exists that constitutes a Default or Event of Default.</w:t>
      </w:r>
    </w:p>
    <w:p>
      <w:pPr>
        <w:spacing w:after="0" w:line="216"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sets forth all Material Contracts to which a Loan Party or any of its Subsidiaries is a party or is bound as of the date hereof. Loan Parties have delivered true, correct and complete copies of such Material Contracts that are in effect as of the date hereof to Agent on or before the date hereof. Except as would not, individually or in the aggregate, reasonably be expected to have a Material Adverse Effect, no Loan Party nor any of its Subsidiaries is in breach or 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5" w:name="page76"/>
    <w:bookmarkEnd w:id="75"/>
    <w:p>
      <w:pPr>
        <w:ind w:left="740" w:right="160"/>
        <w:spacing w:after="0" w:line="269" w:lineRule="auto"/>
        <w:rPr>
          <w:sz w:val="20"/>
          <w:szCs w:val="20"/>
          <w:color w:val="auto"/>
        </w:rPr>
      </w:pPr>
      <w:r>
        <w:rPr>
          <w:rFonts w:ascii="Times New Roman" w:cs="Times New Roman" w:eastAsia="Times New Roman" w:hAnsi="Times New Roman"/>
          <w:sz w:val="20"/>
          <w:szCs w:val="20"/>
          <w:color w:val="auto"/>
        </w:rPr>
        <w:t>default in any material respect under any Material Contract and has not received any notice of the intention of any other party thereto to terminate any Material Contract.</w:t>
      </w:r>
    </w:p>
    <w:p>
      <w:pPr>
        <w:spacing w:after="0" w:line="159"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10.20.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or as prohibited by Applicable Law, as of the date hereof, (a) no Loan Party is a party or subject to any agreement or other arrangement that prohibits, restricts or imposes any condition upon the ability of such Loan Party to create, incur or permit to exist any security interest, Lien or other encumbrance on any of its property or assets constituting Collateral or to guarantee Indebtedness or transfer any assets constituting Collateral and (b) Loan Party nor any of its Subsidiaries is a party or subject to any agreement or other arrangement that prohibits, restricts or imposes any condition upon the ability of such Loan Party or such Subsidiary to pay dividends or other distributions with respect to any of its Equity Interests or to make or repay loans or advances to such Loan Party or such Subsidiary.</w:t>
      </w:r>
    </w:p>
    <w:p>
      <w:pPr>
        <w:spacing w:after="0" w:line="189" w:lineRule="exact"/>
        <w:rPr>
          <w:sz w:val="20"/>
          <w:szCs w:val="20"/>
          <w:color w:val="auto"/>
        </w:rPr>
      </w:pPr>
    </w:p>
    <w:p>
      <w:pPr>
        <w:jc w:val="both"/>
        <w:ind w:left="740"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(c) Except as would not, individually or in the aggregate, reasonably be expected to have a Material Adverse Effect, each Loan Party and each of its Subsidiaries has timely filed or caused to be filed all Tax returns and reports required to have been filed and has paid or caused to be paid all Taxes required to have been paid by it, except Taxes that are being contested in good faith by appropriate proceedings and for which such Loan Party or such Subsidiary has set aside on its books adequate reserves. Except as set forth on </w:t>
      </w: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color w:val="auto"/>
        </w:rPr>
        <w:t>, as of the Closing Date, no tax Liens have been filed and no material claims are being asserted with respect to any such Taxes.</w:t>
      </w:r>
    </w:p>
    <w:p>
      <w:pPr>
        <w:spacing w:after="0" w:line="171"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Except as would not, individually or in the aggregate, reasonably be expected to have a Material Adverse Effect, no Loan Party nor any of its Subsidiaries, nor any of their ERISA Affiliates, maintains or contributes to any Benefit Plan.</w:t>
      </w:r>
    </w:p>
    <w:p>
      <w:pPr>
        <w:spacing w:after="0" w:line="174"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10.23.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6.15</w:t>
      </w:r>
      <w:r>
        <w:rPr>
          <w:rFonts w:ascii="Times New Roman" w:cs="Times New Roman" w:eastAsia="Times New Roman" w:hAnsi="Times New Roman"/>
          <w:sz w:val="20"/>
          <w:szCs w:val="20"/>
          <w:color w:val="auto"/>
        </w:rPr>
        <w:t xml:space="preserve"> sets forth a description of all insurance maintained by or on behalf of the Loan Parties and their Subsidiaries as of the date hereof. As of the date hereof, all premiums in respect of such insurance have been paid. Each Loan Party and each of its Subsidiaries maintains with financially sound and reputable insurance companies, insurance on all of its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4" w:lineRule="exact"/>
        <w:rPr>
          <w:sz w:val="20"/>
          <w:szCs w:val="20"/>
          <w:color w:val="auto"/>
        </w:rPr>
      </w:pPr>
    </w:p>
    <w:p>
      <w:pPr>
        <w:jc w:val="both"/>
        <w:ind w:left="740" w:right="20" w:firstLine="749"/>
        <w:spacing w:after="0" w:line="259" w:lineRule="auto"/>
        <w:rPr>
          <w:sz w:val="20"/>
          <w:szCs w:val="20"/>
          <w:color w:val="auto"/>
        </w:rPr>
      </w:pPr>
      <w:r>
        <w:rPr>
          <w:rFonts w:ascii="Times New Roman" w:cs="Times New Roman" w:eastAsia="Times New Roman" w:hAnsi="Times New Roman"/>
          <w:sz w:val="19"/>
          <w:szCs w:val="19"/>
          <w:color w:val="auto"/>
        </w:rPr>
        <w:t xml:space="preserve">10.24. </w:t>
      </w:r>
      <w:r>
        <w:rPr>
          <w:rFonts w:ascii="Times New Roman" w:cs="Times New Roman" w:eastAsia="Times New Roman" w:hAnsi="Times New Roman"/>
          <w:sz w:val="19"/>
          <w:szCs w:val="19"/>
          <w:u w:val="single" w:color="auto"/>
          <w:color w:val="auto"/>
        </w:rPr>
        <w:t>Capitalization and Subsidiaries</w:t>
      </w:r>
      <w:r>
        <w:rPr>
          <w:rFonts w:ascii="Times New Roman" w:cs="Times New Roman" w:eastAsia="Times New Roman" w:hAnsi="Times New Roman"/>
          <w:sz w:val="19"/>
          <w:szCs w:val="19"/>
          <w:color w:val="auto"/>
        </w:rPr>
        <w:t xml:space="preserve">. As of the date hereof,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sets forth (a) a correct and complete list of the name and relationship to each Loan Party of each Subsidiary, (b) a true and complete listing of each class of each Loan Party’s and its Subsidiaries’ authorized Equity Interests, all of which issued shares are validly issued, outstanding, fully paid and non-assessable, and owned beneficially and of record by the Persons identified on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and (c) the type of entity of each Loan Party and each Subsidiary. Except as set forth on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as of the date hereof, there are no outstanding commitments or other obligations of a Loan Party or any of its Subsidiaries to issue, and no options, warrants or other rights of any Person to acquire, any shares of any class of capital stock or other equity interests of such Loan Party or such Subsidiary.</w:t>
      </w:r>
    </w:p>
    <w:p>
      <w:pPr>
        <w:spacing w:after="0" w:line="159"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10.25.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 the Security Documents create legal and valid security interests in all of the Collateral in favor of Agent and, upon (i) the filing of appropriate financing statements with the office of the Secretary of State or other appropriate office of the state of organization of each Loan Party, (ii) the filing of intellectual property security agreements or other appropriate instruments or notices with the US Patent and Trademark Office and the US Copyright Office (solely as required under Applicable Law), (iii) the delivery to Agent of any stock certificate or promissory note, together with instruments of transfer executed in blank and (iv) the entry into of Control Agreements, such security interests constitute perfected and continuing security interests on the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6" w:name="page77"/>
    <w:bookmarkEnd w:id="76"/>
    <w:p>
      <w:pPr>
        <w:jc w:val="both"/>
        <w:ind w:left="740" w:right="40"/>
        <w:spacing w:after="0" w:line="254" w:lineRule="auto"/>
        <w:rPr>
          <w:sz w:val="20"/>
          <w:szCs w:val="20"/>
          <w:color w:val="auto"/>
        </w:rPr>
      </w:pPr>
      <w:r>
        <w:rPr>
          <w:rFonts w:ascii="Times New Roman" w:cs="Times New Roman" w:eastAsia="Times New Roman" w:hAnsi="Times New Roman"/>
          <w:sz w:val="20"/>
          <w:szCs w:val="20"/>
          <w:color w:val="auto"/>
        </w:rPr>
        <w:t>Collateral, securing the Obligations, enforceable against each Loan Party and having priority over all other security interests, Liens or other encumbrances on the Collateral except Permitted Liens, to the extent any such Permitted Liens would have priority over the security interests of Agent pursuant to any Applicable Law</w:t>
      </w:r>
    </w:p>
    <w:p>
      <w:pPr>
        <w:spacing w:after="0" w:line="174"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10.26. </w:t>
      </w: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There are no brokerage commissions, finder’s fees or investment banking fees payable in connection with any transactions contemplated by the Loan Documents.</w:t>
      </w:r>
    </w:p>
    <w:p>
      <w:pPr>
        <w:spacing w:after="0" w:line="159"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10.27.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Each Loan Party and each of its Subsidiaries owns, or is licensed to use, all Intellectual Property necessary to its business as currently conducted and the use thereof by such Loan Party or such Subsidiary does not infringe on the rights of any other Person, and except as set forth on such Schedule, such Loan Party’s or such Subsidiary’s rights thereto are not subject to any licensing agreement or similar arrangement. A correct and complete list of all Federally registered Intellectual Property, as of the date of this Agreement, is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xml:space="preserve">. No material trademark, servicemark, copyright or other material Intellectual Property at any time used by a Loan Party or any of its Subsidiaries which is owned by another Person, or owned by such Loan Party or such Subsidiary subject to any security interest, Lien or other encumbrance in favor of any Person other than Agent, except (a) to the extent permitted under the terms of the license agreements listed on </w:t>
      </w:r>
      <w:r>
        <w:rPr>
          <w:rFonts w:ascii="Times New Roman" w:cs="Times New Roman" w:eastAsia="Times New Roman" w:hAnsi="Times New Roman"/>
          <w:sz w:val="20"/>
          <w:szCs w:val="20"/>
          <w:u w:val="single" w:color="auto"/>
          <w:color w:val="auto"/>
        </w:rPr>
        <w:t>Schedule</w:t>
      </w:r>
    </w:p>
    <w:p>
      <w:pPr>
        <w:jc w:val="both"/>
        <w:ind w:left="740" w:right="20"/>
        <w:spacing w:after="0" w:line="246" w:lineRule="auto"/>
        <w:rPr>
          <w:sz w:val="20"/>
          <w:szCs w:val="20"/>
          <w:color w:val="auto"/>
        </w:rPr>
      </w:pPr>
      <w:r>
        <w:rPr>
          <w:rFonts w:ascii="Times New Roman" w:cs="Times New Roman" w:eastAsia="Times New Roman" w:hAnsi="Times New Roman"/>
          <w:sz w:val="20"/>
          <w:szCs w:val="20"/>
          <w:u w:val="single" w:color="auto"/>
          <w:color w:val="auto"/>
        </w:rPr>
        <w:t>6.19</w:t>
      </w:r>
      <w:r>
        <w:rPr>
          <w:rFonts w:ascii="Times New Roman" w:cs="Times New Roman" w:eastAsia="Times New Roman" w:hAnsi="Times New Roman"/>
          <w:sz w:val="20"/>
          <w:szCs w:val="20"/>
          <w:color w:val="auto"/>
        </w:rPr>
        <w:t xml:space="preserve"> and (b) to the extent the sale of inventory to which such Intellectual Property is affixed or incorporated is permitted to be sold by a Loan Party or any of its Subsidiaries under Applicable Law (including the United States Copyright Act of 1976).</w:t>
      </w:r>
    </w:p>
    <w:p>
      <w:pPr>
        <w:spacing w:after="0" w:line="168"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10.28. </w:t>
      </w:r>
      <w:r>
        <w:rPr>
          <w:rFonts w:ascii="Times New Roman" w:cs="Times New Roman" w:eastAsia="Times New Roman" w:hAnsi="Times New Roman"/>
          <w:sz w:val="20"/>
          <w:szCs w:val="20"/>
          <w:u w:val="single" w:color="auto"/>
          <w:color w:val="auto"/>
        </w:rPr>
        <w:t>Trade Relations</w:t>
      </w:r>
      <w:r>
        <w:rPr>
          <w:rFonts w:ascii="Times New Roman" w:cs="Times New Roman" w:eastAsia="Times New Roman" w:hAnsi="Times New Roman"/>
          <w:sz w:val="20"/>
          <w:szCs w:val="20"/>
          <w:color w:val="auto"/>
        </w:rPr>
        <w:t>. Except as would not, individually or in the aggregate, reasonably be expected to have a Material Adverse Effect, there exists no actual or threatened termination, limitation or modification of any business relationship between a Loan Party or any of its Subsidiaries and any customer or supplier, or any group of customers or suppliers. To the knowledge of each Loan Party, except as would not, individually or in the aggregate, reasonably be expected to have a Material Adverse Effect, there exists no condition or circumstance that could reasonably be expected to impair the ability of a Loan Party or any of its Subsidiaries to conduct its business at any time hereafter in substantially the same manner as conducted on the date hereof.</w:t>
      </w:r>
    </w:p>
    <w:p>
      <w:pPr>
        <w:spacing w:after="0" w:line="18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10.29. </w:t>
      </w:r>
      <w:r>
        <w:rPr>
          <w:rFonts w:ascii="Times New Roman" w:cs="Times New Roman" w:eastAsia="Times New Roman" w:hAnsi="Times New Roman"/>
          <w:sz w:val="20"/>
          <w:szCs w:val="20"/>
          <w:u w:val="single" w:color="auto"/>
          <w:color w:val="auto"/>
        </w:rPr>
        <w:t>Labor Relations</w:t>
      </w:r>
      <w:r>
        <w:rPr>
          <w:rFonts w:ascii="Times New Roman" w:cs="Times New Roman" w:eastAsia="Times New Roman" w:hAnsi="Times New Roman"/>
          <w:sz w:val="20"/>
          <w:szCs w:val="20"/>
          <w:color w:val="auto"/>
        </w:rPr>
        <w:t xml:space="preserve">. Except as described on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as of the date hereof, no Loan Party nor any of its Subsidiaries is a party to or bound by any collective bargaining agreement, management agreement or consulting agreement. Except as would not, individually or in the aggregate, reasonably be expected to have a Material Adverse Effect, there are no grievances, disputes or controversies with any union or other organization of a Loan Party’s or any of its Subsidiaries’ employees or any threatened strikes, work stoppages or demands for collective bargaining.</w:t>
      </w:r>
    </w:p>
    <w:p>
      <w:pPr>
        <w:spacing w:after="0" w:line="171"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10.31. </w:t>
      </w:r>
      <w:r>
        <w:rPr>
          <w:rFonts w:ascii="Times New Roman" w:cs="Times New Roman" w:eastAsia="Times New Roman" w:hAnsi="Times New Roman"/>
          <w:sz w:val="20"/>
          <w:szCs w:val="20"/>
          <w:u w:val="single" w:color="auto"/>
          <w:color w:val="auto"/>
        </w:rPr>
        <w:t>Margin Regulations, Investment Company Act, Etc</w:t>
      </w:r>
      <w:r>
        <w:rPr>
          <w:rFonts w:ascii="Times New Roman" w:cs="Times New Roman" w:eastAsia="Times New Roman" w:hAnsi="Times New Roman"/>
          <w:sz w:val="20"/>
          <w:szCs w:val="20"/>
          <w:color w:val="auto"/>
        </w:rPr>
        <w:t>. No Loan Party nor any of its Subsidiaries is engaged, principally or as one of its important activities, in the business of extending credit for the purpose of purchasing or carrying any Margin Stock. No proceeds of Loans will be used by a Loan Party or any of its Subsidiaries to purchase or carry, or to reduce or refinance any Indebtedness incurred to purchase or carry, any Margin Stock or for any related purpose governed by Regulations T, U or X of the Board of Governors. Each Loan Party and each of its Subsidiaries is not an “investment company” or a “person directly or indirectly controlled by or acting on behalf of an investment company” within the meaning of the Investment Company Act of 1940.</w:t>
      </w:r>
    </w:p>
    <w:p>
      <w:pPr>
        <w:spacing w:after="0" w:line="186" w:lineRule="exact"/>
        <w:rPr>
          <w:sz w:val="20"/>
          <w:szCs w:val="20"/>
          <w:color w:val="auto"/>
        </w:rPr>
      </w:pPr>
    </w:p>
    <w:p>
      <w:pPr>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10.32. </w:t>
      </w:r>
      <w:r>
        <w:rPr>
          <w:rFonts w:ascii="Times New Roman" w:cs="Times New Roman" w:eastAsia="Times New Roman" w:hAnsi="Times New Roman"/>
          <w:sz w:val="20"/>
          <w:szCs w:val="20"/>
          <w:u w:val="single" w:color="auto"/>
          <w:color w:val="auto"/>
        </w:rPr>
        <w:t>Complete Disclosure</w:t>
      </w:r>
      <w:r>
        <w:rPr>
          <w:rFonts w:ascii="Times New Roman" w:cs="Times New Roman" w:eastAsia="Times New Roman" w:hAnsi="Times New Roman"/>
          <w:sz w:val="20"/>
          <w:szCs w:val="20"/>
          <w:color w:val="auto"/>
        </w:rPr>
        <w:t>. No Loan Document contains any untrue statement of a material fact, nor fails to disclose any material fact necessary to make the statements contained therein, taken as 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77" w:name="page78"/>
    <w:bookmarkEnd w:id="77"/>
    <w:p>
      <w:pPr>
        <w:ind w:left="740" w:right="60"/>
        <w:spacing w:after="0" w:line="269" w:lineRule="auto"/>
        <w:rPr>
          <w:sz w:val="20"/>
          <w:szCs w:val="20"/>
          <w:color w:val="auto"/>
        </w:rPr>
      </w:pPr>
      <w:r>
        <w:rPr>
          <w:rFonts w:ascii="Times New Roman" w:cs="Times New Roman" w:eastAsia="Times New Roman" w:hAnsi="Times New Roman"/>
          <w:sz w:val="20"/>
          <w:szCs w:val="20"/>
          <w:color w:val="auto"/>
        </w:rPr>
        <w:t>whole, not materially misleading. As of the date hereof, there is no fact or circumstance that a Loan Party has failed to disclose to Agent in writing that has, or could reasonably be expected to have, a Material Adverse Effect.</w:t>
      </w:r>
    </w:p>
    <w:p>
      <w:pPr>
        <w:spacing w:after="0" w:line="159" w:lineRule="exact"/>
        <w:rPr>
          <w:sz w:val="20"/>
          <w:szCs w:val="20"/>
          <w:color w:val="auto"/>
        </w:rPr>
      </w:pPr>
    </w:p>
    <w:p>
      <w:pPr>
        <w:ind w:left="740" w:right="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10.33. </w:t>
      </w:r>
      <w:r>
        <w:rPr>
          <w:rFonts w:ascii="Times New Roman" w:cs="Times New Roman" w:eastAsia="Times New Roman" w:hAnsi="Times New Roman"/>
          <w:sz w:val="20"/>
          <w:szCs w:val="20"/>
          <w:u w:val="single" w:color="auto"/>
          <w:color w:val="auto"/>
        </w:rPr>
        <w:t>OFAC; Sanctions; Anti-Corruption Laws; Anti-Money Laundering Laws; Patriot Act</w:t>
      </w:r>
      <w:r>
        <w:rPr>
          <w:rFonts w:ascii="Times New Roman" w:cs="Times New Roman" w:eastAsia="Times New Roman" w:hAnsi="Times New Roman"/>
          <w:sz w:val="20"/>
          <w:szCs w:val="20"/>
          <w:color w:val="auto"/>
        </w:rPr>
        <w:t>. No Loan Party nor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each of its Subsidiaries has implemented and maintains in effect policies and procedures reasonably designed to ensure compliance with all Sanctions, Anti-Corruption Laws and Anti-Money Laundering Laws. Each of the Loan Parties and each of its Subsidiaries, and to the knowledge of each such Loan Party, each director, officer, employee, agent and Affiliate of each such Loan Party and each such Subsidiary, is in compliance in all material respects with all Sanctions, Anti-Corruption Laws and Anti-Money Laundering Laws. No proceeds of any Loan made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 As of the Closing Date, the information included in the Beneficial Ownership Certification is true and correct in all respects.</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7. AFFIRMATIVE COVENANTS</w:t>
      </w:r>
    </w:p>
    <w:p>
      <w:pPr>
        <w:spacing w:after="0" w:line="220" w:lineRule="exact"/>
        <w:rPr>
          <w:sz w:val="20"/>
          <w:szCs w:val="20"/>
          <w:color w:val="auto"/>
        </w:rPr>
      </w:pPr>
    </w:p>
    <w:p>
      <w:pPr>
        <w:ind w:left="740" w:right="360" w:firstLine="749"/>
        <w:spacing w:after="0" w:line="269" w:lineRule="auto"/>
        <w:rPr>
          <w:sz w:val="20"/>
          <w:szCs w:val="20"/>
          <w:color w:val="auto"/>
        </w:rPr>
      </w:pPr>
      <w:r>
        <w:rPr>
          <w:rFonts w:ascii="Times New Roman" w:cs="Times New Roman" w:eastAsia="Times New Roman" w:hAnsi="Times New Roman"/>
          <w:sz w:val="20"/>
          <w:szCs w:val="20"/>
          <w:color w:val="auto"/>
        </w:rPr>
        <w:t>Each Loan Party hereby covenants and agrees that it shall, and shall cause each of its Subsidiaries to, do all of the following:</w:t>
      </w:r>
    </w:p>
    <w:p>
      <w:pPr>
        <w:spacing w:after="0" w:line="159" w:lineRule="exact"/>
        <w:rPr>
          <w:sz w:val="20"/>
          <w:szCs w:val="20"/>
          <w:color w:val="auto"/>
        </w:rPr>
      </w:pPr>
    </w:p>
    <w:p>
      <w:pPr>
        <w:jc w:val="both"/>
        <w:ind w:left="740"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xml:space="preserve">. (a) Deliver to Agent and each Lender each of the financial statements, reports, and other items set forth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xml:space="preserve"> no later than the times specified therein, (b) maintain a system of accounting that enables such Loan Party and each of its Subsidiaries to produce financial statements in accordance with GAAP.</w:t>
      </w:r>
    </w:p>
    <w:p>
      <w:pPr>
        <w:spacing w:after="0" w:line="180" w:lineRule="exact"/>
        <w:rPr>
          <w:sz w:val="20"/>
          <w:szCs w:val="20"/>
          <w:color w:val="auto"/>
        </w:rPr>
      </w:pPr>
    </w:p>
    <w:p>
      <w:pPr>
        <w:ind w:left="1480"/>
        <w:spacing w:after="0"/>
        <w:tabs>
          <w:tab w:leader="none" w:pos="19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Promptly (but in any event within three (3) Business Days) notify Agent in writing</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of: (a) the occurrence of any Default or Event of Default; (b) any matter that has, or could reasonably be expected to have, a</w:t>
      </w:r>
    </w:p>
    <w:p>
      <w:pPr>
        <w:ind w:left="740"/>
        <w:spacing w:after="0"/>
        <w:rPr>
          <w:sz w:val="20"/>
          <w:szCs w:val="20"/>
          <w:color w:val="auto"/>
        </w:rPr>
      </w:pPr>
      <w:r>
        <w:rPr>
          <w:rFonts w:ascii="Times New Roman" w:cs="Times New Roman" w:eastAsia="Times New Roman" w:hAnsi="Times New Roman"/>
          <w:sz w:val="20"/>
          <w:szCs w:val="20"/>
          <w:color w:val="auto"/>
        </w:rPr>
        <w:t>Material Adverse Effect; (c) any breach or non-performance of, or any default under, a Material Contract or with respect to</w:t>
      </w:r>
    </w:p>
    <w:p>
      <w:pPr>
        <w:ind w:left="740"/>
        <w:spacing w:after="0"/>
        <w:rPr>
          <w:sz w:val="20"/>
          <w:szCs w:val="20"/>
          <w:color w:val="auto"/>
        </w:rPr>
      </w:pPr>
      <w:r>
        <w:rPr>
          <w:rFonts w:ascii="Times New Roman" w:cs="Times New Roman" w:eastAsia="Times New Roman" w:hAnsi="Times New Roman"/>
          <w:sz w:val="20"/>
          <w:szCs w:val="20"/>
          <w:color w:val="auto"/>
        </w:rPr>
        <w:t>Material Indebtedness of such Loan Party or any of its Subsidiaries thereof; (d) any dispute, litigation, investigation,</w:t>
      </w:r>
    </w:p>
    <w:p>
      <w:pPr>
        <w:ind w:left="740"/>
        <w:spacing w:after="0"/>
        <w:rPr>
          <w:sz w:val="20"/>
          <w:szCs w:val="20"/>
          <w:color w:val="auto"/>
        </w:rPr>
      </w:pPr>
      <w:r>
        <w:rPr>
          <w:rFonts w:ascii="Times New Roman" w:cs="Times New Roman" w:eastAsia="Times New Roman" w:hAnsi="Times New Roman"/>
          <w:sz w:val="20"/>
          <w:szCs w:val="20"/>
          <w:color w:val="auto"/>
        </w:rPr>
        <w:t>proceeding or suspension between a Loan Party or any of its Subsidiaries and any Governmental Authority or the</w:t>
      </w:r>
    </w:p>
    <w:p>
      <w:pPr>
        <w:ind w:left="740"/>
        <w:spacing w:after="0"/>
        <w:rPr>
          <w:sz w:val="20"/>
          <w:szCs w:val="20"/>
          <w:color w:val="auto"/>
        </w:rPr>
      </w:pPr>
      <w:r>
        <w:rPr>
          <w:rFonts w:ascii="Times New Roman" w:cs="Times New Roman" w:eastAsia="Times New Roman" w:hAnsi="Times New Roman"/>
          <w:sz w:val="20"/>
          <w:szCs w:val="20"/>
          <w:color w:val="auto"/>
        </w:rPr>
        <w:t>commencement of, or any material development in, any litigation or proceeding affecting such Loan Party or such Subsidiary</w:t>
      </w:r>
    </w:p>
    <w:p>
      <w:pPr>
        <w:ind w:left="740"/>
        <w:spacing w:after="0"/>
        <w:rPr>
          <w:sz w:val="20"/>
          <w:szCs w:val="20"/>
          <w:color w:val="auto"/>
        </w:rPr>
      </w:pPr>
      <w:r>
        <w:rPr>
          <w:rFonts w:ascii="Times New Roman" w:cs="Times New Roman" w:eastAsia="Times New Roman" w:hAnsi="Times New Roman"/>
          <w:sz w:val="20"/>
          <w:szCs w:val="20"/>
          <w:color w:val="auto"/>
        </w:rPr>
        <w:t>that, in each case, would be reasonably expected to have, individually or in the aggregate, a Material Adverse Effect; (e) any</w:t>
      </w:r>
    </w:p>
    <w:p>
      <w:pPr>
        <w:ind w:left="740"/>
        <w:spacing w:after="0"/>
        <w:rPr>
          <w:sz w:val="20"/>
          <w:szCs w:val="20"/>
          <w:color w:val="auto"/>
        </w:rPr>
      </w:pPr>
      <w:r>
        <w:rPr>
          <w:rFonts w:ascii="Times New Roman" w:cs="Times New Roman" w:eastAsia="Times New Roman" w:hAnsi="Times New Roman"/>
          <w:sz w:val="19"/>
          <w:szCs w:val="19"/>
          <w:color w:val="auto"/>
        </w:rPr>
        <w:t>material change in accounting policies or financial reporting practices of a Loan Party or any of its Subsidiaries; (g) [reserved];</w:t>
      </w:r>
    </w:p>
    <w:p>
      <w:pPr>
        <w:spacing w:after="0" w:line="11" w:lineRule="exact"/>
        <w:rPr>
          <w:sz w:val="20"/>
          <w:szCs w:val="20"/>
          <w:color w:val="auto"/>
        </w:rPr>
      </w:pPr>
    </w:p>
    <w:p>
      <w:pPr>
        <w:jc w:val="both"/>
        <w:ind w:left="740" w:hanging="3"/>
        <w:spacing w:after="0"/>
        <w:tabs>
          <w:tab w:leader="none" w:pos="102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discharge by a Loan Party or any of its Subsidiaries of its independent accountants or any withdrawal or resignation by such accountants; (i) [reserved]; (j) the filing of any Lien for unpaid Taxes against any Loan Party; (k) any casualty loss, damage, or destruction to, or commencement of any action or proceeding for the taking under eminent domain, condemnation or similar proceeding, of Collateral in the amount of $[***] or more, whether or not covered by insurance; and (l) any transaction occurring after the Closing Date consisting of: (i) subject to the last paragraph of Schedule 7.1, the entry into a Material Contract (together with a copy of such Material Contract upon Agent’s request or, if any Loan Party or any of its Subsidiaries is subject to obligations of confidentiality with respect thereto, a reasonably detailed summary of the material non-confidential terms thereof), (ii) the incurrence of Material Indebtedness or (iii) its actual knowledge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8" w:name="page79"/>
    <w:bookmarkEnd w:id="78"/>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of the involuntary grant of any Lien other than a Permitted Lien upon any property of a Loan Party or any of its Subsidiaries, and, in the case of each of clauses (i) through (iii) above, together with such other information with respect thereto as Agent may reasonably request. Each notice pursuant to clause (a) of this Section shall be accompanied by a statement of a Responsible Officer of a Borrower setting forth details of the occurrence referred to therein and stating what action such Loan Party or such Subsidiary has taken and proposes to take with respect thereto.</w:t>
      </w:r>
    </w:p>
    <w:p>
      <w:pPr>
        <w:spacing w:after="0" w:line="185"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Existence</w:t>
      </w:r>
      <w:r>
        <w:rPr>
          <w:rFonts w:ascii="Times New Roman" w:cs="Times New Roman" w:eastAsia="Times New Roman" w:hAnsi="Times New Roman"/>
          <w:sz w:val="20"/>
          <w:szCs w:val="20"/>
          <w:color w:val="auto"/>
        </w:rPr>
        <w:t>. Do or cause to be done all things necessary to preserve, renew and keep in full force and effect its legal existence and the rights, qualifications, licenses, permits, franchises, governmental authorizations, intellectual property rights, licenses and permits (including, without limitation, any Cannabis Licenses) material to the conduct of its business, and maintain all requisite authority to conduct its business in each jurisdiction in which its business is conducted except, in the case of any Subsidiary of a Borrower (other than a Loan Party), where the failure to preserve and keep its existence or any such rights qualifications, licenses, permits, franchises, governmental authorizations, intellectual property rights, licenses and permits would not reasonably be expected to have, individually or in the aggregate, a Material Adverse Effect.</w:t>
      </w:r>
    </w:p>
    <w:p>
      <w:pPr>
        <w:spacing w:after="0" w:line="172" w:lineRule="exact"/>
        <w:rPr>
          <w:sz w:val="20"/>
          <w:szCs w:val="20"/>
          <w:color w:val="auto"/>
        </w:rPr>
      </w:pPr>
    </w:p>
    <w:p>
      <w:pPr>
        <w:jc w:val="both"/>
        <w:ind w:left="740" w:right="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xml:space="preserve">. Pay or discharge all Material Indebtedness and all other material liabilities and obligations, including material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does not have, and could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each Loan Party and each of its Subsidiaries will remit material withholding taxes and other material payroll taxes to the appropriate Governmental Authority as and when claimed to be due, notwithstanding the foregoing exceptions.</w:t>
      </w:r>
    </w:p>
    <w:p>
      <w:pPr>
        <w:spacing w:after="0" w:line="186"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Except as could not reasonably be expected to have, individually or in the aggregate, a Material Adverse Effect, keep and maintain all property used or useful in the conduct of its business in good working order and condition, ordinary wear and tear excepted.</w:t>
      </w:r>
    </w:p>
    <w:p>
      <w:pPr>
        <w:spacing w:after="0" w:line="174" w:lineRule="exact"/>
        <w:rPr>
          <w:sz w:val="20"/>
          <w:szCs w:val="20"/>
          <w:color w:val="auto"/>
        </w:rPr>
      </w:pPr>
    </w:p>
    <w:p>
      <w:pPr>
        <w:jc w:val="both"/>
        <w:ind w:left="740" w:right="40" w:firstLine="749"/>
        <w:spacing w:after="0" w:line="260"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Comply (a) with all Applicable Laws (other than Federal Cannabis Laws), in each case where the failure to comply individually or in the aggregate has or could reasonably be expected to have a Material Adverse Effect, (b) with Sanctions, (c) with Anti-Money Laundering Laws and Anti-Corruption Laws in all material respects,</w:t>
      </w:r>
    </w:p>
    <w:p>
      <w:pPr>
        <w:jc w:val="both"/>
        <w:ind w:left="740" w:right="40" w:hanging="3"/>
        <w:spacing w:after="0" w:line="242" w:lineRule="auto"/>
        <w:tabs>
          <w:tab w:leader="none" w:pos="105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and perform its obligations under Material Contracts to which it is a party except where the failure to comply individually or in the aggregate has or could reasonably be expected to have a Material Adverse Effect and (e) with all State Cannabis Laws, all Canadian Cannabis Laws and all Cannabis Licenses in all material respects.</w:t>
      </w:r>
    </w:p>
    <w:p>
      <w:pPr>
        <w:spacing w:after="0" w:line="173"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Maintain with financially sound and reputable carriers (a) insurance in such amounts (with no greater risk retention) and against such risks and such other hazards, as is customarily maintained by companies of established repute engaged in the same or similar businesses operating in the same or similar locations and (b) all insurance required pursuant to the Security Documents. Each Loan Party will from time to time upon Agent’s request furnish to Agent information in reasonable detail as to the insurance so maintained.</w:t>
      </w:r>
    </w:p>
    <w:p>
      <w:pPr>
        <w:spacing w:after="0" w:line="185"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Inspection Rights; Field Examinations</w:t>
      </w:r>
      <w:r>
        <w:rPr>
          <w:rFonts w:ascii="Times New Roman" w:cs="Times New Roman" w:eastAsia="Times New Roman" w:hAnsi="Times New Roman"/>
          <w:sz w:val="20"/>
          <w:szCs w:val="20"/>
          <w:color w:val="auto"/>
        </w:rPr>
        <w:t>. Upon the request of Agent after reasonable prior notice to any Loan Party, permit Agent or a firm engaged by Agent for such purpose to conduct inspections, including with respect to such Loan Party’s or its Subsidiaries’ practices, and related financial information such as, but not limited to, sales, gross margins, payables, accruals and reserves, including visits to any of its properties to examine its corporate, financial and operating records,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79" w:name="page80"/>
    <w:bookmarkEnd w:id="79"/>
    <w:p>
      <w:pPr>
        <w:jc w:val="both"/>
        <w:ind w:left="740" w:right="20"/>
        <w:spacing w:after="0" w:line="246" w:lineRule="auto"/>
        <w:rPr>
          <w:sz w:val="20"/>
          <w:szCs w:val="20"/>
          <w:color w:val="auto"/>
        </w:rPr>
      </w:pPr>
      <w:r>
        <w:rPr>
          <w:rFonts w:ascii="Times New Roman" w:cs="Times New Roman" w:eastAsia="Times New Roman" w:hAnsi="Times New Roman"/>
          <w:sz w:val="20"/>
          <w:szCs w:val="20"/>
          <w:color w:val="auto"/>
        </w:rPr>
        <w:t xml:space="preserve">make copies thereof or abstracts therefrom, and to discuss its affairs, finances and accounts with its directors, officers, and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commencing after the Closing Date, (i) Agent shall not conduct, at the expense of a Borrower, more than one (1) inspection in any 12-month period and (ii) Agent may conduct, at the expense of a Borrower, such other inspections as Agent may request at any time as may be required by law or regulation or when an Event of Default has occurred and is continuing.</w:t>
      </w:r>
    </w:p>
    <w:p>
      <w:pPr>
        <w:spacing w:after="0" w:line="185"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Use the initial proceeds of the Term Loans hereunder only for: (a) the refinancing of the Loan Parties’ existing Indebtedness (other than Permitted Indebtedness that will remain outstanding after the Closing Date), (b) payments to each of the persons listed in the disbursement direction letter furnished by such Borrower to Agent on or about the date hereof, (c) costs, expenses and fees in connection with the preparation, negotiation, execution and delivery of this Agreement and the other Loan Documents, and (d) for general operating, working capital and other corporate purposes of the Loan Parties and their Subsidiaries not otherwise prohibited by the terms of the Organization Documents of such Loan Party or such Subsidiary or hereunder.</w:t>
      </w:r>
    </w:p>
    <w:p>
      <w:pPr>
        <w:spacing w:after="0" w:line="18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Cash Management; Collection of Proceeds of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right="40" w:firstLine="1494"/>
        <w:spacing w:after="0" w:line="241" w:lineRule="auto"/>
        <w:tabs>
          <w:tab w:leader="none" w:pos="25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Closing Date, maintain, with Valley National Bank (or such other institutions approved by Agent), at its expense, deposit accounts and cash management services of a type and on terms set forth on </w:t>
      </w:r>
      <w:r>
        <w:rPr>
          <w:rFonts w:ascii="Times New Roman" w:cs="Times New Roman" w:eastAsia="Times New Roman" w:hAnsi="Times New Roman"/>
          <w:sz w:val="20"/>
          <w:szCs w:val="20"/>
          <w:u w:val="single" w:color="auto"/>
          <w:color w:val="auto"/>
        </w:rPr>
        <w:t>Schedule 7.10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Each Loan Party shall deliver, or cause to be delivered to Agent, a Control Agreement with respect to each of its deposit accounts (x) maintained as of the Closing Date in accordance with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 xml:space="preserve"> and (y) opened, acquired or established after the Closing Date within sixty (60) days (or such later date as Agent may reasonably agree) after such deposit account is opened, acquired or established, in each case, duly authorized, executed and delivered by the Cash Management Bank where a deposit account is maintained, such Loan Party and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Loan Party shall not be required to deliver a Control Agreement with respect to any deposit account (an “</w:t>
      </w:r>
      <w:r>
        <w:rPr>
          <w:rFonts w:ascii="Times New Roman" w:cs="Times New Roman" w:eastAsia="Times New Roman" w:hAnsi="Times New Roman"/>
          <w:sz w:val="20"/>
          <w:szCs w:val="20"/>
          <w:u w:val="single" w:color="auto"/>
          <w:color w:val="auto"/>
        </w:rPr>
        <w:t>Excluded Deposit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xml:space="preserve">”) that (i) is specifically and exclusively used for payroll, payroll taxes and other employee wage and benefit payments to or for the benefit of such Loan Party’s or its Subsidiaries’ salaried employees, (ii) holds cash and Cash Equivalents comprised solely of all Taxes required to be collected, remitted or withheld (including federal and state withholding taxes (including the employer’s share thereof), (iii) holds cash and Cash Equivalents comprised solely of funds which any Loan Party holds in trust or as an escrow or fiduciary for another Person which is not a Loan Party in the ordinary course of business, (iv) is a zero balance account, (v) is used exclusively as an escrow account (including any escrow account holding funds for the benefit of third parties in connection with any Permitted Investment), (vi) contains cash collateral under an arrangement permitted by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(vii) together with all other accounts under this clause (vii), has an average weekly balance of less than $[***].</w:t>
      </w:r>
    </w:p>
    <w:p>
      <w:pPr>
        <w:spacing w:after="0" w:line="178" w:lineRule="exact"/>
        <w:rPr>
          <w:rFonts w:ascii="Times New Roman" w:cs="Times New Roman" w:eastAsia="Times New Roman" w:hAnsi="Times New Roman"/>
          <w:sz w:val="20"/>
          <w:szCs w:val="20"/>
          <w:color w:val="auto"/>
        </w:rPr>
      </w:pPr>
    </w:p>
    <w:p>
      <w:pPr>
        <w:jc w:val="both"/>
        <w:ind w:left="740" w:right="40" w:firstLine="1494"/>
        <w:spacing w:after="0" w:line="245" w:lineRule="auto"/>
        <w:tabs>
          <w:tab w:leader="none" w:pos="25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at all times, maintain in deposit accounts and securities accounts held by the Lenders and their Affiliates, cash and Cash Equivalents in an aggregate amount which is not less than (x) two (2) multiplied by (y) the sum of (i) the aggregate principal amount of payments due under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in respect of the immediately succeeding fiscal quarter (but excluding payments due on the Maturity Date), (ii) the aggregate amount of interest payments due on the immediately succeeding interest payment date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(iii) the aggregate amount of fees required to be paid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in respect of the immediately succeeding payment date.</w:t>
      </w:r>
    </w:p>
    <w:p>
      <w:pPr>
        <w:spacing w:after="0" w:line="184"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Additional Collateral; Further Assurances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40" w:firstLine="1494"/>
        <w:spacing w:after="0" w:line="254" w:lineRule="auto"/>
        <w:tabs>
          <w:tab w:leader="none" w:pos="252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formation or acquisition by any Loan Party of any Subsidiary (other than an Excluded Subsidiary) after the date hereof, as to any such Subsidiary, such Loan Party shall promptly notify Agent in writing of such formation or acquisition, and, upon the reasonable request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0" w:name="page81"/>
    <w:bookmarkEnd w:id="80"/>
    <w:p>
      <w:pPr>
        <w:ind w:left="740"/>
        <w:spacing w:after="0"/>
        <w:rPr>
          <w:sz w:val="20"/>
          <w:szCs w:val="20"/>
          <w:color w:val="auto"/>
        </w:rPr>
      </w:pPr>
      <w:r>
        <w:rPr>
          <w:rFonts w:ascii="Times New Roman" w:cs="Times New Roman" w:eastAsia="Times New Roman" w:hAnsi="Times New Roman"/>
          <w:sz w:val="20"/>
          <w:szCs w:val="20"/>
          <w:color w:val="auto"/>
        </w:rPr>
        <w:t>of Agent, within sixty (60) days (or such later date as Agent may reasonably agree) after the formation of acquisition thereof</w:t>
      </w:r>
    </w:p>
    <w:p>
      <w:pPr>
        <w:spacing w:after="0" w:line="22" w:lineRule="exact"/>
        <w:rPr>
          <w:sz w:val="20"/>
          <w:szCs w:val="20"/>
          <w:color w:val="auto"/>
        </w:rPr>
      </w:pPr>
    </w:p>
    <w:p>
      <w:pPr>
        <w:jc w:val="both"/>
        <w:ind w:left="740" w:hanging="5"/>
        <w:spacing w:after="0" w:line="239" w:lineRule="auto"/>
        <w:tabs>
          <w:tab w:leader="none" w:pos="9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Party shall cause such Subsidiary to execute and deliver to Agent, in form and substance reasonably satisfactory to Agent, a joinder agreement to the Loan Documents in order to make such Subsidiary a party to this Agreement as a borrower or a guarantor, as Administrative Borrower may specify, and shall cause it to execute and deliver a guarantee and such other agreements, documents or instruments and to deliver other consents, waivers, acknowledgments and other agreements from third persons which Agent may reasonably deem necessary or desirable in order to permit, protect and perfect its security interests in and Liens upon the Collateral of such Subsidiary and the Equity Interests of such Loan Party in such Subsidiary constituting Collateral, corporate resolutions and other organization and authorizing documents of such Person, and favorable opinions of counsel to such person, (ii) such Loan Party shall execute and deliver to Agent, a pledge and security agreement, in form and substance reasonably satisfactory to Agent, granting to Agent a first pledge of and Lien on all of the issued and outstanding Equity Interests of any such Subsidiary constituting Collateral, such other agreements, documents and instruments as Agent may require in connection with the documents referred to above, including, but not limited to, supplements and amendments hereto, corporate resolutions and other organization and authorizing documents and favorable opinions of counsel to such person and (iii) such Loan Party shall execute and deliver, or cause to be executed and delivered, to Agent, if such Subsidiary qualifies as a “legal entity customer” under 31 C.F.R. Section 1010.230, a certification regarding beneficial ownership as required by such regulation in relation to such Subsidiary and such information as Agent requires to complete its Patriot Act searches and customary individual background checks for such Subsidiary. Agent shall not accept delivery of any joinder to any Loan Document with respect to any Subsidiary of any Loan Party that is not a Loan Party, if such Subsidiary qualifies as a “legal entity customer” under 31 C.F.R. Section 1010.230, unless such Subsidiary has delivered a certification regarding beneficial ownership as required by such regulation in relation to such Subsidiary and Agent has completed its Patriot Act searches and customary individual background checks for such Subsidiary, the results of which shall be reasonably satisfactory to Agent.</w:t>
      </w:r>
    </w:p>
    <w:p>
      <w:pPr>
        <w:spacing w:after="0" w:line="190" w:lineRule="exact"/>
        <w:rPr>
          <w:rFonts w:ascii="Times New Roman" w:cs="Times New Roman" w:eastAsia="Times New Roman" w:hAnsi="Times New Roman"/>
          <w:sz w:val="20"/>
          <w:szCs w:val="20"/>
          <w:color w:val="auto"/>
        </w:rPr>
      </w:pPr>
    </w:p>
    <w:p>
      <w:pPr>
        <w:jc w:val="both"/>
        <w:ind w:left="740" w:firstLine="1494"/>
        <w:spacing w:after="0" w:line="244" w:lineRule="auto"/>
        <w:tabs>
          <w:tab w:leader="none" w:pos="252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each Loan Party will, and will cause each of its Subsidiaries to, execute and deliver, or cause to be executed and delivered, to Agent such documents, agreements and instruments, and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as applicable), which Agent may, from time to time, request to carry out the terms and conditions of this Agreement and the other Loan Documents and to ensure perfection and priority of the security interests and Liens created or intended to be created by the Security Documents, all in form and substance reasonably satisfactory to Agent and at the expense of Borrowers.</w:t>
      </w:r>
    </w:p>
    <w:p>
      <w:pPr>
        <w:spacing w:after="0" w:line="172"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u w:val="single" w:color="auto"/>
          <w:color w:val="auto"/>
        </w:rPr>
        <w:t>End of Fiscal Years; Fiscal Quarters</w:t>
      </w:r>
      <w:r>
        <w:rPr>
          <w:rFonts w:ascii="Times New Roman" w:cs="Times New Roman" w:eastAsia="Times New Roman" w:hAnsi="Times New Roman"/>
          <w:sz w:val="20"/>
          <w:szCs w:val="20"/>
          <w:color w:val="auto"/>
        </w:rPr>
        <w:t>. Each Loan Party and each of its Subsidiaries shall, for financial reporting purposes, cause its fiscal year to end on December 31 of each year, and fiscal quarters to end on the last day of each of March, June, September and December of each year.</w:t>
      </w:r>
    </w:p>
    <w:p>
      <w:pPr>
        <w:spacing w:after="0" w:line="174" w:lineRule="exact"/>
        <w:rPr>
          <w:sz w:val="20"/>
          <w:szCs w:val="20"/>
          <w:color w:val="auto"/>
        </w:rPr>
      </w:pPr>
    </w:p>
    <w:p>
      <w:pPr>
        <w:jc w:val="both"/>
        <w:ind w:left="740" w:firstLine="749"/>
        <w:spacing w:after="0" w:line="257" w:lineRule="auto"/>
        <w:rPr>
          <w:sz w:val="20"/>
          <w:szCs w:val="20"/>
          <w:color w:val="auto"/>
        </w:rPr>
      </w:pPr>
      <w:r>
        <w:rPr>
          <w:rFonts w:ascii="Times New Roman" w:cs="Times New Roman" w:eastAsia="Times New Roman" w:hAnsi="Times New Roman"/>
          <w:sz w:val="19"/>
          <w:szCs w:val="19"/>
          <w:color w:val="auto"/>
        </w:rPr>
        <w:t xml:space="preserve">9.17. </w:t>
      </w: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xml:space="preserve">. Pay to Agent within sixty (60) days after receipt by Administrative Borrower of a written request therefor (together with reasonably detailed supporting documentation), all of its reasonable costs, expenses and filing fees paid or payable in connection with the preparation, negotiation, execution, delivery, recording, syndication, administration, collection, liquidation, enforcement and defense of the Obligations, Agent’s rights in the Collateral, the Loan Documents and all other documents related hereto or thereto, including any amendments, supplements or consents which may hereafter be contemplated (whether or not executed) or entered into in respect hereof and thereof, including: (a) all costs and expenses of filing or recording (including UCC financing statement filing taxes and fees, documentary taxes, intangibles taxes and mortgage recording taxes and fees, if applicable), (b) costs and expenses and fees for inspections (to the extent set forth in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 plus a per diem charge at Agent’s then standard rate for Agent’s examiners in the field and office (which rate 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81" w:name="page82"/>
    <w:bookmarkEnd w:id="81"/>
    <w:p>
      <w:pPr>
        <w:jc w:val="both"/>
        <w:ind w:left="740" w:right="20"/>
        <w:spacing w:after="0" w:line="243" w:lineRule="auto"/>
        <w:rPr>
          <w:sz w:val="20"/>
          <w:szCs w:val="20"/>
          <w:color w:val="auto"/>
        </w:rPr>
      </w:pPr>
      <w:r>
        <w:rPr>
          <w:rFonts w:ascii="Times New Roman" w:cs="Times New Roman" w:eastAsia="Times New Roman" w:hAnsi="Times New Roman"/>
          <w:sz w:val="20"/>
          <w:szCs w:val="20"/>
          <w:color w:val="auto"/>
        </w:rPr>
        <w:t>of the date hereof is $1,000 per person per day) and search fees, background checks, costs and expenses of remitting loan proceeds, collecting checks and other items of payment, together with Agent’s customary charges and fees with respect thereto; (c) customary charges, fees or expenses charged by Agent in connection with remitting loan proceeds; (d) actual costs and expenses of preserving and protecting the Collateral; (e) actual costs and expenses paid or incurred in connection with obtaining payment of the Obligations, enforcing the security interests and Liens of Agent in the Collateral, selling or otherwise realizing upon the Collateral, and otherwise enforcing the provisions of the Loan Documents; and (f) the reasonable fees and disbursements of one firm of outside counsel to Agent and, if necessary, of one local counsel in any relevant material jurisdiction to Agent (in each case, including legal assistants) in connection with any of the foregoing.</w:t>
      </w:r>
    </w:p>
    <w:p>
      <w:pPr>
        <w:spacing w:after="0" w:line="189"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9.18. </w:t>
      </w:r>
      <w:r>
        <w:rPr>
          <w:rFonts w:ascii="Times New Roman" w:cs="Times New Roman" w:eastAsia="Times New Roman" w:hAnsi="Times New Roman"/>
          <w:sz w:val="20"/>
          <w:szCs w:val="20"/>
          <w:u w:val="single" w:color="auto"/>
          <w:color w:val="auto"/>
        </w:rPr>
        <w:t>Regulatory Approvals</w:t>
      </w:r>
      <w:r>
        <w:rPr>
          <w:rFonts w:ascii="Times New Roman" w:cs="Times New Roman" w:eastAsia="Times New Roman" w:hAnsi="Times New Roman"/>
          <w:sz w:val="20"/>
          <w:szCs w:val="20"/>
          <w:color w:val="auto"/>
        </w:rPr>
        <w:t>. Use commercially reasonable efforts to cooperate with Agent and each Lender and each applicable Governmental Authority, to obtain any approvals as may be necessary or desirable under applicable State Cannabis Laws or Canadian Cannabis Laws with respect to registration or approval of this Agreement, the other Loan Documents and/or the Loans provided hereunder.</w:t>
      </w:r>
    </w:p>
    <w:p>
      <w:pPr>
        <w:spacing w:after="0" w:line="166"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9.19. </w:t>
      </w:r>
      <w:r>
        <w:rPr>
          <w:rFonts w:ascii="Times New Roman" w:cs="Times New Roman" w:eastAsia="Times New Roman" w:hAnsi="Times New Roman"/>
          <w:sz w:val="20"/>
          <w:szCs w:val="20"/>
          <w:u w:val="single" w:color="auto"/>
          <w:color w:val="auto"/>
        </w:rPr>
        <w:t>Post-Closing Requirements</w:t>
      </w:r>
      <w:r>
        <w:rPr>
          <w:rFonts w:ascii="Times New Roman" w:cs="Times New Roman" w:eastAsia="Times New Roman" w:hAnsi="Times New Roman"/>
          <w:sz w:val="20"/>
          <w:szCs w:val="20"/>
          <w:color w:val="auto"/>
        </w:rPr>
        <w:t xml:space="preserve">. The Loan Parties shall deliver to Agent the items described on </w:t>
      </w:r>
      <w:r>
        <w:rPr>
          <w:rFonts w:ascii="Times New Roman" w:cs="Times New Roman" w:eastAsia="Times New Roman" w:hAnsi="Times New Roman"/>
          <w:sz w:val="20"/>
          <w:szCs w:val="20"/>
          <w:u w:val="single" w:color="auto"/>
          <w:color w:val="auto"/>
        </w:rPr>
        <w:t>Schedule 7.15</w:t>
      </w:r>
      <w:r>
        <w:rPr>
          <w:rFonts w:ascii="Times New Roman" w:cs="Times New Roman" w:eastAsia="Times New Roman" w:hAnsi="Times New Roman"/>
          <w:sz w:val="20"/>
          <w:szCs w:val="20"/>
          <w:color w:val="auto"/>
        </w:rPr>
        <w:t>, within the timeframes set forth therein.</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8. NEGATIVE COVENANTS</w:t>
      </w:r>
    </w:p>
    <w:p>
      <w:pPr>
        <w:spacing w:after="0" w:line="220" w:lineRule="exact"/>
        <w:rPr>
          <w:sz w:val="20"/>
          <w:szCs w:val="20"/>
          <w:color w:val="auto"/>
        </w:rPr>
      </w:pPr>
    </w:p>
    <w:p>
      <w:pPr>
        <w:ind w:left="740" w:right="480" w:firstLine="749"/>
        <w:spacing w:after="0" w:line="269" w:lineRule="auto"/>
        <w:rPr>
          <w:sz w:val="20"/>
          <w:szCs w:val="20"/>
          <w:color w:val="auto"/>
        </w:rPr>
      </w:pPr>
      <w:r>
        <w:rPr>
          <w:rFonts w:ascii="Times New Roman" w:cs="Times New Roman" w:eastAsia="Times New Roman" w:hAnsi="Times New Roman"/>
          <w:sz w:val="20"/>
          <w:szCs w:val="20"/>
          <w:color w:val="auto"/>
        </w:rPr>
        <w:t>Each Loan Party hereby covenants and agrees, and shall cause each of its Subsidiaries, to comply with all of the following:</w:t>
      </w:r>
    </w:p>
    <w:p>
      <w:pPr>
        <w:spacing w:after="0" w:line="146"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8.15.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Each Loan Party shall not, and shall not permit any of its Subsidiaries to, incur, create, assume, become or be liable in any manner with respect to, or permit to exist, any Indebtedness, or guarantee, assume, endorse, or otherwise become responsible for (directly or indirectly), the Indebtedness, performance, obligations or dividends of any other Person, except for the Permitted Indebtedness.</w:t>
      </w:r>
    </w:p>
    <w:p>
      <w:pPr>
        <w:spacing w:after="0" w:line="180"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8.16.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Each Loan Party shall not, and shall not permit any of its Subsidiaries to, create, incur, assume or suffer to exist any Lien, charge or other encumbrance of any nature whatsoever on any of its assets or properties, including the Collateral, or file or permit the filing of, or permit to remain in effect, any financing statement or other similar notice of any security interest or Lien with respect to any such assets or properties, except for the Permitted Liens.</w:t>
      </w:r>
    </w:p>
    <w:p>
      <w:pPr>
        <w:spacing w:after="0" w:line="180" w:lineRule="exact"/>
        <w:rPr>
          <w:sz w:val="20"/>
          <w:szCs w:val="20"/>
          <w:color w:val="auto"/>
        </w:rPr>
      </w:pPr>
    </w:p>
    <w:p>
      <w:pPr>
        <w:jc w:val="both"/>
        <w:ind w:left="740" w:right="20" w:firstLine="749"/>
        <w:spacing w:after="0" w:line="260"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 Except with the prior written consent of Agent, each Loan Party shall not, and shall not permit any of its Subsidiaries to, directly or indirectly, (a) conduct business under any fictitious name; (b) change its tax, charter or other organizational identification number; (c) with respect to a Loan Party, change its form or state of organization;</w:t>
      </w:r>
    </w:p>
    <w:p>
      <w:pPr>
        <w:jc w:val="both"/>
        <w:ind w:left="740" w:right="20" w:hanging="3"/>
        <w:spacing w:after="0"/>
        <w:tabs>
          <w:tab w:leader="none" w:pos="102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suspend operations, wind up, liquidate or dissolve (other than Permitted Dispositions and except that any Loan Party (other than a Borrower) or Subsidiary may suspend operations, wind up, liquidate or dissolve if (x) Administrative Borrower determines in good faith that (i) such suspension of operations, winding up, liquidation or dissolution is in the best interests of the Loan Parties and (ii) is not materially disadvantageous to the Lenders (taken as a whole) and (y) a Borrower or any wholly-owned Subsidiary receives the assets (if any) of the relevant wound up, liquidated or dissolved Subsidiary); or (e) enter into any merger, consolidation, reorganization, recapitalization, division or plan of division, or reclassify its Equity Interests, except for Permitted Investments and any merger among Loan Parties and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Loan Party must be the surviving entity of any such merger to which it is a party (unless such merger is with a Borrower, in which case a Borrower must be the surviving entity). Each Loan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82" w:name="page83"/>
    <w:bookmarkEnd w:id="82"/>
    <w:p>
      <w:pPr>
        <w:jc w:val="both"/>
        <w:ind w:left="740" w:right="60"/>
        <w:spacing w:after="0" w:line="254" w:lineRule="auto"/>
        <w:rPr>
          <w:sz w:val="20"/>
          <w:szCs w:val="20"/>
          <w:color w:val="auto"/>
        </w:rPr>
      </w:pPr>
      <w:r>
        <w:rPr>
          <w:rFonts w:ascii="Times New Roman" w:cs="Times New Roman" w:eastAsia="Times New Roman" w:hAnsi="Times New Roman"/>
          <w:sz w:val="20"/>
          <w:szCs w:val="20"/>
          <w:color w:val="auto"/>
        </w:rPr>
        <w:t>Party shall give Agent (i) not less than thirty (30) days prior written notice of any change of its name, type of entity or state of organization and (ii) notice of any change of any of its non-Loan Party Subsidiaries’ names, their type of entity or their state of organization no later than thirty (30) days following any such change.</w:t>
      </w:r>
    </w:p>
    <w:p>
      <w:pPr>
        <w:spacing w:after="0" w:line="174"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8.18. </w:t>
      </w:r>
      <w:r>
        <w:rPr>
          <w:rFonts w:ascii="Times New Roman" w:cs="Times New Roman" w:eastAsia="Times New Roman" w:hAnsi="Times New Roman"/>
          <w:sz w:val="20"/>
          <w:szCs w:val="20"/>
          <w:u w:val="single" w:color="auto"/>
          <w:color w:val="auto"/>
        </w:rPr>
        <w:t>Asset Dispositions</w:t>
      </w:r>
      <w:r>
        <w:rPr>
          <w:rFonts w:ascii="Times New Roman" w:cs="Times New Roman" w:eastAsia="Times New Roman" w:hAnsi="Times New Roman"/>
          <w:sz w:val="20"/>
          <w:szCs w:val="20"/>
          <w:color w:val="auto"/>
        </w:rPr>
        <w:t>. Each Loan Party shall not, nor shall it permit any of its Subsidiaries to, sell, issue, assign, lease, license, transfer, abandon or otherwise dispose of any Equity Interests or any of its assets (including by an allocation of assets among newly divided limited liability companies pursuant to a “plan of division”), except for Permitted Dispositions or agree to do any of the foregoing.</w:t>
      </w:r>
    </w:p>
    <w:p>
      <w:pPr>
        <w:spacing w:after="0" w:line="180" w:lineRule="exact"/>
        <w:rPr>
          <w:sz w:val="20"/>
          <w:szCs w:val="20"/>
          <w:color w:val="auto"/>
        </w:rPr>
      </w:pPr>
    </w:p>
    <w:p>
      <w:pPr>
        <w:jc w:val="both"/>
        <w:ind w:left="740" w:right="60" w:firstLine="749"/>
        <w:spacing w:after="0" w:line="258" w:lineRule="auto"/>
        <w:rPr>
          <w:sz w:val="20"/>
          <w:szCs w:val="20"/>
          <w:color w:val="auto"/>
        </w:rPr>
      </w:pPr>
      <w:r>
        <w:rPr>
          <w:rFonts w:ascii="Times New Roman" w:cs="Times New Roman" w:eastAsia="Times New Roman" w:hAnsi="Times New Roman"/>
          <w:sz w:val="19"/>
          <w:szCs w:val="19"/>
          <w:color w:val="auto"/>
        </w:rPr>
        <w:t xml:space="preserve">8.19. </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Each Loan Party shall not, and shall not permit any of its Subsidiaries to, directly or indirectly, purchase, hold or acquire (including pursuant to any merger with any Person that was not a wholly-owned Subsidiary immediately prior to such merger) any Equity Interests, evidences of indebtedness or other securities (including any option, warrant or other right to acquire any of the foregoing) of, make or permit to exist any loans or advances to, or make or permit to exist any capital contribution or other investment or any other interest in, any other Person, or purchase or otherwise acquire (in one transaction or a series of transactions) any assets of any other Person constituting a business unit or all or a substantial part of the assets or property of any other Person (whether through purchase of assets, merger or otherwise), or form or acquire any Subsidiaries, or agree to do any of the foregoing (each of the foregoing an “</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except Permitted Investments.</w:t>
      </w:r>
    </w:p>
    <w:p>
      <w:pPr>
        <w:spacing w:after="0" w:line="160"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19"/>
          <w:szCs w:val="19"/>
          <w:color w:val="auto"/>
        </w:rPr>
        <w:t xml:space="preserve">8.20.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Each Loan Party shall not, and shall not permit any of its Subsidiaries to, directly or indirectly, purchase, acquire or lease any property from, or sell, transfer or lease any property to, any officer, director or other Affiliates of such Loan Party or such Subsidiary, except pursuant to the reasonable requirements of such Loan Party’s or such Subsidiary’s business and upon fair and reasonable terms no less favorable to such Loan Party or such Subsidiary than such Loan Party or such Subsidiary would obtain in a comparable arm’s length transaction with an unaffiliated person, except for the following: (a) any employment or compensation arrangement or agreement, employee benefit plan or arrangement, officer or director indemnification agreement or any similar arrangement or other compensation arrangement entered into by a Loan Party or any of its Subsidiaries in the ordinary course of business and payments, issuance of securities or awards pursuant thereto, and including the grant of stock options, restricted stock, stock appreciation rights, phantom stock awards or similar rights to employees and directors in each case approved by the board of directors or equivalent governing body of GTI or such Loan Party, (b) Restricted Payments permitted under </w:t>
      </w:r>
      <w:r>
        <w:rPr>
          <w:rFonts w:ascii="Times New Roman" w:cs="Times New Roman" w:eastAsia="Times New Roman" w:hAnsi="Times New Roman"/>
          <w:sz w:val="19"/>
          <w:szCs w:val="19"/>
          <w:u w:val="single" w:color="auto"/>
          <w:color w:val="auto"/>
        </w:rPr>
        <w:t>Section 8.8</w:t>
      </w:r>
      <w:r>
        <w:rPr>
          <w:rFonts w:ascii="Times New Roman" w:cs="Times New Roman" w:eastAsia="Times New Roman" w:hAnsi="Times New Roman"/>
          <w:sz w:val="19"/>
          <w:szCs w:val="19"/>
          <w:color w:val="auto"/>
        </w:rPr>
        <w:t xml:space="preserve"> hereof, and (c) any transaction (or series of related transactions) in respect of which Administrative Borrower delivers to Agent a letter addressed to the board of directors (or equivalent governing body) of GTI or Administrative Borrower from an accounting, appraisal or investment banking firm of nationally recognized standing stating that such transaction or transactions, as applicable, is or are on terms that either (x) are no less favorable to the applicable Loan Party or Subsidiary than might be obtained at the time in a comparable arm’s length transaction from a Person who is not an Affiliate or (y) fair to the applicable Loan Party or Subsidiary from a financial point of view (and not adverse to the rights and interests of Agent and the Lenders in any material respect).</w:t>
      </w:r>
    </w:p>
    <w:p>
      <w:pPr>
        <w:spacing w:after="0" w:line="173"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8.21. </w:t>
      </w:r>
      <w:r>
        <w:rPr>
          <w:rFonts w:ascii="Times New Roman" w:cs="Times New Roman" w:eastAsia="Times New Roman" w:hAnsi="Times New Roman"/>
          <w:sz w:val="20"/>
          <w:szCs w:val="20"/>
          <w:u w:val="single" w:color="auto"/>
          <w:color w:val="auto"/>
        </w:rPr>
        <w:t>Change in Business</w:t>
      </w:r>
      <w:r>
        <w:rPr>
          <w:rFonts w:ascii="Times New Roman" w:cs="Times New Roman" w:eastAsia="Times New Roman" w:hAnsi="Times New Roman"/>
          <w:sz w:val="20"/>
          <w:szCs w:val="20"/>
          <w:color w:val="auto"/>
        </w:rPr>
        <w:t>. Each Loan Party shall not, and shall not permit any of its Subsidiaries to, engage in any business other than (x) the business of such Loan Party or such Subsidiary on the date hereof and any business that is similar, related, ancillary or complimentary to the business in which such Loan Party or such Subsidiary is engaged on the date hereof or acquire any properties or assets that are not similar, related, ancillary or complimentary thereto and (y) another line of business as to which, in the case of this clause (y), Agent provides its consent.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3" w:name="page84"/>
    <w:bookmarkEnd w:id="83"/>
    <w:p>
      <w:pPr>
        <w:jc w:val="both"/>
        <w:ind w:left="740" w:firstLine="749"/>
        <w:spacing w:after="0" w:line="253" w:lineRule="auto"/>
        <w:rPr>
          <w:sz w:val="20"/>
          <w:szCs w:val="20"/>
          <w:color w:val="auto"/>
        </w:rPr>
      </w:pPr>
      <w:r>
        <w:rPr>
          <w:rFonts w:ascii="Times New Roman" w:cs="Times New Roman" w:eastAsia="Times New Roman" w:hAnsi="Times New Roman"/>
          <w:sz w:val="19"/>
          <w:szCs w:val="19"/>
          <w:color w:val="auto"/>
        </w:rPr>
        <w:t xml:space="preserve">8.22.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Each Loan Party shall not, and shall not permit any of its Subsidiaries to, declare or make, or agree to pay or make, directly or indirectly, any Restricted Payment, except (a) a Loan Party may declare and make dividend payments or other distributions payable solely in the Equity Interests of such Loan Party, (b) a Loan Party or any of its Subsidiaries may make a Restricted Payment to another Loan Party, (c) any direct or indirect Subsidiary of a Loan Party may make a Restricted Payment so long as such Restricted Payments or paid ratably to the owners of the Capital Stock of such Subsidiary, (d) Tax Distributions, (e) to pay general administrative and operating costs and expenses (including corporate overhead, legal or similar expenses and customary salary, bonus and other benefits payable to any director, officer, employee, member of management, manager and/or consultant of any Parent Company) and franchise Taxes, and similar fees and expenses required to maintain the organizational existence or qualification to do business of such Parent Company, in each case, which are reasonable and customary and incurred in the ordinary course of business and consistent with past practices, (f) the payment of customary fees and reasonable out-of-pocket costs to, and indemnities provided on behalf of, members of the board of directors (or similar governing body), officers, employees, members of management, managers, consultants and independent contractors of any Parent Company, any Loan Party or any of its Subsidiaries in the ordinary course of business and, in the case of payments to such Person in such capacity on behalf of any Parent Company of the Loan Parties, to the extent attributable to the operations of the Borrowers or their Subsidiaries (but excluding, for the avoidance of doubt, the portion of any such amount, if any, that is attributable to the ownership or operations of any Subsidiary of any Parent Company other than the Loan Parties and their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total amount of such payments shall not exceed $2,000,000 in any fiscal year, (g) to pay audit and other accounting and reporting expenses of any Parent Company to the extent such expenses are attributable to such Parent Company, the Loan Parties and their Subsidiaries (but excluding, for the avoidance of doubt, the portion of any such expenses, if any, that is attributable to the ownership or operations of any Subsidiary of any Parent Company other than the Loan Parties and their Subsidiaries); (h) for the payment of any insurance premium that is payable by or attributable to any Parent Company, the Loan Parties and their Subsidiaries (but excluding, for the avoidance of doubt, the portion of any such premium, if any, that is attributable to the ownership or operations of any subsidiary of any Parent Company other than the Loan Parties and their Subsidiaries); (i) to pay (1) any fee and/or expense related to any debt and/or equity offering by GTI and/or any expense of, or indemnification obligation in favor of, any trustee, agent, arranger, underwriter or similar role, and (2) Public Company Costs, (j) 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Loan Parties and their Subsidiaries and (k) so long as no Default or Event of Default has occurred and it continuing and, after giving effect thereto, the Loan Parties and their Subsidiaries are in pro forma compliance with the covenants set forth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the Loan Parties may make Restricted Payments to the owners of the Capital Stock of such Loan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in the case of the preceding clauses (d) through (j) so long as such Parent Company applies the amount of any such Restricted Payment for such purpose.</w:t>
      </w:r>
    </w:p>
    <w:p>
      <w:pPr>
        <w:spacing w:after="0" w:line="393"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8.23.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Each Loan Party shall not, and shall not permit any of its Subsidiaries to, directly, or indirectly, create or otherwise cause or suffer to exist any agreement or other arrangement that prohibits, restricts or imposes any condition on the ability of such Loan Party or such Subsidiary to pay dividends or make other distributions or pay any Indebtedness owed by or to such Loan Party or such Subsidiary or make loans or advances or grant security interests in or Liens on any of its assets or transfer any of its assets, except such an agreement or other arrangement that (a) is in effect on the Closing Date, (b) relates to secured Indebtedness permitted hereunder, as long as the restrictions apply only to collateral for such Indebtedness or (c) constitute customary restrictions on assignment in leases and other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4" w:name="page85"/>
    <w:bookmarkEnd w:id="84"/>
    <w:p>
      <w:pPr>
        <w:jc w:val="both"/>
        <w:ind w:left="740" w:firstLine="749"/>
        <w:spacing w:after="0" w:line="255" w:lineRule="auto"/>
        <w:rPr>
          <w:sz w:val="20"/>
          <w:szCs w:val="20"/>
          <w:color w:val="auto"/>
        </w:rPr>
      </w:pPr>
      <w:r>
        <w:rPr>
          <w:rFonts w:ascii="Times New Roman" w:cs="Times New Roman" w:eastAsia="Times New Roman" w:hAnsi="Times New Roman"/>
          <w:sz w:val="19"/>
          <w:szCs w:val="19"/>
          <w:color w:val="auto"/>
        </w:rPr>
        <w:t xml:space="preserve">8.24. </w:t>
      </w:r>
      <w:r>
        <w:rPr>
          <w:rFonts w:ascii="Times New Roman" w:cs="Times New Roman" w:eastAsia="Times New Roman" w:hAnsi="Times New Roman"/>
          <w:sz w:val="19"/>
          <w:szCs w:val="19"/>
          <w:u w:val="single" w:color="auto"/>
          <w:color w:val="auto"/>
        </w:rPr>
        <w:t>Certain Payments of Indebtedness, Etc</w:t>
      </w:r>
      <w:r>
        <w:rPr>
          <w:rFonts w:ascii="Times New Roman" w:cs="Times New Roman" w:eastAsia="Times New Roman" w:hAnsi="Times New Roman"/>
          <w:sz w:val="19"/>
          <w:szCs w:val="19"/>
          <w:color w:val="auto"/>
        </w:rPr>
        <w:t xml:space="preserve">. Each Loan Party shall not, and shall not permit any of its Subsidiaries to, make, or agree to make, directly or indirectly, any payment or other distribution (whether in cash, securities or other property) of or in respect of principal of or interest on any Indebtedness which is contractually subordinated in right of payment to the Obligations, or any payment or other distribution (whether in cash, securities or other property), including any sinking fund or similar deposit, on account of the purchase, redemption, retirement, acquisition, cancellation or termination of any such Indebtedness, except: (a) payment of the Obligations; (b) payment of regularly scheduled principal and interest payments, and other mandatory payments, as and when due in respect of any Permitted Indebtedness; (c) payment of secured Indebtedness that becomes due as a result of the voluntary sale or transfer of the property or assets securing such Indebtedness or any loss, damage, destruction or other casualty or any condemnation or taking of such assets by eminent domain proceedings of the property or assets securing such Indebtedness to the extent such sale, transfer, loss, damage, destruction or other casualty or any condemnation or taking is permitted under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(d) any refinancing of Refinanced Indebtedness with Refinancing Indebtedness or with Capital Stock not prohibited from being issued hereunder and (e) so long as no Default or Event of Default has occurred and is continuing and, after giving effect thereto, the Loan Parties and their Subsidiaries are in pro forma compliance with the covenants set forth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additional payments in respect of such Indebtedness.</w:t>
      </w:r>
    </w:p>
    <w:p>
      <w:pPr>
        <w:spacing w:after="0" w:line="166"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8.25. </w:t>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Each Loan Party shall not, and shall not permit any of its Subsidiaries to, amend, modify or waive any of the terms of: (a) its Organization Documents except, so long as no Event of Default has occurred and is continuing, amendments, modifications, waivers or other changes that are not materially adverse to the interests of Agent and the Lenders or (b) any agreement, document or instrument evidencing or governing any Material Indebtedness, except, so long as no Event of Default has occurred and is continuing, amendments, modifications or other changes that (x) forgive, or cancel any portion of such Indebtedness (other than pursuant to payments thereof), to reduce the interest rate or any fees in connection therewith, or to make the terms thereof less restrictive or burdensome to such Loan Party or such Subsidiary or (y) otherwise are not materially adverse to the interests of Agent and the Lenders.</w:t>
      </w:r>
    </w:p>
    <w:p>
      <w:pPr>
        <w:spacing w:after="0" w:line="18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8.26.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8.27. </w:t>
      </w:r>
      <w:r>
        <w:rPr>
          <w:rFonts w:ascii="Times New Roman" w:cs="Times New Roman" w:eastAsia="Times New Roman" w:hAnsi="Times New Roman"/>
          <w:sz w:val="20"/>
          <w:szCs w:val="20"/>
          <w:u w:val="single" w:color="auto"/>
          <w:color w:val="auto"/>
        </w:rPr>
        <w:t>Accounting Methods</w:t>
      </w:r>
      <w:r>
        <w:rPr>
          <w:rFonts w:ascii="Times New Roman" w:cs="Times New Roman" w:eastAsia="Times New Roman" w:hAnsi="Times New Roman"/>
          <w:sz w:val="20"/>
          <w:szCs w:val="20"/>
          <w:color w:val="auto"/>
        </w:rPr>
        <w:t>. Each Loan Party shall not, and shall not permit any of its Subsidiaries to, modify or change its fiscal year or its method of accounting (other than as may be required to conform to GAAP).</w:t>
      </w:r>
    </w:p>
    <w:p>
      <w:pPr>
        <w:spacing w:after="0" w:line="159"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 xml:space="preserve">8.28.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Each Loan Party shall not, and shall not permit any of its Subsidiaries to, use the proceeds of any Loans for any purpose other than (a) on the Closing Date, to refinance the Loan Parties’ and their Subsidiaries existing Indebtedness, for payments to each of the Persons listed in the disbursement direction letter furnished by a Loan Party to Agent on or about the Closing Date and to pay the fees, costs and expenses in connection with the Loan Documents and the transactions contemplated thereby and (b) thereafter, consistent with the terms hereof, for their lawful and permitted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Each Loan Party shall not, and shall not permit any of its Subsidiaries to, directly or indirectly, use any of the Loans to fund, finance or facilitate any activities, business or transactions that would be prohibited by Sanctions, Anti-Money Laundering Laws or Anti-Corruption Laws.</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9. FINANCIAL COVENANTS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5" w:name="page86"/>
    <w:bookmarkEnd w:id="85"/>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u w:val="single" w:color="auto"/>
          <w:color w:val="auto"/>
        </w:rPr>
        <w:t>Minimum Debt Service Coverage Ratio</w:t>
      </w:r>
      <w:r>
        <w:rPr>
          <w:rFonts w:ascii="Times New Roman" w:cs="Times New Roman" w:eastAsia="Times New Roman" w:hAnsi="Times New Roman"/>
          <w:sz w:val="20"/>
          <w:szCs w:val="20"/>
          <w:color w:val="auto"/>
        </w:rPr>
        <w:t>. GTI and its Subsidiaries shall not permit the Debt Service Coverage Ratio to be less than [***] as of the last day of any Test Period ending on or after December 31, 2024.</w:t>
      </w:r>
    </w:p>
    <w:p>
      <w:pPr>
        <w:spacing w:after="0" w:line="159"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7.17. </w:t>
      </w:r>
      <w:r>
        <w:rPr>
          <w:rFonts w:ascii="Times New Roman" w:cs="Times New Roman" w:eastAsia="Times New Roman" w:hAnsi="Times New Roman"/>
          <w:sz w:val="20"/>
          <w:szCs w:val="20"/>
          <w:u w:val="single" w:color="auto"/>
          <w:color w:val="auto"/>
        </w:rPr>
        <w:t>Maximum Funded Debt to Consolidated Adjusted EBITDA Ratio</w:t>
      </w:r>
      <w:r>
        <w:rPr>
          <w:rFonts w:ascii="Times New Roman" w:cs="Times New Roman" w:eastAsia="Times New Roman" w:hAnsi="Times New Roman"/>
          <w:sz w:val="20"/>
          <w:szCs w:val="20"/>
          <w:color w:val="auto"/>
        </w:rPr>
        <w:t>. GTI and its Subsidiaries shall not permit the Funded Debt to Consolidated Adjusted EBITDA Ratio to be more than [***] as of the last day of any Test Period ending on or after December 31, 2024.</w:t>
      </w:r>
    </w:p>
    <w:p>
      <w:pPr>
        <w:spacing w:after="0" w:line="174"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7.18. </w:t>
      </w:r>
      <w:r>
        <w:rPr>
          <w:rFonts w:ascii="Times New Roman" w:cs="Times New Roman" w:eastAsia="Times New Roman" w:hAnsi="Times New Roman"/>
          <w:sz w:val="20"/>
          <w:szCs w:val="20"/>
          <w:u w:val="single" w:color="auto"/>
          <w:color w:val="auto"/>
        </w:rPr>
        <w:t>Minimum Tangible Net Worth</w:t>
      </w:r>
      <w:r>
        <w:rPr>
          <w:rFonts w:ascii="Times New Roman" w:cs="Times New Roman" w:eastAsia="Times New Roman" w:hAnsi="Times New Roman"/>
          <w:sz w:val="20"/>
          <w:szCs w:val="20"/>
          <w:color w:val="auto"/>
        </w:rPr>
        <w:t>. GTI and its Subsidiaries shall not permit the Tangible Net Worth of GTI and its Subsidiaries to be less than $[***] as of the last day of any Test Period ending on or after December 31, 2024.</w:t>
      </w:r>
    </w:p>
    <w:p>
      <w:pPr>
        <w:spacing w:after="0" w:line="15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Example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color w:val="0000FF"/>
        </w:rPr>
        <w:t>.</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10. EVENTS OF DEFAULT AND REMEDIES</w:t>
      </w:r>
    </w:p>
    <w:p>
      <w:pPr>
        <w:spacing w:after="0" w:line="220"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6.26.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The occurrence or existence of any one or more of the following events are referred to herein individually as an “Event of Default”, and collectively as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40" w:firstLine="1494"/>
        <w:spacing w:after="0" w:line="243" w:lineRule="auto"/>
        <w:tabs>
          <w:tab w:leader="none" w:pos="252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 Loan Party (w) fails to make any principal payment hereunder when due, (x) fails to pay interest within three (3) Business Days after the due date thereof or (y) fails to pay fees or any of the other Obligations within five (5) Business Days after the due date thereof, or (ii) a Loan Party fails to perform any of the covenants contained in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w:t>
      </w:r>
      <w:r>
        <w:rPr>
          <w:rFonts w:ascii="Times New Roman" w:cs="Times New Roman" w:eastAsia="Times New Roman" w:hAnsi="Times New Roman"/>
          <w:sz w:val="20"/>
          <w:szCs w:val="20"/>
          <w:color w:val="auto"/>
        </w:rPr>
        <w:t xml:space="preserve"> (within fifteen (15) days after the due date thereof), </w:t>
      </w:r>
      <w:r>
        <w:rPr>
          <w:rFonts w:ascii="Times New Roman" w:cs="Times New Roman" w:eastAsia="Times New Roman" w:hAnsi="Times New Roman"/>
          <w:sz w:val="20"/>
          <w:szCs w:val="20"/>
          <w:u w:val="single" w:color="auto"/>
          <w:color w:val="auto"/>
        </w:rPr>
        <w:t>7.2(a)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(with respect to any Loan Party), </w:t>
      </w:r>
      <w:r>
        <w:rPr>
          <w:rFonts w:ascii="Times New Roman" w:cs="Times New Roman" w:eastAsia="Times New Roman" w:hAnsi="Times New Roman"/>
          <w:sz w:val="20"/>
          <w:szCs w:val="20"/>
          <w:u w:val="single" w:color="auto"/>
          <w:color w:val="auto"/>
        </w:rPr>
        <w:t>7.9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or (iii) a Loan Party or any of its Subsidiaries fails to perform any of the terms, covenants, conditions or provisions contained in this Agreement or any of the other Loan Documents other than those described in </w:t>
      </w:r>
      <w:r>
        <w:rPr>
          <w:rFonts w:ascii="Times New Roman" w:cs="Times New Roman" w:eastAsia="Times New Roman" w:hAnsi="Times New Roman"/>
          <w:sz w:val="20"/>
          <w:szCs w:val="20"/>
          <w:u w:val="single" w:color="auto"/>
          <w:color w:val="auto"/>
        </w:rPr>
        <w:t>Sections 10.1(a)(i)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10.1(a)</w:t>
      </w:r>
    </w:p>
    <w:p>
      <w:pPr>
        <w:spacing w:after="0" w:line="1" w:lineRule="exact"/>
        <w:rPr>
          <w:rFonts w:ascii="Times New Roman" w:cs="Times New Roman" w:eastAsia="Times New Roman" w:hAnsi="Times New Roman"/>
          <w:sz w:val="20"/>
          <w:szCs w:val="20"/>
          <w:color w:val="auto"/>
        </w:rPr>
      </w:pPr>
    </w:p>
    <w:p>
      <w:pPr>
        <w:jc w:val="both"/>
        <w:ind w:left="740" w:hanging="3"/>
        <w:spacing w:after="0" w:line="242" w:lineRule="auto"/>
        <w:tabs>
          <w:tab w:leader="none" w:pos="1040"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and such failure shall continue for thirty (30)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30 day period shall not apply in the case of any failure to observe any such covenant which is not capable of being cured at all or within such thirty (30) day period or which has been the subject of a prior failure within a six (6) month period;</w:t>
      </w:r>
    </w:p>
    <w:p>
      <w:pPr>
        <w:spacing w:after="0" w:line="173" w:lineRule="exact"/>
        <w:rPr>
          <w:rFonts w:ascii="Times New Roman" w:cs="Times New Roman" w:eastAsia="Times New Roman" w:hAnsi="Times New Roman"/>
          <w:sz w:val="20"/>
          <w:szCs w:val="20"/>
          <w:u w:val="single" w:color="auto"/>
          <w:color w:val="auto"/>
        </w:rPr>
      </w:pPr>
    </w:p>
    <w:p>
      <w:pPr>
        <w:jc w:val="both"/>
        <w:ind w:left="740" w:right="60" w:firstLine="1494"/>
        <w:spacing w:after="0" w:line="246" w:lineRule="auto"/>
        <w:tabs>
          <w:tab w:leader="none" w:pos="252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warranty or statement of fact made by a Loan Party or any of its Subsidiaries to Agent in this Agreement, the other Loan Documents or any other written agreement, schedule, confirmatory assignment or otherwise that are qualified as to materiality or Material Adverse Effect shall when made or deemed made be incorrect, false or misleading and any other such representation, warranty or statement of fact made by a Loan Party or any of its Subsidiaries to Agent shall when made or deemed made be incorrect, false or misleading in any material respect;</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46" w:lineRule="auto"/>
        <w:tabs>
          <w:tab w:leader="none" w:pos="252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for the payment of money is rendered against a Loan Party or any of its Subsidiaries in excess of $[***] in the aggregate (to the extent not covered by independent third party insurance where the insurer has not declined or disputed coverage) and shall remain undischarged, unvacated, unbonded or unstayed for a period in excess of sixty (60) days, or any judgment other than for the payment of money, or injunction, attachment, garnishment or execution is rendered against a Loan Party or any of its Subsidiaries or any of the Collateral having a value in excess of $[***];</w:t>
      </w:r>
    </w:p>
    <w:p>
      <w:pPr>
        <w:spacing w:after="0" w:line="171" w:lineRule="exact"/>
        <w:rPr>
          <w:rFonts w:ascii="Times New Roman" w:cs="Times New Roman" w:eastAsia="Times New Roman" w:hAnsi="Times New Roman"/>
          <w:sz w:val="20"/>
          <w:szCs w:val="20"/>
          <w:color w:val="auto"/>
        </w:rPr>
      </w:pPr>
    </w:p>
    <w:p>
      <w:pPr>
        <w:jc w:val="both"/>
        <w:ind w:left="740" w:firstLine="1494"/>
        <w:spacing w:after="0" w:line="254" w:lineRule="auto"/>
        <w:tabs>
          <w:tab w:leader="none" w:pos="252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Loan Party or any of its Subsidiaries (other than an Immaterial Subsidiary) makes an assignment for the benefit of creditors, is insolvent, or cannot pay its debts as they become due, or (ii) the Loan Parties and their Subsidiaries taken as a whole cease to conduct a material portion of their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6" w:name="page87"/>
    <w:bookmarkEnd w:id="86"/>
    <w:p>
      <w:pPr>
        <w:jc w:val="both"/>
        <w:ind w:left="740" w:right="60" w:firstLine="1494"/>
        <w:spacing w:after="0" w:line="244" w:lineRule="auto"/>
        <w:tabs>
          <w:tab w:leader="none" w:pos="25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case or proceeding under the bankruptcy laws of the United States of America now or hereafter in effect or under any insolvency, reorganization, receivership, readjustment of debt, dissolution or liquidation law or statute of any jurisdiction now or hereafter in effect (whether at law or in equity) is filed against a Loan Party or any of its Subsidiaries (other than an Immaterial Subsidiary) or all or any part of its properties and such petition or application is not dismissed within sixty (60) days after the date of its filing or a Loan Party or any of its Subsidiaries (other than an Immaterial Subsidiary) shall file any answer admitting or not contesting such petition or application or indicates its consent to, acquiescence in or approval of, any such action or proceeding or the relief requested is granted sooner;</w:t>
      </w:r>
    </w:p>
    <w:p>
      <w:pPr>
        <w:spacing w:after="0" w:line="185" w:lineRule="exact"/>
        <w:rPr>
          <w:rFonts w:ascii="Times New Roman" w:cs="Times New Roman" w:eastAsia="Times New Roman" w:hAnsi="Times New Roman"/>
          <w:sz w:val="20"/>
          <w:szCs w:val="20"/>
          <w:color w:val="auto"/>
        </w:rPr>
      </w:pPr>
    </w:p>
    <w:p>
      <w:pPr>
        <w:jc w:val="both"/>
        <w:ind w:left="740" w:right="60" w:firstLine="1494"/>
        <w:spacing w:after="0" w:line="249" w:lineRule="auto"/>
        <w:tabs>
          <w:tab w:leader="none" w:pos="25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case or proceeding under the bankruptcy laws of the United States of America now or hereafter in effect or under any insolvency, reorganization, receivership, readjustment of debt, dissolution or liquidation law or statute of any jurisdiction now or hereafter in effect (whether at a law or equity) is filed by a Loan Party or any of its Subsidiaries (other than an Immaterial Subsidiary) or for all or any part of its property;</w:t>
      </w:r>
    </w:p>
    <w:p>
      <w:pPr>
        <w:spacing w:after="0" w:line="179"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event of default or termination event occurs under any Hedge Agreement between a Loan Party and the Agent or any Lender, (ii) any failure of any Loan Party to pay when due any principal of or interest on or any other amount payable in respect of Material Indebtedness beyond the grace period, if any, or (iii) any breach or default by any Loan Party with respect to any other material term of Material Indebtedness beyond the grace period, if any, if the effect of such breach or default is to cause, or to permit the holder or holders of such Indebtedness (or a trustee on behalf of such holder or holders) to cause, such Indebtedness to become or be declared due and payable (or redeemable) prior to its stated maturity, unless in the case of each of clauses (i) and (ii) above, such failure to pay or breach or default is contested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notwithstanding the foregoing, a breach of default, including on account of failure to make payments, on Indebtedness that is fully non-recourse to any of the Loan Parties and incurred in compliance with this Agreement shall not constitute an Event of Default hereunder if (x) such default is waived or cured (if possible) within forty-five (45) days after the occurrence thereof, and (y) for the avoidance of doubt, the rights and remedies of the lender(s) of any such non-recourse Indebtedness shall be limited to the specific assets pledged or mortgaged as security for such Indebtedness;</w:t>
      </w:r>
    </w:p>
    <w:p>
      <w:pPr>
        <w:spacing w:after="0" w:line="173" w:lineRule="exact"/>
        <w:rPr>
          <w:rFonts w:ascii="Times New Roman" w:cs="Times New Roman" w:eastAsia="Times New Roman" w:hAnsi="Times New Roman"/>
          <w:sz w:val="20"/>
          <w:szCs w:val="20"/>
          <w:color w:val="auto"/>
        </w:rPr>
      </w:pPr>
    </w:p>
    <w:p>
      <w:pPr>
        <w:jc w:val="both"/>
        <w:ind w:left="740" w:right="40" w:firstLine="1494"/>
        <w:spacing w:after="0" w:line="244" w:lineRule="auto"/>
        <w:tabs>
          <w:tab w:leader="none" w:pos="25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hereof or of any of the other Loan Documents shall for any reason cease to be valid, binding and enforceable with respect to any party hereto or thereto (other than Agent) in accordance with its terms, or any such party shall challenge the enforceability hereof or thereof, or shall assert in writing, or take any action or fail to take any action based on the assertion that any provision hereof or of any of the other Loan Documents has ceased to be or is otherwise not valid, binding or enforceable in accordance with its terms, or any security interest provided for herein or in any of the other Loan Documents shall cease to be a valid and perfected first priority security interest in any material portion of the Collateral purported to be subject thereto (except as otherwise permitted herein or therein);</w:t>
      </w:r>
    </w:p>
    <w:p>
      <w:pPr>
        <w:spacing w:after="0" w:line="172" w:lineRule="exact"/>
        <w:rPr>
          <w:rFonts w:ascii="Times New Roman" w:cs="Times New Roman" w:eastAsia="Times New Roman" w:hAnsi="Times New Roman"/>
          <w:sz w:val="20"/>
          <w:szCs w:val="20"/>
          <w:color w:val="auto"/>
        </w:rPr>
      </w:pPr>
    </w:p>
    <w:p>
      <w:pPr>
        <w:jc w:val="both"/>
        <w:ind w:left="740" w:right="20" w:firstLine="1494"/>
        <w:spacing w:after="0" w:line="249" w:lineRule="auto"/>
        <w:tabs>
          <w:tab w:leader="none" w:pos="252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Party or any of its Subsidiaries shall be prohibited or otherwise restrained from conducting the business theretofore conducted by it in any manner that has or could reasonably be expected to result in a Material Adverse Effect by virtue of any determination, ruling, decision, decree or order of any court or Governmental Authority of competent jurisdiction;</w:t>
      </w:r>
    </w:p>
    <w:p>
      <w:pPr>
        <w:spacing w:after="0" w:line="179" w:lineRule="exact"/>
        <w:rPr>
          <w:rFonts w:ascii="Times New Roman" w:cs="Times New Roman" w:eastAsia="Times New Roman" w:hAnsi="Times New Roman"/>
          <w:sz w:val="20"/>
          <w:szCs w:val="20"/>
          <w:color w:val="auto"/>
        </w:rPr>
      </w:pPr>
    </w:p>
    <w:p>
      <w:pPr>
        <w:ind w:left="2520" w:hanging="286"/>
        <w:spacing w:after="0"/>
        <w:tabs>
          <w:tab w:leader="none" w:pos="2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occur which results in or could reasonably be expected to result in a Material</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w:t>
      </w:r>
    </w:p>
    <w:p>
      <w:pPr>
        <w:spacing w:after="0" w:line="193"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shall occur; 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7" w:name="page88"/>
    <w:bookmarkEnd w:id="87"/>
    <w:p>
      <w:pPr>
        <w:ind w:left="740" w:right="60" w:firstLine="1494"/>
        <w:spacing w:after="0" w:line="269" w:lineRule="auto"/>
        <w:tabs>
          <w:tab w:leader="none" w:pos="252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Cannabis Law shall occur, or GTI, any Loan Party or any of their Subsidiaries shall engage in any Restricted Cannabis Activity.</w:t>
      </w:r>
    </w:p>
    <w:p>
      <w:pPr>
        <w:spacing w:after="0" w:line="15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6.27.</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1" w:lineRule="auto"/>
        <w:tabs>
          <w:tab w:leader="none" w:pos="252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an Event of Default has occurred and is continuing, Agent shall have all rights and remedies provided in this Agreement (including, without limitation, the rights set forth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below), the other Loan Documents, the UCC and other applicable law, all of which rights and remedies may be exercised without notice to or consent by any Loan Party, except as such notice or consent is expressly provided for hereunder or required by applicable law. All rights, remedies and powers granted to Agent hereunder, under any of the other Loan Documents, the UCC or other applicable law, are cumulative, not exclusive and enforceable, in Agent’s discretion, alternatively, successively, or concurrently on any one or more occasions, and shall include, without limitation, the right to apply to a court of equity for an injunction to restrain a breach or threatened breach by a Loan Party of this Agreement or any of the other Loan Documents. Agent may at any time or times an Event of Default has occurred and is continuing, proceed directly against any Loan Party to collect the Obligations without prior recourse to the Collateral. No delay or failure to take action on the part of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Loan Parties, Agent and Lenders or their respective agents or employees shall be effective to change, modify or discharge any provision of this Agreement or any of the other Loan Documents or to constitute a waiver of any Event of Default.</w:t>
      </w:r>
    </w:p>
    <w:p>
      <w:pPr>
        <w:spacing w:after="0" w:line="180" w:lineRule="exact"/>
        <w:rPr>
          <w:rFonts w:ascii="Times New Roman" w:cs="Times New Roman" w:eastAsia="Times New Roman" w:hAnsi="Times New Roman"/>
          <w:sz w:val="20"/>
          <w:szCs w:val="20"/>
          <w:color w:val="auto"/>
        </w:rPr>
      </w:pPr>
    </w:p>
    <w:p>
      <w:pPr>
        <w:jc w:val="both"/>
        <w:ind w:left="740" w:firstLine="1494"/>
        <w:spacing w:after="0" w:line="246" w:lineRule="auto"/>
        <w:tabs>
          <w:tab w:leader="none" w:pos="252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the foregoing, at any time an Event of Default has occurred and is continuing, Agent may, or upon the request of Required Lenders shall, (i) accelerate the payment of all Obligations and demand immediate payment thereof to Agent and (ii) exercise on behalf of itself and Lenders all rights and remedies available to it and Lenders under the Loan Documents and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case of any event with respect to any Loan Party described in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10.1(f)</w:t>
      </w:r>
      <w:r>
        <w:rPr>
          <w:rFonts w:ascii="Times New Roman" w:cs="Times New Roman" w:eastAsia="Times New Roman" w:hAnsi="Times New Roman"/>
          <w:sz w:val="20"/>
          <w:szCs w:val="20"/>
          <w:color w:val="auto"/>
        </w:rPr>
        <w:t>, all Obligations shall automatically become due and payable.</w:t>
      </w:r>
    </w:p>
    <w:p>
      <w:pPr>
        <w:spacing w:after="0" w:line="185"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6.28.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6.29.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Agent,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Agent, such Lender or any such Affiliate, to or for the credit or the account of any Loan Party against any and all of the obligations of such Loan Party now or hereafter existing under this Agreement or any other Loan Document to Agent or such Lender or their respective Affiliates, irrespective of whether or not Agent, such Lender or Affiliate shall have made any demand under this Agreement or any other Loan Document and although such obligations of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the event that any Defaulting Lender shall exercise any such right of setoff, (a) all amounts so set off shall be paid over immediately to Agent for further application in accordance with the provisions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Agent and Lenders, and (b) the Defaulting Lender shall provide promptly to Agent a statement describing in reasonable detail the Obligations owing to such Defaulting Lender as to which it exercised such right of setoff. The rights of Agent, each Lender and their respective Affiliates under this Section are in addition to other rights and remedies (including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88" w:name="page89"/>
    <w:bookmarkEnd w:id="88"/>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 xml:space="preserve">other rights of setoff) that Agent, such Lender or their respective Affiliates may have. Each Lender agrees to notify Administrative Borrower and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failure to give such notice shall not affect the validity of such setoff and application.</w:t>
      </w:r>
    </w:p>
    <w:p>
      <w:pPr>
        <w:spacing w:after="0" w:line="174"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6.30. </w:t>
      </w:r>
      <w:r>
        <w:rPr>
          <w:rFonts w:ascii="Times New Roman" w:cs="Times New Roman" w:eastAsia="Times New Roman" w:hAnsi="Times New Roman"/>
          <w:sz w:val="20"/>
          <w:szCs w:val="20"/>
          <w:u w:val="single" w:color="auto"/>
          <w:color w:val="auto"/>
        </w:rPr>
        <w:t>Collective Action</w:t>
      </w:r>
      <w:r>
        <w:rPr>
          <w:rFonts w:ascii="Times New Roman" w:cs="Times New Roman" w:eastAsia="Times New Roman" w:hAnsi="Times New Roman"/>
          <w:sz w:val="20"/>
          <w:szCs w:val="20"/>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Agent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for the benefit of all Lenders and Bank Product Providers;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foregoing shall not prohibit (i) Agent from exercising on its own behalf the rights and remedies that inure to its benefit (solely in its capacity as Agent) hereunder and under the other Loan Documents, (ii) any Lender from exercising setoff rights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or (iii)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Agent hereunder and under the other Loan Documents, then (A) the Required Lenders shall have the rights otherwise ascribed to Agent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(B) in addition to the matters set forth in clauses (ii) and (iii) of the preceding proviso and subject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any Lender may, with the consent of Agent, enforce any rights and remedies available to it and as authorized by Agent.</w:t>
      </w:r>
    </w:p>
    <w:p>
      <w:pPr>
        <w:spacing w:after="0" w:line="184" w:lineRule="exact"/>
        <w:rPr>
          <w:sz w:val="20"/>
          <w:szCs w:val="20"/>
          <w:color w:val="auto"/>
        </w:rPr>
      </w:pPr>
    </w:p>
    <w:p>
      <w:pPr>
        <w:ind w:left="740"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6.31. </w:t>
      </w:r>
      <w:r>
        <w:rPr>
          <w:rFonts w:ascii="Times New Roman" w:cs="Times New Roman" w:eastAsia="Times New Roman" w:hAnsi="Times New Roman"/>
          <w:sz w:val="20"/>
          <w:szCs w:val="20"/>
          <w:u w:val="single" w:color="auto"/>
          <w:color w:val="auto"/>
        </w:rPr>
        <w:t>Crediting of Payments and Proceeds</w:t>
      </w:r>
      <w:r>
        <w:rPr>
          <w:rFonts w:ascii="Times New Roman" w:cs="Times New Roman" w:eastAsia="Times New Roman" w:hAnsi="Times New Roman"/>
          <w:sz w:val="20"/>
          <w:szCs w:val="20"/>
          <w:color w:val="auto"/>
        </w:rPr>
        <w:t xml:space="preserve">. In the event that the Obligations have been accelerated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Agent or any Lender has exercised any remedy set forth in this Agreement or any other Loan Document, all payments received by Lenders upon the Obligations and all net proceeds from the enforcement of the Obligations shall be applied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Notwithstanding the foregoing, Bank Product Obligations shall be excluded from the application described above if Agent has not received written notice thereof, together with such supporting documentation as Agent may request, from the applicable Bank Product Provider, as the case may be. Each Bank Product Provider not a party to this Agreement that has given the notice contemplated by the preceding sentence shall, by such notice, be deemed to have acknowledged and accepted the appointment of Agent pursuant to the terms of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for itself and its Affiliates as if a “Lender” party hereto.</w:t>
      </w:r>
    </w:p>
    <w:p>
      <w:pPr>
        <w:spacing w:after="0" w:line="186"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6.32. </w:t>
      </w:r>
      <w:r>
        <w:rPr>
          <w:rFonts w:ascii="Times New Roman" w:cs="Times New Roman" w:eastAsia="Times New Roman" w:hAnsi="Times New Roman"/>
          <w:sz w:val="20"/>
          <w:szCs w:val="20"/>
          <w:u w:val="single" w:color="auto"/>
          <w:color w:val="auto"/>
        </w:rPr>
        <w:t>Agent May File Proofs of Claim</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Agent (irrespective of whether the principal of any Loan shall then be due and payable as herein expressed or by declaration or otherwise and irrespective of whether Agent shall have made any demand on Borrowers) shall be entitled and empowered (but not obligated) by intervention in such proceeding or otherwise:</w:t>
      </w:r>
    </w:p>
    <w:p>
      <w:pPr>
        <w:spacing w:after="0" w:line="166" w:lineRule="exact"/>
        <w:rPr>
          <w:sz w:val="20"/>
          <w:szCs w:val="20"/>
          <w:color w:val="auto"/>
        </w:rPr>
      </w:pPr>
    </w:p>
    <w:p>
      <w:pPr>
        <w:jc w:val="both"/>
        <w:ind w:left="740" w:firstLine="1494"/>
        <w:spacing w:after="0" w:line="246" w:lineRule="auto"/>
        <w:tabs>
          <w:tab w:leader="none" w:pos="252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Agent (including any claim for the reasonable compensation, expenses, disbursements and advances of Lenders and Agent and their respective agents and counsel and all other amounts due Lenders and Agent) allowed in such judicial proceeding; and</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6" w:lineRule="auto"/>
        <w:tabs>
          <w:tab w:leader="none" w:pos="252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 and any custodian, receiver, interim receiver, receiver and manager, assignee, trustee, liquidator, sequestrator or other similar official in any such judicial proceeding is hereby authorized by each Lender to make such payments to Agent and, in the event that Agent shall consent to the making of such payments directly to Lenders, to pay to Agent any amount due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89" w:name="page90"/>
    <w:bookmarkEnd w:id="89"/>
    <w:p>
      <w:pPr>
        <w:ind w:left="740" w:right="320"/>
        <w:spacing w:after="0" w:line="269" w:lineRule="auto"/>
        <w:rPr>
          <w:sz w:val="20"/>
          <w:szCs w:val="20"/>
          <w:color w:val="auto"/>
        </w:rPr>
      </w:pPr>
      <w:r>
        <w:rPr>
          <w:rFonts w:ascii="Times New Roman" w:cs="Times New Roman" w:eastAsia="Times New Roman" w:hAnsi="Times New Roman"/>
          <w:sz w:val="20"/>
          <w:szCs w:val="20"/>
          <w:color w:val="auto"/>
        </w:rPr>
        <w:t>for the reasonable compensation, expenses, disbursements and advances of Agent and its agents and counsel, and any other amounts due Agent hereunder.</w:t>
      </w:r>
    </w:p>
    <w:p>
      <w:pPr>
        <w:spacing w:after="0" w:line="159"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6.33.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 Based upon the instruction of the Required Lenders, Agent, on behalf of itself and Lenders, shall have the right (but not the obligations) to credit bid and purchase for the benefit of Agent and Lenders all or any portion of Collateral at any sale thereof conducted by Agent under the provisions of the UCC, including pursuant to Sections 9-610 or 9-620 of the UCC, at any sale thereof conducted under the provisions of the United States Bankruptcy Code (or any other Debtor Relief Law), including Section 363 thereof, or a sale under a plan of reorganization, or at any other sale or foreclosure conducted by Agent (whether by judicial action or otherwise) in accordance with applicable law.</w:t>
      </w:r>
    </w:p>
    <w:p>
      <w:pPr>
        <w:spacing w:after="0" w:line="184" w:lineRule="exact"/>
        <w:rPr>
          <w:sz w:val="20"/>
          <w:szCs w:val="20"/>
          <w:color w:val="auto"/>
        </w:rPr>
      </w:pPr>
    </w:p>
    <w:p>
      <w:pPr>
        <w:jc w:val="both"/>
        <w:ind w:left="740" w:right="20" w:firstLine="1494"/>
        <w:spacing w:after="0" w:line="249" w:lineRule="auto"/>
        <w:tabs>
          <w:tab w:leader="none" w:pos="25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that, except as otherwise provided in any Loan Documents or with the written consent of Agent and the Required Lenders, it will not take any enforcement action, accelerate obligations under any Loan Documents, or exercise any right that it might otherwise have under applicable law to credit bid at foreclosure sales, UCC sales or other similar dispositions of Collateral.</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11. AGENCY</w:t>
      </w:r>
    </w:p>
    <w:p>
      <w:pPr>
        <w:spacing w:after="0" w:line="220"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Appointment and Authority</w:t>
      </w:r>
      <w:r>
        <w:rPr>
          <w:rFonts w:ascii="Times New Roman" w:cs="Times New Roman" w:eastAsia="Times New Roman" w:hAnsi="Times New Roman"/>
          <w:sz w:val="20"/>
          <w:szCs w:val="20"/>
          <w:color w:val="auto"/>
        </w:rPr>
        <w:t xml:space="preserve">. Each Lender hereby irrevocably appoints Valley National Bank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 Except as otherwise provided in </w:t>
      </w:r>
      <w:r>
        <w:rPr>
          <w:rFonts w:ascii="Times New Roman" w:cs="Times New Roman" w:eastAsia="Times New Roman" w:hAnsi="Times New Roman"/>
          <w:sz w:val="20"/>
          <w:szCs w:val="20"/>
          <w:u w:val="single" w:color="auto"/>
          <w:color w:val="auto"/>
        </w:rPr>
        <w:t>Section 11.6(b)</w:t>
      </w:r>
      <w:r>
        <w:rPr>
          <w:rFonts w:ascii="Times New Roman" w:cs="Times New Roman" w:eastAsia="Times New Roman" w:hAnsi="Times New Roman"/>
          <w:sz w:val="20"/>
          <w:szCs w:val="20"/>
          <w:color w:val="auto"/>
        </w:rPr>
        <w:t>, the provisions of this Section are solely for the benefit of Agent and Lenders, and Loan Parties shall not have rights as a third-party beneficiary of any of such provisions. It is understood and agreed that the use of the term “agent” herein or in any other Loan Documents (or any other similar term) with reference to Agent is not intended to mean or to imply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ind w:left="740" w:right="1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Person serving as Agent hereunder shall have the same rights and powers in its capacity as a Lender as any other Lender and may exercise the same as though it were not Agent, and the term “Lender” or “Lenders” shall, unless otherwise expressly indicated or unless the context otherwise requires, include the Person serving as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Agent hereunder and without any duty to account therefor to Lenders.</w:t>
      </w:r>
    </w:p>
    <w:p>
      <w:pPr>
        <w:spacing w:after="0" w:line="18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40" w:right="220" w:firstLine="1494"/>
        <w:spacing w:after="0" w:line="254" w:lineRule="auto"/>
        <w:tabs>
          <w:tab w:leader="none" w:pos="25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not have any duties or obligations except those expressly set forth herein and in the other Loan Documents, and its duties hereunder shall be administrative in nature. Without limiting the generality of the foregoing, Agent:</w:t>
      </w:r>
    </w:p>
    <w:p>
      <w:pPr>
        <w:spacing w:after="0" w:line="160" w:lineRule="exact"/>
        <w:rPr>
          <w:rFonts w:ascii="Times New Roman" w:cs="Times New Roman" w:eastAsia="Times New Roman" w:hAnsi="Times New Roman"/>
          <w:sz w:val="20"/>
          <w:szCs w:val="20"/>
          <w:color w:val="auto"/>
        </w:rPr>
      </w:pPr>
    </w:p>
    <w:p>
      <w:pPr>
        <w:ind w:left="740" w:right="40" w:firstLine="2243"/>
        <w:spacing w:after="0" w:line="269" w:lineRule="auto"/>
        <w:tabs>
          <w:tab w:leader="none" w:pos="353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or Event of Default has occurred and is continuing;</w:t>
      </w:r>
    </w:p>
    <w:p>
      <w:pPr>
        <w:spacing w:after="0" w:line="159" w:lineRule="exact"/>
        <w:rPr>
          <w:rFonts w:ascii="Times New Roman" w:cs="Times New Roman" w:eastAsia="Times New Roman" w:hAnsi="Times New Roman"/>
          <w:sz w:val="20"/>
          <w:szCs w:val="20"/>
          <w:color w:val="auto"/>
        </w:rPr>
      </w:pPr>
    </w:p>
    <w:p>
      <w:pPr>
        <w:ind w:left="3520" w:hanging="537"/>
        <w:spacing w:after="0"/>
        <w:tabs>
          <w:tab w:leader="none" w:pos="35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powers, except discretionary rights and powers expressly contemplated hereby or by the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90" w:name="page91"/>
    <w:bookmarkEnd w:id="90"/>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 xml:space="preserve">other Loan Documents that Agent is required to exercise as directed in writing by the Required Lenders (or such other number or percentage of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Agent shall not be required to take any action that, in its reasonable opinion or the reasonable opinion of its counsel, may expose Agent to liability or that is contrary to any Loan Document or applicable law, including, but not limited to, any action that may be in violation of the automatic stay under any Debtor Relief Law or that may effect a forfeiture, modification or termination of property of a Defaulting Lender in violation of any Debtor Relief Law; and</w:t>
      </w:r>
    </w:p>
    <w:p>
      <w:pPr>
        <w:spacing w:after="0" w:line="184" w:lineRule="exact"/>
        <w:rPr>
          <w:sz w:val="20"/>
          <w:szCs w:val="20"/>
          <w:color w:val="auto"/>
        </w:rPr>
      </w:pPr>
    </w:p>
    <w:p>
      <w:pPr>
        <w:jc w:val="both"/>
        <w:ind w:left="740" w:right="40" w:firstLine="2243"/>
        <w:spacing w:after="0" w:line="254" w:lineRule="auto"/>
        <w:tabs>
          <w:tab w:leader="none" w:pos="3532"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Agent or any of its Affiliates in any capacity.</w:t>
      </w:r>
    </w:p>
    <w:p>
      <w:pPr>
        <w:spacing w:after="0" w:line="174" w:lineRule="exact"/>
        <w:rPr>
          <w:rFonts w:ascii="Times New Roman" w:cs="Times New Roman" w:eastAsia="Times New Roman" w:hAnsi="Times New Roman"/>
          <w:sz w:val="20"/>
          <w:szCs w:val="20"/>
          <w:color w:val="auto"/>
        </w:rPr>
      </w:pPr>
    </w:p>
    <w:p>
      <w:pPr>
        <w:jc w:val="both"/>
        <w:ind w:left="740" w:right="120" w:firstLine="1494"/>
        <w:spacing w:after="0" w:line="258" w:lineRule="auto"/>
        <w:tabs>
          <w:tab w:leader="none" w:pos="252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Agent shall not be liable for any action taken or not taken by it (i) with the consent or at the request of the Required Lenders (or such other number or percentage of Lenders as shall be necessary, or as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Sections 10.1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12.3</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and nonappealable judgment.</w:t>
      </w:r>
    </w:p>
    <w:p>
      <w:pPr>
        <w:ind w:left="740" w:right="54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Agent shall be deemed not to have knowledge of any Default or Event of Default unless and until notice describing such Default or Event of Default is given to Agent in writing by Administrative Borrower or a Lender.</w:t>
      </w:r>
    </w:p>
    <w:p>
      <w:pPr>
        <w:spacing w:after="0" w:line="168" w:lineRule="exact"/>
        <w:rPr>
          <w:rFonts w:ascii="Times New Roman" w:cs="Times New Roman" w:eastAsia="Times New Roman" w:hAnsi="Times New Roman"/>
          <w:sz w:val="19"/>
          <w:szCs w:val="19"/>
          <w:color w:val="auto"/>
        </w:rPr>
      </w:pPr>
    </w:p>
    <w:p>
      <w:pPr>
        <w:jc w:val="both"/>
        <w:ind w:left="740" w:firstLine="1494"/>
        <w:spacing w:after="0" w:line="259" w:lineRule="auto"/>
        <w:tabs>
          <w:tab w:leader="none" w:pos="252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or elsewhere herein, other than to confirm receipt of items expressly required to be delivered to Agent.</w:t>
      </w:r>
    </w:p>
    <w:p>
      <w:pPr>
        <w:spacing w:after="0" w:line="159"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u w:val="single" w:color="auto"/>
          <w:color w:val="auto"/>
        </w:rPr>
        <w:t>Reliance by Agent</w:t>
      </w:r>
      <w:r>
        <w:rPr>
          <w:rFonts w:ascii="Times New Roman" w:cs="Times New Roman" w:eastAsia="Times New Roman" w:hAnsi="Times New Roman"/>
          <w:sz w:val="20"/>
          <w:szCs w:val="20"/>
          <w:color w:val="auto"/>
        </w:rPr>
        <w:t>.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Agent may presume that such condition is satisfactory to such Lender unless Agent shall have received notice to the contrary from such Lender prior to the making of such Loan. Agent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jc w:val="both"/>
        <w:ind w:left="740" w:right="40" w:firstLine="749"/>
        <w:spacing w:after="0" w:line="263" w:lineRule="auto"/>
        <w:rPr>
          <w:sz w:val="20"/>
          <w:szCs w:val="20"/>
          <w:color w:val="auto"/>
        </w:rPr>
      </w:pPr>
      <w:r>
        <w:rPr>
          <w:rFonts w:ascii="Times New Roman" w:cs="Times New Roman" w:eastAsia="Times New Roman" w:hAnsi="Times New Roman"/>
          <w:sz w:val="19"/>
          <w:szCs w:val="19"/>
          <w:color w:val="auto"/>
        </w:rPr>
        <w:t xml:space="preserve">5.16. </w:t>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 Agent may perform any and all of its duties and exercise its rights and powers hereunder or under any other Loan Document by or through any one or more sub-agents appointed by Agent. Agent and any such sub-agent may perform any and all of its duties and exercise its rights and powers by or through their respective Related Parties. The exculpatory provisions of this Article shall apply to any such sub-agent and to the Related Parties of Agent and any such sub-agent, and shall apply to their respective activities in connection with the syndication of the Credit Facility as well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91" w:name="page92"/>
    <w:bookmarkEnd w:id="91"/>
    <w:p>
      <w:pPr>
        <w:jc w:val="both"/>
        <w:ind w:left="740" w:right="60"/>
        <w:spacing w:after="0" w:line="254" w:lineRule="auto"/>
        <w:rPr>
          <w:sz w:val="20"/>
          <w:szCs w:val="20"/>
          <w:color w:val="auto"/>
        </w:rPr>
      </w:pPr>
      <w:r>
        <w:rPr>
          <w:rFonts w:ascii="Times New Roman" w:cs="Times New Roman" w:eastAsia="Times New Roman" w:hAnsi="Times New Roman"/>
          <w:sz w:val="20"/>
          <w:szCs w:val="20"/>
          <w:color w:val="auto"/>
        </w:rPr>
        <w:t>as activities as Agent. Agent shall not be responsible for the negligence or misconduct of any sub-agents except to the extent that a court of competent jurisdiction determines in a final and nonappealable judgment that Agent acted with gross negligence or willful misconduct in the selection of such sub-agents.</w:t>
      </w:r>
    </w:p>
    <w:p>
      <w:pPr>
        <w:spacing w:after="0" w:line="174"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19"/>
          <w:szCs w:val="19"/>
          <w:u w:val="single" w:color="auto"/>
          <w:color w:val="auto"/>
        </w:rPr>
        <w:t>Resignation of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1" w:lineRule="auto"/>
        <w:tabs>
          <w:tab w:leader="none" w:pos="252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may at any time give notice of its resignation to Lenders and Administrative Borrower. Upon receipt of any such notice of resignation, the Required Lenders shall have the right, in consultation with Administrative Borrower and, so long as no Event of Default has occurred and is continuing, with the consent of Administrative Borrower (which consent shall not be unreasonably withheld, conditioned or delayed, and shall be deemed given if no objection is made within five (5) Business Days after notice of the proposed appointment), to appoint a successor, which shall be a bank with an office in New York, New York or an Affiliate of any such bank with an office in New York, New York;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so long as no Event of Default under </w:t>
      </w:r>
      <w:r>
        <w:rPr>
          <w:rFonts w:ascii="Times New Roman" w:cs="Times New Roman" w:eastAsia="Times New Roman" w:hAnsi="Times New Roman"/>
          <w:sz w:val="20"/>
          <w:szCs w:val="20"/>
          <w:u w:val="single" w:color="auto"/>
          <w:color w:val="auto"/>
        </w:rPr>
        <w:t>Section 10.01(d)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has occurred and is continuing, such successor may not be a Disqualified Institution. If no such successor shall have been so appointed by the Required Lenders and shall have accepted such appointment within thirty (30) days after the retiring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Agent may (but shall not be obligated to), on behalf of Lenders, appoint a successor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no event shall any such successor Agent be a Defaulting Lender or, so long as no Event of Default under </w:t>
      </w:r>
      <w:r>
        <w:rPr>
          <w:rFonts w:ascii="Times New Roman" w:cs="Times New Roman" w:eastAsia="Times New Roman" w:hAnsi="Times New Roman"/>
          <w:sz w:val="20"/>
          <w:szCs w:val="20"/>
          <w:u w:val="single" w:color="auto"/>
          <w:color w:val="auto"/>
        </w:rPr>
        <w:t>Section 10.01(d)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has occurred and is continuing, a Disqualified Institution. Whether or not a successor has been appointed, such resignation shall become effective in accordance with such notice on the Resignation Effective Date.</w:t>
      </w:r>
    </w:p>
    <w:p>
      <w:pPr>
        <w:spacing w:after="0" w:line="182" w:lineRule="exact"/>
        <w:rPr>
          <w:rFonts w:ascii="Times New Roman" w:cs="Times New Roman" w:eastAsia="Times New Roman" w:hAnsi="Times New Roman"/>
          <w:sz w:val="20"/>
          <w:szCs w:val="20"/>
          <w:color w:val="auto"/>
        </w:rPr>
      </w:pPr>
    </w:p>
    <w:p>
      <w:pPr>
        <w:jc w:val="both"/>
        <w:ind w:left="740" w:right="40" w:firstLine="1494"/>
        <w:spacing w:after="0" w:line="256" w:lineRule="auto"/>
        <w:tabs>
          <w:tab w:leader="none" w:pos="2525"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(i) the retiring Agent shall be discharged from its duties and obligations hereunder and under the other Loan Documents and (ii) except for any indemnity payments owed to the retiring or removed Agent, all payments, communications and determinations provided to be made by, to or through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Agent), and the retiring Agent shall be discharged from all of its duties and obligations hereunder or under the other Loan Documents. The fees payable by Borrowers to a successor Agent shall be the same as those payable to its predecessor unless otherwise agreed between Borrowers and such successor. After the retiring Agent’s resignation or removal hereunder and under the other Loan Documents, the provisions of this Article and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12.4</w:t>
      </w:r>
      <w:r>
        <w:rPr>
          <w:rFonts w:ascii="Times New Roman" w:cs="Times New Roman" w:eastAsia="Times New Roman" w:hAnsi="Times New Roman"/>
          <w:sz w:val="19"/>
          <w:szCs w:val="19"/>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160" w:lineRule="exact"/>
        <w:rPr>
          <w:sz w:val="20"/>
          <w:szCs w:val="20"/>
          <w:color w:val="auto"/>
        </w:rPr>
      </w:pPr>
    </w:p>
    <w:p>
      <w:pPr>
        <w:jc w:val="both"/>
        <w:ind w:left="740" w:right="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5.18. </w:t>
      </w:r>
      <w:r>
        <w:rPr>
          <w:rFonts w:ascii="Times New Roman" w:cs="Times New Roman" w:eastAsia="Times New Roman" w:hAnsi="Times New Roman"/>
          <w:sz w:val="20"/>
          <w:szCs w:val="20"/>
          <w:u w:val="single" w:color="auto"/>
          <w:color w:val="auto"/>
        </w:rPr>
        <w:t>Non-Reliance on Agent and Other Lenders</w:t>
      </w:r>
      <w:r>
        <w:rPr>
          <w:rFonts w:ascii="Times New Roman" w:cs="Times New Roman" w:eastAsia="Times New Roman" w:hAnsi="Times New Roman"/>
          <w:sz w:val="20"/>
          <w:szCs w:val="20"/>
          <w:color w:val="auto"/>
        </w:rPr>
        <w:t>. Each Lender acknowledges that it has, independently and without reliance upon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2" w:name="page93"/>
    <w:bookmarkEnd w:id="92"/>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40" w:right="60" w:firstLine="1494"/>
        <w:spacing w:after="0" w:line="269" w:lineRule="auto"/>
        <w:tabs>
          <w:tab w:leader="none" w:pos="252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(including in its or any of its Affiliate’s capacities as a potential Hedge Bank or Cash Management Bank) irrevocably authorizes Agent, at its option and in its discretion:</w:t>
      </w:r>
    </w:p>
    <w:p>
      <w:pPr>
        <w:spacing w:after="0" w:line="159" w:lineRule="exact"/>
        <w:rPr>
          <w:rFonts w:ascii="Times New Roman" w:cs="Times New Roman" w:eastAsia="Times New Roman" w:hAnsi="Times New Roman"/>
          <w:sz w:val="20"/>
          <w:szCs w:val="20"/>
          <w:color w:val="auto"/>
        </w:rPr>
      </w:pPr>
    </w:p>
    <w:p>
      <w:pPr>
        <w:jc w:val="both"/>
        <w:ind w:left="740" w:right="40" w:firstLine="2243"/>
        <w:spacing w:after="0" w:line="246" w:lineRule="auto"/>
        <w:tabs>
          <w:tab w:leader="none" w:pos="353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granted to or held by Agent, for the benefit of the Secured Parties, under any Loan Document (A) upon the payment in full of all Obligations (as provided in </w:t>
      </w:r>
      <w:r>
        <w:rPr>
          <w:rFonts w:ascii="Times New Roman" w:cs="Times New Roman" w:eastAsia="Times New Roman" w:hAnsi="Times New Roman"/>
          <w:sz w:val="20"/>
          <w:szCs w:val="20"/>
          <w:u w:val="single" w:color="auto"/>
          <w:color w:val="auto"/>
        </w:rPr>
        <w:t>Section 1.2(d)</w:t>
      </w:r>
      <w:r>
        <w:rPr>
          <w:rFonts w:ascii="Times New Roman" w:cs="Times New Roman" w:eastAsia="Times New Roman" w:hAnsi="Times New Roman"/>
          <w:sz w:val="20"/>
          <w:szCs w:val="20"/>
          <w:color w:val="auto"/>
        </w:rPr>
        <w:t xml:space="preserve">), (B) that is sold or otherwise disposed of or to be sold or otherwise disposed of as part of or in connection with any sale or other disposition permitted under the Loan Documents, or (C) if approved, authorized or ratified in writing in accordance with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740" w:right="60" w:firstLine="2243"/>
        <w:spacing w:after="0" w:line="269" w:lineRule="auto"/>
        <w:tabs>
          <w:tab w:leader="none" w:pos="3532"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subordinate any Lien on any Collateral granted to or held by Agent under any Loan Document to the holder of any Permitted Lien under clause (e), (f), (q), (r), (t) or (w) of the definition of such term; and</w:t>
      </w:r>
    </w:p>
    <w:p>
      <w:pPr>
        <w:spacing w:after="0" w:line="159" w:lineRule="exact"/>
        <w:rPr>
          <w:rFonts w:ascii="Times New Roman" w:cs="Times New Roman" w:eastAsia="Times New Roman" w:hAnsi="Times New Roman"/>
          <w:sz w:val="20"/>
          <w:szCs w:val="20"/>
          <w:color w:val="auto"/>
        </w:rPr>
      </w:pPr>
    </w:p>
    <w:p>
      <w:pPr>
        <w:jc w:val="both"/>
        <w:ind w:left="740" w:right="20" w:firstLine="2243"/>
        <w:spacing w:after="0" w:line="254" w:lineRule="auto"/>
        <w:tabs>
          <w:tab w:leader="none" w:pos="353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any Loan Documents (and to release any Lien on the Collateral granted by such Person) if such Person ceases to be a Subsidiary of a Loan Party as a result of a transaction permitted under the Loan Documents.</w:t>
      </w:r>
    </w:p>
    <w:p>
      <w:pPr>
        <w:spacing w:after="0" w:line="161" w:lineRule="exact"/>
        <w:rPr>
          <w:sz w:val="20"/>
          <w:szCs w:val="20"/>
          <w:color w:val="auto"/>
        </w:rPr>
      </w:pPr>
    </w:p>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 xml:space="preserve">Upon request by Agent at any time, the Required Lenders will confirm in writing Agent’s authority to release or subordinate its interest in particular types or items of property, or to release any Guarantor, from its obligations under any Loan Document (and to release any Lien on the Collateral granted by such Guarantor) pursuant to this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Agent will, at the applicable Borrower’s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any Loan Document in each case in accordance with the terms of the Loan Documents and this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In the case of any such sale, transfer or disposal of any property constituting Collateral in a transaction constituting a sale or other disposition permitted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and that is not otherwise prohibited under the Loan Documents, the Liens created by any of the Security Documents on such property shall be automatically released without need for further action by any Person.</w:t>
      </w:r>
    </w:p>
    <w:p>
      <w:pPr>
        <w:spacing w:after="0" w:line="176" w:lineRule="exact"/>
        <w:rPr>
          <w:sz w:val="20"/>
          <w:szCs w:val="20"/>
          <w:color w:val="auto"/>
        </w:rPr>
      </w:pPr>
    </w:p>
    <w:p>
      <w:pPr>
        <w:jc w:val="both"/>
        <w:ind w:left="740" w:right="40" w:firstLine="1494"/>
        <w:spacing w:after="0" w:line="249" w:lineRule="auto"/>
        <w:tabs>
          <w:tab w:leader="none" w:pos="252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not be responsible for or have a duty to ascertain or inquire into any representation or warranty regarding the existence, value or collectability of the Collateral, the existence, priority or perfection of Agent’s Lien thereon, or any certificate prepared by any Loan Party in connection therewith, nor shall Agent be responsible or liable to Lenders for any failure to monitor or maintain any portion of the Collateral.</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5.21. </w:t>
      </w:r>
      <w:r>
        <w:rPr>
          <w:rFonts w:ascii="Times New Roman" w:cs="Times New Roman" w:eastAsia="Times New Roman" w:hAnsi="Times New Roman"/>
          <w:sz w:val="20"/>
          <w:szCs w:val="20"/>
          <w:u w:val="single" w:color="auto"/>
          <w:color w:val="auto"/>
        </w:rPr>
        <w:t>Field Examination Reports; Confidentiality; Disclaimers by Lenders; Other Reports and 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980" w:hanging="746"/>
        <w:spacing w:after="0"/>
        <w:tabs>
          <w:tab w:leader="none" w:pos="29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becoming a party to this Agreement, each Lender:</w:t>
      </w:r>
    </w:p>
    <w:p>
      <w:pPr>
        <w:spacing w:after="0" w:line="215"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3"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Agent furnish such Lender, promptly after it becomes available, a copy of each field examination report respecting any Loan Party or its Subsidiaries (each, a “</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prepared by or at the request of Agent, and Agent shall so furnish each Lender with such Reports,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3" w:name="page94"/>
    <w:bookmarkEnd w:id="93"/>
    <w:p>
      <w:pPr>
        <w:ind w:left="740" w:right="40" w:firstLine="2243"/>
        <w:spacing w:after="0" w:line="269" w:lineRule="auto"/>
        <w:tabs>
          <w:tab w:leader="none" w:pos="353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Agent does not (A) make any representation or warranty as to the accuracy of any Report, and (B) shall not be liable for any information contained in any Report,</w:t>
      </w:r>
    </w:p>
    <w:p>
      <w:pPr>
        <w:spacing w:after="0" w:line="159" w:lineRule="exact"/>
        <w:rPr>
          <w:rFonts w:ascii="Times New Roman" w:cs="Times New Roman" w:eastAsia="Times New Roman" w:hAnsi="Times New Roman"/>
          <w:sz w:val="20"/>
          <w:szCs w:val="20"/>
          <w:color w:val="auto"/>
        </w:rPr>
      </w:pPr>
    </w:p>
    <w:p>
      <w:pPr>
        <w:jc w:val="both"/>
        <w:ind w:left="740" w:right="20" w:firstLine="2243"/>
        <w:spacing w:after="0" w:line="249" w:lineRule="auto"/>
        <w:tabs>
          <w:tab w:leader="none" w:pos="353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the Reports are not comprehensive audits or examinations, that Agent or other party performing any field examination will inspect only specific information regarding each Loan Party and its Subsidiaries and will rely significantly upon each Loan Party’s and its Subsidiaries’ books and records, as well as on representations of Loan Parties’ personnel,</w:t>
      </w:r>
    </w:p>
    <w:p>
      <w:pPr>
        <w:spacing w:after="0" w:line="179"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Reports and other material, non-public information regarding each Loan Party and its Subsidiaries and their operations, assets, and existing and contemplated business plans confidential in accordance with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740" w:firstLine="2243"/>
        <w:spacing w:after="0" w:line="243" w:lineRule="auto"/>
        <w:tabs>
          <w:tab w:leader="none" w:pos="353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(A)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Loan Parties, or the indemnifying Lender’s participation in, or the indemnifying Lender’s purchase of, a loan or loans of Borrowers, and (B) to pay and protect, and indemnify, defend and hold Agent, and any such other Lender preparing a Report harmless from and against, the claims, actions, proceedings, damages, costs, expenses, and other amounts (including, reasonable documented attorneys” fees and costs) incurred by Agent and any such other Lender preparing a Report as the direct or indirect result of any third parties who might obtain all or part of any Report through the indemnifying Lender.</w:t>
      </w:r>
    </w:p>
    <w:p>
      <w:pPr>
        <w:spacing w:after="0" w:line="172"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(i)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(ii)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(iii) any time that Agent renders to Borrowers a statement regarding the Loan Account, Agent shall send a copy of such statement to each Lender.</w:t>
      </w:r>
    </w:p>
    <w:p>
      <w:pPr>
        <w:spacing w:after="0" w:line="179"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56" w:lineRule="auto"/>
        <w:tabs>
          <w:tab w:leader="none" w:pos="2525"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and any other party hereto hereby severally agrees that if (i) Agent notifies (which such notice shall be conclusive absent manifest error) such Lender (or the Affiliate of a Lender) or any other Person that has received funds from Agent or any of its Affiliates, either for its own account or on behalf of a Lender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w:t>
      </w:r>
    </w:p>
    <w:p>
      <w:pPr>
        <w:jc w:val="both"/>
        <w:ind w:left="740" w:right="20" w:hanging="3"/>
        <w:spacing w:after="0" w:line="242" w:lineRule="auto"/>
        <w:tabs>
          <w:tab w:leader="none" w:pos="105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94" w:name="page95"/>
    <w:bookmarkEnd w:id="94"/>
    <w:p>
      <w:pPr>
        <w:jc w:val="both"/>
        <w:ind w:left="740" w:right="40"/>
        <w:spacing w:after="0" w:line="242" w:lineRule="auto"/>
        <w:rPr>
          <w:sz w:val="20"/>
          <w:szCs w:val="20"/>
          <w:color w:val="auto"/>
        </w:rPr>
      </w:pPr>
      <w:r>
        <w:rPr>
          <w:rFonts w:ascii="Times New Roman" w:cs="Times New Roman" w:eastAsia="Times New Roman" w:hAnsi="Times New Roman"/>
          <w:sz w:val="20"/>
          <w:szCs w:val="20"/>
          <w:color w:val="auto"/>
        </w:rPr>
        <w:t xml:space="preserve">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190" w:lineRule="exact"/>
        <w:rPr>
          <w:sz w:val="20"/>
          <w:szCs w:val="20"/>
          <w:color w:val="auto"/>
        </w:rPr>
      </w:pPr>
    </w:p>
    <w:p>
      <w:pPr>
        <w:ind w:left="740" w:right="60" w:firstLine="1494"/>
        <w:spacing w:after="0" w:line="269" w:lineRule="auto"/>
        <w:tabs>
          <w:tab w:leader="none" w:pos="25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(a)(ii) above, it shall promptly notify Agent in writing of such occurrence.</w:t>
      </w:r>
    </w:p>
    <w:p>
      <w:pPr>
        <w:spacing w:after="0" w:line="145"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Agent at the funds at the Federal Funds Rate.</w:t>
      </w:r>
    </w:p>
    <w:p>
      <w:pPr>
        <w:spacing w:after="0" w:line="189" w:lineRule="exact"/>
        <w:rPr>
          <w:rFonts w:ascii="Times New Roman" w:cs="Times New Roman" w:eastAsia="Times New Roman" w:hAnsi="Times New Roman"/>
          <w:sz w:val="20"/>
          <w:szCs w:val="20"/>
          <w:color w:val="auto"/>
        </w:rPr>
      </w:pPr>
    </w:p>
    <w:p>
      <w:pPr>
        <w:jc w:val="both"/>
        <w:ind w:left="740" w:right="40" w:firstLine="1494"/>
        <w:spacing w:after="0" w:line="254" w:lineRule="auto"/>
        <w:tabs>
          <w:tab w:leader="none" w:pos="252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9"/>
          <w:szCs w:val="19"/>
          <w:u w:val="single" w:color="auto"/>
          <w:color w:val="auto"/>
        </w:rPr>
        <w:t>Erroneous Payment Return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Deficiency</w:t>
      </w:r>
      <w:r>
        <w:rPr>
          <w:rFonts w:ascii="Times New Roman" w:cs="Times New Roman" w:eastAsia="Times New Roman" w:hAnsi="Times New Roman"/>
          <w:sz w:val="19"/>
          <w:szCs w:val="19"/>
          <w:color w:val="auto"/>
        </w:rPr>
        <w:t>”), then at the sole discretion of Agent and upon Agent’s written notice to such Lender (i) such Lender shall be deemed to have made a cashless assignment of the full face amount of the portion of its Loans (but not its Commitments) with respect to which such Erroneous Payment was made to Agent or, at the option of Agent, Agent’s applicable lending affiliate in an amount that is equal to the Erroneous Payment Return Deficiency (or such lesser amount as Agent may specify) (such assignment of the Loans (but not Commitments)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plus any accrued and unpaid interest on such assigned amount, without further consent or approval of any party hereto and without any payment by Agent or its applicable lending affiliate as the assignee of such Erroneous Payment Deficiency Assignment. Without limitation of its rights hereunder,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9"/>
          <w:szCs w:val="19"/>
          <w:u w:val="single" w:color="auto"/>
          <w:color w:val="auto"/>
        </w:rPr>
        <w:t>Section 13.4</w:t>
      </w:r>
      <w:r>
        <w:rPr>
          <w:rFonts w:ascii="Times New Roman" w:cs="Times New Roman" w:eastAsia="Times New Roman" w:hAnsi="Times New Roman"/>
          <w:sz w:val="19"/>
          <w:szCs w:val="19"/>
          <w:color w:val="auto"/>
        </w:rPr>
        <w:t xml:space="preserve"> and (3) Agent may reflect such assignments in the Register without further consent or action by any other Person.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5" w:name="page96"/>
    <w:bookmarkEnd w:id="95"/>
    <w:p>
      <w:pPr>
        <w:jc w:val="both"/>
        <w:ind w:left="740" w:firstLine="1494"/>
        <w:spacing w:after="0" w:line="250" w:lineRule="auto"/>
        <w:tabs>
          <w:tab w:leader="none" w:pos="2525"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agrees that (i) in the event an Erroneous Payment (or portion thereof) is not recovered from any Payment Recipient that has received such Erroneous Payment (or portion thereof) for any reason, Agent</w:t>
      </w:r>
    </w:p>
    <w:p>
      <w:pPr>
        <w:spacing w:after="0" w:line="1" w:lineRule="exact"/>
        <w:rPr>
          <w:rFonts w:ascii="Times New Roman" w:cs="Times New Roman" w:eastAsia="Times New Roman" w:hAnsi="Times New Roman"/>
          <w:sz w:val="20"/>
          <w:szCs w:val="20"/>
          <w:color w:val="auto"/>
        </w:rPr>
      </w:pPr>
    </w:p>
    <w:p>
      <w:pPr>
        <w:jc w:val="both"/>
        <w:ind w:left="740" w:hanging="3"/>
        <w:spacing w:after="0"/>
        <w:tabs>
          <w:tab w:leader="none" w:pos="106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subrogated to all the rights of such Payment Recipient with respect to such amount and (B)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or under the indemnification provisions of this Agreement, (ii) the receipt of an Erroneous Payment by a Payment Recipient shall not for the purpose of this Agreement be treated as a payment, prepayment, repayment, discharge or other satisfaction of any Obligations owed by any Loan Party, except, in each case, to the extent such Erroneous Payment is, and solely with respect to the amount of such Erroneous Payment that is, comprised of funds received by Agent from any Loan Party for the purpose of making for a payment on the Obligations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5" w:lineRule="exact"/>
        <w:rPr>
          <w:rFonts w:ascii="Times New Roman" w:cs="Times New Roman" w:eastAsia="Times New Roman" w:hAnsi="Times New Roman"/>
          <w:sz w:val="20"/>
          <w:szCs w:val="20"/>
          <w:color w:val="auto"/>
        </w:rPr>
      </w:pPr>
    </w:p>
    <w:p>
      <w:pPr>
        <w:jc w:val="both"/>
        <w:ind w:left="740" w:firstLine="1494"/>
        <w:spacing w:after="0" w:line="254" w:lineRule="auto"/>
        <w:tabs>
          <w:tab w:leader="none" w:pos="2525"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74" w:lineRule="exact"/>
        <w:rPr>
          <w:rFonts w:ascii="Times New Roman" w:cs="Times New Roman" w:eastAsia="Times New Roman" w:hAnsi="Times New Roman"/>
          <w:sz w:val="20"/>
          <w:szCs w:val="20"/>
          <w:color w:val="auto"/>
        </w:rPr>
      </w:pPr>
    </w:p>
    <w:p>
      <w:pPr>
        <w:ind w:left="740" w:right="20" w:firstLine="1494"/>
        <w:spacing w:after="0" w:line="269" w:lineRule="auto"/>
        <w:tabs>
          <w:tab w:leader="none" w:pos="2525"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will constitute a waiver or release of any claim of any party hereunder arising from any Payment Recipient’s receipt of an Erroneous Payment.</w:t>
      </w:r>
    </w:p>
    <w:p>
      <w:pPr>
        <w:spacing w:after="0" w:line="1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SECTION 12. LOAN GUARANTY</w:t>
      </w:r>
    </w:p>
    <w:p>
      <w:pPr>
        <w:spacing w:after="0" w:line="220"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Loan Party hereby agrees that it is jointly and severally liable for, and absolutely and unconditionally guaranties to Agent, for the ratable benefit of Lenders, the prompt payment and performance when due, whether at stated maturity, upon acceleration or otherwise, and at all times thereafter, all of the Obligations and all reasonable and documented out of pocket costs and expenses, including all court costs and reasonable and documented attorneys’ and paralegals’ fees (including internal and external counsel and paralegals) and reasonable and documented out of pocket expenses of Agent or any Lender in endeavoring to collect all or any part of the Obligations from, or in prosecuting any action against, any Borrower or any Loan Party of all or any part of the Obligations (and such costs and expenses paid or incurred shall be deemed to be included in the Obligations). Each Loan Party further agrees that the Obligations may be extended or renewed in whole or in part without notice to or further assent from it, and that it remains bound upon its guaranty notwithstanding any such extension or renewal. All terms of this Loan Guaranty apply to and may be enforced by or on behalf of any branch or Affiliate of Agent that extended any portion of the Obligations.</w:t>
      </w:r>
    </w:p>
    <w:p>
      <w:pPr>
        <w:spacing w:after="0" w:line="176"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Guaranty of Payment</w:t>
      </w:r>
      <w:r>
        <w:rPr>
          <w:rFonts w:ascii="Times New Roman" w:cs="Times New Roman" w:eastAsia="Times New Roman" w:hAnsi="Times New Roman"/>
          <w:sz w:val="20"/>
          <w:szCs w:val="20"/>
          <w:color w:val="auto"/>
        </w:rPr>
        <w:t>. This Loan Guaranty is a guaranty of payment and performance and not of collection. Each Loan Party waives any right to require Agent to sue or otherwise take action against any Borrower, any other Loan Party or any other Person obligated for all or any part of the Obligations, or otherwise to enforce its payment against any Collateral securing all or any part of the Obligations.</w:t>
      </w:r>
    </w:p>
    <w:p>
      <w:pPr>
        <w:spacing w:after="0" w:line="18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40" w:right="20" w:firstLine="1494"/>
        <w:spacing w:after="0" w:line="269" w:lineRule="auto"/>
        <w:tabs>
          <w:tab w:leader="none" w:pos="25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for herein, the obligations of each Loan Party hereunder are unconditional and absolute and not subject to any reduction, limitation, impairment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96" w:name="page97"/>
    <w:bookmarkEnd w:id="96"/>
    <w:p>
      <w:pPr>
        <w:jc w:val="both"/>
        <w:ind w:left="740" w:right="40"/>
        <w:spacing w:after="0" w:line="244" w:lineRule="auto"/>
        <w:rPr>
          <w:sz w:val="20"/>
          <w:szCs w:val="20"/>
          <w:color w:val="auto"/>
        </w:rPr>
      </w:pPr>
      <w:r>
        <w:rPr>
          <w:rFonts w:ascii="Times New Roman" w:cs="Times New Roman" w:eastAsia="Times New Roman" w:hAnsi="Times New Roman"/>
          <w:sz w:val="20"/>
          <w:szCs w:val="20"/>
          <w:color w:val="auto"/>
        </w:rPr>
        <w:t>or termination for any reason (other than the payment in full of all of the Obligations), including: (i) any claim of waiver, release, extension, renewal, settlement, surrender, alteration, or compromise of any of the Obligations, by operation of law or otherwise; (ii) any change in the corporate existence, structure or ownership of any Borrower or any Guarantor; (iii) any insolvency, bankruptcy, reorganization or other similar proceeding affecting any Borrower or any Guarantor or their respective assets or any resulting release or discharge of any obligation of any Borrower or any Guarantor; or (iv) the existence of any claim, setoff or other rights which any Loan Party may have at any time against any Borrower, any Guarantor, Agent, Lenders or any other Person, whether in connection herewith or in any unrelated transactions.</w:t>
      </w:r>
    </w:p>
    <w:p>
      <w:pPr>
        <w:spacing w:after="0" w:line="186" w:lineRule="exact"/>
        <w:rPr>
          <w:sz w:val="20"/>
          <w:szCs w:val="20"/>
          <w:color w:val="auto"/>
        </w:rPr>
      </w:pPr>
    </w:p>
    <w:p>
      <w:pPr>
        <w:jc w:val="both"/>
        <w:ind w:left="740" w:firstLine="1494"/>
        <w:spacing w:after="0" w:line="249" w:lineRule="auto"/>
        <w:tabs>
          <w:tab w:leader="none" w:pos="252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Loan Party hereunder are not subject to any defense or setoff, counterclaim, recoupment, or termination whatsoever by reason of the invalidity, illegality or unenforceability of any of the Obligations or otherwise, or any provision of Applicable Law or regulation purporting to prohibit payment by any Borrower or any Guarantor of the Obligations or any part thereof</w:t>
      </w:r>
    </w:p>
    <w:p>
      <w:pPr>
        <w:spacing w:after="0" w:line="179" w:lineRule="exact"/>
        <w:rPr>
          <w:rFonts w:ascii="Times New Roman" w:cs="Times New Roman" w:eastAsia="Times New Roman" w:hAnsi="Times New Roman"/>
          <w:sz w:val="20"/>
          <w:szCs w:val="20"/>
          <w:color w:val="auto"/>
        </w:rPr>
      </w:pPr>
    </w:p>
    <w:p>
      <w:pPr>
        <w:jc w:val="both"/>
        <w:ind w:left="740" w:right="60" w:firstLine="1494"/>
        <w:spacing w:after="0" w:line="243" w:lineRule="auto"/>
        <w:tabs>
          <w:tab w:leader="none" w:pos="252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the obligations of any Loan Party hereunder shall not be discharged or impaired or otherwise affected by: (i) the failure of Agent to assert any claim or demand or to enforce any remedy with respect to all or any part of the Obligations; (ii) any waiver or modification of or supplement to any provision of any agreement relating to the Obligations; (iii) any release, non-perfection or invalidity of any indirect or direct security for all or any part of the Obligations or all or any part of any obligations of any Guarantor; (iv) any action or failure to act by Agent with respect to any Collateral; or (v) any default, failure or delay, willful or otherwise, in the payment or performance of any of the Obligations, or any other circumstance, act, omission or delay that might in any manner or to any extent vary the risk of such Loan Party or that would otherwise operate as a discharge of any Loan Party as a matter of law or equity (other than the payment in full of all of the Obligations).</w:t>
      </w:r>
    </w:p>
    <w:p>
      <w:pPr>
        <w:spacing w:after="0" w:line="172"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To the fullest extent permitted by Applicable Law, each Loan Party hereby waives any defense based on or arising out of any defense of any Loan Party or the unenforceability of all or any part of the Obligations from any cause, or the cessation from any cause of the liability of any Loan Party, other than the payment in full of all of the Obligations. Without limiting the generality of the foregoing, each Loan Party irrevocably waives acceptance hereof, presentment, demand, protest and, to the fullest extent permitted by Applicable Law, any notice not provided for herein, as well as any requirement that at any time any action be taken by any Person against any Borrower, any Guarantor, or any other Person. Each Loan Party confirms that it is not a surety under any state law and shall not raise any such law as a defense to its obligations hereunder. Agent may, at its election, foreclose on any Collateral held by it by one or more judicial or nonjudicial sales, accept an assignment of any such Collateral in lieu of foreclosure or otherwise act or fail to act with respect to any Collateral, compromise or adjust any part of the Obligations, make any other accommodation with any Borrower or any Guarantor or exercise any other right or remedy available to it against any Borrower or any Guarantor, without affecting or impairing in any way the liability of any Loan Party under this Loan Guaranty except to the extent the Obligations have been paid in full. To the fullest extent permitted by Applicable Law, each Loan Party waives any defense arising out of any such election even though that election may operate, pursuant to Applicable Law, to impair or extinguish any right of reimbursement or subrogation or other right or remedy of any Loan Party against any Borrower or any Guarantor or any security.</w:t>
      </w:r>
    </w:p>
    <w:p>
      <w:pPr>
        <w:spacing w:after="0" w:line="180"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Party will assert any right, claim or cause of action, including a claim of subrogation, contribution or indemnification that it has against any Borrower or any Guarantor, or any Collateral, until the payment in full of all of the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661670</wp:posOffset>
            </wp:positionV>
            <wp:extent cx="7157720" cy="4254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7" w:name="page98"/>
    <w:bookmarkEnd w:id="97"/>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auto"/>
        </w:rPr>
        <w:t>Reinstatement; Stay of Acceleration</w:t>
      </w:r>
      <w:r>
        <w:rPr>
          <w:rFonts w:ascii="Times New Roman" w:cs="Times New Roman" w:eastAsia="Times New Roman" w:hAnsi="Times New Roman"/>
          <w:sz w:val="20"/>
          <w:szCs w:val="20"/>
          <w:color w:val="auto"/>
        </w:rPr>
        <w:t xml:space="preserve">. If at any time any payment of any portion of the Obligations is rescinded or must otherwise be restored or returned upon the insolvency, bankruptcy or reorganization of any Loan Parties or any other Person, or otherwise, each Loan Party’s obligations under this Loan Guaranty with respect to that payment shall be reinstated at such time as though the payment had not been made and whether or not Agent is in possession of this Loan Guaranty. If acceleration of the time for payment of any of the Obligations is stayed upon the insolvency, bankruptcy or reorganization of any Loan Parties, all such amounts otherwise subject to acceleration under the terms of any agreement relating to the Obligations shall nonetheless be payable by the Loan Parties forthwith on demand by Agent. This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shall remain operative even after the Termination Date and shall survive the Payment in Full of all of the Loans.</w:t>
      </w:r>
    </w:p>
    <w:p>
      <w:pPr>
        <w:spacing w:after="0" w:line="189"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Party assumes all responsibility for being and keeping itself informed of each Borrower’s financial condition and assets, and of all other circumstances bearing upon the risk of nonpayment of the Obligations and the nature, scope and extent of the risks that each Loan Party assumes and incurs under this Loan Guaranty, and agrees that Agent shall not have any duty to advise any Loan Party of information known to it regarding those circumstances or risks.</w:t>
      </w:r>
    </w:p>
    <w:p>
      <w:pPr>
        <w:spacing w:after="0" w:line="171"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3.23.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To the maximum extent permitted by Applicable Law, each Loan Party hereby waives any right to revoke this Loan Guaranty as to future Obligations. If such a revocation is effective notwithstanding the foregoing waiver, each Loan Party acknowledges and agrees that (a) no such revocation shall be effective until written notice thereof has been received by Agent, (b) no such revocation shall apply to any Obligations in existence on the date of receipt by Agent of such written notice (including any subsequent continuation, extension, or renewal thereof, or change in the interest rate, payment terms or other terms and conditions thereof made in accordance with the terms thereof),</w:t>
      </w:r>
    </w:p>
    <w:p>
      <w:pPr>
        <w:spacing w:after="0" w:line="2" w:lineRule="exact"/>
        <w:rPr>
          <w:sz w:val="20"/>
          <w:szCs w:val="20"/>
          <w:color w:val="auto"/>
        </w:rPr>
      </w:pPr>
    </w:p>
    <w:p>
      <w:pPr>
        <w:jc w:val="both"/>
        <w:ind w:left="740" w:right="40" w:hanging="3"/>
        <w:spacing w:after="0"/>
        <w:tabs>
          <w:tab w:leader="none" w:pos="101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revocation shall apply to any Obligations made or created after such date to the extent made or created pursuant to a legally binding commitment of Agent, (d) no payment by any Borrower, any other Loan Party, or from any other source, prior to the date of Agent’s receipt of written notice of such revocation shall reduce the maximum obligation of any Loan Party hereunder and (e) any payment, by any Borrower or from any source other than a Loan Party which has made such a revocation, made subsequent to the date of such revocation, shall first be applied to that portion of the Obligations as to which the revocation is effective and which are not, therefore, guaranteed hereunder, and to the extent so applied shall not reduce the maximum obligation of any Loan Party hereunder.</w:t>
      </w:r>
    </w:p>
    <w:p>
      <w:pPr>
        <w:spacing w:after="0" w:line="177"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3.24. </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Party under this Loan Guaranty would otherwise be held or determined to be avoidable, invalid or unenforceable on account of the amount of such Loan Party’s liability under this Loan Guaranty, then, notwithstanding any other provision of this Loan Guaranty to the contrary, the amount of such liability shall, without any further action by the Loan Parties, Agent or any Lender, be automatically limited and reduced to the highest amount that is valid and enforceable as determined in such action or proceeding (such highest amount determined hereunder being the relevant Loan Party’s “</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with respect to the Maximum Liability of each Loan Party is intended solely to preserve the rights of Agent and Lenders to the maximum extent not subject to avoidance under Applicable Law, and no Loan Party or any other Person shall have any right or claim under this Section with respect to such Maximum Liability, except to the extent necessary so that the obligations of any Loan Party hereunder shall not be rendered voidable under Applicable Law. Each Loan Party agrees that the Obligations may at any time and from time to time exceed the Maximum Liability of each Loan Party without impairing this Loan Guaranty or affecting the rights and remedies of Agent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nothing in this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8" w:name="page99"/>
    <w:bookmarkEnd w:id="98"/>
    <w:p>
      <w:pPr>
        <w:ind w:left="740"/>
        <w:spacing w:after="0"/>
        <w:rPr>
          <w:sz w:val="20"/>
          <w:szCs w:val="20"/>
          <w:color w:val="auto"/>
        </w:rPr>
      </w:pPr>
      <w:r>
        <w:rPr>
          <w:rFonts w:ascii="Times New Roman" w:cs="Times New Roman" w:eastAsia="Times New Roman" w:hAnsi="Times New Roman"/>
          <w:sz w:val="20"/>
          <w:szCs w:val="20"/>
          <w:color w:val="auto"/>
        </w:rPr>
        <w:t>sentence shall be construed to increase any Loan Party’s obligations hereunder beyond its Maximum Liability.</w:t>
      </w:r>
    </w:p>
    <w:p>
      <w:pPr>
        <w:spacing w:after="0" w:line="216"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3.25.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In the event any Loan Party shall make any payment or payments under this Loan Guaranty or shall suffer any loss as a result of any realization upon any Collateral granted by it to secure its obligations under this Loan Guaranty (such Loan Party a “</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each other Loan Party (each a “</w:t>
      </w:r>
      <w:r>
        <w:rPr>
          <w:rFonts w:ascii="Times New Roman" w:cs="Times New Roman" w:eastAsia="Times New Roman" w:hAnsi="Times New Roman"/>
          <w:sz w:val="20"/>
          <w:szCs w:val="20"/>
          <w:u w:val="single" w:color="auto"/>
          <w:color w:val="auto"/>
        </w:rPr>
        <w:t>Non-Paying Guarantor</w:t>
      </w:r>
      <w:r>
        <w:rPr>
          <w:rFonts w:ascii="Times New Roman" w:cs="Times New Roman" w:eastAsia="Times New Roman" w:hAnsi="Times New Roman"/>
          <w:sz w:val="20"/>
          <w:szCs w:val="20"/>
          <w:color w:val="auto"/>
        </w:rPr>
        <w:t>”) shall contribute to such Paying Guarantor an amount equal to such Non-Paying Guarantor’s “</w:t>
      </w:r>
      <w:r>
        <w:rPr>
          <w:rFonts w:ascii="Times New Roman" w:cs="Times New Roman" w:eastAsia="Times New Roman" w:hAnsi="Times New Roman"/>
          <w:sz w:val="20"/>
          <w:szCs w:val="20"/>
          <w:u w:val="single" w:color="auto"/>
          <w:color w:val="auto"/>
        </w:rPr>
        <w:t>Relevant Percentage</w:t>
      </w:r>
      <w:r>
        <w:rPr>
          <w:rFonts w:ascii="Times New Roman" w:cs="Times New Roman" w:eastAsia="Times New Roman" w:hAnsi="Times New Roman"/>
          <w:sz w:val="20"/>
          <w:szCs w:val="20"/>
          <w:color w:val="auto"/>
        </w:rPr>
        <w:t xml:space="preserve">” of such payment or payments made, or losses suffered, by such Paying Guarantor. For purposes of this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each Non-Paying Guarantor’s “</w:t>
      </w:r>
      <w:r>
        <w:rPr>
          <w:rFonts w:ascii="Times New Roman" w:cs="Times New Roman" w:eastAsia="Times New Roman" w:hAnsi="Times New Roman"/>
          <w:sz w:val="20"/>
          <w:szCs w:val="20"/>
          <w:u w:val="single" w:color="auto"/>
          <w:color w:val="auto"/>
        </w:rPr>
        <w:t>Relevant Percentage</w:t>
      </w:r>
      <w:r>
        <w:rPr>
          <w:rFonts w:ascii="Times New Roman" w:cs="Times New Roman" w:eastAsia="Times New Roman" w:hAnsi="Times New Roman"/>
          <w:sz w:val="20"/>
          <w:szCs w:val="20"/>
          <w:color w:val="auto"/>
        </w:rPr>
        <w:t>” with respect to any such payment or loss by a Paying Guarantor shall be determined as of the date on which such payment or loss was made by reference to the ratio of (x)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any Borrower after the date hereof (whether by loan, capital infusion or by other means) to (y) the aggregate Maximum Liability of all Loan Parties hereunder (including such Paying Guarantor) as of such date (without giving effect to any right to receive, or obligation to make, any contribution hereunder), or to the extent that a Maximum Liability has not been determined for any Loan Party, the aggregate amount of all monies received by such Loan Parties from any Borrower after the date hereof (whether by loan, capital infusion or by other means). Nothing in this provision shall affect any Loan Party’s several liability for the entire amount of the Obligations (up to such Loan Party’s Maximum Liability). Each of the Loan Parties covenants and agrees that its right to receive any contribution under this Loan Guaranty from a Non-Paying Guarantor shall be subordinate and junior in right of payment to the Payment in Full of all of the Obligations. This provision is for the benefit of Agent and Lenders and the Loan Parties and may be enforced by any one, or more, or all of them, in accordance with the terms hereof.</w:t>
      </w:r>
    </w:p>
    <w:p>
      <w:pPr>
        <w:spacing w:after="0" w:line="175"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3.26. </w:t>
      </w:r>
      <w:r>
        <w:rPr>
          <w:rFonts w:ascii="Times New Roman" w:cs="Times New Roman" w:eastAsia="Times New Roman" w:hAnsi="Times New Roman"/>
          <w:sz w:val="20"/>
          <w:szCs w:val="20"/>
          <w:u w:val="single" w:color="auto"/>
          <w:color w:val="auto"/>
        </w:rPr>
        <w:t>Liability Cumulative</w:t>
      </w:r>
      <w:r>
        <w:rPr>
          <w:rFonts w:ascii="Times New Roman" w:cs="Times New Roman" w:eastAsia="Times New Roman" w:hAnsi="Times New Roman"/>
          <w:sz w:val="20"/>
          <w:szCs w:val="20"/>
          <w:color w:val="auto"/>
        </w:rPr>
        <w:t xml:space="preserve">. The liability of each Loan Party under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is in addition to and shall be cumulative with all liabilities of each Loan Party to Agent and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SECTION 13. JURY TRIAL WAIVER; OTHER WAIVERS CONSENTS; GOVERNING LAW</w:t>
      </w:r>
    </w:p>
    <w:p>
      <w:pPr>
        <w:spacing w:after="0" w:line="22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Governing Law; Choice of Forum; Service of Process; Jury Trial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60" w:firstLine="1494"/>
        <w:spacing w:after="0" w:line="246" w:lineRule="auto"/>
        <w:tabs>
          <w:tab w:leader="none" w:pos="2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interpretation and enforcement of this Agreement and the other Loan Documents (except as otherwise provided therein) and any dispute arising out 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71" w:lineRule="exact"/>
        <w:rPr>
          <w:rFonts w:ascii="Times New Roman" w:cs="Times New Roman" w:eastAsia="Times New Roman" w:hAnsi="Times New Roman"/>
          <w:sz w:val="20"/>
          <w:szCs w:val="20"/>
          <w:color w:val="auto"/>
        </w:rPr>
      </w:pPr>
    </w:p>
    <w:p>
      <w:pPr>
        <w:jc w:val="both"/>
        <w:ind w:left="740" w:firstLine="1494"/>
        <w:spacing w:after="0" w:line="245" w:lineRule="auto"/>
        <w:tabs>
          <w:tab w:leader="none" w:pos="252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Agent and each Lender irrevocably consent and submit to the non-exclusive jurisdiction of the of the Supreme Court of the State of New York, New York County and the United States District Court for the Southern District of New York, whichever Lender may elect, and waive any objection based on venue or forum non conveniens with respect to any action instituted therein arising under this Agreement or any of the other Loan Documents or in any way connected with or related or incidental to the dealings of the parties hereto in respect of this Agreement or any of the other Loan Documents or the transactions related hereto or thereto, in each case whether now existing or hereafter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99" w:name="page100"/>
    <w:bookmarkEnd w:id="99"/>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arising, and whether in contract, tort, equity or otherwise, and agree that any dispute with respect to any such matters shall be heard only in the courts described above (except that Agent shall have the right to bring any action or proceeding against a Loan Party or its property in the courts of any other jurisdiction which Agent deems necessary or appropriate in order to realize on the Collateral or to otherwise enforce its rights against a Loan Party or its or their property.</w:t>
      </w:r>
    </w:p>
    <w:p>
      <w:pPr>
        <w:spacing w:after="0" w:line="180" w:lineRule="exact"/>
        <w:rPr>
          <w:sz w:val="20"/>
          <w:szCs w:val="20"/>
          <w:color w:val="auto"/>
        </w:rPr>
      </w:pPr>
    </w:p>
    <w:p>
      <w:pPr>
        <w:jc w:val="both"/>
        <w:ind w:left="740" w:right="60" w:firstLine="1494"/>
        <w:spacing w:after="0" w:line="249" w:lineRule="auto"/>
        <w:tabs>
          <w:tab w:leader="none" w:pos="25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waives personal service of any and all process upon it and consents that all such service of process may be made by certified mail (return receipt requested) directed to its address set forth herein and service so made shall be deemed to be completed five (5) days after the same shall have been so deposited in the U.S. mails, or, at Agent’s option, by service upon a Loan Party in any other manner provided under the rules of any such courts.</w:t>
      </w:r>
    </w:p>
    <w:p>
      <w:pPr>
        <w:spacing w:after="0" w:line="179"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AGENT, AND EACH LENDER EACH HEREBY WAIVES ANY RIGHT TO TRIAL BY JURY OF ANY CLAIM, DEMAND, ACTION OR CAUSE OF ACTION ARISING UNDER THIS AGREEMENT OR ANY OF THE OTHER LOAN DOCUMENTS OR IN ANY WAY CONNECTED WITH OR RELATED OR INCIDENTAL TO THE DEALINGS OF THE PARTIES HERETO IN RESPECT OF THIS AGREEMENT OR ANY OF THE OTHER LOAN DOCUMENTS OR THE TRANSACTIONS RELATED HERETO OR THERETO IN EACH CASE WHETHER NOW EXISTING OR HEREAFTER ARISING, AND WHETHER IN CONTRACT, TORT, EQUITY OR OTHERWISE. EACH LOAN PARTY, AGENT, AND LENDER EACH HEREBY AGREES AND CONSENTS THAT ANY SUCH CLAIM, DEMAND, ACTION OR CAUSE OF ACTION SHALL BE DECIDED BY COURT TRIAL WITHOUT A JURY AND THAT A LOAN PARTY, AGENT, OR LENDER MAY FILE AN ORIGINAL COUNTERPART OF A COPY OF THIS AGREEMENT WITH ANY COURT AS WRITTEN EVIDENCE OF THE CONSENT OF THE PARTIES HERETO TO THE WAIVER OF THEIR RIGHT TO TRIAL BY JURY.</w:t>
      </w:r>
    </w:p>
    <w:p>
      <w:pPr>
        <w:spacing w:after="0" w:line="176"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and Lenders shall not have any liability to a Loan Party (whether in tort, contract, equity or otherwise) for losses suffered by a Loan Party in connection with, arising out of, or in any way related to the transactions or relationships contemplated by this Agreement, or any act, omission or event occurring in connection herewith, unless it is determined by a final and non-appealable judgment or court order binding on Agent or any such Lender that the losses were the result of its acts or omissions constituting gross negligence or willful misconduct, as determined by a court of competent jurisdiction by final and nonappealable judgment. Each Loan Party: (i) certifies that none of Agent, Lenders nor any representative, agent or attorney acting for or on behalf Agent, or Lenders has represented, expressly or otherwise, that Agent, and Lenders would not, in the event of litigation, seek to enforce any of the waivers provided for in this Agreement or any of the other Loan Documents and (ii) acknowledges that in entering into this Agreement and the other Loan Documents, Agent, and Lenders are relying upon, among other things, the waivers and certifications set forth in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and elsewhere herein and therein.</w:t>
      </w:r>
    </w:p>
    <w:p>
      <w:pPr>
        <w:spacing w:after="0" w:line="176"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Each Loan Party hereby expressly waives demand, presentment, protest and notice of protest and notice of dishonor with respect to any and all instruments and chattel paper, included in or evidencing any of the Obligations or the Collateral, and any and all other demands and notices of any kind or nature whatsoever with respect to the Obligations, the Collateral and this Agreement, except such as are expressly provided for herein or required by applicable law and cannot be waived thereunder. No notice to or demand on a Loan Party which Agent may elect to give shall entitle a Loan Party to any other or further notice or demand in the same, similar or other circumstances.</w:t>
      </w:r>
    </w:p>
    <w:p>
      <w:pPr>
        <w:spacing w:after="0" w:line="184"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00" w:name="page101"/>
    <w:bookmarkEnd w:id="100"/>
    <w:p>
      <w:pPr>
        <w:jc w:val="both"/>
        <w:ind w:left="740" w:firstLine="1494"/>
        <w:spacing w:after="0" w:line="242" w:lineRule="auto"/>
        <w:tabs>
          <w:tab w:leader="none" w:pos="252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Neither this Agreement nor any other Loan Document nor any terms hereof or thereof may be amended, waived, discharged or terminated unless such amendment, waiver, discharge or termination is in writing signed by Agent, and as to amendments to any of the Loan Documents, by a Loan Party and such amendment, waiver, discharge or termination shall be effective and binding as to Agent and each Lender only in the specific instance and for the specific purpose for which given. Agent and each Lender shall not, by any act, delay, omission or otherwise be deemed to have expressly or impliedly waived any of its or their rights, powers and/or remedies unless such waiver shall be in writing and signed as provided herein. Any such waiver shall be enforceable only to the extent specifically set forth therein. A waiver by Agent or any Lender of any right, power and/or remedy on any one occasion shall not be construed as a bar to or waiver of any such right, power and/or remedy which Agent or such Lender would otherwise have on any future occasion, whether similar in kind or otherwise.</w:t>
      </w:r>
    </w:p>
    <w:p>
      <w:pPr>
        <w:spacing w:after="0" w:line="192" w:lineRule="exact"/>
        <w:rPr>
          <w:rFonts w:ascii="Times New Roman" w:cs="Times New Roman" w:eastAsia="Times New Roman" w:hAnsi="Times New Roman"/>
          <w:sz w:val="20"/>
          <w:szCs w:val="20"/>
          <w:color w:val="auto"/>
        </w:rPr>
      </w:pPr>
    </w:p>
    <w:p>
      <w:pPr>
        <w:jc w:val="both"/>
        <w:ind w:left="740" w:right="40" w:firstLine="1494"/>
        <w:spacing w:after="0" w:line="245" w:lineRule="auto"/>
        <w:tabs>
          <w:tab w:leader="none" w:pos="252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 xml:space="preserve">. Except as otherwise expressly set forth in this Agreement, no amendment or waiver of any provision of this Agreement or any other Loan Document, and no consent to any departure by any Loan Party from it, shall be effective unless in writing executed by Administrative Borrower (on behalf of itself and the other Loan Parties) and the Required Lenders, and acknowledged by Agent, or by Administrative Borrower and Agent with the consent of the Required Lenders,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amendment, waiver or consent shall:</w:t>
      </w:r>
    </w:p>
    <w:p>
      <w:pPr>
        <w:spacing w:after="0" w:line="171" w:lineRule="exact"/>
        <w:rPr>
          <w:sz w:val="20"/>
          <w:szCs w:val="20"/>
          <w:color w:val="auto"/>
        </w:rPr>
      </w:pPr>
    </w:p>
    <w:p>
      <w:pPr>
        <w:ind w:left="3740" w:hanging="757"/>
        <w:spacing w:after="0"/>
        <w:tabs>
          <w:tab w:leader="none" w:pos="37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or increase any Commitment of any Lender without the written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consent of such Lender;</w:t>
      </w:r>
    </w:p>
    <w:p>
      <w:pPr>
        <w:spacing w:after="0" w:line="194" w:lineRule="exact"/>
        <w:rPr>
          <w:sz w:val="20"/>
          <w:szCs w:val="20"/>
          <w:color w:val="auto"/>
        </w:rPr>
      </w:pPr>
    </w:p>
    <w:p>
      <w:pPr>
        <w:jc w:val="both"/>
        <w:ind w:left="740" w:right="40" w:firstLine="2243"/>
        <w:spacing w:after="0" w:line="249" w:lineRule="auto"/>
        <w:tabs>
          <w:tab w:leader="none" w:pos="353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or forgive the principal of, or rate of interest specified herein on, any Loan or any fees or other amounts payable hereunder or under any other Loan Document,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only the consent of the Required Lenders shall be necessary to amend the definition of “Default Rate” or to waive the obligation of any Loan Party to pay interest at the Default Rate);</w:t>
      </w:r>
    </w:p>
    <w:p>
      <w:pPr>
        <w:spacing w:after="0" w:line="179" w:lineRule="exact"/>
        <w:rPr>
          <w:rFonts w:ascii="Times New Roman" w:cs="Times New Roman" w:eastAsia="Times New Roman" w:hAnsi="Times New Roman"/>
          <w:sz w:val="20"/>
          <w:szCs w:val="20"/>
          <w:color w:val="auto"/>
        </w:rPr>
      </w:pPr>
    </w:p>
    <w:p>
      <w:pPr>
        <w:jc w:val="both"/>
        <w:ind w:left="740" w:right="60" w:firstLine="2243"/>
        <w:spacing w:after="0" w:line="254" w:lineRule="auto"/>
        <w:tabs>
          <w:tab w:leader="none" w:pos="353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scheduled for any payment of principal of, or interest on, any Loan or any fees or other amounts payable hereunder or under any other Loan Document, or reduce the amount of, waive or excuse any such payment, without the written consent of each Lender directly and adversely affected thereby;</w:t>
      </w:r>
    </w:p>
    <w:p>
      <w:pPr>
        <w:spacing w:after="0" w:line="174"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or the definition of “Pro Rata Share” in a manner that would alter the pro rata sharing of payments required thereby without the written consent of each Lender directly and adversely affected thereby;</w:t>
      </w:r>
    </w:p>
    <w:p>
      <w:pPr>
        <w:spacing w:after="0" w:line="160" w:lineRule="exact"/>
        <w:rPr>
          <w:rFonts w:ascii="Times New Roman" w:cs="Times New Roman" w:eastAsia="Times New Roman" w:hAnsi="Times New Roman"/>
          <w:sz w:val="20"/>
          <w:szCs w:val="20"/>
          <w:color w:val="auto"/>
        </w:rPr>
      </w:pPr>
    </w:p>
    <w:p>
      <w:pPr>
        <w:jc w:val="both"/>
        <w:ind w:left="740" w:right="60" w:firstLine="2243"/>
        <w:spacing w:after="0" w:line="254" w:lineRule="auto"/>
        <w:tabs>
          <w:tab w:leader="none" w:pos="353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4"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assignment or transfer by any Loan Party of such Loan Party’s rights and obligations under any Loan Document to which it is a party (except as expressly permitted pursuant to this Agreement), in each case, without the written consent of each Lender;</w:t>
      </w:r>
    </w:p>
    <w:p>
      <w:pPr>
        <w:spacing w:after="0" w:line="174" w:lineRule="exact"/>
        <w:rPr>
          <w:rFonts w:ascii="Times New Roman" w:cs="Times New Roman" w:eastAsia="Times New Roman" w:hAnsi="Times New Roman"/>
          <w:sz w:val="20"/>
          <w:szCs w:val="20"/>
          <w:color w:val="auto"/>
        </w:rPr>
      </w:pPr>
    </w:p>
    <w:p>
      <w:pPr>
        <w:ind w:left="740" w:right="60" w:firstLine="2243"/>
        <w:spacing w:after="0" w:line="269" w:lineRule="auto"/>
        <w:tabs>
          <w:tab w:leader="none" w:pos="353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any Loan Party in any case, from any Loan Guaranty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without the written consent of each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01" w:name="page102"/>
    <w:bookmarkEnd w:id="101"/>
    <w:p>
      <w:pPr>
        <w:jc w:val="both"/>
        <w:ind w:left="740" w:firstLine="2243"/>
        <w:spacing w:after="0" w:line="254" w:lineRule="auto"/>
        <w:tabs>
          <w:tab w:leader="none" w:pos="35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permitted herein or in any other Loan Document, subordinate the Obligations or the Liens granted under the Security Documents to any other Indebtedness or Lien, as the case may be, without the written consent of each Lender;</w:t>
      </w:r>
    </w:p>
    <w:p>
      <w:pPr>
        <w:spacing w:after="0" w:line="174" w:lineRule="exact"/>
        <w:rPr>
          <w:rFonts w:ascii="Times New Roman" w:cs="Times New Roman" w:eastAsia="Times New Roman" w:hAnsi="Times New Roman"/>
          <w:sz w:val="20"/>
          <w:szCs w:val="20"/>
          <w:color w:val="auto"/>
        </w:rPr>
      </w:pPr>
    </w:p>
    <w:p>
      <w:pPr>
        <w:jc w:val="both"/>
        <w:ind w:left="740" w:right="40" w:firstLine="2243"/>
        <w:spacing w:after="0" w:line="254" w:lineRule="auto"/>
        <w:tabs>
          <w:tab w:leader="none" w:pos="35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Collateral or release any Security Document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or as otherwise specifically permitted or contemplated in this Agreement or the applicable Security Document) without the written consent of each Lender; or</w:t>
      </w:r>
    </w:p>
    <w:p>
      <w:pPr>
        <w:spacing w:after="0" w:line="174" w:lineRule="exact"/>
        <w:rPr>
          <w:rFonts w:ascii="Times New Roman" w:cs="Times New Roman" w:eastAsia="Times New Roman" w:hAnsi="Times New Roman"/>
          <w:sz w:val="20"/>
          <w:szCs w:val="20"/>
          <w:color w:val="auto"/>
        </w:rPr>
      </w:pPr>
    </w:p>
    <w:p>
      <w:pPr>
        <w:ind w:left="740" w:right="20" w:firstLine="2243"/>
        <w:spacing w:after="0" w:line="269" w:lineRule="auto"/>
        <w:tabs>
          <w:tab w:leader="none" w:pos="35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modify or waive the restriction on assignments to any Loan Party or any Affiliates or Subsidiaries of a Loan Party, as set forth in </w:t>
      </w:r>
      <w:r>
        <w:rPr>
          <w:rFonts w:ascii="Times New Roman" w:cs="Times New Roman" w:eastAsia="Times New Roman" w:hAnsi="Times New Roman"/>
          <w:sz w:val="20"/>
          <w:szCs w:val="20"/>
          <w:u w:val="single" w:color="auto"/>
          <w:color w:val="auto"/>
        </w:rPr>
        <w:t>Section 14.4(b)(v)(A)</w:t>
      </w:r>
      <w:r>
        <w:rPr>
          <w:rFonts w:ascii="Times New Roman" w:cs="Times New Roman" w:eastAsia="Times New Roman" w:hAnsi="Times New Roman"/>
          <w:sz w:val="20"/>
          <w:szCs w:val="20"/>
          <w:color w:val="auto"/>
        </w:rPr>
        <w:t>, without the written consent of each Lender;</w:t>
      </w:r>
    </w:p>
    <w:p>
      <w:pPr>
        <w:spacing w:after="0" w:line="159" w:lineRule="exact"/>
        <w:rPr>
          <w:sz w:val="20"/>
          <w:szCs w:val="20"/>
          <w:color w:val="auto"/>
        </w:rPr>
      </w:pPr>
    </w:p>
    <w:p>
      <w:pPr>
        <w:jc w:val="both"/>
        <w:ind w:left="740" w:right="40"/>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amendment, waiver or consent shall amend, modify or otherwise affect the rights or duties hereunder or under any other Loan Document of Agent, unless in writing executed by Agent, in addition to Borrowers and Lenders required above.</w:t>
      </w:r>
    </w:p>
    <w:p>
      <w:pPr>
        <w:spacing w:after="0" w:line="174" w:lineRule="exact"/>
        <w:rPr>
          <w:sz w:val="20"/>
          <w:szCs w:val="20"/>
          <w:color w:val="auto"/>
        </w:rPr>
      </w:pPr>
    </w:p>
    <w:p>
      <w:pPr>
        <w:jc w:val="both"/>
        <w:ind w:left="740" w:right="20" w:firstLine="1494"/>
        <w:spacing w:after="0" w:line="243" w:lineRule="auto"/>
        <w:tabs>
          <w:tab w:leader="none" w:pos="252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(i) the Commitment of any Defaulting Lender may not be increased or extended, or the maturity of any of its Loan may not be extended, the rate of interest on any of its Loans may not be reduced and the principal amount of any of its Loans may not be forgiven, in each case without the consent of such Defaulting Lender and (ii) any amendment, waiver or consent requiring the consent of all Lenders or each affected Lender that by its terms affects any Defaulting Lender more adversely than the other affected Lenders shall require the consent of such Defaulting Lender.</w:t>
      </w:r>
    </w:p>
    <w:p>
      <w:pPr>
        <w:spacing w:after="0" w:line="175" w:lineRule="exact"/>
        <w:rPr>
          <w:rFonts w:ascii="Times New Roman" w:cs="Times New Roman" w:eastAsia="Times New Roman" w:hAnsi="Times New Roman"/>
          <w:sz w:val="20"/>
          <w:szCs w:val="20"/>
          <w:color w:val="auto"/>
        </w:rPr>
      </w:pPr>
    </w:p>
    <w:p>
      <w:pPr>
        <w:jc w:val="both"/>
        <w:ind w:left="740" w:right="40" w:firstLine="1494"/>
        <w:spacing w:after="0" w:line="245" w:lineRule="auto"/>
        <w:tabs>
          <w:tab w:leader="none" w:pos="252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anything in this Section to the contrary, if Agent and Administrative Borrower shall have jointly identified an obvious error or any error or omission of a technical nature, in each case, in any provision of the Loan Documents, then Agent and Administrative Borrower shall be permitted to amend such provision, and, in each case, such amendment shall become effective without any further action or consent of any other party to any Loan Document if the same is not objected to in writing by the Required Lenders to Agent within five Business Days following receipt of notice thereof.</w:t>
      </w:r>
    </w:p>
    <w:p>
      <w:pPr>
        <w:spacing w:after="0" w:line="170"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waives all rights to interpose any claims, deductions, setoffs or counterclaims of any nature (other than compulsory counterclaims) in any action or proceeding with respect to this Agreement, the Obligations, the Collateral or any matter arising therefrom or relating hereto or thereto.</w:t>
      </w:r>
    </w:p>
    <w:p>
      <w:pPr>
        <w:spacing w:after="0" w:line="174"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4" w:lineRule="auto"/>
        <w:tabs>
          <w:tab w:leader="none" w:pos="252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Each Loan Party shall indemnify and hold Agent, and each Lender, and their respective officers, directors, agents, employees, advisors and counsel and their respective Affiliates (each such person being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harmless from and against any and all losses, claims, damages, penalties, liabilities and out of pocket costs or expenses (including the fees, charges and disbursements of one primary counsel for all Indemnitees, one local counsel for all such Indemnitees in any relevant jurisdiction, and any regulatory counsel deemed necessary by Agent) incurred by any Indemnitee or asserted against any Indemnitee by any Person (including any Loan Party) arising out of, in connection with, or as a result of (i) the execution or delivery of this Agreement,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02" w:name="page103"/>
    <w:bookmarkEnd w:id="102"/>
    <w:p>
      <w:pPr>
        <w:ind w:left="740" w:right="20"/>
        <w:spacing w:after="0" w:line="241" w:lineRule="auto"/>
        <w:rPr>
          <w:sz w:val="20"/>
          <w:szCs w:val="20"/>
          <w:color w:val="auto"/>
        </w:rPr>
      </w:pPr>
      <w:r>
        <w:rPr>
          <w:rFonts w:ascii="Times New Roman" w:cs="Times New Roman" w:eastAsia="Times New Roman" w:hAnsi="Times New Roman"/>
          <w:sz w:val="20"/>
          <w:szCs w:val="20"/>
          <w:color w:val="auto"/>
        </w:rPr>
        <w:t xml:space="preserve">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(B) result from a claim brought by a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(C) result from a claim not involving an act or omission of a Loan Party and that is brought by an Indemnitee against another Indemnitee (other than against the arranger or Agent in their capacities as such). This Section shall not apply with respect to Taxes other than any Taxes that represent losses, claims, damages, etc. arising from any non-Tax claim. To the extent that the undertaking to indemnify, pay and hold harmless set forth in this Section may be unenforceable because it violates any law or public policy, each Loan Party shall pay the maximum portion which it is permitted to pay under applicable law to Agent or any Lender in satisfaction of indemnified matters under this Section.</w:t>
      </w:r>
    </w:p>
    <w:p>
      <w:pPr>
        <w:spacing w:after="0" w:line="177" w:lineRule="exact"/>
        <w:rPr>
          <w:sz w:val="20"/>
          <w:szCs w:val="20"/>
          <w:color w:val="auto"/>
        </w:rPr>
      </w:pPr>
    </w:p>
    <w:p>
      <w:pPr>
        <w:jc w:val="both"/>
        <w:ind w:left="740" w:firstLine="1494"/>
        <w:spacing w:after="0" w:line="243" w:lineRule="auto"/>
        <w:tabs>
          <w:tab w:leader="none" w:pos="252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a Loan Party for any reason fails to indefeasibly pay any amount required under </w:t>
      </w:r>
      <w:r>
        <w:rPr>
          <w:rFonts w:ascii="Times New Roman" w:cs="Times New Roman" w:eastAsia="Times New Roman" w:hAnsi="Times New Roman"/>
          <w:sz w:val="20"/>
          <w:szCs w:val="20"/>
          <w:u w:val="single" w:color="auto"/>
          <w:color w:val="auto"/>
        </w:rPr>
        <w:t>Section 13.4(a)</w:t>
      </w:r>
      <w:r>
        <w:rPr>
          <w:rFonts w:ascii="Times New Roman" w:cs="Times New Roman" w:eastAsia="Times New Roman" w:hAnsi="Times New Roman"/>
          <w:sz w:val="20"/>
          <w:szCs w:val="20"/>
          <w:color w:val="auto"/>
        </w:rPr>
        <w:t xml:space="preserve"> to be paid by it to Agent (or any sub-agent thereof) or any Related Party of Agent, each Lender severally agrees to pay to Agent (or any such sub-agent) or such Related Party, as the case may be, such Lender’s Pro Rata Share (determined as of the time that the applicable unreimbursed expense or indemnity payment is sought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unreimbursed expense or indemnified loss, claim, damage, liability or related expense, as the case may be, was incurred by or asserted against Agent (or any such sub-agent) in its capacity as such, or against any Related Party of acting for Agent (or any such sub- agent) in connection with such capacity.</w:t>
      </w:r>
    </w:p>
    <w:p>
      <w:pPr>
        <w:spacing w:after="0" w:line="175" w:lineRule="exact"/>
        <w:rPr>
          <w:rFonts w:ascii="Times New Roman" w:cs="Times New Roman" w:eastAsia="Times New Roman" w:hAnsi="Times New Roman"/>
          <w:sz w:val="20"/>
          <w:szCs w:val="20"/>
          <w:color w:val="auto"/>
        </w:rPr>
      </w:pPr>
    </w:p>
    <w:p>
      <w:pPr>
        <w:jc w:val="both"/>
        <w:ind w:left="740" w:right="20" w:firstLine="1494"/>
        <w:spacing w:after="0" w:line="243" w:lineRule="auto"/>
        <w:tabs>
          <w:tab w:leader="none" w:pos="252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parties hereto shall not assert, and each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20"/>
          <w:szCs w:val="20"/>
          <w:u w:val="single" w:color="auto"/>
          <w:color w:val="auto"/>
        </w:rPr>
        <w:t>Section 13.4(a)</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rFonts w:ascii="Times New Roman" w:cs="Times New Roman" w:eastAsia="Times New Roman" w:hAnsi="Times New Roman"/>
          <w:sz w:val="20"/>
          <w:szCs w:val="20"/>
          <w:color w:val="auto"/>
        </w:rPr>
      </w:pPr>
    </w:p>
    <w:p>
      <w:pPr>
        <w:ind w:left="740" w:firstLine="1494"/>
        <w:spacing w:after="0" w:line="269" w:lineRule="auto"/>
        <w:tabs>
          <w:tab w:leader="none" w:pos="252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(but, in any event, not later than fifteen (15) days) after demand therefor.</w:t>
      </w:r>
    </w:p>
    <w:p>
      <w:pPr>
        <w:spacing w:after="0" w:line="159" w:lineRule="exact"/>
        <w:rPr>
          <w:rFonts w:ascii="Times New Roman" w:cs="Times New Roman" w:eastAsia="Times New Roman" w:hAnsi="Times New Roman"/>
          <w:sz w:val="20"/>
          <w:szCs w:val="20"/>
          <w:color w:val="auto"/>
        </w:rPr>
      </w:pPr>
    </w:p>
    <w:p>
      <w:pPr>
        <w:ind w:left="740" w:right="40" w:firstLine="1494"/>
        <w:spacing w:after="0" w:line="269" w:lineRule="auto"/>
        <w:tabs>
          <w:tab w:leader="none" w:pos="252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termination of the Loan Documents and payment of the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03" w:name="page104"/>
    <w:bookmarkEnd w:id="103"/>
    <w:p>
      <w:pPr>
        <w:ind w:left="740"/>
        <w:spacing w:after="0"/>
        <w:rPr>
          <w:sz w:val="20"/>
          <w:szCs w:val="20"/>
          <w:color w:val="auto"/>
        </w:rPr>
      </w:pPr>
      <w:r>
        <w:rPr>
          <w:rFonts w:ascii="Times New Roman" w:cs="Times New Roman" w:eastAsia="Times New Roman" w:hAnsi="Times New Roman"/>
          <w:sz w:val="20"/>
          <w:szCs w:val="20"/>
          <w:b w:val="1"/>
          <w:bCs w:val="1"/>
          <w:color w:val="auto"/>
        </w:rPr>
        <w:t>SECTION 14. NOTICES; MISCELLANEOUS</w:t>
      </w:r>
    </w:p>
    <w:p>
      <w:pPr>
        <w:spacing w:after="0" w:line="22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9" w:lineRule="auto"/>
        <w:tabs>
          <w:tab w:leader="none" w:pos="252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telephone or electronic method of transmission (and subject in each case to clause (c) below), all notices and other communications provided for herein shall be in writing and shall be delivered by hand or overnight courier service or mailed by certified or registered mail, as follows:</w:t>
      </w:r>
    </w:p>
    <w:p>
      <w:pPr>
        <w:spacing w:after="0" w:line="16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If to a Loan Party:  GTI23, Inc., as Administrative Borrower</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325 West Huron Street, Suite 700</w:t>
      </w:r>
    </w:p>
    <w:p>
      <w:pPr>
        <w:ind w:left="4480"/>
        <w:spacing w:after="0"/>
        <w:rPr>
          <w:sz w:val="20"/>
          <w:szCs w:val="20"/>
          <w:color w:val="auto"/>
        </w:rPr>
      </w:pPr>
      <w:r>
        <w:rPr>
          <w:rFonts w:ascii="Times New Roman" w:cs="Times New Roman" w:eastAsia="Times New Roman" w:hAnsi="Times New Roman"/>
          <w:sz w:val="20"/>
          <w:szCs w:val="20"/>
          <w:color w:val="auto"/>
        </w:rPr>
        <w:t>Chicago, Illinois 60654</w:t>
      </w:r>
    </w:p>
    <w:p>
      <w:pPr>
        <w:ind w:left="4480" w:right="480"/>
        <w:spacing w:after="0" w:line="239" w:lineRule="auto"/>
        <w:rPr>
          <w:sz w:val="20"/>
          <w:szCs w:val="20"/>
          <w:color w:val="auto"/>
        </w:rPr>
      </w:pPr>
      <w:r>
        <w:rPr>
          <w:rFonts w:ascii="Times New Roman" w:cs="Times New Roman" w:eastAsia="Times New Roman" w:hAnsi="Times New Roman"/>
          <w:sz w:val="20"/>
          <w:szCs w:val="20"/>
          <w:color w:val="auto"/>
        </w:rPr>
        <w:t>Attention: Bret Kravitz, General Counsel; Matt Faulkner, Chief Financial Officer; Anthony Georgiadis, President E-mail: bkravitz@gtigrows.com; mfaulkner@gtigrows.com;</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ageorgiadis@gtigrows.com;</w:t>
      </w:r>
    </w:p>
    <w:p>
      <w:pPr>
        <w:spacing w:after="0" w:line="200" w:lineRule="exact"/>
        <w:rPr>
          <w:sz w:val="20"/>
          <w:szCs w:val="20"/>
          <w:color w:val="auto"/>
        </w:rPr>
      </w:pPr>
    </w:p>
    <w:p>
      <w:pPr>
        <w:spacing w:after="0" w:line="223" w:lineRule="exact"/>
        <w:rPr>
          <w:sz w:val="20"/>
          <w:szCs w:val="20"/>
          <w:color w:val="auto"/>
        </w:rPr>
      </w:pPr>
    </w:p>
    <w:p>
      <w:pPr>
        <w:ind w:left="3400"/>
        <w:spacing w:after="0"/>
        <w:tabs>
          <w:tab w:leader="none" w:pos="496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Paul Hastings LLP</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200 Park Avenue</w:t>
      </w:r>
    </w:p>
    <w:p>
      <w:pPr>
        <w:ind w:left="4480"/>
        <w:spacing w:after="0"/>
        <w:rPr>
          <w:sz w:val="20"/>
          <w:szCs w:val="20"/>
          <w:color w:val="auto"/>
        </w:rPr>
      </w:pPr>
      <w:r>
        <w:rPr>
          <w:rFonts w:ascii="Times New Roman" w:cs="Times New Roman" w:eastAsia="Times New Roman" w:hAnsi="Times New Roman"/>
          <w:sz w:val="20"/>
          <w:szCs w:val="20"/>
          <w:color w:val="auto"/>
        </w:rPr>
        <w:t>New York, New York 10166 Attention:</w:t>
      </w:r>
    </w:p>
    <w:p>
      <w:pPr>
        <w:ind w:left="4480"/>
        <w:spacing w:after="0"/>
        <w:rPr>
          <w:sz w:val="20"/>
          <w:szCs w:val="20"/>
          <w:color w:val="auto"/>
        </w:rPr>
      </w:pPr>
      <w:r>
        <w:rPr>
          <w:rFonts w:ascii="Times New Roman" w:cs="Times New Roman" w:eastAsia="Times New Roman" w:hAnsi="Times New Roman"/>
          <w:sz w:val="20"/>
          <w:szCs w:val="20"/>
          <w:color w:val="auto"/>
        </w:rPr>
        <w:t>Christopher Ross Telephone No.: 212-318-6788</w:t>
      </w:r>
    </w:p>
    <w:p>
      <w:pPr>
        <w:ind w:left="4480"/>
        <w:spacing w:after="0"/>
        <w:rPr>
          <w:sz w:val="20"/>
          <w:szCs w:val="20"/>
          <w:color w:val="auto"/>
        </w:rPr>
      </w:pPr>
      <w:r>
        <w:rPr>
          <w:rFonts w:ascii="Times New Roman" w:cs="Times New Roman" w:eastAsia="Times New Roman" w:hAnsi="Times New Roman"/>
          <w:sz w:val="20"/>
          <w:szCs w:val="20"/>
          <w:color w:val="auto"/>
        </w:rPr>
        <w:t>E-mail: christopherross@paulhastings.com</w:t>
      </w:r>
    </w:p>
    <w:p>
      <w:pPr>
        <w:spacing w:after="0" w:line="200" w:lineRule="exact"/>
        <w:rPr>
          <w:sz w:val="20"/>
          <w:szCs w:val="20"/>
          <w:color w:val="auto"/>
        </w:rPr>
      </w:pPr>
    </w:p>
    <w:p>
      <w:pPr>
        <w:spacing w:after="0" w:line="223" w:lineRule="exact"/>
        <w:rPr>
          <w:sz w:val="20"/>
          <w:szCs w:val="20"/>
          <w:color w:val="auto"/>
        </w:rPr>
      </w:pPr>
    </w:p>
    <w:p>
      <w:pPr>
        <w:ind w:left="3320"/>
        <w:spacing w:after="0"/>
        <w:tabs>
          <w:tab w:leader="none" w:pos="4500" w:val="left"/>
        </w:tabs>
        <w:rPr>
          <w:sz w:val="20"/>
          <w:szCs w:val="20"/>
          <w:color w:val="auto"/>
        </w:rPr>
      </w:pPr>
      <w:r>
        <w:rPr>
          <w:rFonts w:ascii="Times New Roman" w:cs="Times New Roman" w:eastAsia="Times New Roman" w:hAnsi="Times New Roman"/>
          <w:sz w:val="20"/>
          <w:szCs w:val="20"/>
          <w:color w:val="auto"/>
        </w:rPr>
        <w:t>If to Agent:</w:t>
      </w:r>
      <w:r>
        <w:rPr>
          <w:sz w:val="20"/>
          <w:szCs w:val="20"/>
          <w:color w:val="auto"/>
        </w:rPr>
        <w:tab/>
      </w:r>
      <w:r>
        <w:rPr>
          <w:rFonts w:ascii="Times New Roman" w:cs="Times New Roman" w:eastAsia="Times New Roman" w:hAnsi="Times New Roman"/>
          <w:sz w:val="19"/>
          <w:szCs w:val="19"/>
          <w:color w:val="auto"/>
        </w:rPr>
        <w:t>Valley National Bank 167</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Fairfield Road</w:t>
      </w:r>
    </w:p>
    <w:p>
      <w:pPr>
        <w:ind w:left="4480"/>
        <w:spacing w:after="0"/>
        <w:rPr>
          <w:sz w:val="20"/>
          <w:szCs w:val="20"/>
          <w:color w:val="auto"/>
        </w:rPr>
      </w:pPr>
      <w:r>
        <w:rPr>
          <w:rFonts w:ascii="Times New Roman" w:cs="Times New Roman" w:eastAsia="Times New Roman" w:hAnsi="Times New Roman"/>
          <w:sz w:val="20"/>
          <w:szCs w:val="20"/>
          <w:color w:val="auto"/>
        </w:rPr>
        <w:t>Fairfield, NJ 07004</w:t>
      </w:r>
    </w:p>
    <w:p>
      <w:pPr>
        <w:ind w:left="4480"/>
        <w:spacing w:after="0"/>
        <w:rPr>
          <w:sz w:val="20"/>
          <w:szCs w:val="20"/>
          <w:color w:val="auto"/>
        </w:rPr>
      </w:pPr>
      <w:r>
        <w:rPr>
          <w:rFonts w:ascii="Times New Roman" w:cs="Times New Roman" w:eastAsia="Times New Roman" w:hAnsi="Times New Roman"/>
          <w:sz w:val="20"/>
          <w:szCs w:val="20"/>
          <w:color w:val="auto"/>
        </w:rPr>
        <w:t>Attention: Aaron Durnion, Vice President Telephone No.:</w:t>
      </w:r>
    </w:p>
    <w:p>
      <w:pPr>
        <w:ind w:left="4480"/>
        <w:spacing w:after="0"/>
        <w:rPr>
          <w:sz w:val="20"/>
          <w:szCs w:val="20"/>
          <w:color w:val="auto"/>
        </w:rPr>
      </w:pPr>
      <w:r>
        <w:rPr>
          <w:rFonts w:ascii="Times New Roman" w:cs="Times New Roman" w:eastAsia="Times New Roman" w:hAnsi="Times New Roman"/>
          <w:sz w:val="20"/>
          <w:szCs w:val="20"/>
          <w:color w:val="auto"/>
        </w:rPr>
        <w:t>973-934-5818</w:t>
      </w:r>
    </w:p>
    <w:p>
      <w:pPr>
        <w:ind w:left="4480"/>
        <w:spacing w:after="0"/>
        <w:rPr>
          <w:sz w:val="20"/>
          <w:szCs w:val="20"/>
          <w:color w:val="auto"/>
        </w:rPr>
      </w:pPr>
      <w:r>
        <w:rPr>
          <w:rFonts w:ascii="Times New Roman" w:cs="Times New Roman" w:eastAsia="Times New Roman" w:hAnsi="Times New Roman"/>
          <w:sz w:val="20"/>
          <w:szCs w:val="20"/>
          <w:color w:val="auto"/>
        </w:rPr>
        <w:t>Email: adurnion@valley.com</w:t>
      </w:r>
    </w:p>
    <w:p>
      <w:pPr>
        <w:sectPr>
          <w:pgSz w:w="11900" w:h="16838" w:orient="portrait"/>
          <w:cols w:equalWidth="0" w:num="1">
            <w:col w:w="10780"/>
          </w:cols>
          <w:pgMar w:left="340" w:top="1422" w:right="77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Riemer &amp; Braunstein LLP</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 Times Square Tower, Suite 2506 New York,</w:t>
      </w:r>
    </w:p>
    <w:p>
      <w:pPr>
        <w:ind w:left="660"/>
        <w:spacing w:after="0"/>
        <w:rPr>
          <w:sz w:val="20"/>
          <w:szCs w:val="20"/>
          <w:color w:val="auto"/>
        </w:rPr>
      </w:pPr>
      <w:r>
        <w:rPr>
          <w:rFonts w:ascii="Times New Roman" w:cs="Times New Roman" w:eastAsia="Times New Roman" w:hAnsi="Times New Roman"/>
          <w:sz w:val="20"/>
          <w:szCs w:val="20"/>
          <w:color w:val="auto"/>
        </w:rPr>
        <w:t>New York 10036 Attention: Lon M. Singer; Lyle</w:t>
      </w:r>
    </w:p>
    <w:p>
      <w:pPr>
        <w:ind w:left="660"/>
        <w:spacing w:after="0"/>
        <w:rPr>
          <w:sz w:val="20"/>
          <w:szCs w:val="20"/>
          <w:color w:val="auto"/>
        </w:rPr>
      </w:pPr>
      <w:r>
        <w:rPr>
          <w:rFonts w:ascii="Times New Roman" w:cs="Times New Roman" w:eastAsia="Times New Roman" w:hAnsi="Times New Roman"/>
          <w:sz w:val="20"/>
          <w:szCs w:val="20"/>
          <w:color w:val="auto"/>
        </w:rPr>
        <w:t>Stein Telephone No.: (212) 789-3110</w:t>
      </w:r>
    </w:p>
    <w:p>
      <w:pPr>
        <w:ind w:left="660"/>
        <w:spacing w:after="0"/>
        <w:rPr>
          <w:sz w:val="20"/>
          <w:szCs w:val="20"/>
          <w:color w:val="auto"/>
        </w:rPr>
      </w:pPr>
      <w:r>
        <w:rPr>
          <w:rFonts w:ascii="Times New Roman" w:cs="Times New Roman" w:eastAsia="Times New Roman" w:hAnsi="Times New Roman"/>
          <w:sz w:val="19"/>
          <w:szCs w:val="19"/>
          <w:color w:val="auto"/>
        </w:rPr>
        <w:t>Email: lsinger@riemerlaw.com; lstein@riemerlaw.com</w:t>
      </w:r>
    </w:p>
    <w:p>
      <w:pPr>
        <w:spacing w:after="0" w:line="200" w:lineRule="exact"/>
        <w:rPr>
          <w:sz w:val="20"/>
          <w:szCs w:val="20"/>
          <w:color w:val="auto"/>
        </w:rPr>
      </w:pPr>
    </w:p>
    <w:p>
      <w:pPr>
        <w:sectPr>
          <w:pgSz w:w="11900" w:h="16838" w:orient="portrait"/>
          <w:cols w:equalWidth="0" w:num="2">
            <w:col w:w="3460" w:space="360"/>
            <w:col w:w="6960"/>
          </w:cols>
          <w:pgMar w:left="340" w:top="1422" w:right="779" w:bottom="1440" w:gutter="0" w:footer="0" w:header="0"/>
          <w:type w:val="continuous"/>
        </w:sectPr>
      </w:pPr>
    </w:p>
    <w:p>
      <w:pPr>
        <w:spacing w:after="0" w:line="5" w:lineRule="exact"/>
        <w:rPr>
          <w:sz w:val="20"/>
          <w:szCs w:val="20"/>
          <w:color w:val="auto"/>
        </w:rPr>
      </w:pPr>
    </w:p>
    <w:p>
      <w:pPr>
        <w:ind w:left="740" w:right="60"/>
        <w:spacing w:after="0" w:line="269" w:lineRule="auto"/>
        <w:rPr>
          <w:sz w:val="20"/>
          <w:szCs w:val="20"/>
          <w:color w:val="auto"/>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6" w:lineRule="exact"/>
        <w:rPr>
          <w:sz w:val="20"/>
          <w:szCs w:val="20"/>
          <w:color w:val="auto"/>
        </w:rPr>
      </w:pPr>
    </w:p>
    <w:p>
      <w:pPr>
        <w:ind w:left="740" w:firstLine="1494"/>
        <w:spacing w:after="0" w:line="250" w:lineRule="auto"/>
        <w:tabs>
          <w:tab w:leader="none" w:pos="2525"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notices and other communications (i) sent by hand or overnight courier service, or mailed by certified or registered mail, shall be deemed to have been given when received or</w:t>
      </w:r>
    </w:p>
    <w:p>
      <w:pPr>
        <w:spacing w:after="0" w:line="1" w:lineRule="exact"/>
        <w:rPr>
          <w:rFonts w:ascii="Times New Roman" w:cs="Times New Roman" w:eastAsia="Times New Roman" w:hAnsi="Times New Roman"/>
          <w:sz w:val="20"/>
          <w:szCs w:val="20"/>
          <w:color w:val="auto"/>
        </w:rPr>
      </w:pPr>
    </w:p>
    <w:p>
      <w:pPr>
        <w:ind w:left="740" w:right="440" w:hanging="3"/>
        <w:spacing w:after="0" w:line="246" w:lineRule="auto"/>
        <w:tabs>
          <w:tab w:leader="none" w:pos="103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through an electronic method of transmission to the extent provided in clause (c) below shall be effective as provided in such clause.</w:t>
      </w:r>
    </w:p>
    <w:p>
      <w:pPr>
        <w:spacing w:after="0" w:line="181" w:lineRule="exact"/>
        <w:rPr>
          <w:rFonts w:ascii="Times New Roman" w:cs="Times New Roman" w:eastAsia="Times New Roman" w:hAnsi="Times New Roman"/>
          <w:sz w:val="20"/>
          <w:szCs w:val="20"/>
          <w:color w:val="auto"/>
        </w:rPr>
      </w:pPr>
    </w:p>
    <w:p>
      <w:pPr>
        <w:ind w:left="740" w:firstLine="1494"/>
        <w:spacing w:after="0" w:line="269" w:lineRule="auto"/>
        <w:tabs>
          <w:tab w:leader="none" w:pos="2525"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Agent hereunder may be delivered or furnished by e-mail or any internet or extranet-based site providing for access to data protected by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22" w:right="779" w:bottom="1440" w:gutter="0" w:footer="0" w:header="0"/>
          <w:type w:val="continuous"/>
        </w:sectPr>
      </w:pPr>
    </w:p>
    <w:bookmarkStart w:id="104" w:name="page105"/>
    <w:bookmarkEnd w:id="104"/>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 xml:space="preserve">passcodes or other security systems approved by Agent for such purpose and in each case to the extent that Agent may approve the same pursuant to procedures approved by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at any time upon notice by Agent to a Borrower, at the option of Agent, the foregoing shall not apply to notices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or such other notices as Agent may specifically designate. Unless otherwise specified by Agent, all such notices and other communications (i) sent to an e-mail address shall be deemed received upon the sender’s receipt of an acknowledgement from the intended recipient (such as by the “return receipt requested” function, as available, return e-mail or other written acknowledgement), and (ii) posted to an internet or extranet-based 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Bank Product Providers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40" w:right="20" w:firstLine="1494"/>
        <w:spacing w:after="0"/>
        <w:tabs>
          <w:tab w:leader="none" w:pos="252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provider of Bank Products that obtains the benefits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any Collateral pursuant to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provision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to the contrary, Agent shall not be required to verify the payment of, or that other satisfactory arrangements have been made with respect to documents evidencing Bank Products unless Agent has received written notice of such documents, together with such supporting documentation as Agent may request, from such applicable provider of Bank Products. Each Bank Product Provider in its capacity as such shall be deemed a third-party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Loan Party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05" w:name="page106"/>
    <w:bookmarkEnd w:id="105"/>
    <w:p>
      <w:pPr>
        <w:jc w:val="both"/>
        <w:ind w:left="740" w:right="60"/>
        <w:spacing w:after="0" w:line="254" w:lineRule="auto"/>
        <w:rPr>
          <w:sz w:val="20"/>
          <w:szCs w:val="20"/>
          <w:color w:val="auto"/>
        </w:rPr>
      </w:pPr>
      <w:r>
        <w:rPr>
          <w:rFonts w:ascii="Times New Roman" w:cs="Times New Roman" w:eastAsia="Times New Roman" w:hAnsi="Times New Roman"/>
          <w:sz w:val="20"/>
          <w:szCs w:val="20"/>
          <w:color w:val="auto"/>
        </w:rPr>
        <w:t>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74"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Partial Invalidity</w:t>
      </w:r>
      <w:r>
        <w:rPr>
          <w:rFonts w:ascii="Times New Roman" w:cs="Times New Roman" w:eastAsia="Times New Roman" w:hAnsi="Times New Roman"/>
          <w:sz w:val="20"/>
          <w:szCs w:val="20"/>
          <w:color w:val="auto"/>
        </w:rPr>
        <w:t>. If any provision of this Agreement is held to be invalid or unenforceable, such invalidity or unenforceability shall not invalidate this Agreement as a whole, but this Agreement shall be construed as though it did not contain the particular provision held to be invalid or unenforceable and the rights and obligations of the parties shall be construed and enforced only to such extent as shall be permitted by applicable law.</w:t>
      </w:r>
    </w:p>
    <w:p>
      <w:pPr>
        <w:spacing w:after="0" w:line="180"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2" w:lineRule="auto"/>
        <w:tabs>
          <w:tab w:leader="none" w:pos="252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a Loan Party may not assign or otherwise transfer any of its rights or obligations hereunder without the prior written consent of Agent and each Lender, and no Lender may assign or otherwise transfer any of its rights or obligations hereunder except (i) to an Eligible Assignee in accordance with the provisions of clause (b) below, (ii) by way of participation in accordance with the provisions of clause (d) below, or (iii) by way of pledge or assignment of a security interest subject to the restrictions of clause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Agent and Lenders) any legal or equitable right, remedy or claim under or by reason of this Agreement.</w:t>
      </w:r>
    </w:p>
    <w:p>
      <w:pPr>
        <w:spacing w:after="0" w:line="176" w:lineRule="exact"/>
        <w:rPr>
          <w:rFonts w:ascii="Times New Roman" w:cs="Times New Roman" w:eastAsia="Times New Roman" w:hAnsi="Times New Roman"/>
          <w:sz w:val="20"/>
          <w:szCs w:val="20"/>
          <w:color w:val="auto"/>
        </w:rPr>
      </w:pPr>
    </w:p>
    <w:p>
      <w:pPr>
        <w:jc w:val="both"/>
        <w:ind w:left="740" w:right="60" w:firstLine="1494"/>
        <w:spacing w:after="0" w:line="254" w:lineRule="auto"/>
        <w:tabs>
          <w:tab w:leader="none" w:pos="25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any such assignment shall be subject to the following conditions:</w:t>
      </w:r>
    </w:p>
    <w:p>
      <w:pPr>
        <w:spacing w:after="0" w:line="174"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980" w:right="60" w:firstLine="752"/>
        <w:spacing w:after="0" w:line="245" w:lineRule="auto"/>
        <w:tabs>
          <w:tab w:leader="none" w:pos="4040"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or contemporaneous assignments to its Affiliates or related Approved Funds (determined after giving effect to such assignments) that equal at least the amount specified in clause (b)(i)(B) of this Section in the aggregate or in the case of an assignment to a Lender, an Affiliate of a Lender or an Approved Fund, no minimum amount need be assigned; and</w:t>
      </w:r>
    </w:p>
    <w:p>
      <w:pPr>
        <w:spacing w:after="0" w:line="170" w:lineRule="exact"/>
        <w:rPr>
          <w:rFonts w:ascii="Times New Roman" w:cs="Times New Roman" w:eastAsia="Times New Roman" w:hAnsi="Times New Roman"/>
          <w:sz w:val="20"/>
          <w:szCs w:val="20"/>
          <w:color w:val="auto"/>
        </w:rPr>
      </w:pPr>
    </w:p>
    <w:p>
      <w:pPr>
        <w:jc w:val="both"/>
        <w:ind w:left="2980" w:right="60" w:firstLine="752"/>
        <w:spacing w:after="0" w:line="243" w:lineRule="auto"/>
        <w:tabs>
          <w:tab w:leader="none" w:pos="4040"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clause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Agent or, if “Trade Date” is specified in the Assignment and Assumption, as of the Trade Date) shall not be less than</w:t>
      </w:r>
    </w:p>
    <w:p>
      <w:pPr>
        <w:spacing w:after="0" w:line="1" w:lineRule="exact"/>
        <w:rPr>
          <w:rFonts w:ascii="Times New Roman" w:cs="Times New Roman" w:eastAsia="Times New Roman" w:hAnsi="Times New Roman"/>
          <w:sz w:val="20"/>
          <w:szCs w:val="20"/>
          <w:color w:val="auto"/>
        </w:rPr>
      </w:pPr>
    </w:p>
    <w:p>
      <w:pPr>
        <w:ind w:left="2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unless each of Agent and, so long as no Default or Event of Default has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06" w:name="page107"/>
    <w:bookmarkEnd w:id="106"/>
    <w:p>
      <w:pPr>
        <w:ind w:left="2980" w:right="40"/>
        <w:spacing w:after="0" w:line="269" w:lineRule="auto"/>
        <w:rPr>
          <w:sz w:val="20"/>
          <w:szCs w:val="20"/>
          <w:color w:val="auto"/>
        </w:rPr>
      </w:pPr>
      <w:r>
        <w:rPr>
          <w:rFonts w:ascii="Times New Roman" w:cs="Times New Roman" w:eastAsia="Times New Roman" w:hAnsi="Times New Roman"/>
          <w:sz w:val="20"/>
          <w:szCs w:val="20"/>
          <w:color w:val="auto"/>
        </w:rPr>
        <w:t>occurred and is continuing, Administrative Borrower otherwise consents (each such consent not to be unreasonably withheld or delayed).</w:t>
      </w:r>
    </w:p>
    <w:p>
      <w:pPr>
        <w:spacing w:after="0" w:line="159" w:lineRule="exact"/>
        <w:rPr>
          <w:sz w:val="20"/>
          <w:szCs w:val="20"/>
          <w:color w:val="auto"/>
        </w:rPr>
      </w:pPr>
    </w:p>
    <w:p>
      <w:pPr>
        <w:jc w:val="both"/>
        <w:ind w:left="740" w:right="40" w:firstLine="2243"/>
        <w:spacing w:after="0" w:line="254" w:lineRule="auto"/>
        <w:tabs>
          <w:tab w:leader="none" w:pos="3532"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w:t>
      </w:r>
    </w:p>
    <w:p>
      <w:pPr>
        <w:spacing w:after="0" w:line="174" w:lineRule="exact"/>
        <w:rPr>
          <w:rFonts w:ascii="Times New Roman" w:cs="Times New Roman" w:eastAsia="Times New Roman" w:hAnsi="Times New Roman"/>
          <w:sz w:val="20"/>
          <w:szCs w:val="20"/>
          <w:color w:val="auto"/>
        </w:rPr>
      </w:pPr>
    </w:p>
    <w:p>
      <w:pPr>
        <w:jc w:val="both"/>
        <w:ind w:left="740" w:right="20" w:firstLine="2243"/>
        <w:spacing w:after="0" w:line="245" w:lineRule="auto"/>
        <w:tabs>
          <w:tab w:leader="none" w:pos="353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by a Lender except to the extent required by clause (b)(i)(B) of this Section and, in addition, the consent of Administrative Borrower (such consent not to be unreasonably withheld or delayed) shall be required unless (1) an Event of Default exists or has occurred and is continuing at the time of such assignment, or</w:t>
      </w:r>
    </w:p>
    <w:p>
      <w:pPr>
        <w:ind w:left="1020" w:hanging="283"/>
        <w:spacing w:after="0"/>
        <w:tabs>
          <w:tab w:leader="none" w:pos="10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is to an Eligible Assignee.</w:t>
      </w:r>
    </w:p>
    <w:p>
      <w:pPr>
        <w:spacing w:after="0" w:line="193" w:lineRule="exact"/>
        <w:rPr>
          <w:rFonts w:ascii="Times New Roman" w:cs="Times New Roman" w:eastAsia="Times New Roman" w:hAnsi="Times New Roman"/>
          <w:sz w:val="20"/>
          <w:szCs w:val="20"/>
          <w:color w:val="auto"/>
        </w:rPr>
      </w:pPr>
    </w:p>
    <w:p>
      <w:pPr>
        <w:jc w:val="both"/>
        <w:ind w:left="740" w:right="40" w:firstLine="2243"/>
        <w:spacing w:after="0" w:line="249" w:lineRule="auto"/>
        <w:tabs>
          <w:tab w:leader="none" w:pos="353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Agent may, in its sole discretion, elect to waive such processing and recordation fee in the case of any assignment. The assignee, if it is not a Lender, shall deliver to Agent an Administrative Questionnaire.</w:t>
      </w:r>
    </w:p>
    <w:p>
      <w:pPr>
        <w:spacing w:after="0" w:line="179"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w:t>
      </w:r>
    </w:p>
    <w:p>
      <w:pPr>
        <w:spacing w:after="0" w:line="22" w:lineRule="exact"/>
        <w:rPr>
          <w:sz w:val="20"/>
          <w:szCs w:val="20"/>
          <w:color w:val="auto"/>
        </w:rPr>
      </w:pPr>
    </w:p>
    <w:p>
      <w:pPr>
        <w:ind w:left="740" w:hanging="5"/>
        <w:spacing w:after="0"/>
        <w:tabs>
          <w:tab w:leader="none" w:pos="106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or any Affiliates or Subsidiaries of a Loan Party, (B) to any Defaulting Lender or any of its Subsidiaries, or any Person who, upon becoming a Lender hereunder, would constitute a Defaulting Lender or a Subsidiary thereof, (C) any Person that is not an Eligible Assignee or (D) so long as no Event of Default under </w:t>
      </w:r>
      <w:r>
        <w:rPr>
          <w:rFonts w:ascii="Times New Roman" w:cs="Times New Roman" w:eastAsia="Times New Roman" w:hAnsi="Times New Roman"/>
          <w:sz w:val="20"/>
          <w:szCs w:val="20"/>
          <w:u w:val="single" w:color="auto"/>
          <w:color w:val="auto"/>
        </w:rPr>
        <w:t>Section 10.01(d)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has occurred and is continuing, any Disqualified Institution. The Agent may make the list of Disqualified Institutions available on a confidential basis in accordance with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 xml:space="preserve"> to any Lender who specifically requests a copy thereof, and such Lender may provide such list of Disqualified Institutions to any potential assignee or participant who agrees to keep such list confidential in accordance with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 xml:space="preserve"> solely for the purpose of permitting such Person to verify whether such Person (or any Affiliate thereof) constitutes a Disqualified Institution. Notwithstanding anything to the contrary herein, each Loan Party and each Lender acknowledges and agrees that the Agent shall not have any liability for any assignment or participation made to any Disqualified Institution (regardless of whether the consent of the Agent is required thereto), and none of Loan Parties, any Lender or any of their respective Affiliates will bring any claim to that effect.</w:t>
      </w:r>
    </w:p>
    <w:p>
      <w:pPr>
        <w:spacing w:after="0" w:line="175" w:lineRule="exact"/>
        <w:rPr>
          <w:rFonts w:ascii="Times New Roman" w:cs="Times New Roman" w:eastAsia="Times New Roman" w:hAnsi="Times New Roman"/>
          <w:sz w:val="20"/>
          <w:szCs w:val="20"/>
          <w:color w:val="auto"/>
        </w:rPr>
      </w:pPr>
    </w:p>
    <w:p>
      <w:pPr>
        <w:ind w:left="740" w:right="40" w:firstLine="2243"/>
        <w:spacing w:after="0" w:line="269" w:lineRule="auto"/>
        <w:tabs>
          <w:tab w:leader="none" w:pos="3532"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for, or owned and operated for the primary benefit of, a natural Person).</w:t>
      </w:r>
    </w:p>
    <w:p>
      <w:pPr>
        <w:spacing w:after="0" w:line="159" w:lineRule="exact"/>
        <w:rPr>
          <w:rFonts w:ascii="Times New Roman" w:cs="Times New Roman" w:eastAsia="Times New Roman" w:hAnsi="Times New Roman"/>
          <w:sz w:val="20"/>
          <w:szCs w:val="20"/>
          <w:color w:val="auto"/>
        </w:rPr>
      </w:pPr>
    </w:p>
    <w:p>
      <w:pPr>
        <w:jc w:val="both"/>
        <w:ind w:left="740" w:right="40" w:firstLine="2243"/>
        <w:spacing w:after="0" w:line="256" w:lineRule="auto"/>
        <w:tabs>
          <w:tab w:leader="none" w:pos="3532"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Agent in an aggregate amount sufficient, upon distribution thereof as appropriate (which may be outright payment, purchases by the assignee of participations or subparticipations, or other compensating actions, including funding, with the consent of Administrative Borrower and Agent, the applicable Pro Rata Share of Loans previously requested but not funded by the Defaulting Lender, to each of which the applicable assignee and assignor hereby irrevocably consent), to pay and satisfy in full all payment liabilities then owed by such Defaulting Lender to Agent and each other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07" w:name="page108"/>
    <w:bookmarkEnd w:id="107"/>
    <w:p>
      <w:pPr>
        <w:ind w:left="740"/>
        <w:spacing w:after="0"/>
        <w:rPr>
          <w:sz w:val="20"/>
          <w:szCs w:val="20"/>
          <w:color w:val="auto"/>
        </w:rPr>
      </w:pPr>
      <w:r>
        <w:rPr>
          <w:rFonts w:ascii="Times New Roman" w:cs="Times New Roman" w:eastAsia="Times New Roman" w:hAnsi="Times New Roman"/>
          <w:sz w:val="20"/>
          <w:szCs w:val="20"/>
          <w:color w:val="auto"/>
        </w:rPr>
        <w:t>such interest shall be deemed to be a Defaulting Lender for all purposes of this Agreement until such compliance occurs.</w:t>
      </w:r>
    </w:p>
    <w:p>
      <w:pPr>
        <w:spacing w:after="0" w:line="216" w:lineRule="exact"/>
        <w:rPr>
          <w:sz w:val="20"/>
          <w:szCs w:val="20"/>
          <w:color w:val="auto"/>
        </w:rPr>
      </w:pPr>
    </w:p>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Agent pursuant to clause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7.13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clause (d) of this Section.</w:t>
      </w:r>
    </w:p>
    <w:p>
      <w:pPr>
        <w:spacing w:after="0" w:line="174" w:lineRule="exact"/>
        <w:rPr>
          <w:sz w:val="20"/>
          <w:szCs w:val="20"/>
          <w:color w:val="auto"/>
        </w:rPr>
      </w:pPr>
    </w:p>
    <w:p>
      <w:pPr>
        <w:jc w:val="both"/>
        <w:ind w:left="740" w:firstLine="1494"/>
        <w:spacing w:after="0" w:line="243" w:lineRule="auto"/>
        <w:tabs>
          <w:tab w:leader="none" w:pos="252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Agent, acting solely for this purpose as an agent of each Borrower, shall maintain at one of its offices at 579 Fifth Avenue, New York, New York, copy of each Assignment and Assumption delivered to it and a register for the recordation of the names and addresses of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Loan Parties, Agent and Lenders shall treat each Person whose name is recorded in the Register pursuant to the terms hereof as a Lender hereunder for all purposes of this Agreement. The Register shall be available for inspection by Administrative Borrower and any Lender, at any reasonable time and from time to time upon reasonable prior notice.</w:t>
      </w:r>
    </w:p>
    <w:p>
      <w:pPr>
        <w:spacing w:after="0" w:line="18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2243"/>
        <w:spacing w:after="0" w:line="242" w:lineRule="auto"/>
        <w:tabs>
          <w:tab w:leader="none" w:pos="353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any Loan Party or Agent, sell participations to any Eligible Assignee (other than a natural Person, or a holding company, investment vehicle or trust for, or owned and operated for the primary benefit of, a natural Person, or any Loan Party or any Affiliates or Subsidiaries of any Loan Party)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such Lender’s obligations under this Agreement shall remain unchanged, (B) such Lender shall remain solely responsible to the other parties hereto for the performance of such obligations, and (C) the Loan Parties, Agent and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78" w:lineRule="exact"/>
        <w:rPr>
          <w:rFonts w:ascii="Times New Roman" w:cs="Times New Roman" w:eastAsia="Times New Roman" w:hAnsi="Times New Roman"/>
          <w:sz w:val="20"/>
          <w:szCs w:val="20"/>
          <w:color w:val="auto"/>
        </w:rPr>
      </w:pPr>
    </w:p>
    <w:p>
      <w:pPr>
        <w:ind w:left="740" w:right="80" w:firstLine="2243"/>
        <w:spacing w:after="0" w:line="245" w:lineRule="auto"/>
        <w:tabs>
          <w:tab w:leader="none" w:pos="353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that affects such Participant. Each Loan Party agrees that each Participant shall be entitled to the benefits of </w:t>
      </w:r>
      <w:r>
        <w:rPr>
          <w:rFonts w:ascii="Times New Roman" w:cs="Times New Roman" w:eastAsia="Times New Roman" w:hAnsi="Times New Roman"/>
          <w:sz w:val="20"/>
          <w:szCs w:val="20"/>
          <w:u w:val="single" w:color="auto"/>
          <w:color w:val="auto"/>
        </w:rPr>
        <w:t>Sections 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13" w:right="759" w:bottom="1440" w:gutter="0" w:footer="0" w:header="0"/>
        </w:sectPr>
      </w:pPr>
    </w:p>
    <w:bookmarkStart w:id="108" w:name="page109"/>
    <w:bookmarkEnd w:id="108"/>
    <w:p>
      <w:pPr>
        <w:jc w:val="both"/>
        <w:ind w:left="740"/>
        <w:spacing w:after="0" w:line="241" w:lineRule="auto"/>
        <w:rPr>
          <w:sz w:val="20"/>
          <w:szCs w:val="20"/>
          <w:color w:val="auto"/>
        </w:rPr>
      </w:pPr>
      <w:r>
        <w:rPr>
          <w:rFonts w:ascii="Times New Roman" w:cs="Times New Roman" w:eastAsia="Times New Roman" w:hAnsi="Times New Roman"/>
          <w:sz w:val="20"/>
          <w:szCs w:val="20"/>
          <w:u w:val="single" w:color="auto"/>
          <w:color w:val="auto"/>
        </w:rPr>
        <w:t>5.7(f)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5.7(f)</w:t>
      </w:r>
      <w:r>
        <w:rPr>
          <w:rFonts w:ascii="Times New Roman" w:cs="Times New Roman" w:eastAsia="Times New Roman" w:hAnsi="Times New Roman"/>
          <w:sz w:val="20"/>
          <w:szCs w:val="20"/>
          <w:color w:val="auto"/>
        </w:rPr>
        <w:t xml:space="preserve"> shall be delivered to the participating Lender)) to the same extent as if it were a Lender and had acquired its interest by assignment pursuant to clause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Participant (A) agrees to be subject to the provisions of </w:t>
      </w:r>
      <w:r>
        <w:rPr>
          <w:rFonts w:ascii="Times New Roman" w:cs="Times New Roman" w:eastAsia="Times New Roman" w:hAnsi="Times New Roman"/>
          <w:sz w:val="20"/>
          <w:szCs w:val="20"/>
          <w:u w:val="single" w:color="auto"/>
          <w:color w:val="auto"/>
        </w:rPr>
        <w:t>Section 5.7(g)</w:t>
      </w:r>
      <w:r>
        <w:rPr>
          <w:rFonts w:ascii="Times New Roman" w:cs="Times New Roman" w:eastAsia="Times New Roman" w:hAnsi="Times New Roman"/>
          <w:sz w:val="20"/>
          <w:szCs w:val="20"/>
          <w:color w:val="auto"/>
        </w:rPr>
        <w:t xml:space="preserve"> as if it were an assignee under clause (b) of this Section; and (B) shall not be entitled to receive any greater payment under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Loan Parties,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and Section 1.163-5(b) of the proposed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75" w:lineRule="exact"/>
        <w:rPr>
          <w:sz w:val="20"/>
          <w:szCs w:val="20"/>
          <w:color w:val="auto"/>
        </w:rPr>
      </w:pPr>
    </w:p>
    <w:p>
      <w:pPr>
        <w:jc w:val="both"/>
        <w:ind w:left="740" w:right="40" w:firstLine="1494"/>
        <w:spacing w:after="0" w:line="243" w:lineRule="auto"/>
        <w:tabs>
          <w:tab w:leader="none" w:pos="25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Certain Lenders</w:t>
      </w:r>
      <w:r>
        <w:rPr>
          <w:rFonts w:ascii="Times New Roman" w:cs="Times New Roman" w:eastAsia="Times New Roman" w:hAnsi="Times New Roman"/>
          <w:sz w:val="20"/>
          <w:szCs w:val="20"/>
          <w:color w:val="auto"/>
        </w:rPr>
        <w:t>. If a Lender is a Non-Consenting Lender, then, in addition to any other rights and remedies that any Person may have, Agent or Borrowers may, by notice to such Lender within 120 days after such event, require such Lender to assign all of its rights and obligations under the Loan Documents to Eligible Assignee(s), pursuant to appropriate Assignment and Acceptance(s), within 20 days after the notice. Agent is irrevocably appointed as attorney-in-fact to execute any such Assignment and Acceptance if such Non-Consenting Lender fails to execute it. Such Lender shall be entitled to receive, in cash from such Eligible Assignee, concurrently with such assignment, all amounts owed to it under the Loan Documents, including all principal, interest and fees through the date of assignment (but excluding any prepayment charge).</w:t>
      </w:r>
    </w:p>
    <w:p>
      <w:pPr>
        <w:spacing w:after="0" w:line="175"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other Loan Documents, any supplements hereto or thereto, and any instruments or documents delivered or to be delivered in connection herewith or therewith represents the entire agreement and understanding concerning the subject matter hereof and thereof between the parties hereto, and supersede all other prior agreements, understandings, negotiations and discussions, representations, warranties, commitments, proposals, offers and contracts concerning the subject matter hereof, whether oral or written. In the event of any inconsistency between the terms of this Agreement and any schedule or exhibit hereto, the terms of this Agreement shall govern.</w:t>
      </w:r>
    </w:p>
    <w:p>
      <w:pPr>
        <w:spacing w:after="0" w:line="171"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hereby notifies each Loan Party that pursuant to the requirements of the Patriot Act, it is required to obtain, verify and record information that identifies each person or corporation who opens an account and/or enters into a business relationship with it, which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09" w:name="page110"/>
    <w:bookmarkEnd w:id="109"/>
    <w:p>
      <w:pPr>
        <w:ind w:left="740" w:right="40"/>
        <w:spacing w:after="0" w:line="244" w:lineRule="auto"/>
        <w:rPr>
          <w:sz w:val="20"/>
          <w:szCs w:val="20"/>
          <w:color w:val="auto"/>
        </w:rPr>
      </w:pPr>
      <w:r>
        <w:rPr>
          <w:rFonts w:ascii="Times New Roman" w:cs="Times New Roman" w:eastAsia="Times New Roman" w:hAnsi="Times New Roman"/>
          <w:sz w:val="20"/>
          <w:szCs w:val="20"/>
          <w:color w:val="auto"/>
        </w:rPr>
        <w:t>information includes the name and address of each Loan Party and other information that will allow Lender to identify such person in accordance with the Patriot Act and any other applicable law. Each Loan Party is hereby advised that any hereunder are subject to satisfactory results of such verification. Each Lender shall have the right to periodically conduct due diligence on each Loan Party, its senior management and key principals and legal and beneficial owners. Each Loan Party agrees to cooperate in respect of the conduct of such due diligence and further agrees that the reasonable costs and charges for any such due diligence by Agent or any Lender shall constitute expenses for which Agent and such Lender is entitled to reimbursement as provided herein and be for the account of Borrowers.</w:t>
      </w:r>
    </w:p>
    <w:p>
      <w:pPr>
        <w:spacing w:after="0" w:line="18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Counterparts, Electronic Signature, Etc.</w:t>
      </w:r>
      <w:r>
        <w:rPr>
          <w:rFonts w:ascii="Times New Roman" w:cs="Times New Roman" w:eastAsia="Times New Roman" w:hAnsi="Times New Roman"/>
          <w:sz w:val="20"/>
          <w:szCs w:val="20"/>
          <w:color w:val="auto"/>
        </w:rPr>
        <w:t xml:space="preserve"> This Agreement or any of the other Loan Documents may be executed in any number of counterparts, each of which shall be an original, but all of which taken together shall constitute one and the same agreement.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delivered by electronic method of transmission (including a “pdf” by email). Each electronic signature or faxed, scanned, or photocopied manual signature shall for all purposes have the same validity, legal effect, and admissibility in evidence as an original manual signature. Agent reserves the right, in its sole discretion, to accept, deny, or condition acceptance of any electronic signature on this Agreement.</w:t>
      </w:r>
    </w:p>
    <w:p>
      <w:pPr>
        <w:spacing w:after="0" w:line="172" w:lineRule="exact"/>
        <w:rPr>
          <w:sz w:val="20"/>
          <w:szCs w:val="20"/>
          <w:color w:val="auto"/>
        </w:rPr>
      </w:pPr>
    </w:p>
    <w:p>
      <w:pPr>
        <w:jc w:val="both"/>
        <w:ind w:left="740"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Agent and each Lender may (a) publish in any trade or other publication or otherwise publicize to any third party (including its Affiliates) a tombstone, article, press release or similar material relating to the Credit Facility, (b) publish or disseminate general information describing the Credit Facility, including the names and addresses of Loan Parties and a general description of Loan Parties’ business, and may have a non-exclusive, non-transferable license to use Loan Parties’ logos, trademarks or product photographs solely in advertising or marketing materials and (c) provide to industry trade organizations related information necessary and customary for inclusion in league table measurements.</w:t>
      </w:r>
    </w:p>
    <w:p>
      <w:pPr>
        <w:spacing w:after="0" w:line="184"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Acknowledgement and Consent to Bail-In of EEA Financial Institutions.</w:t>
      </w:r>
      <w:r>
        <w:rPr>
          <w:rFonts w:ascii="Times New Roman" w:cs="Times New Roman" w:eastAsia="Times New Roman" w:hAnsi="Times New Roman"/>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sz w:val="20"/>
          <w:szCs w:val="20"/>
          <w:color w:val="auto"/>
        </w:rPr>
      </w:pPr>
    </w:p>
    <w:p>
      <w:pPr>
        <w:ind w:left="2980" w:hanging="746"/>
        <w:spacing w:after="0"/>
        <w:tabs>
          <w:tab w:leader="none" w:pos="29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3740" w:hanging="757"/>
        <w:spacing w:after="0"/>
        <w:tabs>
          <w:tab w:leader="none" w:pos="374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740" w:right="60" w:firstLine="2243"/>
        <w:spacing w:after="0" w:line="249" w:lineRule="auto"/>
        <w:tabs>
          <w:tab w:leader="none" w:pos="3532"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13" w:right="719" w:bottom="1440" w:gutter="0" w:footer="0" w:header="0"/>
        </w:sectPr>
      </w:pPr>
    </w:p>
    <w:bookmarkStart w:id="110" w:name="page111"/>
    <w:bookmarkEnd w:id="110"/>
    <w:p>
      <w:pPr>
        <w:ind w:left="740" w:right="480" w:firstLine="2243"/>
        <w:spacing w:after="0" w:line="269" w:lineRule="auto"/>
        <w:tabs>
          <w:tab w:leader="none" w:pos="353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left="740" w:right="20" w:firstLine="749"/>
        <w:spacing w:after="0"/>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of America or any other state of the United States of America):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of America or a state of the United States of America.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of America or a state of the United States of America.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Agent, each Lender and each Lead Arranger agrees to maintain the confidentiality of the Confidential Information (as defined below), except that Confidential Information may be disclosed:</w:t>
      </w:r>
    </w:p>
    <w:p>
      <w:pPr>
        <w:spacing w:after="0" w:line="146" w:lineRule="exact"/>
        <w:rPr>
          <w:sz w:val="20"/>
          <w:szCs w:val="20"/>
          <w:color w:val="auto"/>
        </w:rPr>
      </w:pPr>
    </w:p>
    <w:p>
      <w:pPr>
        <w:jc w:val="both"/>
        <w:ind w:left="740" w:right="20" w:firstLine="1494"/>
        <w:spacing w:after="0" w:line="254" w:lineRule="auto"/>
        <w:tabs>
          <w:tab w:leader="none" w:pos="2525"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its and its Affiliates’ members, partners, directors (or equivalent managers), officers, managers, employees, agents, independent auditors, or other experts and advisors, including accountants, legal counsel and other advisors (collectively,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its and its Affiliates’ respective prospective and current investors as long as (i) such investor or partner is informed of the confidential nature of the information and (ii) that such information must be subject to a confidentiality agreement between Agent or such Lender and such investor or partner on terms substantially consistent with this </w:t>
      </w:r>
      <w:r>
        <w:rPr>
          <w:rFonts w:ascii="Times New Roman" w:cs="Times New Roman" w:eastAsia="Times New Roman" w:hAnsi="Times New Roman"/>
          <w:sz w:val="20"/>
          <w:szCs w:val="20"/>
          <w:u w:val="single" w:color="auto"/>
          <w:color w:val="auto"/>
        </w:rPr>
        <w:t>Section 14.11</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40" w:firstLine="1494"/>
        <w:spacing w:after="0" w:line="244" w:lineRule="auto"/>
        <w:tabs>
          <w:tab w:leader="none" w:pos="2526"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compelled by legal or regulatory process in, or reasonably necessary to, the defense of such legal, regulatory, judicial or administrative proceeding, in any legal, regulatory, judicial or administrative proceeding or otherwise as required by Applicable Law (in which case such Person shall, except with respect to any audit or examination conducted by bank accountants or any governmental, regulatory or self-regulatory authority exercising examination or regulatory authority,</w:t>
      </w:r>
    </w:p>
    <w:p>
      <w:pPr>
        <w:ind w:left="980" w:hanging="243"/>
        <w:spacing w:after="0"/>
        <w:tabs>
          <w:tab w:leader="none" w:pos="9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practicable and permitted by Applicable Law, promptly inform Administrative Borrower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11" w:name="page112"/>
    <w:bookmarkEnd w:id="111"/>
    <w:p>
      <w:pPr>
        <w:ind w:left="740" w:right="320"/>
        <w:spacing w:after="0" w:line="269" w:lineRule="auto"/>
        <w:rPr>
          <w:sz w:val="20"/>
          <w:szCs w:val="20"/>
          <w:color w:val="auto"/>
        </w:rPr>
      </w:pPr>
      <w:r>
        <w:rPr>
          <w:rFonts w:ascii="Times New Roman" w:cs="Times New Roman" w:eastAsia="Times New Roman" w:hAnsi="Times New Roman"/>
          <w:sz w:val="20"/>
          <w:szCs w:val="20"/>
          <w:color w:val="auto"/>
        </w:rPr>
        <w:t>of such disclosure and (ii) use commercially reasonable efforts to ensure that any such information so disclosed is accorded confidential treatment);</w:t>
      </w:r>
    </w:p>
    <w:p>
      <w:pPr>
        <w:spacing w:after="0" w:line="159" w:lineRule="exact"/>
        <w:rPr>
          <w:sz w:val="20"/>
          <w:szCs w:val="20"/>
          <w:color w:val="auto"/>
        </w:rPr>
      </w:pPr>
    </w:p>
    <w:p>
      <w:pPr>
        <w:jc w:val="both"/>
        <w:ind w:left="740" w:right="20" w:firstLine="1494"/>
        <w:spacing w:after="0" w:line="245" w:lineRule="auto"/>
        <w:tabs>
          <w:tab w:leader="none" w:pos="2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Law, (i) to the extent practicable and permitted by Applicable Law, promptly inform Administrative Borrower of such disclosure and (ii) use commercially reasonable efforts to ensure that any information so disclosed is accorded confidential treatment);</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44" w:lineRule="auto"/>
        <w:tabs>
          <w:tab w:leader="none" w:pos="2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 acknowledgment and agreement by the relevant recipient that the Confidential Information is being disseminated on a confidential basis in accordance with the standard syndication process of the Lead Arrangers, to (i) any Eligible Assignee of or Participant in, or any prospective Eligible Assignee of or prospective Participant in, any of its rights or obligations under this Agreement (in each case other than any Person to whom Administrative Borrower has, at the time of disclosure, affirmatively declined to consent to any assignment or participation) or (ii) to the extent practical, any pledgee referred to in </w:t>
      </w:r>
      <w:r>
        <w:rPr>
          <w:rFonts w:ascii="Times New Roman" w:cs="Times New Roman" w:eastAsia="Times New Roman" w:hAnsi="Times New Roman"/>
          <w:sz w:val="20"/>
          <w:szCs w:val="20"/>
          <w:u w:val="single" w:color="auto"/>
          <w:color w:val="auto"/>
        </w:rPr>
        <w:t>Section 14.4(f)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 such disclosure shall be knowingly made to any Disqualified Institution;</w:t>
      </w:r>
    </w:p>
    <w:p>
      <w:pPr>
        <w:spacing w:after="0" w:line="172" w:lineRule="exact"/>
        <w:rPr>
          <w:rFonts w:ascii="Times New Roman" w:cs="Times New Roman" w:eastAsia="Times New Roman" w:hAnsi="Times New Roman"/>
          <w:sz w:val="20"/>
          <w:szCs w:val="20"/>
          <w:color w:val="auto"/>
        </w:rPr>
      </w:pPr>
    </w:p>
    <w:p>
      <w:pPr>
        <w:jc w:val="both"/>
        <w:ind w:left="740" w:right="40" w:firstLine="1494"/>
        <w:spacing w:after="0" w:line="254" w:lineRule="auto"/>
        <w:tabs>
          <w:tab w:leader="none" w:pos="2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Borrower’s prior approval of the information to be disclosed, to the CUSIP Service Bureau or any similar agency on a confidential basis in connection with the issuance and monitoring of CUSIP numbers with respect to the facilities;</w:t>
      </w:r>
    </w:p>
    <w:p>
      <w:pPr>
        <w:spacing w:after="0" w:line="174" w:lineRule="exact"/>
        <w:rPr>
          <w:rFonts w:ascii="Times New Roman" w:cs="Times New Roman" w:eastAsia="Times New Roman" w:hAnsi="Times New Roman"/>
          <w:sz w:val="20"/>
          <w:szCs w:val="20"/>
          <w:color w:val="auto"/>
        </w:rPr>
      </w:pPr>
    </w:p>
    <w:p>
      <w:pPr>
        <w:jc w:val="both"/>
        <w:ind w:left="740" w:firstLine="1494"/>
        <w:spacing w:after="0" w:line="246" w:lineRule="auto"/>
        <w:tabs>
          <w:tab w:leader="none" w:pos="252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this Agreement (but not the terms hereof) and the existence of the credit facilities hereunder (but not the terms thereof) and (ii) certain other limited generic information regarding such credit facilities (but not any other Confidential Information), may be disclosed to market data collectors and other similar service providers to the lending industry and, in the case of Agent, to service providers to Agent in connection with the administration of such credit facilities;</w:t>
      </w:r>
    </w:p>
    <w:p>
      <w:pPr>
        <w:spacing w:after="0" w:line="184" w:lineRule="exact"/>
        <w:rPr>
          <w:rFonts w:ascii="Times New Roman" w:cs="Times New Roman" w:eastAsia="Times New Roman" w:hAnsi="Times New Roman"/>
          <w:sz w:val="20"/>
          <w:szCs w:val="20"/>
          <w:color w:val="auto"/>
        </w:rPr>
      </w:pPr>
    </w:p>
    <w:p>
      <w:pPr>
        <w:jc w:val="both"/>
        <w:ind w:left="740" w:right="40" w:firstLine="1494"/>
        <w:spacing w:after="0" w:line="254" w:lineRule="auto"/>
        <w:tabs>
          <w:tab w:leader="none" w:pos="2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0" w:lineRule="exact"/>
        <w:rPr>
          <w:rFonts w:ascii="Times New Roman" w:cs="Times New Roman" w:eastAsia="Times New Roman" w:hAnsi="Times New Roman"/>
          <w:sz w:val="20"/>
          <w:szCs w:val="20"/>
          <w:color w:val="auto"/>
        </w:rPr>
      </w:pPr>
    </w:p>
    <w:p>
      <w:pPr>
        <w:ind w:left="740" w:right="40" w:firstLine="1494"/>
        <w:spacing w:after="0" w:line="269" w:lineRule="auto"/>
        <w:tabs>
          <w:tab w:leader="none" w:pos="2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Confidential Information becomes publicly available other than as a result of a breach of this Section by such Person, its Affiliates or their respective Representatives; and</w:t>
      </w:r>
    </w:p>
    <w:p>
      <w:pPr>
        <w:spacing w:after="0" w:line="15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consent of Administrative Borrower.</w:t>
      </w:r>
    </w:p>
    <w:p>
      <w:pPr>
        <w:spacing w:after="0" w:line="216"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Notwithstanding the foregoing, Agent and Lenders may, with the prior consent of the Administrative Borrower (such consent not to be unreasonably withheld, delayed or conditioned) publish or disseminate general information describing this credit facility, including the names and addresses of Loan Parties and a general description of the Loan Parties’ businesses, and may use the Loan Parties’ logos, trademarks or product photographs in advertising materials.</w:t>
      </w:r>
    </w:p>
    <w:p>
      <w:pPr>
        <w:spacing w:after="0" w:line="180"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all information from any Loan Party or any Subsidiary thereof relating to GTI, any Loan Party or any Subsidiary thereof or relating to it or its businesses that is identified as confidential when delivered or with respect to which confidential treatment is requested by the Administrative Borrower (from and after such notice), other than any such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12" w:name="page113"/>
    <w:bookmarkEnd w:id="112"/>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information that is publicly available to Agent or any Lender or otherwise on a non-confidential basis prior to disclosure by any Loan Party. Any Person required to maintain the confidentiality of Confidential Information as provided in this Section shall be deemed to have complied if it exercises the same degree of that it accords to its own confidential information.</w:t>
      </w:r>
    </w:p>
    <w:p>
      <w:pPr>
        <w:spacing w:after="0" w:line="17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652780</wp:posOffset>
            </wp:positionV>
            <wp:extent cx="7157720" cy="4254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13" w:right="779" w:bottom="1440" w:gutter="0" w:footer="0" w:header="0"/>
        </w:sectPr>
      </w:pPr>
    </w:p>
    <w:bookmarkStart w:id="113" w:name="page114"/>
    <w:bookmarkEnd w:id="113"/>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u w:val="single" w:color="auto"/>
          <w:color w:val="auto"/>
        </w:rPr>
        <w:t>ANNEX B</w:t>
      </w:r>
    </w:p>
    <w:p>
      <w:pPr>
        <w:spacing w:after="0" w:line="200" w:lineRule="exact"/>
        <w:rPr>
          <w:sz w:val="20"/>
          <w:szCs w:val="20"/>
          <w:color w:val="auto"/>
        </w:rPr>
      </w:pPr>
    </w:p>
    <w:p>
      <w:pPr>
        <w:spacing w:after="0" w:line="24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SCHEDULE 1.1(a) TO</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u w:val="single" w:color="auto"/>
          <w:color w:val="auto"/>
        </w:rPr>
        <w:t>Commitments and Outstanding Amounts</w:t>
      </w:r>
    </w:p>
    <w:p>
      <w:pPr>
        <w:spacing w:after="0" w:line="200" w:lineRule="exact"/>
        <w:rPr>
          <w:sz w:val="20"/>
          <w:szCs w:val="20"/>
          <w:color w:val="auto"/>
        </w:rPr>
      </w:pPr>
    </w:p>
    <w:p>
      <w:pPr>
        <w:spacing w:after="0" w:line="2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224155</wp:posOffset>
            </wp:positionV>
            <wp:extent cx="7157720" cy="4254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1)"/>
      <w:numFmt w:val="upperLetter"/>
      <w:start w:val="35"/>
    </w:lvl>
  </w:abstractNum>
  <w:abstractNum w:abstractNumId="2">
    <w:nsid w:val="11447B73"/>
    <w:multiLevelType w:val="hybridMultilevel"/>
    <w:lvl w:ilvl="0">
      <w:lvlJc w:val="left"/>
      <w:lvlText w:val="%1."/>
      <w:numFmt w:val="decimal"/>
      <w:start w:val="1"/>
    </w:lvl>
  </w:abstractNum>
  <w:abstractNum w:abstractNumId="3">
    <w:nsid w:val="42963E5A"/>
    <w:multiLevelType w:val="hybridMultilevel"/>
    <w:lvl w:ilvl="0">
      <w:lvlJc w:val="left"/>
      <w:lvlText w:val="%1)"/>
      <w:numFmt w:val="lowerLetter"/>
      <w:start w:val="1"/>
    </w:lvl>
  </w:abstractNum>
  <w:abstractNum w:abstractNumId="4">
    <w:nsid w:val="A0382C5"/>
    <w:multiLevelType w:val="hybridMultilevel"/>
    <w:lvl w:ilvl="0">
      <w:lvlJc w:val="left"/>
      <w:lvlText w:val="%1)"/>
      <w:numFmt w:val="lowerLetter"/>
      <w:start w:val="3"/>
    </w:lvl>
  </w:abstractNum>
  <w:abstractNum w:abstractNumId="5">
    <w:nsid w:val="8F2B15E"/>
    <w:multiLevelType w:val="hybridMultilevel"/>
    <w:lvl w:ilvl="0">
      <w:lvlJc w:val="left"/>
      <w:lvlText w:val="%1."/>
      <w:numFmt w:val="decimal"/>
      <w:start w:val="3"/>
    </w:lvl>
  </w:abstractNum>
  <w:abstractNum w:abstractNumId="6">
    <w:nsid w:val="1A32234B"/>
    <w:multiLevelType w:val="hybridMultilevel"/>
    <w:lvl w:ilvl="0">
      <w:lvlJc w:val="left"/>
      <w:lvlText w:val="%1)"/>
      <w:numFmt w:val="lowerLetter"/>
      <w:start w:val="1"/>
    </w:lvl>
  </w:abstractNum>
  <w:abstractNum w:abstractNumId="7">
    <w:nsid w:val="3B0FD379"/>
    <w:multiLevelType w:val="hybridMultilevel"/>
    <w:lvl w:ilvl="0">
      <w:lvlJc w:val="left"/>
      <w:lvlText w:val="%1)"/>
      <w:numFmt w:val="lowerLetter"/>
      <w:start w:val="5"/>
    </w:lvl>
  </w:abstractNum>
  <w:abstractNum w:abstractNumId="8">
    <w:nsid w:val="68EB2F63"/>
    <w:multiLevelType w:val="hybridMultilevel"/>
    <w:lvl w:ilvl="0">
      <w:lvlJc w:val="left"/>
      <w:lvlText w:val="%1."/>
      <w:numFmt w:val="decimal"/>
      <w:start w:val="4"/>
    </w:lvl>
  </w:abstractNum>
  <w:abstractNum w:abstractNumId="9">
    <w:nsid w:val="4962813B"/>
    <w:multiLevelType w:val="hybridMultilevel"/>
    <w:lvl w:ilvl="0">
      <w:lvlJc w:val="left"/>
      <w:lvlText w:val="%1)"/>
      <w:numFmt w:val="lowerLetter"/>
      <w:start w:val="1"/>
    </w:lvl>
  </w:abstractNum>
  <w:abstractNum w:abstractNumId="10">
    <w:nsid w:val="60B6DF70"/>
    <w:multiLevelType w:val="hybridMultilevel"/>
    <w:lvl w:ilvl="0">
      <w:lvlJc w:val="left"/>
      <w:lvlText w:val="%1."/>
      <w:numFmt w:val="decimal"/>
      <w:start w:val="5"/>
    </w:lvl>
  </w:abstractNum>
  <w:abstractNum w:abstractNumId="11">
    <w:nsid w:val="6A5EE64"/>
    <w:multiLevelType w:val="hybridMultilevel"/>
    <w:lvl w:ilvl="0">
      <w:lvlJc w:val="left"/>
      <w:lvlText w:val="%1."/>
      <w:numFmt w:val="decimal"/>
      <w:start w:val="8"/>
    </w:lvl>
  </w:abstractNum>
  <w:abstractNum w:abstractNumId="12">
    <w:nsid w:val="14330624"/>
    <w:multiLevelType w:val="hybridMultilevel"/>
    <w:lvl w:ilvl="0">
      <w:lvlJc w:val="left"/>
      <w:lvlText w:val="%1)"/>
      <w:numFmt w:val="lowerLetter"/>
      <w:start w:val="1"/>
    </w:lvl>
  </w:abstractNum>
  <w:abstractNum w:abstractNumId="13">
    <w:nsid w:val="7FFFCA11"/>
    <w:multiLevelType w:val="hybridMultilevel"/>
    <w:lvl w:ilvl="0">
      <w:lvlJc w:val="left"/>
      <w:lvlText w:val="%1."/>
      <w:numFmt w:val="decimal"/>
      <w:start w:val="9"/>
    </w:lvl>
  </w:abstractNum>
  <w:abstractNum w:abstractNumId="14">
    <w:nsid w:val="1A27709E"/>
    <w:multiLevelType w:val="hybridMultilevel"/>
    <w:lvl w:ilvl="0">
      <w:lvlJc w:val="left"/>
      <w:lvlText w:val="%1)"/>
      <w:numFmt w:val="lowerLetter"/>
      <w:start w:val="1"/>
    </w:lvl>
  </w:abstractNum>
  <w:abstractNum w:abstractNumId="15">
    <w:nsid w:val="71EA1109"/>
    <w:multiLevelType w:val="hybridMultilevel"/>
    <w:lvl w:ilvl="0">
      <w:lvlJc w:val="left"/>
      <w:lvlText w:val="%1)"/>
      <w:numFmt w:val="lowerLetter"/>
      <w:start w:val="2"/>
    </w:lvl>
  </w:abstractNum>
  <w:abstractNum w:abstractNumId="16">
    <w:nsid w:val="100F59DC"/>
    <w:multiLevelType w:val="hybridMultilevel"/>
    <w:lvl w:ilvl="0">
      <w:lvlJc w:val="left"/>
      <w:lvlText w:val="%1)"/>
      <w:numFmt w:val="lowerLetter"/>
      <w:start w:val="10"/>
    </w:lvl>
  </w:abstractNum>
  <w:abstractNum w:abstractNumId="17">
    <w:nsid w:val="7FB7E0AA"/>
    <w:multiLevelType w:val="hybridMultilevel"/>
    <w:lvl w:ilvl="0">
      <w:lvlJc w:val="left"/>
      <w:lvlText w:val="%1."/>
      <w:numFmt w:val="decimal"/>
      <w:start w:val="10"/>
    </w:lvl>
  </w:abstractNum>
  <w:abstractNum w:abstractNumId="18">
    <w:nsid w:val="6EB5BD4"/>
    <w:multiLevelType w:val="hybridMultilevel"/>
    <w:lvl w:ilvl="0">
      <w:lvlJc w:val="left"/>
      <w:lvlText w:val="%1)"/>
      <w:numFmt w:val="lowerLetter"/>
      <w:start w:val="1"/>
    </w:lvl>
  </w:abstractNum>
  <w:abstractNum w:abstractNumId="19">
    <w:nsid w:val="6F6DD9AC"/>
    <w:multiLevelType w:val="hybridMultilevel"/>
    <w:lvl w:ilvl="0">
      <w:lvlJc w:val="left"/>
      <w:lvlText w:val="%1)"/>
      <w:numFmt w:val="lowerLetter"/>
      <w:start w:val="3"/>
    </w:lvl>
  </w:abstractNum>
  <w:abstractNum w:abstractNumId="20">
    <w:nsid w:val="94211F2"/>
    <w:multiLevelType w:val="hybridMultilevel"/>
    <w:lvl w:ilvl="0">
      <w:lvlJc w:val="left"/>
      <w:lvlText w:val="%1."/>
      <w:numFmt w:val="decimal"/>
      <w:start w:val="11"/>
    </w:lvl>
  </w:abstractNum>
  <w:abstractNum w:abstractNumId="21">
    <w:nsid w:val="885E1B"/>
    <w:multiLevelType w:val="hybridMultilevel"/>
    <w:lvl w:ilvl="0">
      <w:lvlJc w:val="left"/>
      <w:lvlText w:val="(%1)"/>
      <w:numFmt w:val="lowerLetter"/>
      <w:start w:val="2"/>
    </w:lvl>
  </w:abstractNum>
  <w:abstractNum w:abstractNumId="22">
    <w:nsid w:val="76272110"/>
    <w:multiLevelType w:val="hybridMultilevel"/>
    <w:lvl w:ilvl="0">
      <w:lvlJc w:val="left"/>
      <w:lvlText w:val="(%1)"/>
      <w:numFmt w:val="lowerRoman"/>
      <w:start w:val="1"/>
    </w:lvl>
  </w:abstractNum>
  <w:abstractNum w:abstractNumId="23">
    <w:nsid w:val="4C04A8AF"/>
    <w:multiLevelType w:val="hybridMultilevel"/>
    <w:lvl w:ilvl="0">
      <w:lvlJc w:val="left"/>
      <w:lvlText w:val="(%1)"/>
      <w:numFmt w:val="decimal"/>
      <w:start w:val="1"/>
    </w:lvl>
    <w:lvl w:ilvl="1">
      <w:lvlJc w:val="left"/>
      <w:lvlText w:val="(%2)"/>
      <w:numFmt w:val="lowerLetter"/>
      <w:start w:val="1"/>
    </w:lvl>
  </w:abstractNum>
  <w:abstractNum w:abstractNumId="24">
    <w:nsid w:val="1716703B"/>
    <w:multiLevelType w:val="hybridMultilevel"/>
    <w:lvl w:ilvl="0">
      <w:lvlJc w:val="left"/>
      <w:lvlText w:val="(%1)"/>
      <w:numFmt w:val="lowerLetter"/>
      <w:start w:val="3"/>
    </w:lvl>
  </w:abstractNum>
  <w:abstractNum w:abstractNumId="25">
    <w:nsid w:val="14E17E33"/>
    <w:multiLevelType w:val="hybridMultilevel"/>
    <w:lvl w:ilvl="0">
      <w:lvlJc w:val="left"/>
      <w:lvlText w:val="(%1)"/>
      <w:numFmt w:val="lowerLetter"/>
      <w:start w:val="2"/>
    </w:lvl>
  </w:abstractNum>
  <w:abstractNum w:abstractNumId="26">
    <w:nsid w:val="3222E7CD"/>
    <w:multiLevelType w:val="hybridMultilevel"/>
    <w:lvl w:ilvl="0">
      <w:lvlJc w:val="left"/>
      <w:lvlText w:val="(%1)"/>
      <w:numFmt w:val="lowerLetter"/>
      <w:start w:val="2"/>
    </w:lvl>
  </w:abstractNum>
  <w:abstractNum w:abstractNumId="27">
    <w:nsid w:val="74DE0EE3"/>
    <w:multiLevelType w:val="hybridMultilevel"/>
    <w:lvl w:ilvl="0">
      <w:lvlJc w:val="left"/>
      <w:lvlText w:val="(%1)"/>
      <w:numFmt w:val="lowerLetter"/>
      <w:start w:val="1"/>
    </w:lvl>
  </w:abstractNum>
  <w:abstractNum w:abstractNumId="28">
    <w:nsid w:val="68EBC550"/>
    <w:multiLevelType w:val="hybridMultilevel"/>
    <w:lvl w:ilvl="0">
      <w:lvlJc w:val="left"/>
      <w:lvlText w:val="§"/>
      <w:numFmt w:val="bullet"/>
      <w:start w:val="1"/>
    </w:lvl>
    <w:lvl w:ilvl="1">
      <w:lvlJc w:val="left"/>
      <w:lvlText w:val="(%2)"/>
      <w:numFmt w:val="lowerLetter"/>
      <w:start w:val="1"/>
    </w:lvl>
  </w:abstractNum>
  <w:abstractNum w:abstractNumId="29">
    <w:nsid w:val="2DF6D648"/>
    <w:multiLevelType w:val="hybridMultilevel"/>
    <w:lvl w:ilvl="0">
      <w:lvlJc w:val="left"/>
      <w:lvlText w:val="§"/>
      <w:numFmt w:val="bullet"/>
      <w:start w:val="1"/>
    </w:lvl>
    <w:lvl w:ilvl="1">
      <w:lvlJc w:val="left"/>
      <w:lvlText w:val="(%2)"/>
      <w:numFmt w:val="lowerLetter"/>
      <w:start w:val="2"/>
    </w:lvl>
  </w:abstractNum>
  <w:abstractNum w:abstractNumId="30">
    <w:nsid w:val="46B7D447"/>
    <w:multiLevelType w:val="hybridMultilevel"/>
    <w:lvl w:ilvl="0">
      <w:lvlJc w:val="left"/>
      <w:lvlText w:val="§"/>
      <w:numFmt w:val="bullet"/>
      <w:start w:val="1"/>
    </w:lvl>
    <w:lvl w:ilvl="1">
      <w:lvlJc w:val="left"/>
      <w:lvlText w:val="(%2)"/>
      <w:numFmt w:val="lowerLetter"/>
      <w:start w:val="3"/>
    </w:lvl>
  </w:abstractNum>
  <w:abstractNum w:abstractNumId="31">
    <w:nsid w:val="4A2AC315"/>
    <w:multiLevelType w:val="hybridMultilevel"/>
    <w:lvl w:ilvl="0">
      <w:lvlJc w:val="left"/>
      <w:lvlText w:val="(%1)"/>
      <w:numFmt w:val="lowerRoman"/>
      <w:start w:val="2"/>
    </w:lvl>
  </w:abstractNum>
  <w:abstractNum w:abstractNumId="32">
    <w:nsid w:val="39EE015C"/>
    <w:multiLevelType w:val="hybridMultilevel"/>
    <w:lvl w:ilvl="0">
      <w:lvlJc w:val="left"/>
      <w:lvlText w:val="(%1)"/>
      <w:numFmt w:val="lowerRoman"/>
      <w:start w:val="4"/>
    </w:lvl>
  </w:abstractNum>
  <w:abstractNum w:abstractNumId="33">
    <w:nsid w:val="57FC4FBB"/>
    <w:multiLevelType w:val="hybridMultilevel"/>
    <w:lvl w:ilvl="0">
      <w:lvlJc w:val="left"/>
      <w:lvlText w:val="(%1)"/>
      <w:numFmt w:val="lowerRoman"/>
      <w:start w:val="1"/>
    </w:lvl>
    <w:lvl w:ilvl="1">
      <w:lvlJc w:val="left"/>
      <w:lvlText w:val="%2"/>
      <w:numFmt w:val="lowerRoman"/>
      <w:start w:val="1"/>
    </w:lvl>
  </w:abstractNum>
  <w:abstractNum w:abstractNumId="34">
    <w:nsid w:val="CC1016F"/>
    <w:multiLevelType w:val="hybridMultilevel"/>
    <w:lvl w:ilvl="0">
      <w:lvlJc w:val="left"/>
      <w:lvlText w:val="(%1)"/>
      <w:numFmt w:val="lowerRoman"/>
      <w:start w:val="1"/>
    </w:lvl>
    <w:lvl w:ilvl="1">
      <w:lvlJc w:val="left"/>
      <w:lvlText w:val="%2"/>
      <w:numFmt w:val="lowerRoman"/>
      <w:start w:val="1"/>
    </w:lvl>
  </w:abstractNum>
  <w:abstractNum w:abstractNumId="35">
    <w:nsid w:val="43F18422"/>
    <w:multiLevelType w:val="hybridMultilevel"/>
    <w:lvl w:ilvl="0">
      <w:lvlJc w:val="left"/>
      <w:lvlText w:val="(%1)"/>
      <w:numFmt w:val="lowerRoman"/>
      <w:start w:val="1"/>
    </w:lvl>
  </w:abstractNum>
  <w:abstractNum w:abstractNumId="36">
    <w:nsid w:val="60EF0119"/>
    <w:multiLevelType w:val="hybridMultilevel"/>
    <w:lvl w:ilvl="0">
      <w:lvlJc w:val="left"/>
      <w:lvlText w:val="(%1)"/>
      <w:numFmt w:val="lowerRoman"/>
      <w:start w:val="10"/>
    </w:lvl>
  </w:abstractNum>
  <w:abstractNum w:abstractNumId="37">
    <w:nsid w:val="26F324BA"/>
    <w:multiLevelType w:val="hybridMultilevel"/>
    <w:lvl w:ilvl="0">
      <w:lvlJc w:val="left"/>
      <w:lvlText w:val="(%1)"/>
      <w:numFmt w:val="lowerLetter"/>
      <w:start w:val="2"/>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7"/>
    </w:lvl>
  </w:abstractNum>
  <w:abstractNum w:abstractNumId="40">
    <w:nsid w:val="7055A5F5"/>
    <w:multiLevelType w:val="hybridMultilevel"/>
    <w:lvl w:ilvl="0">
      <w:lvlJc w:val="left"/>
      <w:lvlText w:val="(%1)"/>
      <w:numFmt w:val="lowerLetter"/>
      <w:start w:val="11"/>
    </w:lvl>
  </w:abstractNum>
  <w:abstractNum w:abstractNumId="41">
    <w:nsid w:val="5FB8370B"/>
    <w:multiLevelType w:val="hybridMultilevel"/>
    <w:lvl w:ilvl="0">
      <w:lvlJc w:val="left"/>
      <w:lvlText w:val="(%1)"/>
      <w:numFmt w:val="lowerLetter"/>
      <w:start w:val="14"/>
    </w:lvl>
  </w:abstractNum>
  <w:abstractNum w:abstractNumId="42">
    <w:nsid w:val="50801EE1"/>
    <w:multiLevelType w:val="hybridMultilevel"/>
    <w:lvl w:ilvl="0">
      <w:lvlJc w:val="left"/>
      <w:lvlText w:val="(%1)"/>
      <w:numFmt w:val="lowerLetter"/>
      <w:start w:val="2"/>
    </w:lvl>
  </w:abstractNum>
  <w:abstractNum w:abstractNumId="43">
    <w:nsid w:val="488AC1A"/>
    <w:multiLevelType w:val="hybridMultilevel"/>
    <w:lvl w:ilvl="0">
      <w:lvlJc w:val="left"/>
      <w:lvlText w:val="(%1)"/>
      <w:numFmt w:val="lowerLetter"/>
      <w:start w:val="3"/>
    </w:lvl>
  </w:abstractNum>
  <w:abstractNum w:abstractNumId="44">
    <w:nsid w:val="5FB8011C"/>
    <w:multiLevelType w:val="hybridMultilevel"/>
    <w:lvl w:ilvl="0">
      <w:lvlJc w:val="left"/>
      <w:lvlText w:val="(%1)"/>
      <w:numFmt w:val="lowerLetter"/>
      <w:start w:val="9"/>
    </w:lvl>
  </w:abstractNum>
  <w:abstractNum w:abstractNumId="45">
    <w:nsid w:val="6AA78F7F"/>
    <w:multiLevelType w:val="hybridMultilevel"/>
    <w:lvl w:ilvl="0">
      <w:lvlJc w:val="left"/>
      <w:lvlText w:val="%1"/>
      <w:numFmt w:val="lowerLetter"/>
      <w:start w:val="1"/>
    </w:lvl>
    <w:lvl w:ilvl="1">
      <w:lvlJc w:val="left"/>
      <w:lvlText w:val="(%2)"/>
      <w:numFmt w:val="lowerLetter"/>
      <w:start w:val="12"/>
    </w:lvl>
  </w:abstractNum>
  <w:abstractNum w:abstractNumId="46">
    <w:nsid w:val="7672BD23"/>
    <w:multiLevelType w:val="hybridMultilevel"/>
    <w:lvl w:ilvl="0">
      <w:lvlJc w:val="left"/>
      <w:lvlText w:val="(%1)"/>
      <w:numFmt w:val="lowerLetter"/>
      <w:start w:val="24"/>
    </w:lvl>
    <w:lvl w:ilvl="1">
      <w:lvlJc w:val="left"/>
      <w:lvlText w:val="%2"/>
      <w:numFmt w:val="lowerLetter"/>
      <w:start w:val="1"/>
    </w:lvl>
  </w:abstractNum>
  <w:abstractNum w:abstractNumId="47">
    <w:nsid w:val="6FC75AF8"/>
    <w:multiLevelType w:val="hybridMultilevel"/>
    <w:lvl w:ilvl="0">
      <w:lvlJc w:val="left"/>
      <w:lvlText w:val="(%1)"/>
      <w:numFmt w:val="lowerLetter"/>
      <w:start w:val="14"/>
    </w:lvl>
    <w:lvl w:ilvl="1">
      <w:lvlJc w:val="left"/>
      <w:lvlText w:val="(%2)"/>
      <w:numFmt w:val="lowerRoman"/>
      <w:start w:val="1"/>
    </w:lvl>
  </w:abstractNum>
  <w:abstractNum w:abstractNumId="48">
    <w:nsid w:val="6A5F7029"/>
    <w:multiLevelType w:val="hybridMultilevel"/>
    <w:lvl w:ilvl="0">
      <w:lvlJc w:val="left"/>
      <w:lvlText w:val="(%1)"/>
      <w:numFmt w:val="lowerRoman"/>
      <w:start w:val="3"/>
    </w:lvl>
  </w:abstractNum>
  <w:abstractNum w:abstractNumId="49">
    <w:nsid w:val="7D5E18F8"/>
    <w:multiLevelType w:val="hybridMultilevel"/>
    <w:lvl w:ilvl="0">
      <w:lvlJc w:val="left"/>
      <w:lvlText w:val="(%1)"/>
      <w:numFmt w:val="lowerLetter"/>
      <w:start w:val="1"/>
    </w:lvl>
  </w:abstractNum>
  <w:abstractNum w:abstractNumId="50">
    <w:nsid w:val="5F3534A4"/>
    <w:multiLevelType w:val="hybridMultilevel"/>
    <w:lvl w:ilvl="0">
      <w:lvlJc w:val="left"/>
      <w:lvlText w:val="(%1)"/>
      <w:numFmt w:val="lowerLetter"/>
      <w:start w:val="3"/>
    </w:lvl>
  </w:abstractNum>
  <w:abstractNum w:abstractNumId="51">
    <w:nsid w:val="73A1821B"/>
    <w:multiLevelType w:val="hybridMultilevel"/>
    <w:lvl w:ilvl="0">
      <w:lvlJc w:val="left"/>
      <w:lvlText w:val="%1"/>
      <w:numFmt w:val="lowerRoman"/>
      <w:start w:val="1"/>
    </w:lvl>
    <w:lvl w:ilvl="1">
      <w:lvlJc w:val="left"/>
      <w:lvlText w:val="(%2)"/>
      <w:numFmt w:val="lowerLetter"/>
      <w:start w:val="5"/>
    </w:lvl>
  </w:abstractNum>
  <w:abstractNum w:abstractNumId="52">
    <w:nsid w:val="7DE67713"/>
    <w:multiLevelType w:val="hybridMultilevel"/>
    <w:lvl w:ilvl="0">
      <w:lvlJc w:val="left"/>
      <w:lvlText w:val="(%1)"/>
      <w:numFmt w:val="lowerRoman"/>
      <w:start w:val="4"/>
    </w:lvl>
    <w:lvl w:ilvl="1">
      <w:lvlJc w:val="left"/>
      <w:lvlText w:val="(%2)"/>
      <w:numFmt w:val="lowerLetter"/>
      <w:start w:val="9"/>
    </w:lvl>
  </w:abstractNum>
  <w:abstractNum w:abstractNumId="53">
    <w:nsid w:val="555C55B5"/>
    <w:multiLevelType w:val="hybridMultilevel"/>
    <w:lvl w:ilvl="0">
      <w:lvlJc w:val="left"/>
      <w:lvlText w:val="(%1)"/>
      <w:numFmt w:val="lowerLetter"/>
      <w:start w:val="11"/>
    </w:lvl>
  </w:abstractNum>
  <w:abstractNum w:abstractNumId="54">
    <w:nsid w:val="3FA62ACA"/>
    <w:multiLevelType w:val="hybridMultilevel"/>
    <w:lvl w:ilvl="0">
      <w:lvlJc w:val="left"/>
      <w:lvlText w:val="(%1)"/>
      <w:numFmt w:val="lowerLetter"/>
      <w:start w:val="14"/>
    </w:lvl>
    <w:lvl w:ilvl="1">
      <w:lvlJc w:val="left"/>
      <w:lvlText w:val="%2"/>
      <w:numFmt w:val="lowerLetter"/>
      <w:start w:val="1"/>
    </w:lvl>
  </w:abstractNum>
  <w:abstractNum w:abstractNumId="55">
    <w:nsid w:val="14FCE74E"/>
    <w:multiLevelType w:val="hybridMultilevel"/>
    <w:lvl w:ilvl="0">
      <w:lvlJc w:val="left"/>
      <w:lvlText w:val="(%1)"/>
      <w:numFmt w:val="lowerLetter"/>
      <w:start w:val="1"/>
    </w:lvl>
    <w:lvl w:ilvl="1">
      <w:lvlJc w:val="left"/>
      <w:lvlText w:val="%2"/>
      <w:numFmt w:val="lowerLetter"/>
      <w:start w:val="1"/>
    </w:lvl>
  </w:abstractNum>
  <w:abstractNum w:abstractNumId="56">
    <w:nsid w:val="6A3DD3E8"/>
    <w:multiLevelType w:val="hybridMultilevel"/>
    <w:lvl w:ilvl="0">
      <w:lvlJc w:val="left"/>
      <w:lvlText w:val="%1"/>
      <w:numFmt w:val="lowerLetter"/>
      <w:start w:val="1"/>
    </w:lvl>
    <w:lvl w:ilvl="1">
      <w:lvlJc w:val="left"/>
      <w:lvlText w:val="(%2)"/>
      <w:numFmt w:val="lowerLetter"/>
      <w:start w:val="3"/>
    </w:lvl>
  </w:abstractNum>
  <w:abstractNum w:abstractNumId="57">
    <w:nsid w:val="71C91298"/>
    <w:multiLevelType w:val="hybridMultilevel"/>
    <w:lvl w:ilvl="0">
      <w:lvlJc w:val="left"/>
      <w:lvlText w:val="(%1)"/>
      <w:numFmt w:val="lowerLetter"/>
      <w:start w:val="61"/>
    </w:lvl>
    <w:lvl w:ilvl="1">
      <w:lvlJc w:val="left"/>
      <w:lvlText w:val="%2"/>
      <w:numFmt w:val="lowerLetter"/>
      <w:start w:val="1"/>
    </w:lvl>
  </w:abstractNum>
  <w:abstractNum w:abstractNumId="58">
    <w:nsid w:val="9DAF632"/>
    <w:multiLevelType w:val="hybridMultilevel"/>
    <w:lvl w:ilvl="0">
      <w:lvlJc w:val="left"/>
      <w:lvlText w:val="(%1)"/>
      <w:numFmt w:val="lowerLetter"/>
      <w:start w:val="10"/>
    </w:lvl>
  </w:abstractNum>
  <w:abstractNum w:abstractNumId="59">
    <w:nsid w:val="53299938"/>
    <w:multiLevelType w:val="hybridMultilevel"/>
    <w:lvl w:ilvl="0">
      <w:lvlJc w:val="left"/>
      <w:lvlText w:val="(%1)"/>
      <w:numFmt w:val="lowerLetter"/>
      <w:start w:val="14"/>
    </w:lvl>
  </w:abstractNum>
  <w:abstractNum w:abstractNumId="60">
    <w:nsid w:val="1FBFE8E0"/>
    <w:multiLevelType w:val="hybridMultilevel"/>
    <w:lvl w:ilvl="0">
      <w:lvlJc w:val="left"/>
      <w:lvlText w:val="(%1)"/>
      <w:numFmt w:val="lowerLetter"/>
      <w:start w:val="1"/>
    </w:lvl>
  </w:abstractNum>
  <w:abstractNum w:abstractNumId="61">
    <w:nsid w:val="5092CA79"/>
    <w:multiLevelType w:val="hybridMultilevel"/>
    <w:lvl w:ilvl="0">
      <w:lvlJc w:val="left"/>
      <w:lvlText w:val="(%1)"/>
      <w:numFmt w:val="lowerRoman"/>
      <w:start w:val="6"/>
    </w:lvl>
    <w:lvl w:ilvl="1">
      <w:lvlJc w:val="left"/>
      <w:lvlText w:val="(%2)"/>
      <w:numFmt w:val="lowerLetter"/>
      <w:start w:val="2"/>
    </w:lvl>
  </w:abstractNum>
  <w:abstractNum w:abstractNumId="62">
    <w:nsid w:val="1D545C4D"/>
    <w:multiLevelType w:val="hybridMultilevel"/>
    <w:lvl w:ilvl="0">
      <w:lvlJc w:val="left"/>
      <w:lvlText w:val="%1"/>
      <w:numFmt w:val="lowerLetter"/>
      <w:start w:val="1"/>
    </w:lvl>
    <w:lvl w:ilvl="1">
      <w:lvlJc w:val="left"/>
      <w:lvlText w:val="(%2)"/>
      <w:numFmt w:val="lowerLetter"/>
      <w:start w:val="1"/>
    </w:lvl>
  </w:abstractNum>
  <w:abstractNum w:abstractNumId="63">
    <w:nsid w:val="59ADEA3D"/>
    <w:multiLevelType w:val="hybridMultilevel"/>
    <w:lvl w:ilvl="0">
      <w:lvlJc w:val="left"/>
      <w:lvlText w:val="(%1)"/>
      <w:numFmt w:val="lowerLetter"/>
      <w:start w:val="35"/>
    </w:lvl>
    <w:lvl w:ilvl="1">
      <w:lvlJc w:val="left"/>
      <w:lvlText w:val="%2"/>
      <w:numFmt w:val="lowerLetter"/>
      <w:start w:val="1"/>
    </w:lvl>
  </w:abstractNum>
  <w:abstractNum w:abstractNumId="64">
    <w:nsid w:val="288F1A34"/>
    <w:multiLevelType w:val="hybridMultilevel"/>
    <w:lvl w:ilvl="0">
      <w:lvlJc w:val="left"/>
      <w:lvlText w:val="(%1)"/>
      <w:numFmt w:val="lowerLetter"/>
      <w:start w:val="1"/>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Roman"/>
      <w:start w:val="2"/>
    </w:lvl>
  </w:abstractNum>
  <w:abstractNum w:abstractNumId="67">
    <w:nsid w:val="97E1B4E"/>
    <w:multiLevelType w:val="hybridMultilevel"/>
    <w:lvl w:ilvl="0">
      <w:lvlJc w:val="left"/>
      <w:lvlText w:val="(%1)"/>
      <w:numFmt w:val="lowerLetter"/>
      <w:start w:val="1"/>
    </w:lvl>
  </w:abstractNum>
  <w:abstractNum w:abstractNumId="68">
    <w:nsid w:val="51088277"/>
    <w:multiLevelType w:val="hybridMultilevel"/>
    <w:lvl w:ilvl="0">
      <w:lvlJc w:val="left"/>
      <w:lvlText w:val="(%1)"/>
      <w:numFmt w:val="lowerLetter"/>
      <w:start w:val="1"/>
    </w:lvl>
    <w:lvl w:ilvl="1">
      <w:lvlJc w:val="left"/>
      <w:lvlText w:val="(%2)"/>
      <w:numFmt w:val="lowerRoman"/>
      <w:start w:val="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lowerLetter"/>
      <w:start w:val="1"/>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2"/>
    </w:lvl>
  </w:abstractNum>
  <w:abstractNum w:abstractNumId="73">
    <w:nsid w:val="23D86AAC"/>
    <w:multiLevelType w:val="hybridMultilevel"/>
    <w:lvl w:ilvl="0">
      <w:lvlJc w:val="left"/>
      <w:lvlText w:val="(%1)"/>
      <w:numFmt w:val="lowerLetter"/>
      <w:start w:val="2"/>
    </w:lvl>
  </w:abstractNum>
  <w:abstractNum w:abstractNumId="74">
    <w:nsid w:val="45E6D486"/>
    <w:multiLevelType w:val="hybridMultilevel"/>
    <w:lvl w:ilvl="0">
      <w:lvlJc w:val="left"/>
      <w:lvlText w:val="(%1)"/>
      <w:numFmt w:val="lowerLetter"/>
      <w:start w:val="1"/>
    </w:lvl>
  </w:abstractNum>
  <w:abstractNum w:abstractNumId="75">
    <w:nsid w:val="5C10FE21"/>
    <w:multiLevelType w:val="hybridMultilevel"/>
    <w:lvl w:ilvl="0">
      <w:lvlJc w:val="left"/>
      <w:lvlText w:val="%1"/>
      <w:numFmt w:val="decimal"/>
      <w:start w:val="1"/>
    </w:lvl>
    <w:lvl w:ilvl="1">
      <w:lvlJc w:val="left"/>
      <w:lvlText w:val="(%2)"/>
      <w:numFmt w:val="lowerLetter"/>
      <w:start w:val="1"/>
    </w:lvl>
  </w:abstractNum>
  <w:abstractNum w:abstractNumId="76">
    <w:nsid w:val="E7FFA2B"/>
    <w:multiLevelType w:val="hybridMultilevel"/>
    <w:lvl w:ilvl="0">
      <w:lvlJc w:val="left"/>
      <w:lvlText w:val="(%1)"/>
      <w:numFmt w:val="decimal"/>
      <w:start w:val="1"/>
    </w:lvl>
    <w:lvl w:ilvl="1">
      <w:lvlJc w:val="left"/>
      <w:lvlText w:val="%2"/>
      <w:numFmt w:val="lowerLetter"/>
      <w:start w:val="1"/>
    </w:lvl>
  </w:abstractNum>
  <w:abstractNum w:abstractNumId="77">
    <w:nsid w:val="3C5991AA"/>
    <w:multiLevelType w:val="hybridMultilevel"/>
    <w:lvl w:ilvl="0">
      <w:lvlJc w:val="left"/>
      <w:lvlText w:val="(%1)"/>
      <w:numFmt w:val="lowerLetter"/>
      <w:start w:val="3"/>
    </w:lvl>
  </w:abstractNum>
  <w:abstractNum w:abstractNumId="78">
    <w:nsid w:val="4BD8591A"/>
    <w:multiLevelType w:val="hybridMultilevel"/>
    <w:lvl w:ilvl="0">
      <w:lvlJc w:val="left"/>
      <w:lvlText w:val="(%1)"/>
      <w:numFmt w:val="lowerLetter"/>
      <w:start w:val="1"/>
    </w:lvl>
    <w:lvl w:ilvl="1">
      <w:lvlJc w:val="left"/>
      <w:lvlText w:val="(%2)"/>
      <w:numFmt w:val="lowerRoman"/>
      <w:start w:val="1"/>
    </w:lvl>
  </w:abstractNum>
  <w:abstractNum w:abstractNumId="79">
    <w:nsid w:val="78DF6A55"/>
    <w:multiLevelType w:val="hybridMultilevel"/>
    <w:lvl w:ilvl="0">
      <w:lvlJc w:val="left"/>
      <w:lvlText w:val="(%1)"/>
      <w:numFmt w:val="lowerRoman"/>
      <w:start w:val="4"/>
    </w:lvl>
  </w:abstractNum>
  <w:abstractNum w:abstractNumId="80">
    <w:nsid w:val="39B7AAA2"/>
    <w:multiLevelType w:val="hybridMultilevel"/>
    <w:lvl w:ilvl="0">
      <w:lvlJc w:val="left"/>
      <w:lvlText w:val="(%1)"/>
      <w:numFmt w:val="lowerRoman"/>
      <w:start w:val="7"/>
    </w:lvl>
  </w:abstractNum>
  <w:abstractNum w:abstractNumId="81">
    <w:nsid w:val="2B0D8DBE"/>
    <w:multiLevelType w:val="hybridMultilevel"/>
    <w:lvl w:ilvl="0">
      <w:lvlJc w:val="left"/>
      <w:lvlText w:val="(%1)"/>
      <w:numFmt w:val="lowerRoman"/>
      <w:start w:val="9"/>
    </w:lvl>
  </w:abstractNum>
  <w:abstractNum w:abstractNumId="82">
    <w:nsid w:val="6C80EC70"/>
    <w:multiLevelType w:val="hybridMultilevel"/>
    <w:lvl w:ilvl="0">
      <w:lvlJc w:val="left"/>
      <w:lvlText w:val="%1"/>
      <w:numFmt w:val="lowerLetter"/>
      <w:start w:val="1"/>
    </w:lvl>
    <w:lvl w:ilvl="1">
      <w:lvlJc w:val="left"/>
      <w:lvlText w:val="(%2)"/>
      <w:numFmt w:val="lowerLetter"/>
      <w:start w:val="4"/>
    </w:lvl>
  </w:abstractNum>
  <w:abstractNum w:abstractNumId="83">
    <w:nsid w:val="379E21B5"/>
    <w:multiLevelType w:val="hybridMultilevel"/>
    <w:lvl w:ilvl="0">
      <w:lvlJc w:val="left"/>
      <w:lvlText w:val="(%1)"/>
      <w:numFmt w:val="lowerLetter"/>
      <w:start w:val="35"/>
    </w:lvl>
    <w:lvl w:ilvl="1">
      <w:lvlJc w:val="left"/>
      <w:lvlText w:val="%2"/>
      <w:numFmt w:val="lowerLetter"/>
      <w:start w:val="1"/>
    </w:lvl>
  </w:abstractNum>
  <w:abstractNum w:abstractNumId="84">
    <w:nsid w:val="69E373"/>
    <w:multiLevelType w:val="hybridMultilevel"/>
    <w:lvl w:ilvl="0">
      <w:lvlJc w:val="left"/>
      <w:lvlText w:val="(%1)"/>
      <w:numFmt w:val="lowerLetter"/>
      <w:start w:val="1"/>
    </w:lvl>
  </w:abstractNum>
  <w:abstractNum w:abstractNumId="85">
    <w:nsid w:val="2C27173B"/>
    <w:multiLevelType w:val="hybridMultilevel"/>
    <w:lvl w:ilvl="0">
      <w:lvlJc w:val="left"/>
      <w:lvlText w:val="(%1)"/>
      <w:numFmt w:val="lowerLetter"/>
      <w:start w:val="1"/>
    </w:lvl>
  </w:abstractNum>
  <w:abstractNum w:abstractNumId="86">
    <w:nsid w:val="4C9B0904"/>
    <w:multiLevelType w:val="hybridMultilevel"/>
    <w:lvl w:ilvl="0">
      <w:lvlJc w:val="left"/>
      <w:lvlText w:val="(%1)"/>
      <w:numFmt w:val="lowerLetter"/>
      <w:start w:val="6"/>
    </w:lvl>
    <w:lvl w:ilvl="1">
      <w:lvlJc w:val="left"/>
      <w:lvlText w:val="(%2)"/>
      <w:numFmt w:val="lowerRoman"/>
      <w:start w:val="12"/>
    </w:lvl>
    <w:lvl w:ilvl="2">
      <w:lvlJc w:val="left"/>
      <w:lvlText w:val="(%3)"/>
      <w:numFmt w:val="upperLetter"/>
      <w:start w:val="1"/>
    </w:lvl>
  </w:abstractNum>
  <w:abstractNum w:abstractNumId="87">
    <w:nsid w:val="6AA7B75C"/>
    <w:multiLevelType w:val="hybridMultilevel"/>
    <w:lvl w:ilvl="0">
      <w:lvlJc w:val="left"/>
      <w:lvlText w:val="(%1)"/>
      <w:numFmt w:val="lowerLetter"/>
      <w:start w:val="25"/>
    </w:lvl>
  </w:abstractNum>
  <w:abstractNum w:abstractNumId="88">
    <w:nsid w:val="1DF029D3"/>
    <w:multiLevelType w:val="hybridMultilevel"/>
    <w:lvl w:ilvl="0">
      <w:lvlJc w:val="left"/>
      <w:lvlText w:val="%1."/>
      <w:numFmt w:val="decimal"/>
      <w:start w:val="2"/>
    </w:lvl>
  </w:abstractNum>
  <w:abstractNum w:abstractNumId="89">
    <w:nsid w:val="5675FF36"/>
    <w:multiLevelType w:val="hybridMultilevel"/>
    <w:lvl w:ilvl="0">
      <w:lvlJc w:val="left"/>
      <w:lvlText w:val="(%1)"/>
      <w:numFmt w:val="lowerRoman"/>
      <w:start w:val="10"/>
    </w:lvl>
  </w:abstractNum>
  <w:abstractNum w:abstractNumId="90">
    <w:nsid w:val="3DD15094"/>
    <w:multiLevelType w:val="hybridMultilevel"/>
    <w:lvl w:ilvl="0">
      <w:lvlJc w:val="left"/>
      <w:lvlText w:val="(%1)"/>
      <w:numFmt w:val="upperLetter"/>
      <w:start w:val="3"/>
    </w:lvl>
  </w:abstractNum>
  <w:abstractNum w:abstractNumId="91">
    <w:nsid w:val="3DB012B3"/>
    <w:multiLevelType w:val="hybridMultilevel"/>
    <w:lvl w:ilvl="0">
      <w:lvlJc w:val="left"/>
      <w:lvlText w:val="(%1)"/>
      <w:numFmt w:val="upperLetter"/>
      <w:start w:val="5"/>
    </w:lvl>
  </w:abstractNum>
  <w:abstractNum w:abstractNumId="92">
    <w:nsid w:val="2708C9AF"/>
    <w:multiLevelType w:val="hybridMultilevel"/>
    <w:lvl w:ilvl="0">
      <w:lvlJc w:val="left"/>
      <w:lvlText w:val="(%1)"/>
      <w:numFmt w:val="lowerLetter"/>
      <w:start w:val="7"/>
    </w:lvl>
  </w:abstractNum>
  <w:abstractNum w:abstractNumId="93">
    <w:nsid w:val="5B25ACE2"/>
    <w:multiLevelType w:val="hybridMultilevel"/>
    <w:lvl w:ilvl="0">
      <w:lvlJc w:val="left"/>
      <w:lvlText w:val="(%1)"/>
      <w:numFmt w:val="lowerLetter"/>
      <w:start w:val="1"/>
    </w:lvl>
  </w:abstractNum>
  <w:abstractNum w:abstractNumId="94">
    <w:nsid w:val="175DFCF0"/>
    <w:multiLevelType w:val="hybridMultilevel"/>
    <w:lvl w:ilvl="0">
      <w:lvlJc w:val="left"/>
      <w:lvlText w:val="(%1)"/>
      <w:numFmt w:val="lowerLetter"/>
      <w:start w:val="3"/>
    </w:lvl>
  </w:abstractNum>
  <w:abstractNum w:abstractNumId="95">
    <w:nsid w:val="4F97E3E4"/>
    <w:multiLevelType w:val="hybridMultilevel"/>
    <w:lvl w:ilvl="0">
      <w:lvlJc w:val="left"/>
      <w:lvlText w:val="(%1)"/>
      <w:numFmt w:val="lowerLetter"/>
      <w:start w:val="2"/>
    </w:lvl>
  </w:abstractNum>
  <w:abstractNum w:abstractNumId="96">
    <w:nsid w:val="53B0A9E"/>
    <w:multiLevelType w:val="hybridMultilevel"/>
    <w:lvl w:ilvl="0">
      <w:lvlJc w:val="left"/>
      <w:lvlText w:val="(%1)"/>
      <w:numFmt w:val="lowerLetter"/>
      <w:start w:val="1"/>
    </w:lvl>
  </w:abstractNum>
  <w:abstractNum w:abstractNumId="97">
    <w:nsid w:val="34FD6B4F"/>
    <w:multiLevelType w:val="hybridMultilevel"/>
    <w:lvl w:ilvl="0">
      <w:lvlJc w:val="left"/>
      <w:lvlText w:val="(%1)"/>
      <w:numFmt w:val="lowerLetter"/>
      <w:start w:val="8"/>
    </w:lvl>
  </w:abstractNum>
  <w:abstractNum w:abstractNumId="98">
    <w:nsid w:val="5915FF32"/>
    <w:multiLevelType w:val="hybridMultilevel"/>
    <w:lvl w:ilvl="0">
      <w:lvlJc w:val="left"/>
      <w:lvlText w:val="(%1)"/>
      <w:numFmt w:val="lowerLetter"/>
      <w:start w:val="4"/>
    </w:lvl>
  </w:abstractNum>
  <w:abstractNum w:abstractNumId="99">
    <w:nsid w:val="56438D15"/>
    <w:multiLevelType w:val="hybridMultilevel"/>
    <w:lvl w:ilvl="0">
      <w:lvlJc w:val="left"/>
      <w:lvlText w:val="(%1)"/>
      <w:numFmt w:val="lowerLetter"/>
      <w:start w:val="1"/>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1)"/>
      <w:numFmt w:val="lowerLetter"/>
      <w:start w:val="9"/>
    </w:lvl>
    <w:lvl w:ilvl="1">
      <w:lvlJc w:val="left"/>
      <w:lvlText w:val="(%2)"/>
      <w:numFmt w:val="lowerLetter"/>
      <w:start w:val="2"/>
    </w:lvl>
  </w:abstractNum>
  <w:abstractNum w:abstractNumId="102">
    <w:nsid w:val="17A1B582"/>
    <w:multiLevelType w:val="hybridMultilevel"/>
    <w:lvl w:ilvl="0">
      <w:lvlJc w:val="left"/>
      <w:lvlText w:val="(%1)"/>
      <w:numFmt w:val="lowerLetter"/>
      <w:start w:val="4"/>
    </w:lvl>
  </w:abstractNum>
  <w:abstractNum w:abstractNumId="103">
    <w:nsid w:val="4DF72E4E"/>
    <w:multiLevelType w:val="hybridMultilevel"/>
    <w:lvl w:ilvl="0">
      <w:lvlJc w:val="left"/>
      <w:lvlText w:val="%1"/>
      <w:numFmt w:val="lowerLetter"/>
      <w:start w:val="1"/>
    </w:lvl>
    <w:lvl w:ilvl="1">
      <w:lvlJc w:val="left"/>
      <w:lvlText w:val="(%2)"/>
      <w:numFmt w:val="lowerLetter"/>
      <w:start w:val="1"/>
    </w:lvl>
  </w:abstractNum>
  <w:abstractNum w:abstractNumId="104">
    <w:nsid w:val="5046B5A9"/>
    <w:multiLevelType w:val="hybridMultilevel"/>
    <w:lvl w:ilvl="0">
      <w:lvlJc w:val="left"/>
      <w:lvlText w:val="(%1)"/>
      <w:numFmt w:val="lowerLetter"/>
      <w:start w:val="35"/>
    </w:lvl>
    <w:lvl w:ilvl="1">
      <w:lvlJc w:val="left"/>
      <w:lvlText w:val="(%2)"/>
      <w:numFmt w:val="lowerLetter"/>
      <w:start w:val="2"/>
    </w:lvl>
  </w:abstractNum>
  <w:abstractNum w:abstractNumId="105">
    <w:nsid w:val="5D888A08"/>
    <w:multiLevelType w:val="hybridMultilevel"/>
    <w:lvl w:ilvl="0">
      <w:lvlJc w:val="left"/>
      <w:lvlText w:val="(%1)"/>
      <w:numFmt w:val="lowerLetter"/>
      <w:start w:val="5"/>
    </w:lvl>
  </w:abstractNum>
  <w:abstractNum w:abstractNumId="106">
    <w:nsid w:val="2A082C70"/>
    <w:multiLevelType w:val="hybridMultilevel"/>
    <w:lvl w:ilvl="0">
      <w:lvlJc w:val="left"/>
      <w:lvlText w:val="(%1)"/>
      <w:numFmt w:val="lowerLetter"/>
      <w:start w:val="12"/>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Letter"/>
      <w:start w:val="1"/>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1"/>
    </w:lvl>
    <w:lvl w:ilvl="1">
      <w:lvlJc w:val="left"/>
      <w:lvlText w:val="(%2)"/>
      <w:numFmt w:val="lowerRoman"/>
      <w:start w:val="1"/>
    </w:lvl>
  </w:abstractNum>
  <w:abstractNum w:abstractNumId="111">
    <w:nsid w:val="5399C654"/>
    <w:multiLevelType w:val="hybridMultilevel"/>
    <w:lvl w:ilvl="0">
      <w:lvlJc w:val="left"/>
      <w:lvlText w:val="%1"/>
      <w:numFmt w:val="lowerLetter"/>
      <w:start w:val="1"/>
    </w:lvl>
    <w:lvl w:ilvl="1">
      <w:lvlJc w:val="left"/>
      <w:lvlText w:val="(%2)"/>
      <w:numFmt w:val="lowerLetter"/>
      <w:start w:val="61"/>
    </w:lvl>
  </w:abstractNum>
  <w:abstractNum w:abstractNumId="112">
    <w:nsid w:val="20EE1348"/>
    <w:multiLevelType w:val="hybridMultilevel"/>
    <w:lvl w:ilvl="0">
      <w:lvlJc w:val="left"/>
      <w:lvlText w:val="(%1)"/>
      <w:numFmt w:val="lowerLetter"/>
      <w:start w:val="2"/>
    </w:lvl>
    <w:lvl w:ilvl="1">
      <w:lvlJc w:val="left"/>
      <w:lvlText w:val="%2"/>
      <w:numFmt w:val="lowerLetter"/>
      <w:start w:val="1"/>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1"/>
    </w:lvl>
    <w:lvl w:ilvl="1">
      <w:lvlJc w:val="left"/>
      <w:lvlText w:val="(%2)"/>
      <w:numFmt w:val="lowerRoman"/>
      <w:start w:val="1"/>
    </w:lvl>
  </w:abstractNum>
  <w:abstractNum w:abstractNumId="115">
    <w:nsid w:val="2157F6BC"/>
    <w:multiLevelType w:val="hybridMultilevel"/>
    <w:lvl w:ilvl="0">
      <w:lvlJc w:val="left"/>
      <w:lvlText w:val="(%1)"/>
      <w:numFmt w:val="lowerLetter"/>
      <w:start w:val="2"/>
    </w:lvl>
  </w:abstractNum>
  <w:abstractNum w:abstractNumId="116">
    <w:nsid w:val="704E1DD5"/>
    <w:multiLevelType w:val="hybridMultilevel"/>
    <w:lvl w:ilvl="0">
      <w:lvlJc w:val="left"/>
      <w:lvlText w:val="(%1)"/>
      <w:numFmt w:val="lowerLetter"/>
      <w:start w:val="1"/>
    </w:lvl>
    <w:lvl w:ilvl="1">
      <w:lvlJc w:val="left"/>
      <w:lvlText w:val="(%2)"/>
      <w:numFmt w:val="lowerLetter"/>
      <w:start w:val="9"/>
    </w:lvl>
  </w:abstractNum>
  <w:abstractNum w:abstractNumId="117">
    <w:nsid w:val="57D2F10E"/>
    <w:multiLevelType w:val="hybridMultilevel"/>
    <w:lvl w:ilvl="0">
      <w:lvlJc w:val="left"/>
      <w:lvlText w:val="%1"/>
      <w:numFmt w:val="lowerLetter"/>
      <w:start w:val="1"/>
    </w:lvl>
    <w:lvl w:ilvl="1">
      <w:lvlJc w:val="left"/>
      <w:lvlText w:val="(%2)"/>
      <w:numFmt w:val="lowerRoman"/>
      <w:start w:val="2"/>
    </w:lvl>
  </w:abstractNum>
  <w:abstractNum w:abstractNumId="118">
    <w:nsid w:val="BFFAE18"/>
    <w:multiLevelType w:val="hybridMultilevel"/>
    <w:lvl w:ilvl="0">
      <w:lvlJc w:val="left"/>
      <w:lvlText w:val="(%1)"/>
      <w:numFmt w:val="lowerLetter"/>
      <w:start w:val="2"/>
    </w:lvl>
    <w:lvl w:ilvl="1">
      <w:lvlJc w:val="left"/>
      <w:lvlText w:val="%2"/>
      <w:numFmt w:val="lowerRoman"/>
      <w:start w:val="1"/>
    </w:lvl>
  </w:abstractNum>
  <w:abstractNum w:abstractNumId="119">
    <w:nsid w:val="E3E47A8"/>
    <w:multiLevelType w:val="hybridMultilevel"/>
    <w:lvl w:ilvl="0">
      <w:lvlJc w:val="left"/>
      <w:lvlText w:val="%1"/>
      <w:numFmt w:val="lowerLetter"/>
      <w:start w:val="1"/>
    </w:lvl>
    <w:lvl w:ilvl="1">
      <w:lvlJc w:val="left"/>
      <w:lvlText w:val="(%2)"/>
      <w:numFmt w:val="lowerLetter"/>
      <w:start w:val="1"/>
    </w:lvl>
  </w:abstractNum>
  <w:abstractNum w:abstractNumId="120">
    <w:nsid w:val="2E48F044"/>
    <w:multiLevelType w:val="hybridMultilevel"/>
    <w:lvl w:ilvl="0">
      <w:lvlJc w:val="left"/>
      <w:lvlText w:val="(%1)"/>
      <w:numFmt w:val="lowerLetter"/>
      <w:start w:val="24"/>
    </w:lvl>
    <w:lvl w:ilvl="1">
      <w:lvlJc w:val="left"/>
      <w:lvlText w:val="%2"/>
      <w:numFmt w:val="lowerLetter"/>
      <w:start w:val="1"/>
    </w:lvl>
  </w:abstractNum>
  <w:abstractNum w:abstractNumId="121">
    <w:nsid w:val="49D0FEAC"/>
    <w:multiLevelType w:val="hybridMultilevel"/>
    <w:lvl w:ilvl="0">
      <w:lvlJc w:val="left"/>
      <w:lvlText w:val="(%1)"/>
      <w:numFmt w:val="lowerLetter"/>
      <w:start w:val="2"/>
    </w:lvl>
  </w:abstractNum>
  <w:abstractNum w:abstractNumId="122">
    <w:nsid w:val="4BEE5A5B"/>
    <w:multiLevelType w:val="hybridMultilevel"/>
    <w:lvl w:ilvl="0">
      <w:lvlJc w:val="left"/>
      <w:lvlText w:val="%1"/>
      <w:numFmt w:val="upperLetter"/>
      <w:start w:val="1"/>
    </w:lvl>
    <w:lvl w:ilvl="1">
      <w:lvlJc w:val="left"/>
      <w:lvlText w:val="(%2)"/>
      <w:numFmt w:val="lowerLetter"/>
      <w:start w:val="5"/>
    </w:lvl>
  </w:abstractNum>
  <w:abstractNum w:abstractNumId="123">
    <w:nsid w:val="5551B9F3"/>
    <w:multiLevelType w:val="hybridMultilevel"/>
    <w:lvl w:ilvl="0">
      <w:lvlJc w:val="left"/>
      <w:lvlText w:val="(%1)"/>
      <w:numFmt w:val="upperLetter"/>
      <w:start w:val="1"/>
    </w:lvl>
    <w:lvl w:ilvl="1">
      <w:lvlJc w:val="left"/>
      <w:lvlText w:val="(%2)"/>
      <w:numFmt w:val="lowerLetter"/>
      <w:start w:val="6"/>
    </w:lvl>
  </w:abstractNum>
  <w:abstractNum w:abstractNumId="124">
    <w:nsid w:val="24F6AB8E"/>
    <w:multiLevelType w:val="hybridMultilevel"/>
    <w:lvl w:ilvl="0">
      <w:lvlJc w:val="left"/>
      <w:lvlText w:val="(%1)"/>
      <w:numFmt w:val="lowerLetter"/>
      <w:start w:val="1"/>
    </w:lvl>
  </w:abstractNum>
  <w:abstractNum w:abstractNumId="125">
    <w:nsid w:val="634C574C"/>
    <w:multiLevelType w:val="hybridMultilevel"/>
    <w:lvl w:ilvl="0">
      <w:lvlJc w:val="left"/>
      <w:lvlText w:val="(%1)"/>
      <w:numFmt w:val="lowerLetter"/>
      <w:start w:val="2"/>
    </w:lvl>
  </w:abstractNum>
  <w:abstractNum w:abstractNumId="126">
    <w:nsid w:val="24E99DD7"/>
    <w:multiLevelType w:val="hybridMultilevel"/>
    <w:lvl w:ilvl="0">
      <w:lvlJc w:val="left"/>
      <w:lvlText w:val="(%1)"/>
      <w:numFmt w:val="lowerLetter"/>
      <w:start w:val="3"/>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3"/>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Roman"/>
      <w:start w:val="1"/>
    </w:lvl>
  </w:abstractNum>
  <w:abstractNum w:abstractNumId="131">
    <w:nsid w:val="69E7F3E5"/>
    <w:multiLevelType w:val="hybridMultilevel"/>
    <w:lvl w:ilvl="0">
      <w:lvlJc w:val="left"/>
      <w:lvlText w:val="(%1)"/>
      <w:numFmt w:val="lowerRoman"/>
      <w:start w:val="2"/>
    </w:lvl>
  </w:abstractNum>
  <w:abstractNum w:abstractNumId="132">
    <w:nsid w:val="2A6DE806"/>
    <w:multiLevelType w:val="hybridMultilevel"/>
    <w:lvl w:ilvl="0">
      <w:lvlJc w:val="left"/>
      <w:lvlText w:val="(%1)"/>
      <w:numFmt w:val="lowerRoman"/>
      <w:start w:val="8"/>
    </w:lvl>
  </w:abstractNum>
  <w:abstractNum w:abstractNumId="133">
    <w:nsid w:val="1816F8C4"/>
    <w:multiLevelType w:val="hybridMultilevel"/>
    <w:lvl w:ilvl="0">
      <w:lvlJc w:val="left"/>
      <w:lvlText w:val="(%1)"/>
      <w:numFmt w:val="lowerLetter"/>
      <w:start w:val="3"/>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lowerLetter"/>
      <w:start w:val="2"/>
    </w:lvl>
  </w:abstractNum>
  <w:abstractNum w:abstractNumId="136">
    <w:nsid w:val="759F82CD"/>
    <w:multiLevelType w:val="hybridMultilevel"/>
    <w:lvl w:ilvl="0">
      <w:lvlJc w:val="left"/>
      <w:lvlText w:val="(%1)"/>
      <w:numFmt w:val="lowerLetter"/>
      <w:start w:val="1"/>
    </w:lvl>
  </w:abstractNum>
  <w:abstractNum w:abstractNumId="137">
    <w:nsid w:val="61E74EA3"/>
    <w:multiLevelType w:val="hybridMultilevel"/>
    <w:lvl w:ilvl="0">
      <w:lvlJc w:val="left"/>
      <w:lvlText w:val="%1"/>
      <w:numFmt w:val="lowerLetter"/>
      <w:start w:val="1"/>
    </w:lvl>
    <w:lvl w:ilvl="1">
      <w:lvlJc w:val="left"/>
      <w:lvlText w:val="(%2)"/>
      <w:numFmt w:val="lowerLetter"/>
      <w:start w:val="2"/>
    </w:lvl>
  </w:abstractNum>
  <w:abstractNum w:abstractNumId="138">
    <w:nsid w:val="597B4D84"/>
    <w:multiLevelType w:val="hybridMultilevel"/>
    <w:lvl w:ilvl="0">
      <w:lvlJc w:val="left"/>
      <w:lvlText w:val="(%1)"/>
      <w:numFmt w:val="lowerLetter"/>
      <w:start w:val="35"/>
    </w:lvl>
    <w:lvl w:ilvl="1">
      <w:lvlJc w:val="left"/>
      <w:lvlText w:val="(%2)"/>
      <w:numFmt w:val="lowerLetter"/>
      <w:start w:val="3"/>
    </w:lvl>
  </w:abstractNum>
  <w:abstractNum w:abstractNumId="139">
    <w:nsid w:val="F819E7F"/>
    <w:multiLevelType w:val="hybridMultilevel"/>
    <w:lvl w:ilvl="0">
      <w:lvlJc w:val="left"/>
      <w:lvlText w:val="(%1)"/>
      <w:numFmt w:val="lowerLetter"/>
      <w:start w:val="1"/>
    </w:lvl>
  </w:abstractNum>
  <w:abstractNum w:abstractNumId="140">
    <w:nsid w:val="57C7D4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312167AD"/>
    <w:multiLevelType w:val="hybridMultilevel"/>
    <w:lvl w:ilvl="0">
      <w:lvlJc w:val="left"/>
      <w:lvlText w:val="%1"/>
      <w:numFmt w:val="decimal"/>
      <w:start w:val="1"/>
    </w:lvl>
    <w:lvl w:ilvl="1">
      <w:lvlJc w:val="left"/>
      <w:lvlText w:val="(%2)"/>
      <w:numFmt w:val="lowerRoman"/>
      <w:start w:val="2"/>
    </w:lvl>
  </w:abstractNum>
  <w:abstractNum w:abstractNumId="142">
    <w:nsid w:val="631B64D4"/>
    <w:multiLevelType w:val="hybridMultilevel"/>
    <w:lvl w:ilvl="0">
      <w:lvlJc w:val="left"/>
      <w:lvlText w:val="(%1)"/>
      <w:numFmt w:val="decimal"/>
      <w:start w:val="2"/>
    </w:lvl>
    <w:lvl w:ilvl="1">
      <w:lvlJc w:val="left"/>
      <w:lvlText w:val="(%2)"/>
      <w:numFmt w:val="lowerRoman"/>
      <w:start w:val="4"/>
    </w:lvl>
  </w:abstractNum>
  <w:abstractNum w:abstractNumId="143">
    <w:nsid w:val="78B5E776"/>
    <w:multiLevelType w:val="hybridMultilevel"/>
    <w:lvl w:ilvl="0">
      <w:lvlJc w:val="left"/>
      <w:lvlText w:val="(%1)"/>
      <w:numFmt w:val="upperLetter"/>
      <w:start w:val="1"/>
    </w:lvl>
    <w:lvl w:ilvl="1">
      <w:lvlJc w:val="left"/>
      <w:lvlText w:val="(%2)"/>
      <w:numFmt w:val="lowerRoman"/>
      <w:start w:val="6"/>
    </w:lvl>
  </w:abstractNum>
  <w:abstractNum w:abstractNumId="144">
    <w:nsid w:val="75486E47"/>
    <w:multiLevelType w:val="hybridMultilevel"/>
    <w:lvl w:ilvl="0">
      <w:lvlJc w:val="left"/>
      <w:lvlText w:val="(%1)"/>
      <w:numFmt w:val="lowerLetter"/>
      <w:start w:val="3"/>
    </w:lvl>
    <w:lvl w:ilvl="1">
      <w:lvlJc w:val="left"/>
      <w:lvlText w:val="(%2)"/>
      <w:numFmt w:val="lowerRoman"/>
      <w:start w:val="1"/>
    </w:lvl>
  </w:abstractNum>
  <w:abstractNum w:abstractNumId="145">
    <w:nsid w:val="6E534CDE"/>
    <w:multiLevelType w:val="hybridMultilevel"/>
    <w:lvl w:ilvl="0">
      <w:lvlJc w:val="left"/>
      <w:lvlText w:val="(%1)"/>
      <w:numFmt w:val="lowerLetter"/>
      <w:start w:val="5"/>
    </w:lvl>
  </w:abstractNum>
  <w:abstractNum w:abstractNumId="146">
    <w:nsid w:val="1A0DDE32"/>
    <w:multiLevelType w:val="hybridMultilevel"/>
    <w:lvl w:ilvl="0">
      <w:lvlJc w:val="left"/>
      <w:lvlText w:val="(%1)"/>
      <w:numFmt w:val="lowerLetter"/>
      <w:start w:val="2"/>
    </w:lvl>
    <w:lvl w:ilvl="1">
      <w:lvlJc w:val="left"/>
      <w:lvlText w:val="(%2)"/>
      <w:numFmt w:val="lowerRoman"/>
      <w:start w:val="1"/>
    </w:lvl>
  </w:abstractNum>
  <w:abstractNum w:abstractNumId="147">
    <w:nsid w:val="65968C1C"/>
    <w:multiLevelType w:val="hybridMultilevel"/>
    <w:lvl w:ilvl="0">
      <w:lvlJc w:val="left"/>
      <w:lvlText w:val="(%1)"/>
      <w:numFmt w:val="lowerRoman"/>
      <w:start w:val="3"/>
    </w:lvl>
  </w:abstractNum>
  <w:abstractNum w:abstractNumId="148">
    <w:nsid w:val="46263DEC"/>
    <w:multiLevelType w:val="hybridMultilevel"/>
    <w:lvl w:ilvl="0">
      <w:lvlJc w:val="left"/>
      <w:lvlText w:val="%1"/>
      <w:numFmt w:val="lowerLetter"/>
      <w:start w:val="1"/>
    </w:lvl>
    <w:lvl w:ilvl="1">
      <w:lvlJc w:val="left"/>
      <w:lvlText w:val="(%2)"/>
      <w:numFmt w:val="lowerLetter"/>
      <w:start w:val="1"/>
    </w:lvl>
  </w:abstractNum>
  <w:abstractNum w:abstractNumId="149">
    <w:nsid w:val="260D8C4A"/>
    <w:multiLevelType w:val="hybridMultilevel"/>
    <w:lvl w:ilvl="0">
      <w:lvlJc w:val="left"/>
      <w:lvlText w:val="(%1)"/>
      <w:numFmt w:val="lowerLetter"/>
      <w:start w:val="9"/>
    </w:lvl>
    <w:lvl w:ilvl="1">
      <w:lvlJc w:val="left"/>
      <w:lvlText w:val="%2"/>
      <w:numFmt w:val="lowerLetter"/>
      <w:start w:val="1"/>
    </w:lvl>
  </w:abstractNum>
  <w:abstractNum w:abstractNumId="150">
    <w:nsid w:val="73D4D3C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2026-02-20T06:09:52Z</dcterms:created>
  <dcterms:modified xsi:type="dcterms:W3CDTF">2026-02-20T06:09:52Z</dcterms:modified>
</cp:coreProperties>
</file>