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50930.htm"/>
      <w:bookmarkStart w:id="1" w:name="ksgtbif2025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September 30, 2025</w:t>
      </w:r>
    </w:p>
    <w:p>
      <w:pPr>
        <w:pStyle w:val="TextBody"/>
        <w:bidi w:val="0"/>
        <w:spacing w:before="10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100" w:after="283"/>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16"/>
        </w:rPr>
        <w:t>Commission file number 000-56132</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44"/>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British Columbia</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98-1437430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incorporation or organization)</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identification no.)</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325 West Huron Street,</w:t>
            </w:r>
          </w:p>
          <w:p>
            <w:pPr>
              <w:pStyle w:val="TableContents"/>
              <w:bidi w:val="0"/>
              <w:spacing w:before="0" w:after="20"/>
              <w:jc w:val="center"/>
              <w:rPr>
                <w:rFonts w:ascii="Times New Roman" w:hAnsi="Times New Roman"/>
                <w:sz w:val="20"/>
              </w:rPr>
            </w:pPr>
            <w:r>
              <w:rPr>
                <w:rFonts w:ascii="Times New Roman" w:hAnsi="Times New Roman"/>
                <w:b/>
                <w:color w:val="000000"/>
                <w:sz w:val="16"/>
              </w:rPr>
              <w:t>Suite 700</w:t>
            </w:r>
            <w:r>
              <w:rPr>
                <w:rFonts w:ascii="Times New Roman" w:hAnsi="Times New Roman"/>
                <w:color w:val="000000"/>
                <w:sz w:val="20"/>
              </w:rPr>
              <w:t xml:space="preserve"> </w:t>
            </w:r>
            <w:r>
              <w:rPr>
                <w:rFonts w:ascii="Times New Roman" w:hAnsi="Times New Roman"/>
                <w:b/>
                <w:color w:val="000000"/>
                <w:sz w:val="16"/>
              </w:rPr>
              <w:t>Chicago, Illinois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60654</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00" w:after="283"/>
        <w:jc w:val="center"/>
        <w:rPr>
          <w:rFonts w:ascii="Times New Roman" w:hAnsi="Times New Roman"/>
          <w:sz w:val="20"/>
        </w:rPr>
      </w:pPr>
      <w:r>
        <w:rPr>
          <w:rFonts w:ascii="Times New Roman" w:hAnsi="Times New Roman"/>
          <w:b/>
          <w:color w:val="000000"/>
          <w:sz w:val="16"/>
        </w:rPr>
        <w:t>Registrant’s telephone number, including area code - (312) 471-6720</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Subordinate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Multiple Voting Shares</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Super Voting Shares</w:t>
      </w:r>
    </w:p>
    <w:p>
      <w:pPr>
        <w:pStyle w:val="TextBody"/>
        <w:bidi w:val="0"/>
        <w:jc w:val="center"/>
        <w:rPr>
          <w:rFonts w:ascii="Times New Roman" w:hAnsi="Times New Roman"/>
          <w:sz w:val="20"/>
        </w:rPr>
      </w:pPr>
      <w:r>
        <w:rPr>
          <w:rFonts w:ascii="Times New Roman" w:hAnsi="Times New Roman"/>
          <w:b/>
          <w:color w:val="000000"/>
          <w:sz w:val="12"/>
        </w:rPr>
        <w:t>(Title of each Class)</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As of November 1, 2025 there were 207,360,930</w:t>
      </w:r>
      <w:r>
        <w:rPr>
          <w:rFonts w:ascii="Times New Roman" w:hAnsi="Times New Roman"/>
          <w:color w:val="000000"/>
          <w:sz w:val="20"/>
        </w:rPr>
        <w:t xml:space="preserve"> </w:t>
      </w:r>
      <w:r>
        <w:rPr>
          <w:rFonts w:ascii="Times New Roman" w:hAnsi="Times New Roman"/>
          <w:color w:val="000000"/>
          <w:sz w:val="16"/>
        </w:rPr>
        <w:t>shares of the registrant’s Subordinate Voting Shares, 37,472</w:t>
      </w:r>
      <w:r>
        <w:rPr>
          <w:rFonts w:ascii="Times New Roman" w:hAnsi="Times New Roman"/>
          <w:color w:val="000000"/>
          <w:sz w:val="20"/>
        </w:rPr>
        <w:t xml:space="preserve"> </w:t>
      </w:r>
      <w:r>
        <w:rPr>
          <w:rFonts w:ascii="Times New Roman" w:hAnsi="Times New Roman"/>
          <w:color w:val="000000"/>
          <w:sz w:val="16"/>
        </w:rPr>
        <w:t>shares of the registrant’s Multiple Voting Shares and 206,690</w:t>
      </w:r>
      <w:r>
        <w:rPr>
          <w:rFonts w:ascii="Times New Roman" w:hAnsi="Times New Roman"/>
          <w:color w:val="000000"/>
          <w:sz w:val="20"/>
        </w:rPr>
        <w:t xml:space="preserve"> </w:t>
      </w:r>
      <w:r>
        <w:rPr>
          <w:rFonts w:ascii="Times New Roman" w:hAnsi="Times New Roman"/>
          <w:color w:val="000000"/>
          <w:sz w:val="16"/>
        </w:rPr>
        <w:t>shares of the registrant’s Super Voting Shares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86"/>
        <w:gridCol w:w="7818"/>
        <w:gridCol w:w="601"/>
      </w:tblGrid>
      <w:tr>
        <w:trPr/>
        <w:tc>
          <w:tcPr>
            <w:tcW w:w="1786" w:type="dxa"/>
            <w:tcBorders/>
            <w:vAlign w:val="center"/>
          </w:tcPr>
          <w:p>
            <w:pPr>
              <w:pStyle w:val="TableContents"/>
              <w:bidi w:val="0"/>
              <w:spacing w:before="0" w:after="283"/>
              <w:jc w:val="left"/>
              <w:rPr>
                <w:sz w:val="4"/>
                <w:szCs w:val="4"/>
              </w:rPr>
            </w:pPr>
            <w:r>
              <w:rPr>
                <w:sz w:val="4"/>
                <w:szCs w:val="4"/>
              </w:rPr>
            </w:r>
          </w:p>
        </w:tc>
        <w:tc>
          <w:tcPr>
            <w:tcW w:w="78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604"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FINANCIAL</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INFORMATION</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Balance Sheets as of September 30, 2025 and December 31,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Operations for the three and nine months ended September 30,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Changes in Shareholders’ Equity for the three and nine months ended September 30,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Cash Flows for the nine months ended September 30,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to Unaudited Interim Condensed Consolidated Financial Statements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mda">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quant_and_qual_disclosure_market_risk">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trols_and_procedures">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Controls and Procedures</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20"/>
              <w:ind w:left="0" w:right="0" w:firstLine="240"/>
              <w:jc w:val="left"/>
              <w:rPr>
                <w:rFonts w:ascii="Times New Roman" w:hAnsi="Times New Roman"/>
                <w:b/>
                <w:color w:val="000000"/>
                <w:sz w:val="20"/>
              </w:rPr>
            </w:pPr>
            <w:r>
              <w:rPr>
                <w:rFonts w:ascii="Times New Roman" w:hAnsi="Times New Roman"/>
                <w:b/>
                <w:color w:val="000000"/>
                <w:sz w:val="20"/>
              </w:rPr>
              <w:t>INFORMATION</w:t>
            </w:r>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_legal_proceeding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Proceedings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a_risk_factors">
              <w:r>
                <w:rPr>
                  <w:rStyle w:val="InternetLink"/>
                  <w:rFonts w:ascii="Times New Roman" w:hAnsi="Times New Roman"/>
                  <w:b/>
                  <w:color w:val="0000FF"/>
                  <w:sz w:val="20"/>
                  <w:u w:val="single"/>
                </w:rPr>
                <w:t>ITEM 1A:</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2_sale_of_unregistered_securi">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Unregistered Sales of Equity Securities and Use of Proceeds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3_defaults_upon_senior_securi">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Defaults Upon Senior Securities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4_mine_safety_disclosure">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5_other_information">
              <w:r>
                <w:rPr>
                  <w:rStyle w:val="InternetLink"/>
                  <w:rFonts w:ascii="Times New Roman" w:hAnsi="Times New Roman"/>
                  <w:b/>
                  <w:color w:val="0000FF"/>
                  <w:sz w:val="20"/>
                  <w:u w:val="single"/>
                </w:rPr>
                <w:t>ITEM 5:</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Information </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6_exhibits">
              <w:r>
                <w:rPr>
                  <w:rStyle w:val="InternetLink"/>
                  <w:rFonts w:ascii="Times New Roman" w:hAnsi="Times New Roman"/>
                  <w:b/>
                  <w:color w:val="0000FF"/>
                  <w:sz w:val="20"/>
                  <w:u w:val="single"/>
                </w:rPr>
                <w:t>ITEM 6:</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Use of Names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Quarterly Report on Form 10-Q, unless the context otherwise requires, the terms “we,” “us,” “our,” “Company,” “Corporation” or “Green Thumb” refer to Green Thumb Industries Inc. together with its wholly-owned subsidiaries. </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all references to “$” or “US$” in this document refer to United States dollars, and all references to “C$” refer to Canadian dollars. </w:t>
      </w:r>
    </w:p>
    <w:p>
      <w:pPr>
        <w:pStyle w:val="TextBody"/>
        <w:bidi w:val="0"/>
        <w:spacing w:before="360" w:after="283"/>
        <w:jc w:val="left"/>
        <w:rPr>
          <w:rFonts w:ascii="Times New Roman" w:hAnsi="Times New Roman"/>
          <w:sz w:val="20"/>
        </w:rPr>
      </w:pPr>
      <w:r>
        <w:rPr>
          <w:rFonts w:ascii="Times New Roman" w:hAnsi="Times New Roman"/>
          <w:b/>
          <w:color w:val="000000"/>
          <w:sz w:val="20"/>
        </w:rPr>
        <w:t>Disclosure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operates in a highly regulated sector and may not always succeed in complying fully with application regulatory requirements in all jurisdictions where the Company carries on business; the Company faces intense competition; the Company faces competition from the illicit market as well as actual or purported Farm Bill compliant hemp products; the Company is dependent upon the popularity and consumer acceptance of its brand portfolio; the Company has limited trademark protection; as a cannabis business, the Company is subject to unfavorable U.S. tax treatment and may incur significant tax liability;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or similar claims; the Company’s products may be subject to product recalls; the Company may face unfavorable publicity or consumer perception;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relies on the expertise of the Company management team and other employees experienced in the cannabis industry, and the loss of key personnel could negatively affect the Company’s business, financial condition and results of operations; the Company's voting control is concentrated; the Company’s capital structure and voting control may cause unpredictability; sales of substantial amounts of Subordinate Voting Shares by our shareholders in the public market may have an adverse effect on the market price of our Subordinate Voting Shares and could affect the Company’s business and financial condition and the results of operations. These and other risks and uncertainties are described further in the “Risk Factors” section of the Company’s Annual Report on Form 10-K for the year ended December 31, 2024, and elsewhere in the Company’s filings with the SEC, which are available on the SEC’s website or at </w:t>
      </w:r>
      <w:r>
        <w:rPr>
          <w:rFonts w:ascii="Times New Roman" w:hAnsi="Times New Roman"/>
          <w:i/>
          <w:color w:val="000000"/>
          <w:sz w:val="20"/>
          <w:u w:val="single"/>
        </w:rPr>
        <w:t>https://investors.gtigrows.com</w:t>
      </w:r>
      <w:r>
        <w:rPr>
          <w:rFonts w:ascii="Times New Roman" w:hAnsi="Times New Roman"/>
          <w:i/>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spacing w:before="36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balance_sheets"/>
      <w:bookmarkEnd w:id="3"/>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As of September 30, 2025 and December 31,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tbl>
      <w:tblPr>
        <w:tblW w:w="10020" w:type="dxa"/>
        <w:jc w:val="left"/>
        <w:tblInd w:w="0" w:type="dxa"/>
        <w:tblLayout w:type="fixed"/>
        <w:tblCellMar>
          <w:top w:w="28" w:type="dxa"/>
          <w:left w:w="28" w:type="dxa"/>
          <w:bottom w:w="28" w:type="dxa"/>
          <w:right w:w="28" w:type="dxa"/>
        </w:tblCellMar>
      </w:tblPr>
      <w:tblGrid>
        <w:gridCol w:w="6736"/>
        <w:gridCol w:w="146"/>
        <w:gridCol w:w="218"/>
        <w:gridCol w:w="922"/>
        <w:gridCol w:w="166"/>
        <w:gridCol w:w="146"/>
        <w:gridCol w:w="210"/>
        <w:gridCol w:w="885"/>
        <w:gridCol w:w="59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 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403,900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716,014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 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2,537,012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Net of Current Portion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747,932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 Voting Shares (Shares Authorized, Issued and Outstanding at September 30, 2025:</w:t>
              <w:br/>
              <w:t>   Unlimited, 207,294,093, and 207,294,093, respectively, at December 31, 2024:</w:t>
              <w:br/>
              <w:t>   Unlimited, 211,128,045, and 211,128,045,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Multiple Voting Shares (Shares Authorized, Issued and Outstanding at September 30, 2025:</w:t>
              <w:br/>
              <w:t>   Unlimited, 37,623</w:t>
            </w:r>
            <w:r>
              <w:rPr>
                <w:rFonts w:ascii="Times New Roman" w:hAnsi="Times New Roman"/>
                <w:color w:val="000000"/>
                <w:sz w:val="20"/>
              </w:rPr>
              <w:t> </w:t>
            </w:r>
            <w:r>
              <w:rPr>
                <w:rFonts w:ascii="Times New Roman" w:hAnsi="Times New Roman"/>
                <w:color w:val="000000"/>
                <w:sz w:val="16"/>
              </w:rPr>
              <w:t>and 37,623, respectively, at December 31, 2024:</w:t>
              <w:br/>
              <w:t>   Unlimited, 37,623</w:t>
            </w:r>
            <w:r>
              <w:rPr>
                <w:rFonts w:ascii="Times New Roman" w:hAnsi="Times New Roman"/>
                <w:color w:val="000000"/>
                <w:sz w:val="20"/>
              </w:rPr>
              <w:t> </w:t>
            </w:r>
            <w:r>
              <w:rPr>
                <w:rFonts w:ascii="Times New Roman" w:hAnsi="Times New Roman"/>
                <w:color w:val="000000"/>
                <w:sz w:val="16"/>
              </w:rPr>
              <w:t>and 37,623,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Super Voting Shares (Shares Authorized, Issued and Outstanding at September 30, 2025:</w:t>
              <w:br/>
              <w:t>   Unlimited, 206,690</w:t>
            </w:r>
            <w:r>
              <w:rPr>
                <w:rFonts w:ascii="Times New Roman" w:hAnsi="Times New Roman"/>
                <w:color w:val="000000"/>
                <w:sz w:val="20"/>
              </w:rPr>
              <w:t> </w:t>
            </w:r>
            <w:r>
              <w:rPr>
                <w:rFonts w:ascii="Times New Roman" w:hAnsi="Times New Roman"/>
                <w:color w:val="000000"/>
                <w:sz w:val="16"/>
              </w:rPr>
              <w:t>and 206,690, respectively, at December 31, 2024:</w:t>
              <w:br/>
              <w:t>   Unlimited, 206,690</w:t>
            </w:r>
            <w:r>
              <w:rPr>
                <w:rFonts w:ascii="Times New Roman" w:hAnsi="Times New Roman"/>
                <w:color w:val="000000"/>
                <w:sz w:val="20"/>
              </w:rPr>
              <w:t> </w:t>
            </w:r>
            <w:r>
              <w:rPr>
                <w:rFonts w:ascii="Times New Roman" w:hAnsi="Times New Roman"/>
                <w:color w:val="000000"/>
                <w:sz w:val="16"/>
              </w:rPr>
              <w:t>and 206,690,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1,758,504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Contributed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Share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of Green Thumb Industries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1,789,277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1,789,080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2,537,012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statement_of_operations"/>
      <w:bookmarkEnd w:id="4"/>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Nine Months Ended September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 Except Share Amounts)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9"/>
        <w:gridCol w:w="211"/>
        <w:gridCol w:w="1289"/>
        <w:gridCol w:w="238"/>
        <w:gridCol w:w="1289"/>
        <w:gridCol w:w="146"/>
        <w:gridCol w:w="211"/>
        <w:gridCol w:w="1244"/>
        <w:gridCol w:w="229"/>
        <w:gridCol w:w="1349"/>
      </w:tblGrid>
      <w:tr>
        <w:trPr/>
        <w:tc>
          <w:tcPr>
            <w:tcW w:w="3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291,369</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864,166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842,818</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(430,608)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(399,778)</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144,027</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433,558</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443,040</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314,902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275,725</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107,286</w:t>
            </w:r>
          </w:p>
        </w:tc>
        <w:tc>
          <w:tcPr>
            <w:tcW w:w="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314,902</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275,725</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36,741</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118,656</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167,315</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411</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7,082</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(18,791)</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72,923</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156,017</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94,970</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61,047</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Green Thumb Industries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60,404</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r>
      <w:tr>
        <w:trPr/>
        <w:tc>
          <w:tcPr>
            <w:tcW w:w="39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231,652,595</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236,303,348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234,524,146</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236,821,181</w:t>
            </w:r>
          </w:p>
        </w:tc>
      </w:tr>
      <w:tr>
        <w:trPr/>
        <w:tc>
          <w:tcPr>
            <w:tcW w:w="39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233,535,805</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238,295,887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237,218,778</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239,934,521</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statements_of_shareholders_equity"/>
      <w:bookmarkEnd w:id="5"/>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Nine Months Ended September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3"/>
        <w:gridCol w:w="196"/>
        <w:gridCol w:w="826"/>
        <w:gridCol w:w="196"/>
        <w:gridCol w:w="1066"/>
        <w:gridCol w:w="196"/>
        <w:gridCol w:w="1095"/>
        <w:gridCol w:w="196"/>
        <w:gridCol w:w="1126"/>
        <w:gridCol w:w="196"/>
        <w:gridCol w:w="1381"/>
        <w:gridCol w:w="196"/>
        <w:gridCol w:w="872"/>
      </w:tblGrid>
      <w:tr>
        <w:trPr/>
        <w:tc>
          <w:tcPr>
            <w:tcW w:w="2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4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July 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1,753,956</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1,748,788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38,586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1,774,721</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1,703,852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1,703,256</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contingent consideration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9,962</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(5,933)</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23,705</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r>
      <w:tr>
        <w:trPr/>
        <w:tc>
          <w:tcPr>
            <w:tcW w:w="2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61,047</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1,748,788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38,586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1,774,721</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Nine Months Ended September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1"/>
        <w:gridCol w:w="196"/>
        <w:gridCol w:w="826"/>
        <w:gridCol w:w="196"/>
        <w:gridCol w:w="1066"/>
        <w:gridCol w:w="196"/>
        <w:gridCol w:w="1047"/>
        <w:gridCol w:w="196"/>
        <w:gridCol w:w="1126"/>
        <w:gridCol w:w="196"/>
        <w:gridCol w:w="1381"/>
        <w:gridCol w:w="196"/>
        <w:gridCol w:w="872"/>
      </w:tblGrid>
      <w:tr>
        <w:trPr/>
        <w:tc>
          <w:tcPr>
            <w:tcW w:w="2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July 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1,799,399</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11,654</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23,801</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1,775,041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1,834,910</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1,789,080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limited liability company</w:t>
              <w:br/>
              <w:t>   unit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investment interests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deferred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33,929</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32,934</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1,775,041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1,834,910</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statements_of_cash_flows"/>
      <w:bookmarkEnd w:id="6"/>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Nine Months Ended September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6"/>
        <w:gridCol w:w="146"/>
        <w:gridCol w:w="231"/>
        <w:gridCol w:w="889"/>
        <w:gridCol w:w="196"/>
        <w:gridCol w:w="172"/>
        <w:gridCol w:w="231"/>
        <w:gridCol w:w="889"/>
        <w:gridCol w:w="615"/>
      </w:tblGrid>
      <w:tr>
        <w:trPr/>
        <w:tc>
          <w:tcPr>
            <w:tcW w:w="6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Green Thumb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60,404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84,252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41,622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Impairment of long-lived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from lease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gain on divestitures of intellectual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Increase in fair value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on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on settlement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Decrease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on settlement of shares issued in association with investment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on related party convertible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 net of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tax receivable and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204,785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151,845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(52,992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Investments in securities and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equity investments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divestiture of intellectual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(111,237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(53,435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Contributions from limited liability company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to non-controlling interest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Subordinate Voting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170,923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repayment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(226,780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(29,822</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(86,403</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AND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IN CASH AND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AND CASH EQUIVALENTS AND RESTRICTED 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161,634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AND CASH EQUIVALENTS AND RESTRICTED 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235,413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173,641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Nine Months Ended September 30, 2025 and 2024</w:t>
      </w:r>
      <w:r>
        <w:rPr>
          <w:rFonts w:ascii="Times New Roman" w:hAnsi="Times New Roman"/>
          <w:color w:val="000000"/>
          <w:sz w:val="20"/>
        </w:rPr>
        <w:t xml:space="preserve"> </w:t>
      </w:r>
    </w:p>
    <w:p>
      <w:pPr>
        <w:pStyle w:val="TextBody"/>
        <w:pBdr>
          <w:bottom w:val="single" w:sz="6" w:space="1" w:color="000000"/>
        </w:pBdr>
        <w:bidi w:val="0"/>
        <w:jc w:val="left"/>
        <w:rPr>
          <w:rFonts w:ascii="Times New Roman" w:hAnsi="Times New Roman"/>
          <w:sz w:val="20"/>
        </w:rPr>
      </w:pPr>
      <w:r>
        <w:rPr>
          <w:rFonts w:ascii="Times New Roman" w:hAnsi="Times New Roman"/>
          <w:i/>
          <w:color w:val="000000"/>
          <w:sz w:val="20"/>
        </w:rPr>
        <w:t>(Amounts Expressed in United States Dollars)</w:t>
      </w:r>
      <w:r>
        <w:rPr>
          <w:rFonts w:ascii="Times New Roman" w:hAnsi="Times New Roman"/>
          <w:color w:val="000000"/>
          <w:sz w:val="20"/>
        </w:rPr>
        <w:t xml:space="preserve"> </w:t>
      </w:r>
    </w:p>
    <w:tbl>
      <w:tblPr>
        <w:tblW w:w="8636" w:type="dxa"/>
        <w:jc w:val="left"/>
        <w:tblInd w:w="0" w:type="dxa"/>
        <w:tblLayout w:type="fixed"/>
        <w:tblCellMar>
          <w:top w:w="28" w:type="dxa"/>
          <w:left w:w="28" w:type="dxa"/>
          <w:bottom w:w="28" w:type="dxa"/>
          <w:right w:w="28" w:type="dxa"/>
        </w:tblCellMar>
      </w:tblPr>
      <w:tblGrid>
        <w:gridCol w:w="5296"/>
        <w:gridCol w:w="146"/>
        <w:gridCol w:w="263"/>
        <w:gridCol w:w="929"/>
        <w:gridCol w:w="223"/>
        <w:gridCol w:w="196"/>
        <w:gridCol w:w="263"/>
        <w:gridCol w:w="929"/>
        <w:gridCol w:w="3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16,468</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22,055</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(9,317</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change in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change in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associated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to non-employee contractors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associated with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deferred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(6,362</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ACQUISITIONS AND 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4,748</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divestiture of Project Remix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consideration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(30,661</w:t>
            </w:r>
          </w:p>
        </w:tc>
        <w:tc>
          <w:tcPr>
            <w:tcW w:w="2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226,211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RESTRICED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235,413</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173,641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bookmarkStart w:id="7" w:name="notes_to_financial_statements"/>
      <w:bookmarkEnd w:id="7"/>
      <w:r>
        <w:rPr>
          <w:rFonts w:ascii="Times New Roman" w:hAnsi="Times New Roman"/>
          <w:b/>
          <w:color w:val="000000"/>
          <w:sz w:val="20"/>
        </w:rPr>
        <w:t>1. Overview and Basis of Presentation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Green Thumb Industries Inc. (“Green Thumb,” the “Company,” “we” or “us”), a national cannabis consumer packaged goods company and retailer, promotes well-being through the power of cannabis while being committed to community and sustainable, profitable growth. Green Thumb manufactures, and distributes a portfolio of cannabis consumer packaged goods brands including &amp;Shine, Beboe, Dogwalkers, Doctor Solomon’s, Good Green, incredibles and RYTHM. The Company distributes and markets these products to third-party licensed retail cannabis stores across the United States as well as to Green Thumb's own Retail stores (which we refer to as our Retail business). The Company also owns and operates retail cannabis stores that include a national chain named RISE, which sell our products and third-party products. As of September 30, 2025, Green Thumb has revenue in fourteen markets (California, Connecticut, Florida, Illinois, Maryland, Massachusetts, Minnesota, Nevada, New Jersey, New York, Ohio, Pennsylvania, Rhode Island and Virginia), employs approximately 4,800 people and serves millions of patients and customers annually.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registered office is located at 250 Howe Street, 20</w:t>
      </w:r>
      <w:r>
        <w:rPr>
          <w:rFonts w:ascii="Times New Roman" w:hAnsi="Times New Roman"/>
          <w:color w:val="000000"/>
          <w:sz w:val="13"/>
        </w:rPr>
        <w:t>th</w:t>
      </w:r>
      <w:r>
        <w:rPr>
          <w:rFonts w:ascii="Times New Roman" w:hAnsi="Times New Roman"/>
          <w:color w:val="000000"/>
          <w:sz w:val="20"/>
        </w:rPr>
        <w:t xml:space="preserve"> Floor, Vancouver, British Columbia, V6C 3R8. The Company’s U.S. headquarters are at 325 W. Huron St., Suite 700, Chicago, IL 60654.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(b)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2024 (the “2024 Form 10-K”). In the opinion of management, the financial data presented includes all adjustments necessary to present fairly the financial position, results of operations and cash flows for the interim periods presented. Previously reported amounts have been reclassified between line items where necessary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(c)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Note 2 to the Company's Consolidated Financial Statements included in the 2024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September 30, 2025, the Company had 7,911,149 options, 10,733,094 restricted stock units and 1,702,347 warrants outstanding. As of September 30, 2024, the Company had 8,491,983 options, 4,561,819 restricted stock units and 2,128,022 warrants outstanding.</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1. Overview and Basis of Presentation </w:t>
      </w:r>
      <w:r>
        <w:rPr>
          <w:rFonts w:ascii="Times New Roman" w:hAnsi="Times New Roman"/>
          <w:i/>
          <w:color w:val="000000"/>
          <w:sz w:val="20"/>
        </w:rPr>
        <w:t>(Continued)</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loss per share calculation excludes any potential conversion of stock options and convertible debt that would increase earnings per share or decrease loss per share. For the three months ended September 30, 2025, the computation of diluted earnings per share included 2,389 options and 1,880,822 restricted stock units. There were no dilutive warrants during the three months ended September 30, 2025, as the relevant strike price was greater than the average stock price for the period. For the nine months ended September 30, 2025, the computation of diluted earnings per share included 2,694,632 restricted stock units. There were no dilutive options and warrants during the nine months ended September 30, 2025, as the relevant strike price was greater than the average stock price for the period. For the three months ended September 30, 2024, the computation of diluted earnings per share included 1,001,228 options, 923,686 restricted stock units and 67,625 warrants. For the nine months ended September 30, 2024, the computation of diluted earnings per share included 1,339,591 options, 1,669,708 restricted stock units and 104,041 warrants. For the three and nine months ended September 30, 2025, the weighted average number of anti-dilutive stock options excluded from the computation of diluted earnings per share were 874,088 and 1,390,862, respectively. For the three and nine months ended September 30, 2024, the weighted average number of anti-dilutive stock options excluded from the computation of diluted earnings per share were 869,491 and 918,464,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(e) 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reviews recently issued accounting standards on a quarterly basis and has determined there are no standards yet to be adopted which are relevant to the business for disclosure.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INVENTORIES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inventories include the following at September 30, 2025 and December 31, 2024: </w:t>
      </w:r>
    </w:p>
    <w:tbl>
      <w:tblPr>
        <w:tblW w:w="5945" w:type="dxa"/>
        <w:jc w:val="left"/>
        <w:tblInd w:w="0" w:type="dxa"/>
        <w:tblLayout w:type="fixed"/>
        <w:tblCellMar>
          <w:top w:w="28" w:type="dxa"/>
          <w:left w:w="28" w:type="dxa"/>
          <w:bottom w:w="28" w:type="dxa"/>
          <w:right w:w="28" w:type="dxa"/>
        </w:tblCellMar>
      </w:tblPr>
      <w:tblGrid>
        <w:gridCol w:w="2356"/>
        <w:gridCol w:w="196"/>
        <w:gridCol w:w="1606"/>
        <w:gridCol w:w="196"/>
        <w:gridCol w:w="1591"/>
      </w:tblGrid>
      <w:tr>
        <w:trPr/>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and Miscellaneous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13,616</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 in Process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57,893</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76,626</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Obsolete Inventory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156,529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147,162</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jc w:val="left"/>
        <w:rPr/>
      </w:pPr>
      <w:r>
        <w:rPr/>
        <w:t> </w:t>
      </w:r>
    </w:p>
    <w:p>
      <w:pPr>
        <w:pStyle w:val="TextBody"/>
        <w:pBdr>
          <w:top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September 30, 2025 and December 31, 2024, property and equipment consisted of the following: </w:t>
      </w:r>
    </w:p>
    <w:p>
      <w:pPr>
        <w:pStyle w:val="TextBody"/>
        <w:bidi w:val="0"/>
        <w:jc w:val="left"/>
        <w:rPr/>
      </w:pPr>
      <w:r>
        <w:rPr/>
        <w:t> </w:t>
      </w:r>
    </w:p>
    <w:tbl>
      <w:tblPr>
        <w:tblW w:w="6350" w:type="dxa"/>
        <w:jc w:val="left"/>
        <w:tblInd w:w="0" w:type="dxa"/>
        <w:tblLayout w:type="fixed"/>
        <w:tblCellMar>
          <w:top w:w="28" w:type="dxa"/>
          <w:left w:w="28" w:type="dxa"/>
          <w:bottom w:w="28" w:type="dxa"/>
          <w:right w:w="28" w:type="dxa"/>
        </w:tblCellMar>
      </w:tblPr>
      <w:tblGrid>
        <w:gridCol w:w="2761"/>
        <w:gridCol w:w="196"/>
        <w:gridCol w:w="1606"/>
        <w:gridCol w:w="196"/>
        <w:gridCol w:w="1591"/>
      </w:tblGrid>
      <w:tr>
        <w:trPr/>
        <w:tc>
          <w:tcPr>
            <w:tcW w:w="2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Buildings 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361,498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356,612</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Computers and Furniture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196,139</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241,544</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34,690</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Under 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40,325</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34,219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32,499</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957,699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903,375</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(236,788)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(187,361)</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720,911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716,014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under construction represent costs associated with construction projects related to cultivation and production facilities and retail stores as well as costs associated with internal-use software not yet placed in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three and nine months ended September 30, 2025 totaled $17,775 thousand and $51,846 thousand, respectively, of which $11,215 thousand and $32,810 thousand, respectively, is included in cost of goods sold. Depreciation expense for the three and nine months ended September 30, 2024 totaled $15,918 thousand and $46,434 thousand, respectively, of which $10,240 thousand and $29,963 thousand, respectively, is included in cost of goods sold.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INTANGIBLE ASSETS AND GOODWILL</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September 30, 2025 and December 31, 2024, intangible assets consisted of the following: </w:t>
      </w:r>
    </w:p>
    <w:tbl>
      <w:tblPr>
        <w:tblW w:w="10205" w:type="dxa"/>
        <w:jc w:val="left"/>
        <w:tblInd w:w="0" w:type="dxa"/>
        <w:tblLayout w:type="fixed"/>
        <w:tblCellMar>
          <w:top w:w="28" w:type="dxa"/>
          <w:left w:w="28" w:type="dxa"/>
          <w:bottom w:w="28" w:type="dxa"/>
          <w:right w:w="28" w:type="dxa"/>
        </w:tblCellMar>
      </w:tblPr>
      <w:tblGrid>
        <w:gridCol w:w="1383"/>
        <w:gridCol w:w="196"/>
        <w:gridCol w:w="1298"/>
        <w:gridCol w:w="196"/>
        <w:gridCol w:w="1548"/>
        <w:gridCol w:w="196"/>
        <w:gridCol w:w="953"/>
        <w:gridCol w:w="196"/>
        <w:gridCol w:w="1298"/>
        <w:gridCol w:w="196"/>
        <w:gridCol w:w="1548"/>
        <w:gridCol w:w="196"/>
        <w:gridCol w:w="1001"/>
      </w:tblGrid>
      <w:tr>
        <w:trPr/>
        <w:tc>
          <w:tcPr>
            <w:tcW w:w="1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Licenses and Permits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676,600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660,716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458,854</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25,413</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701,968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259,234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442,734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726,665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238,378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488,287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amortization expense for the three and nine months ended September 30, 2025 of $12,306 thousand and $37,317 thousand, respectively. The Company recorded amortization expense for the three and nine months ended September 30, 2024 of $12,574 thousand and $37,818 thousand, respectively. As of September 30, 2025 and December 31, 2024, intangible assets are carried net of accumulated impairment losses of $31,131 thousand as of each period then ended.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11, 2025, the Company acquired a permit intangible, allowing the Company to operate three retail dispensaries. The consideration paid was $10,500 thousand in cash. As substantially all of the assets acquired were concentrated in the permit intangible, the Company accounted for the transaction as an asset acquisition. The weighted average amortization period for the permit intangible was 15 years. Acquisition-related costs associated with the transaction were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outlines the estimated annual amortization expense related to intangible assets as of September 30, 2025: </w:t>
      </w:r>
    </w:p>
    <w:p>
      <w:pPr>
        <w:pStyle w:val="TextBody"/>
        <w:bidi w:val="0"/>
        <w:spacing w:before="240" w:after="283"/>
        <w:jc w:val="left"/>
        <w:rPr/>
      </w:pPr>
      <w:r>
        <w:rPr/>
        <w:t>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Amortization</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12,162</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45,686</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45,157</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45,157</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45,157</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249,415</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442,734</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 weighted average amortization period remaining for intangible assets was 9.99 years.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4. INTANGIBLE ASSETS AND GOODWILL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September 30, 2025 and December 31, 2024 the balances of goodwill, by segment, consisted of the following: </w:t>
      </w:r>
    </w:p>
    <w:p>
      <w:pPr>
        <w:pStyle w:val="TextBody"/>
        <w:bidi w:val="0"/>
        <w:spacing w:before="240" w:after="283"/>
        <w:jc w:val="left"/>
        <w:rPr/>
      </w:pPr>
      <w:r>
        <w:rPr/>
        <w:t> </w:t>
      </w:r>
    </w:p>
    <w:tbl>
      <w:tblPr>
        <w:tblW w:w="5585" w:type="dxa"/>
        <w:jc w:val="left"/>
        <w:tblInd w:w="0" w:type="dxa"/>
        <w:tblLayout w:type="fixed"/>
        <w:tblCellMar>
          <w:top w:w="28" w:type="dxa"/>
          <w:left w:w="28" w:type="dxa"/>
          <w:bottom w:w="28" w:type="dxa"/>
          <w:right w:w="28" w:type="dxa"/>
        </w:tblCellMar>
      </w:tblPr>
      <w:tblGrid>
        <w:gridCol w:w="2101"/>
        <w:gridCol w:w="196"/>
        <w:gridCol w:w="1546"/>
        <w:gridCol w:w="196"/>
        <w:gridCol w:w="1546"/>
      </w:tblGrid>
      <w:tr>
        <w:trPr/>
        <w:tc>
          <w:tcPr>
            <w:tcW w:w="2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273,802</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Packaged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594,439</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recognized net of accumulated impairment losses of $57,372 thousand as of September 30, 2025 and December 31, 2024. During the three and nine months ended September 30, 2025 and 2024, there were no conditions present that would require consideration as to whether an impairment test was necessary.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and December 31, 2024, the Company held various equity interests in cannabis-related companies as well as investments in note(s) receivable instruments that had a combined fair value of $43,736 thousand and $43,578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investments during the nine months ended September 30, 2025 and year ended December 31, 2024: </w:t>
      </w:r>
    </w:p>
    <w:p>
      <w:pPr>
        <w:pStyle w:val="TextBody"/>
        <w:bidi w:val="0"/>
        <w:jc w:val="left"/>
        <w:rPr/>
      </w:pPr>
      <w:r>
        <w:rPr/>
        <w:t> </w:t>
      </w:r>
    </w:p>
    <w:tbl>
      <w:tblPr>
        <w:tblW w:w="5090" w:type="dxa"/>
        <w:jc w:val="left"/>
        <w:tblInd w:w="0" w:type="dxa"/>
        <w:tblLayout w:type="fixed"/>
        <w:tblCellMar>
          <w:top w:w="28" w:type="dxa"/>
          <w:left w:w="28" w:type="dxa"/>
          <w:bottom w:w="28" w:type="dxa"/>
          <w:right w:w="28" w:type="dxa"/>
        </w:tblCellMar>
      </w:tblPr>
      <w:tblGrid>
        <w:gridCol w:w="1606"/>
        <w:gridCol w:w="196"/>
        <w:gridCol w:w="1546"/>
        <w:gridCol w:w="196"/>
        <w:gridCol w:w="1546"/>
      </w:tblGrid>
      <w:tr>
        <w:trPr/>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12,029</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43,736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43,578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fair value associated with the Company's equity investments and notes receivable instruments recorded during the three and nine months ended September 30, 2025 and 2024.</w:t>
      </w:r>
    </w:p>
    <w:p>
      <w:pPr>
        <w:pStyle w:val="TextBody"/>
        <w:bidi w:val="0"/>
        <w:jc w:val="left"/>
        <w:rPr/>
      </w:pPr>
      <w:r>
        <w:rPr/>
        <w:t> </w:t>
      </w:r>
    </w:p>
    <w:tbl>
      <w:tblPr>
        <w:tblW w:w="9040" w:type="dxa"/>
        <w:jc w:val="left"/>
        <w:tblInd w:w="0" w:type="dxa"/>
        <w:tblLayout w:type="fixed"/>
        <w:tblCellMar>
          <w:top w:w="28" w:type="dxa"/>
          <w:left w:w="28" w:type="dxa"/>
          <w:bottom w:w="28" w:type="dxa"/>
          <w:right w:w="28" w:type="dxa"/>
        </w:tblCellMar>
      </w:tblPr>
      <w:tblGrid>
        <w:gridCol w:w="3571"/>
        <w:gridCol w:w="397"/>
        <w:gridCol w:w="945"/>
        <w:gridCol w:w="397"/>
        <w:gridCol w:w="945"/>
        <w:gridCol w:w="146"/>
        <w:gridCol w:w="378"/>
        <w:gridCol w:w="898"/>
        <w:gridCol w:w="378"/>
        <w:gridCol w:w="985"/>
      </w:tblGrid>
      <w:tr>
        <w:trPr/>
        <w:tc>
          <w:tcPr>
            <w:tcW w:w="35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Investments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Receivable Instruments</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on Notes Receivable Instruments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fair value gains (losses)</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256</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held equity investments in both publicly and privately traded entities. Generally, publicly traded entities have readily determinable fair values and are classified as Level 1 investments. Meanwhile, non-publicly traded entities generally do not have readily determinable fair values and are are classified as Level 3 investments. The Company has classified all of its holdings as trading securities and recorded such amounts within investments on the Company's unaudited interim condensed consolidated balance sheets.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1 equity investments during the three and nine months ended September 30, 2025 and 2024.</w:t>
      </w:r>
    </w:p>
    <w:p>
      <w:pPr>
        <w:pStyle w:val="TextBody"/>
        <w:bidi w:val="0"/>
        <w:jc w:val="left"/>
        <w:rPr/>
      </w:pPr>
      <w:r>
        <w:rPr/>
        <w:t> </w:t>
      </w:r>
    </w:p>
    <w:tbl>
      <w:tblPr>
        <w:tblW w:w="7074" w:type="dxa"/>
        <w:jc w:val="left"/>
        <w:tblInd w:w="0" w:type="dxa"/>
        <w:tblLayout w:type="fixed"/>
        <w:tblCellMar>
          <w:top w:w="28" w:type="dxa"/>
          <w:left w:w="28" w:type="dxa"/>
          <w:bottom w:w="28" w:type="dxa"/>
          <w:right w:w="28" w:type="dxa"/>
        </w:tblCellMar>
      </w:tblPr>
      <w:tblGrid>
        <w:gridCol w:w="1606"/>
        <w:gridCol w:w="388"/>
        <w:gridCol w:w="924"/>
        <w:gridCol w:w="388"/>
        <w:gridCol w:w="983"/>
        <w:gridCol w:w="146"/>
        <w:gridCol w:w="337"/>
        <w:gridCol w:w="802"/>
        <w:gridCol w:w="337"/>
        <w:gridCol w:w="1163"/>
      </w:tblGrid>
      <w:tr>
        <w:trPr/>
        <w:tc>
          <w:tcPr>
            <w:tcW w:w="16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39"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2024, the Company sold all remaining Level 1 equity investments. As of September 30, 2025, the Company held no Level 1 equity investments.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 Equity Investments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3 equity investments during the three and nine months ended September 30, 2025 and 2024.</w:t>
      </w:r>
    </w:p>
    <w:p>
      <w:pPr>
        <w:pStyle w:val="TextBody"/>
        <w:bidi w:val="0"/>
        <w:jc w:val="left"/>
        <w:rPr/>
      </w:pPr>
      <w:r>
        <w:rPr/>
        <w:t> </w:t>
      </w:r>
    </w:p>
    <w:tbl>
      <w:tblPr>
        <w:tblW w:w="7074" w:type="dxa"/>
        <w:jc w:val="left"/>
        <w:tblInd w:w="0" w:type="dxa"/>
        <w:tblLayout w:type="fixed"/>
        <w:tblCellMar>
          <w:top w:w="28" w:type="dxa"/>
          <w:left w:w="28" w:type="dxa"/>
          <w:bottom w:w="28" w:type="dxa"/>
          <w:right w:w="28" w:type="dxa"/>
        </w:tblCellMar>
      </w:tblPr>
      <w:tblGrid>
        <w:gridCol w:w="1606"/>
        <w:gridCol w:w="330"/>
        <w:gridCol w:w="1012"/>
        <w:gridCol w:w="330"/>
        <w:gridCol w:w="1012"/>
        <w:gridCol w:w="146"/>
        <w:gridCol w:w="315"/>
        <w:gridCol w:w="968"/>
        <w:gridCol w:w="315"/>
        <w:gridCol w:w="1040"/>
      </w:tblGrid>
      <w:tr>
        <w:trPr/>
        <w:tc>
          <w:tcPr>
            <w:tcW w:w="160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38"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36,887</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25,953</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38,525</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38,525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31,805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unrealized (losses) gains recognized on the Company's equity investments held during the three and nine months ended September 30, 2025 and 2024.</w:t>
      </w:r>
    </w:p>
    <w:p>
      <w:pPr>
        <w:pStyle w:val="TextBody"/>
        <w:bidi w:val="0"/>
        <w:jc w:val="left"/>
        <w:rPr/>
      </w:pPr>
      <w:r>
        <w:rPr/>
        <w:t> </w:t>
      </w:r>
    </w:p>
    <w:tbl>
      <w:tblPr>
        <w:tblW w:w="8590" w:type="dxa"/>
        <w:jc w:val="left"/>
        <w:tblInd w:w="0" w:type="dxa"/>
        <w:tblLayout w:type="fixed"/>
        <w:tblCellMar>
          <w:top w:w="28" w:type="dxa"/>
          <w:left w:w="28" w:type="dxa"/>
          <w:bottom w:w="28" w:type="dxa"/>
          <w:right w:w="28" w:type="dxa"/>
        </w:tblCellMar>
      </w:tblPr>
      <w:tblGrid>
        <w:gridCol w:w="3121"/>
        <w:gridCol w:w="397"/>
        <w:gridCol w:w="945"/>
        <w:gridCol w:w="397"/>
        <w:gridCol w:w="945"/>
        <w:gridCol w:w="146"/>
        <w:gridCol w:w="378"/>
        <w:gridCol w:w="898"/>
        <w:gridCol w:w="378"/>
        <w:gridCol w:w="985"/>
      </w:tblGrid>
      <w:tr>
        <w:trPr/>
        <w:tc>
          <w:tcPr>
            <w:tcW w:w="31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losses on equity investments</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13 - Fair Value Measurements for additional details.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Notes Receivable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invests in both publicly traded and privately held cannabis and cannabis-related companies by providing financing through notes receivable instruments. The fair value of these notes receivable instruments include the initial investment and contractual accrued interest recorded within interest income on the unaudited interim condensed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of the Company's notes receivable instruments are classified as trading securities and are included within investments on the Company's unaudited interim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change in the Company's Level 1 note receivable instruments during the three and nine months ended September 30, 2025 and 2024. </w:t>
      </w:r>
    </w:p>
    <w:p>
      <w:pPr>
        <w:pStyle w:val="TextBody"/>
        <w:bidi w:val="0"/>
        <w:jc w:val="left"/>
        <w:rPr/>
      </w:pPr>
      <w:r>
        <w:rPr/>
        <w:t> </w:t>
      </w:r>
    </w:p>
    <w:tbl>
      <w:tblPr>
        <w:tblW w:w="7075" w:type="dxa"/>
        <w:jc w:val="left"/>
        <w:tblInd w:w="0" w:type="dxa"/>
        <w:tblLayout w:type="fixed"/>
        <w:tblCellMar>
          <w:top w:w="28" w:type="dxa"/>
          <w:left w:w="28" w:type="dxa"/>
          <w:bottom w:w="28" w:type="dxa"/>
          <w:right w:w="28" w:type="dxa"/>
        </w:tblCellMar>
      </w:tblPr>
      <w:tblGrid>
        <w:gridCol w:w="1606"/>
        <w:gridCol w:w="360"/>
        <w:gridCol w:w="857"/>
        <w:gridCol w:w="360"/>
        <w:gridCol w:w="1106"/>
        <w:gridCol w:w="146"/>
        <w:gridCol w:w="344"/>
        <w:gridCol w:w="818"/>
        <w:gridCol w:w="344"/>
        <w:gridCol w:w="1134"/>
      </w:tblGrid>
      <w:tr>
        <w:trPr/>
        <w:tc>
          <w:tcPr>
            <w:tcW w:w="16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40"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22,214</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24,188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24,188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27, 2024, the Company collected the remaining principal balance of the notes receivable instruments along with accrued interest. Consequently, as of September 30, 2025, the Company held no Level 1 notes receivable instruments.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 Notes Receivable Instruments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change in the Company's Level 3 notes receivable instruments during the three and nine months ended September 30, 2025 and 2024. </w:t>
      </w:r>
    </w:p>
    <w:p>
      <w:pPr>
        <w:pStyle w:val="TextBody"/>
        <w:bidi w:val="0"/>
        <w:jc w:val="left"/>
        <w:rPr/>
      </w:pPr>
      <w:r>
        <w:rPr/>
        <w:t> </w:t>
      </w:r>
    </w:p>
    <w:tbl>
      <w:tblPr>
        <w:tblW w:w="6939" w:type="dxa"/>
        <w:jc w:val="left"/>
        <w:tblInd w:w="0" w:type="dxa"/>
        <w:tblLayout w:type="fixed"/>
        <w:tblCellMar>
          <w:top w:w="28" w:type="dxa"/>
          <w:left w:w="28" w:type="dxa"/>
          <w:bottom w:w="28" w:type="dxa"/>
          <w:right w:w="28" w:type="dxa"/>
        </w:tblCellMar>
      </w:tblPr>
      <w:tblGrid>
        <w:gridCol w:w="1471"/>
        <w:gridCol w:w="318"/>
        <w:gridCol w:w="1024"/>
        <w:gridCol w:w="318"/>
        <w:gridCol w:w="1024"/>
        <w:gridCol w:w="146"/>
        <w:gridCol w:w="304"/>
        <w:gridCol w:w="980"/>
        <w:gridCol w:w="304"/>
        <w:gridCol w:w="1050"/>
      </w:tblGrid>
      <w:tr>
        <w:trPr/>
        <w:tc>
          <w:tcPr>
            <w:tcW w:w="14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38"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5,211</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5,211</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5,429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3 notes receivable instruments had a stated interest rate of 10% and terms between twelve months and five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9, 2024, one of the Company's privately held notes receivable instruments matured and the Company collected the principal balance of $4,000 thousand and accrued interest of $605 thousand. Proceeds associated with other Level 3 notes receivable instruments made up the balance of the activity.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2025, a separate privately held convertible note receivable instrument in the amount of $1,712 thousand was exchanged for shares of preferred stock of the investee. As a result, the investment was transferred from Level 3 note receivable instruments to Level 3 equity investments.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13 - Fair Value Measurements for additional details.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ACQUISITIONS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Business Combinations: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determined that the below described acquisition is a business combination under Accounting Standards Codification (“ASC”) 805, </w:t>
      </w:r>
      <w:r>
        <w:rPr>
          <w:rFonts w:ascii="Times New Roman" w:hAnsi="Times New Roman"/>
          <w:i/>
          <w:color w:val="000000"/>
          <w:sz w:val="20"/>
        </w:rPr>
        <w:t>Business Combinations.</w:t>
      </w:r>
      <w:r>
        <w:rPr>
          <w:rFonts w:ascii="Times New Roman" w:hAnsi="Times New Roman"/>
          <w:color w:val="000000"/>
          <w:sz w:val="20"/>
        </w:rPr>
        <w:t xml:space="preserve"> It was accounted for by applying the acquisition method whereby the assets acquired, and the liabilities assumed were recorded at their fair values with any excess consideration over the fair value of the identifiable net assets was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completed preliminary allocations of the purchase price of the assets acquired and liabilities assumed in association with three retail stores. The preliminary valuation was based on management’s estimates and assumptions which are subject to change within the measurement period (generally one year from the acquisition date). The details of the transaction are discussed below. The primary areas of the purchase price allocation that are not yet finalized relate to the valuation of the tangible and intangible assets acquired and the residual goodwill. The following table summarizes the initial accounting estimates:</w:t>
      </w:r>
    </w:p>
    <w:p>
      <w:pPr>
        <w:pStyle w:val="TextBody"/>
        <w:bidi w:val="0"/>
        <w:jc w:val="left"/>
        <w:rPr/>
      </w:pPr>
      <w:r>
        <w:rPr/>
        <w:t> </w:t>
      </w:r>
    </w:p>
    <w:tbl>
      <w:tblPr>
        <w:tblW w:w="3915" w:type="dxa"/>
        <w:jc w:val="left"/>
        <w:tblInd w:w="0" w:type="dxa"/>
        <w:tblLayout w:type="fixed"/>
        <w:tblCellMar>
          <w:top w:w="28" w:type="dxa"/>
          <w:left w:w="28" w:type="dxa"/>
          <w:bottom w:w="28" w:type="dxa"/>
          <w:right w:w="28" w:type="dxa"/>
        </w:tblCellMar>
      </w:tblPr>
      <w:tblGrid>
        <w:gridCol w:w="2240"/>
        <w:gridCol w:w="355"/>
        <w:gridCol w:w="294"/>
        <w:gridCol w:w="1026"/>
      </w:tblGrid>
      <w:tr>
        <w:trPr/>
        <w:tc>
          <w:tcPr>
            <w:tcW w:w="224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Retail Stores</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Licenses and permits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(non-tax deductible)</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 2025, a subsidiary of the Company acquired 100% of the membership interest held in three retail licenses for the purposes of expanding Green Thumb's national presence. The Company paid approximately $14,202 thousand in cash. As part of the initial purchase accounting, the Company recorded an intangible asset of $5,950 thousand, all of which was associated with licenses and permits that allows for the retail sale of cannabis. The weighted-average amortization period for the license intangible is 15 years. Acquisition-related costs associated with the transaction were not material.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LEASES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material real estate and equipment leases with an initial term of twelve months or more on the balance sheet. Lease agreements for some locations provide for rent escalations and renewal options. Certain real estate leases require payment for fixed and variable non-lease components, such as taxes, insurance and maintenance, as part of base rent. In those circumstances, the Company elected the practical expedient to not separate the lease components from non-lease components.</w:t>
      </w:r>
    </w:p>
    <w:p>
      <w:pPr>
        <w:pStyle w:val="TextBody"/>
        <w:bidi w:val="0"/>
        <w:jc w:val="left"/>
        <w:rPr>
          <w:rFonts w:ascii="Times New Roman" w:hAnsi="Times New Roman"/>
          <w:color w:val="000000"/>
          <w:sz w:val="20"/>
        </w:rPr>
      </w:pPr>
      <w:r>
        <w:rPr>
          <w:rFonts w:ascii="Times New Roman" w:hAnsi="Times New Roman"/>
          <w:color w:val="000000"/>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three and nine months ended September 30, 2025, the Company recorded operating lease expense of $12,947 thousand and $38,519 thousand, respectively compared to operating lease expense of $16,946 thousand and $41,622 thousand for three and nine months ended September 30, 2024, respectively.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information related to operating leases as of September 30, 2025 and December 31, 2024 were as follows: </w:t>
      </w:r>
    </w:p>
    <w:p>
      <w:pPr>
        <w:pStyle w:val="TextBody"/>
        <w:bidi w:val="0"/>
        <w:spacing w:before="120" w:after="283"/>
        <w:jc w:val="left"/>
        <w:rPr/>
      </w:pPr>
      <w:r>
        <w:rPr/>
        <w:t> </w:t>
      </w:r>
    </w:p>
    <w:tbl>
      <w:tblPr>
        <w:tblW w:w="6760" w:type="dxa"/>
        <w:jc w:val="left"/>
        <w:tblInd w:w="0" w:type="dxa"/>
        <w:tblLayout w:type="fixed"/>
        <w:tblCellMar>
          <w:top w:w="28" w:type="dxa"/>
          <w:left w:w="28" w:type="dxa"/>
          <w:bottom w:w="28" w:type="dxa"/>
          <w:right w:w="28" w:type="dxa"/>
        </w:tblCellMar>
      </w:tblPr>
      <w:tblGrid>
        <w:gridCol w:w="3376"/>
        <w:gridCol w:w="146"/>
        <w:gridCol w:w="154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Maturities of lease liabilities for operating leases as of September 30, 2025 were as follows: </w:t>
      </w:r>
    </w:p>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2431"/>
        <w:gridCol w:w="196"/>
        <w:gridCol w:w="991"/>
        <w:gridCol w:w="196"/>
        <w:gridCol w:w="1126"/>
        <w:gridCol w:w="196"/>
        <w:gridCol w:w="856"/>
      </w:tblGrid>
      <w:tr>
        <w:trPr/>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 of Lease Liability</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Remainder of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12,194</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48,955</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49,189</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47,565</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44,324</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294,830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295,598</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497,825</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(226,521)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(227,216)</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Present Value of Lease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268,822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270,609</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Related Party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Mosaic Real Estate, LLC owns certain facilities leased by the Company and is owned in part by Benjamin Kovler, the Chairman and Chief Executive Officer of the Company (through KP Capital, LLC), and Anthony Georgiadis, the President and a director of the Company (through Three One Four Holdings, LLC). For the three and nine months ended September 30, 2025, the Company recorded lease expense of $126 thousand and $378 thousand, respectively, compared to lease expense of $145 thousand and $450 thousand for the three and nine months ended September 30, 2024, respectively, associated with these leasing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NOTES PAYABLE</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September 30, 2025 and December 31, 2024, notes payable consisted of the following: </w:t>
      </w:r>
    </w:p>
    <w:tbl>
      <w:tblPr>
        <w:tblW w:w="7400" w:type="dxa"/>
        <w:jc w:val="left"/>
        <w:tblInd w:w="0" w:type="dxa"/>
        <w:tblLayout w:type="fixed"/>
        <w:tblCellMar>
          <w:top w:w="28" w:type="dxa"/>
          <w:left w:w="28" w:type="dxa"/>
          <w:bottom w:w="28" w:type="dxa"/>
          <w:right w:w="28" w:type="dxa"/>
        </w:tblCellMar>
      </w:tblPr>
      <w:tblGrid>
        <w:gridCol w:w="3811"/>
        <w:gridCol w:w="196"/>
        <w:gridCol w:w="1606"/>
        <w:gridCol w:w="196"/>
        <w:gridCol w:w="1591"/>
      </w:tblGrid>
      <w:tr>
        <w:trPr/>
        <w:tc>
          <w:tcPr>
            <w:tcW w:w="3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Syndicated credit facility dated September 11, 2024</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147,979</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Mortgage notes</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106,979</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notes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247,449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254,958</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 of notes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(12,062)</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Notes payable, net of current portion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230,185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242,896</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color w:val="000000"/>
          <w:sz w:val="18"/>
        </w:rPr>
        <w:t>The Credit Facility (as defined below in Section (a) of this Note 8) was issued in an aggregate amount of $150,000</w:t>
      </w:r>
      <w:r>
        <w:rPr>
          <w:rFonts w:ascii="Times New Roman" w:hAnsi="Times New Roman"/>
          <w:color w:val="000000"/>
          <w:sz w:val="20"/>
        </w:rPr>
        <w:t xml:space="preserve"> </w:t>
      </w:r>
      <w:r>
        <w:rPr>
          <w:rFonts w:ascii="Times New Roman" w:hAnsi="Times New Roman"/>
          <w:color w:val="000000"/>
          <w:sz w:val="18"/>
        </w:rPr>
        <w:t>thousand, and will bear interest at the Secured Overnight Financing Rate</w:t>
      </w:r>
      <w:r>
        <w:rPr>
          <w:rFonts w:ascii="Times New Roman" w:hAnsi="Times New Roman"/>
          <w:color w:val="000000"/>
          <w:sz w:val="20"/>
        </w:rPr>
        <w:t xml:space="preserve"> </w:t>
      </w:r>
      <w:r>
        <w:rPr>
          <w:rFonts w:ascii="Times New Roman" w:hAnsi="Times New Roman"/>
          <w:color w:val="000000"/>
          <w:sz w:val="18"/>
        </w:rPr>
        <w:t>(“SOFR”) + 500 basis points, payable monthly. As of September 30, 2025 and December 31, 2024, the Credit Facility's outstanding principal balance was $144,375</w:t>
      </w:r>
      <w:r>
        <w:rPr>
          <w:rFonts w:ascii="Times New Roman" w:hAnsi="Times New Roman"/>
          <w:color w:val="000000"/>
          <w:sz w:val="20"/>
        </w:rPr>
        <w:t xml:space="preserve"> </w:t>
      </w:r>
      <w:r>
        <w:rPr>
          <w:rFonts w:ascii="Times New Roman" w:hAnsi="Times New Roman"/>
          <w:color w:val="000000"/>
          <w:sz w:val="18"/>
        </w:rPr>
        <w:t>thousand and $150,000</w:t>
      </w:r>
      <w:r>
        <w:rPr>
          <w:rFonts w:ascii="Times New Roman" w:hAnsi="Times New Roman"/>
          <w:color w:val="000000"/>
          <w:sz w:val="20"/>
        </w:rPr>
        <w:t xml:space="preserve"> </w:t>
      </w:r>
      <w:r>
        <w:rPr>
          <w:rFonts w:ascii="Times New Roman" w:hAnsi="Times New Roman"/>
          <w:color w:val="000000"/>
          <w:sz w:val="18"/>
        </w:rPr>
        <w:t>thousand, respectively. The Credit Facility was issued at a discount, the carrying value of which was $1,698</w:t>
      </w:r>
      <w:r>
        <w:rPr>
          <w:rFonts w:ascii="Times New Roman" w:hAnsi="Times New Roman"/>
          <w:color w:val="000000"/>
          <w:sz w:val="20"/>
        </w:rPr>
        <w:t xml:space="preserve"> </w:t>
      </w:r>
      <w:r>
        <w:rPr>
          <w:rFonts w:ascii="Times New Roman" w:hAnsi="Times New Roman"/>
          <w:color w:val="000000"/>
          <w:sz w:val="18"/>
        </w:rPr>
        <w:t>thousand and $2,021</w:t>
      </w:r>
      <w:r>
        <w:rPr>
          <w:rFonts w:ascii="Times New Roman" w:hAnsi="Times New Roman"/>
          <w:color w:val="000000"/>
          <w:sz w:val="20"/>
        </w:rPr>
        <w:t xml:space="preserve"> </w:t>
      </w:r>
      <w:r>
        <w:rPr>
          <w:rFonts w:ascii="Times New Roman" w:hAnsi="Times New Roman"/>
          <w:color w:val="000000"/>
          <w:sz w:val="18"/>
        </w:rPr>
        <w:t>thousand as of September 30, 2025 and December 31, 2024, respectively. The Credit Facility matures on September 11, 2029.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2</w:t>
      </w:r>
      <w:r>
        <w:rPr>
          <w:rFonts w:ascii="Times New Roman" w:hAnsi="Times New Roman"/>
          <w:color w:val="000000"/>
          <w:sz w:val="20"/>
        </w:rPr>
        <w:t xml:space="preserve"> </w:t>
      </w:r>
      <w:r>
        <w:rPr>
          <w:rFonts w:ascii="Times New Roman" w:hAnsi="Times New Roman"/>
          <w:color w:val="000000"/>
          <w:sz w:val="18"/>
        </w:rPr>
        <w:t>The Company has issued mortgage notes in connection with various operating properties at an aggregate value of $112,285</w:t>
      </w:r>
      <w:r>
        <w:rPr>
          <w:rFonts w:ascii="Times New Roman" w:hAnsi="Times New Roman"/>
          <w:color w:val="000000"/>
          <w:sz w:val="20"/>
        </w:rPr>
        <w:t xml:space="preserve"> </w:t>
      </w:r>
      <w:r>
        <w:rPr>
          <w:rFonts w:ascii="Times New Roman" w:hAnsi="Times New Roman"/>
          <w:color w:val="000000"/>
          <w:sz w:val="18"/>
        </w:rPr>
        <w:t>thousand as of September 30, 2025 and December 31, 2024. The mortgage notes were issued at a discount, the carrying value of which was $852</w:t>
      </w:r>
      <w:r>
        <w:rPr>
          <w:rFonts w:ascii="Times New Roman" w:hAnsi="Times New Roman"/>
          <w:color w:val="000000"/>
          <w:sz w:val="20"/>
        </w:rPr>
        <w:t xml:space="preserve"> </w:t>
      </w:r>
      <w:r>
        <w:rPr>
          <w:rFonts w:ascii="Times New Roman" w:hAnsi="Times New Roman"/>
          <w:color w:val="000000"/>
          <w:sz w:val="18"/>
        </w:rPr>
        <w:t>thousand and $1,007</w:t>
      </w:r>
      <w:r>
        <w:rPr>
          <w:rFonts w:ascii="Times New Roman" w:hAnsi="Times New Roman"/>
          <w:color w:val="000000"/>
          <w:sz w:val="20"/>
        </w:rPr>
        <w:t xml:space="preserve"> </w:t>
      </w:r>
      <w:r>
        <w:rPr>
          <w:rFonts w:ascii="Times New Roman" w:hAnsi="Times New Roman"/>
          <w:color w:val="000000"/>
          <w:sz w:val="18"/>
        </w:rPr>
        <w:t>thousand, and are presented net of principal payments of $6,661</w:t>
      </w:r>
      <w:r>
        <w:rPr>
          <w:rFonts w:ascii="Times New Roman" w:hAnsi="Times New Roman"/>
          <w:color w:val="000000"/>
          <w:sz w:val="20"/>
        </w:rPr>
        <w:t xml:space="preserve"> </w:t>
      </w:r>
      <w:r>
        <w:rPr>
          <w:rFonts w:ascii="Times New Roman" w:hAnsi="Times New Roman"/>
          <w:color w:val="000000"/>
          <w:sz w:val="18"/>
        </w:rPr>
        <w:t>thousand and $4,299</w:t>
      </w:r>
      <w:r>
        <w:rPr>
          <w:rFonts w:ascii="Times New Roman" w:hAnsi="Times New Roman"/>
          <w:color w:val="000000"/>
          <w:sz w:val="20"/>
        </w:rPr>
        <w:t xml:space="preserve"> </w:t>
      </w:r>
      <w:r>
        <w:rPr>
          <w:rFonts w:ascii="Times New Roman" w:hAnsi="Times New Roman"/>
          <w:color w:val="000000"/>
          <w:sz w:val="18"/>
        </w:rPr>
        <w:t>thousand as of September 30, 2025 and December 31, 2024, respectively. These mortgage notes mature between December 6, 2025</w:t>
      </w:r>
      <w:r>
        <w:rPr>
          <w:rFonts w:ascii="Times New Roman" w:hAnsi="Times New Roman"/>
          <w:color w:val="000000"/>
          <w:sz w:val="20"/>
        </w:rPr>
        <w:t xml:space="preserve"> </w:t>
      </w:r>
      <w:r>
        <w:rPr>
          <w:rFonts w:ascii="Times New Roman" w:hAnsi="Times New Roman"/>
          <w:color w:val="000000"/>
          <w:sz w:val="18"/>
        </w:rPr>
        <w:t>and June 5, 2035</w:t>
      </w:r>
      <w:r>
        <w:rPr>
          <w:rFonts w:ascii="Times New Roman" w:hAnsi="Times New Roman"/>
          <w:color w:val="000000"/>
          <w:sz w:val="20"/>
        </w:rPr>
        <w:t xml:space="preserve"> </w:t>
      </w:r>
      <w:r>
        <w:rPr>
          <w:rFonts w:ascii="Times New Roman" w:hAnsi="Times New Roman"/>
          <w:color w:val="000000"/>
          <w:sz w:val="18"/>
        </w:rPr>
        <w:t>with interest rates ranging between 5.00%</w:t>
      </w:r>
      <w:r>
        <w:rPr>
          <w:rFonts w:ascii="Times New Roman" w:hAnsi="Times New Roman"/>
          <w:color w:val="000000"/>
          <w:sz w:val="20"/>
        </w:rPr>
        <w:t xml:space="preserve"> </w:t>
      </w:r>
      <w:r>
        <w:rPr>
          <w:rFonts w:ascii="Times New Roman" w:hAnsi="Times New Roman"/>
          <w:color w:val="000000"/>
          <w:sz w:val="18"/>
        </w:rPr>
        <w:t>and 7.77%.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Syndicated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11, 2024, the Company entered into a $150,000 thousand syndicated credit facility (the “Credit Facility”) led by Valley National Bank. The Credit Facility has a maturity date of September 11, 2029 and bears interest from the date of issuance at the SOFR + 500 basis points, payable quarterly. As of September 30, 2025, the floating interest rate on the Credit Facility was 9.18%.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Facility includes certain covenants which require the Company to maintain a debt service coverage ratio of 1.5 to 1.0, a funded debt to Adjusted Earnings Before Interest Depreciation and Amortization (“Adjusted EBITDA”) (see “Non-GAAP Measure” below for additional information on Adjusted EBITDA) ratio no greater than 3.5 to 1.0, and a tangible net worth of at least $500 thousand. As of September 30, 2025, the Company was in compliance with all covenants associated with the Credit Facility.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SHARE CAPITAL</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Authorized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following classes of share capital, with each class having no par value: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 Subordinate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 Multiple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Multiple Voting Share is entitled to 100 votes per share at shareholder meetings of the Company and is exchangeable for 100 Subordinate Voting Shares. The Company is authorized to issue an unlimited number of Multiple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(iii) Super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amounts of the issued and outstanding shares by class is as follows: </w:t>
      </w:r>
    </w:p>
    <w:p>
      <w:pPr>
        <w:pStyle w:val="TextBody"/>
        <w:bidi w:val="0"/>
        <w:spacing w:before="120" w:after="283"/>
        <w:jc w:val="left"/>
        <w:rPr/>
      </w:pPr>
      <w:r>
        <w:rPr/>
        <w:t> </w:t>
      </w:r>
    </w:p>
    <w:tbl>
      <w:tblPr>
        <w:tblW w:w="7627" w:type="dxa"/>
        <w:jc w:val="left"/>
        <w:tblInd w:w="0" w:type="dxa"/>
        <w:tblLayout w:type="fixed"/>
        <w:tblCellMar>
          <w:top w:w="28" w:type="dxa"/>
          <w:left w:w="28" w:type="dxa"/>
          <w:bottom w:w="28" w:type="dxa"/>
          <w:right w:w="28" w:type="dxa"/>
        </w:tblCellMar>
      </w:tblPr>
      <w:tblGrid>
        <w:gridCol w:w="4516"/>
        <w:gridCol w:w="146"/>
        <w:gridCol w:w="1141"/>
        <w:gridCol w:w="146"/>
        <w:gridCol w:w="706"/>
        <w:gridCol w:w="146"/>
        <w:gridCol w:w="826"/>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Super</w:t>
              <w:br/>
              <w:t>Voting</w:t>
              <w:br/>
              <w:t>Shares</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211,128,045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206,690</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associated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of deferred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shares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to non-employee contractors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Subordinate Voting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207,294,093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206,690</w:t>
            </w:r>
          </w:p>
        </w:tc>
      </w:tr>
    </w:tbl>
    <w:p>
      <w:pPr>
        <w:pStyle w:val="TextBody"/>
        <w:bidi w:val="0"/>
        <w:spacing w:before="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Distribution of Deferred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the consideration exchanged for acquisitions completed in previous periods, the Company deferred the distribution of Subordinate Voting Shares to secure the Company's indemnification rights associated with post-acquisition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activity during the nine months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3"/>
        <w:gridCol w:w="5690"/>
        <w:gridCol w:w="1830"/>
        <w:gridCol w:w="852"/>
      </w:tblGrid>
      <w:tr>
        <w:trPr/>
        <w:tc>
          <w:tcPr>
            <w:tcW w:w="1833" w:type="dxa"/>
            <w:tcBorders/>
            <w:vAlign w:val="center"/>
          </w:tcPr>
          <w:p>
            <w:pPr>
              <w:pStyle w:val="TableContents"/>
              <w:bidi w:val="0"/>
              <w:spacing w:before="0" w:after="283"/>
              <w:jc w:val="left"/>
              <w:rPr>
                <w:sz w:val="4"/>
                <w:szCs w:val="4"/>
              </w:rPr>
            </w:pPr>
            <w:r>
              <w:rPr>
                <w:sz w:val="4"/>
                <w:szCs w:val="4"/>
              </w:rPr>
            </w:r>
          </w:p>
        </w:tc>
        <w:tc>
          <w:tcPr>
            <w:tcW w:w="56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8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Acquisition</w:t>
            </w:r>
          </w:p>
        </w:tc>
      </w:tr>
      <w:tr>
        <w:trPr/>
        <w:tc>
          <w:tcPr>
            <w:tcW w:w="18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Mobley Pain Management and Wellness Center, LLC and Canwell Processing, LLC</w:t>
            </w:r>
          </w:p>
        </w:tc>
        <w:tc>
          <w:tcPr>
            <w:tcW w:w="1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LeafLine Industries, LLC</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18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January 1, 2025</w:t>
            </w:r>
          </w:p>
        </w:tc>
        <w:tc>
          <w:tcPr>
            <w:tcW w:w="5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76,665</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244,998</w:t>
            </w:r>
          </w:p>
        </w:tc>
      </w:tr>
      <w:tr>
        <w:trPr/>
        <w:tc>
          <w:tcPr>
            <w:tcW w:w="1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Distributed Shares</w:t>
            </w:r>
          </w:p>
        </w:tc>
        <w:tc>
          <w:tcPr>
            <w:tcW w:w="5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(76,653)</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(244,986)</w:t>
            </w:r>
          </w:p>
        </w:tc>
      </w:tr>
      <w:tr>
        <w:trPr/>
        <w:tc>
          <w:tcPr>
            <w:tcW w:w="1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 Shares</w:t>
            </w:r>
          </w:p>
        </w:tc>
        <w:tc>
          <w:tcPr>
            <w:tcW w:w="5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1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September 30, 2025</w:t>
            </w:r>
          </w:p>
        </w:tc>
        <w:tc>
          <w:tcPr>
            <w:tcW w:w="5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8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(ii) Repurchase of 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authorized a new share repurchase program that commenced on September 23, 2025, immediately following the expiration of the Company's prior share repurchase program on September 22, 2025. The new program authorizes the Company to repurchase up to 10,364,640 of its Subordinate Voting Shares over a 12-month period at an aggregate cost of up to $50,000 thousand.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Company's previous share repurchase program, a total of 6,965,000 Subordinate Voting Shares were purchased for $34,441 thousand of which 5,718,000 Subordinate Voting Shares for $24,811 thousand were repurchased during the </w:t>
      </w:r>
    </w:p>
    <w:p>
      <w:pPr>
        <w:pStyle w:val="TextBody"/>
        <w:bidi w:val="0"/>
        <w:jc w:val="left"/>
        <w:rPr>
          <w:rFonts w:ascii="Times New Roman" w:hAnsi="Times New Roman"/>
          <w:color w:val="000000"/>
          <w:sz w:val="20"/>
        </w:rPr>
      </w:pPr>
      <w:r>
        <w:rPr>
          <w:rFonts w:ascii="Times New Roman" w:hAnsi="Times New Roman"/>
          <w:color w:val="000000"/>
          <w:sz w:val="20"/>
        </w:rPr>
        <w:t>nine months ended September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returned $107,100 thousand to shareholders in the form of share repurchases from the commencement of its share repurchase programs on September 11, 2023 through September 30, 2025.</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2018, the Company established the Green Thumb Industries Inc. 2018 Stock and Incentive Plan, which was amended by Amendment No. 1, Amendment No. 2, Amendment No. 3 and Amendment No. 4 thereto (as amended, the “Plan”). The maximum number of RSUs and options outstanding under the Plan at any time shall not exceed 15% of the then issued and outstanding shares on an as-converted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 Option and RSU awards generally vest over three years, and options typically have a life of seven to ten years. Option grants under the Plan are determined by the Compensation Committee of the Company’s Board of Directors with the option price set at no less than 100% of the fair market value of a share on the date of grant.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 Stock-Based Compensation</w:t>
      </w:r>
      <w:r>
        <w:rPr>
          <w:rFonts w:ascii="Times New Roman" w:hAnsi="Times New Roman"/>
          <w:color w:val="000000"/>
          <w:sz w:val="20"/>
        </w:rPr>
        <w:t xml:space="preserve"> </w:t>
      </w:r>
      <w:r>
        <w:rPr>
          <w:rFonts w:ascii="Times New Roman" w:hAnsi="Times New Roman"/>
          <w:i/>
          <w:color w:val="000000"/>
          <w:sz w:val="20"/>
        </w:rPr>
        <w:t>(Continued)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is summarized as follows: </w:t>
      </w:r>
    </w:p>
    <w:tbl>
      <w:tblPr>
        <w:tblW w:w="10205" w:type="dxa"/>
        <w:jc w:val="left"/>
        <w:tblInd w:w="0" w:type="dxa"/>
        <w:tblLayout w:type="fixed"/>
        <w:tblCellMar>
          <w:top w:w="28" w:type="dxa"/>
          <w:left w:w="28" w:type="dxa"/>
          <w:bottom w:w="28" w:type="dxa"/>
          <w:right w:w="28" w:type="dxa"/>
        </w:tblCellMar>
      </w:tblPr>
      <w:tblGrid>
        <w:gridCol w:w="3008"/>
        <w:gridCol w:w="1382"/>
        <w:gridCol w:w="2402"/>
        <w:gridCol w:w="3413"/>
      </w:tblGrid>
      <w:tr>
        <w:trPr/>
        <w:tc>
          <w:tcPr>
            <w:tcW w:w="300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8,238,472</w:t>
            </w:r>
          </w:p>
        </w:tc>
        <w:tc>
          <w:tcPr>
            <w:tcW w:w="2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3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956,520</w:t>
            </w:r>
          </w:p>
        </w:tc>
        <w:tc>
          <w:tcPr>
            <w:tcW w:w="2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(232,891)</w:t>
            </w:r>
          </w:p>
        </w:tc>
        <w:tc>
          <w:tcPr>
            <w:tcW w:w="2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(1,050,952)</w:t>
            </w:r>
          </w:p>
        </w:tc>
        <w:tc>
          <w:tcPr>
            <w:tcW w:w="2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3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7,911,149</w:t>
            </w:r>
          </w:p>
        </w:tc>
        <w:tc>
          <w:tcPr>
            <w:tcW w:w="2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3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September 30, 2025</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5,767,790</w:t>
            </w:r>
          </w:p>
        </w:tc>
        <w:tc>
          <w:tcPr>
            <w:tcW w:w="2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3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used the Black-Scholes option pricing model to estimate the fair value of the options granted during the nine months ended September 30, 2025 and the year ended December 31, 2024, using the following ranges of assumptions: </w:t>
      </w:r>
    </w:p>
    <w:tbl>
      <w:tblPr>
        <w:tblW w:w="4953" w:type="dxa"/>
        <w:jc w:val="left"/>
        <w:tblInd w:w="0" w:type="dxa"/>
        <w:tblLayout w:type="fixed"/>
        <w:tblCellMar>
          <w:top w:w="28" w:type="dxa"/>
          <w:left w:w="28" w:type="dxa"/>
          <w:bottom w:w="28" w:type="dxa"/>
          <w:right w:w="28" w:type="dxa"/>
        </w:tblCellMar>
      </w:tblPr>
      <w:tblGrid>
        <w:gridCol w:w="2131"/>
        <w:gridCol w:w="1441"/>
        <w:gridCol w:w="1381"/>
      </w:tblGrid>
      <w:tr>
        <w:trPr/>
        <w:tc>
          <w:tcPr>
            <w:tcW w:w="21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3.63% - 4.33%</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2.72% - 3.92%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3.76 - 4.68 years</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4.46 - 4.5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718, the Company has made an accounting policy choice to prospectively account for forfeitures when they occur.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number of unvested RSU awards as of September 30, 2025 and December 31, 2024 and the changes during the nine months ended September 30, 2025: </w:t>
      </w:r>
    </w:p>
    <w:tbl>
      <w:tblPr>
        <w:tblW w:w="8295" w:type="dxa"/>
        <w:jc w:val="left"/>
        <w:tblInd w:w="0" w:type="dxa"/>
        <w:tblLayout w:type="fixed"/>
        <w:tblCellMar>
          <w:top w:w="28" w:type="dxa"/>
          <w:left w:w="28" w:type="dxa"/>
          <w:bottom w:w="28" w:type="dxa"/>
          <w:right w:w="28" w:type="dxa"/>
        </w:tblCellMar>
      </w:tblPr>
      <w:tblGrid>
        <w:gridCol w:w="3316"/>
        <w:gridCol w:w="146"/>
        <w:gridCol w:w="1411"/>
        <w:gridCol w:w="211"/>
        <w:gridCol w:w="3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stock-based compensation expense for the three and nine months ended September 30, 2025 and 2024 was as follows: </w:t>
      </w:r>
    </w:p>
    <w:tbl>
      <w:tblPr>
        <w:tblW w:w="9317" w:type="dxa"/>
        <w:jc w:val="left"/>
        <w:tblInd w:w="0" w:type="dxa"/>
        <w:tblLayout w:type="fixed"/>
        <w:tblCellMar>
          <w:top w:w="28" w:type="dxa"/>
          <w:left w:w="28" w:type="dxa"/>
          <w:bottom w:w="28" w:type="dxa"/>
          <w:right w:w="28" w:type="dxa"/>
        </w:tblCellMar>
      </w:tblPr>
      <w:tblGrid>
        <w:gridCol w:w="3571"/>
        <w:gridCol w:w="211"/>
        <w:gridCol w:w="1245"/>
        <w:gridCol w:w="388"/>
        <w:gridCol w:w="1051"/>
        <w:gridCol w:w="211"/>
        <w:gridCol w:w="1110"/>
        <w:gridCol w:w="346"/>
        <w:gridCol w:w="1184"/>
      </w:tblGrid>
      <w:tr>
        <w:trPr/>
        <w:tc>
          <w:tcPr>
            <w:tcW w:w="3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$72,489 thousand of total unrecognized expense related to stock-based compensation awards is expected to be recognized over a weighted-average period of 1.94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10. INCOME TAX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income tax expense and effective tax rates for the three and nine months ended September 30, 2025 and 2024: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2446"/>
        <w:gridCol w:w="211"/>
        <w:gridCol w:w="1161"/>
        <w:gridCol w:w="362"/>
        <w:gridCol w:w="1161"/>
        <w:gridCol w:w="211"/>
        <w:gridCol w:w="1134"/>
        <w:gridCol w:w="306"/>
        <w:gridCol w:w="1199"/>
      </w:tblGrid>
      <w:tr>
        <w:trPr/>
        <w:tc>
          <w:tcPr>
            <w:tcW w:w="2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72,923</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156,017</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49,122</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94,970</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rates for the three months ended September 30, 2025 and 2024 were based on the Company’s forecasted annualized effective tax rates and were adjusted for discrete items that occurred within the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IRS has taken the position that cannabis companies are subject to the limitations of the U.S. Internal Revenue Code of 1986, as amended (“IRC”) Section 280E under which cannabis companies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Taxes paid during the nine months ended September 30, 2025 and 2024 were $22,055 thousand and $87,946 thousand,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11. OTHER INCOME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and 2024 other income (expense) was comprised of the following: </w:t>
      </w:r>
    </w:p>
    <w:p>
      <w:pPr>
        <w:pStyle w:val="TextBody"/>
        <w:bidi w:val="0"/>
        <w:jc w:val="left"/>
        <w:rPr/>
      </w:pPr>
      <w:r>
        <w:rPr/>
        <w:t> </w:t>
      </w:r>
    </w:p>
    <w:tbl>
      <w:tblPr>
        <w:tblW w:w="9298" w:type="dxa"/>
        <w:jc w:val="left"/>
        <w:tblInd w:w="0" w:type="dxa"/>
        <w:tblLayout w:type="fixed"/>
        <w:tblCellMar>
          <w:top w:w="28" w:type="dxa"/>
          <w:left w:w="28" w:type="dxa"/>
          <w:bottom w:w="28" w:type="dxa"/>
          <w:right w:w="28" w:type="dxa"/>
        </w:tblCellMar>
      </w:tblPr>
      <w:tblGrid>
        <w:gridCol w:w="3436"/>
        <w:gridCol w:w="196"/>
        <w:gridCol w:w="1162"/>
        <w:gridCol w:w="361"/>
        <w:gridCol w:w="1162"/>
        <w:gridCol w:w="146"/>
        <w:gridCol w:w="196"/>
        <w:gridCol w:w="1108"/>
        <w:gridCol w:w="344"/>
        <w:gridCol w:w="1187"/>
      </w:tblGrid>
      <w:tr>
        <w:trPr/>
        <w:tc>
          <w:tcPr>
            <w:tcW w:w="3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on divestitures of intellectual property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41,554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29,876</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warrants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2,389</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equity method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(5,843)</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38,110</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24,097</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411</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(a)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Claims and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is an update to the status of the previously disclosed matters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unaudited interim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September 30, 2025, the Company held the bond in the amount of $9,202 thousand within restricted cash and cash equivalents on the Company's unaudited interim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September 30, 2025 and December 31,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FAIR VALUE MEASUREMENTS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the following fair value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that are observable for the asset or liability, either directly or indirectly;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for the asset or liability that are not based on observable market data. </w:t>
      </w:r>
    </w:p>
    <w:p>
      <w:pPr>
        <w:pStyle w:val="TextBody"/>
        <w:bidi w:val="0"/>
        <w:spacing w:before="120" w:after="283"/>
        <w:jc w:val="left"/>
        <w:rPr>
          <w:rFonts w:ascii="Times New Roman" w:hAnsi="Times New Roman"/>
          <w:sz w:val="20"/>
        </w:rPr>
      </w:pPr>
      <w:r>
        <w:rPr>
          <w:rFonts w:ascii="Times New Roman" w:hAnsi="Times New Roman"/>
          <w:b/>
          <w:color w:val="000000"/>
          <w:sz w:val="20"/>
        </w:rPr>
        <w:t>(a)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receivable, investments, accounts payable and accrued liabilities, notes payable, warrant liability, and contingent consideration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was not practicable to estimate the fair value of the Company's long-term notes payable, which consist of the Credit Facility and mortgage notes, since there were no quoted market prices or active trading markets. The carrying amount of notes payable at September 30, 2025 and December 31, 2024 was $247,449 thousand and $254,958 thousand, respectively, which includes $17,264 thousand and $12,062 thousand, respectively, of short-term debt due within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jc w:val="left"/>
        <w:rPr/>
      </w:pPr>
      <w:r>
        <w:rPr/>
        <w:t> </w:t>
      </w:r>
    </w:p>
    <w:tbl>
      <w:tblPr>
        <w:tblW w:w="6309" w:type="dxa"/>
        <w:jc w:val="left"/>
        <w:tblInd w:w="0" w:type="dxa"/>
        <w:tblLayout w:type="fixed"/>
        <w:tblCellMar>
          <w:top w:w="28" w:type="dxa"/>
          <w:left w:w="28" w:type="dxa"/>
          <w:bottom w:w="28" w:type="dxa"/>
          <w:right w:w="28" w:type="dxa"/>
        </w:tblCellMar>
      </w:tblPr>
      <w:tblGrid>
        <w:gridCol w:w="2806"/>
        <w:gridCol w:w="196"/>
        <w:gridCol w:w="691"/>
        <w:gridCol w:w="196"/>
        <w:gridCol w:w="646"/>
        <w:gridCol w:w="196"/>
        <w:gridCol w:w="646"/>
        <w:gridCol w:w="196"/>
        <w:gridCol w:w="736"/>
      </w:tblGrid>
      <w:tr>
        <w:trPr/>
        <w:tc>
          <w:tcPr>
            <w:tcW w:w="28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2025</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226,211</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9,202</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235,413</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43,736</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279,149</w:t>
            </w:r>
          </w:p>
        </w:tc>
      </w:tr>
    </w:tbl>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056"/>
        <w:gridCol w:w="196"/>
        <w:gridCol w:w="691"/>
        <w:gridCol w:w="196"/>
        <w:gridCol w:w="646"/>
        <w:gridCol w:w="196"/>
        <w:gridCol w:w="646"/>
        <w:gridCol w:w="196"/>
        <w:gridCol w:w="736"/>
      </w:tblGrid>
      <w:tr>
        <w:trPr/>
        <w:tc>
          <w:tcPr>
            <w:tcW w:w="2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43,578</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171,687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43,510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215,197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RELATED PARTY</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5, 2024, the Company acquired a noncontrolling financial interest in Agrify Corporation (now known as RYTHM and referred to herein as “RYTHM”), in exchange for $15,000 thousand in cash and $3,280 thousand in Subordinate Voting Shares of Green Thumb. As part of the transaction, the Company also acquired warrants that would allow the Company to extend its ownership stake if exercised, subject to certain beneficial ownership limitations - all of which remain outstanding as of September 30, 2025 and December 31, 2024, respectively. In addition, on November 5, 2024, the Company extended a convertible secured note to RYTHM (the “Original Notes”), the carrying value of which was $10,000 thousand as of September 30, 2025 and December 31, 2024. The Original Notes, bear interest at an annualized rate of 10%. On November 5, 2025, the Original Notes matured and were exchanged for 3,222,997 pre-funded warrants representing the principal amount plus accrued interest due on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Benjamin Kovler, Chairman and Chief Executive Officer of Green Thumb, and Armon Vakali, Vice President, Strategic Initiatives and Partnerships of Green Thumb, were appointed by RYTHM's Board of Directors to serve as RYTHM's Chairman and Interim Chief Executive Officer and member of RYTHM's Board,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Green Thumb's investment in RYTHM had a carrying value of $15,648 thousand and $18,873 thousand as of September 30, 2025 and December 31, 2024, respectively. Such amounts were included within investment in associates on the Company’s unaudited interim condensed consolidated balance sheets. As of September 30, 2025 and December 31, 2024, the Company held a 34% ownership interest in RYTHM and accounted for its investment using the equity method due to the significant influence Green Thumb has the ability to exert over RYTHM.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20, 2025, Green Thumb entered into an agreement with RYTHM whereby Green Thumb agreed to sell its intellectual property in its incredibles brand as well as its farm bill compliant hemp business, operated in its former subsidiary, Core Growth LLC for $5,075 thousand in cash. As part of the transaction, RYTHM agreed to license the intellectual property back to Green Thumb allowing the Company to continue production and sale of incredibles branded products. Separately, Green Thumb agreed to license its intellectual property in Beboe and RYTHM branded products to RYTHM (the "May Licensing Agreement"). As a result of the transaction, Green Thumb recorded a loss on the sale of $11,678 thousand within other income (expense) on the unaudited interim condensed consolidated statement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22, 2025, RYTHM and Green Thumb amended the Original Notes to allow Green Thumb to receive pre-funded warrants in lieu of shares of RYTHM upon conversion of the Original Notes. No other terms of the Original Notes were amended. In addition, Green Thumb extended an additional $27,000 thousand in convertible notes (the “May 2025 Notes”) to RYTHM, due November 22, 2026. Other than the amount and maturity date, all of the terms of the May 2025 Notes are consistent with the Original Notes, as amended.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25, 2025, Green Thumb extended another Convertible Note in the amount of $45,000 thousand (the “August 2025 Notes”) to RYTHM. The August 2025 Notes are a secured obligation of RYTHM and rank senior to all indebtedness of RYTHM except for the Original Notes and May 2025 Notes (collectively the “Existing Notes”), which rank on parity with the August 2025 Notes. The August 2025 Notes mature on February 25, 2027 and bear interest at an annualized rate of 10%. The August 2025 Notes may be converted into shares of RYTHM or, at the election of the holder, into pre-funded warrants, with a beneficial ownership limitation of 49.99%, subject to applicable Nasdaq listing rules. If converted into common shares of RYTHM, the conversion price per share will be $29.475.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the Company recorded accrued interest of $2,326 thousand and $156 thousand, respectively, on the notes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27, 2025, Green Thumb agreed to sell its intellectual property rights in brands including RYTHM, Beboe, Dogwalkers, Doctor Solomon's, &amp;Shine and Good Green for $50,000 thousand in cash. As part of the transaction, RYTHM agreed to license the intellectual property back to Green Thumb and to cancel the May Licensing Agreement between RYTHM and the Company. Further, upon closing, Agrify Corporation formally changed its name to RYTHM, Inc. As a result of the transaction, Green Thumb recorded a gain on the sale of $41,554 thousand within other income (expense) on the unaudited interim condensed consolidated statement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and December 31, 2024, Green Thumb performed various services for RYTHM, pursuant to the shared services agreement, for which the Company was owed $4,269 thousand and $319 thousand,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by segments; therefore, such information is not presented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below table presents revenues by type for the three and nine months ended September 30, 2025 and 2024: </w:t>
      </w:r>
    </w:p>
    <w:p>
      <w:pPr>
        <w:pStyle w:val="TextBody"/>
        <w:bidi w:val="0"/>
        <w:spacing w:before="240" w:after="283"/>
        <w:jc w:val="left"/>
        <w:rPr/>
      </w:pPr>
      <w:r>
        <w:rPr/>
        <w:t> </w:t>
      </w:r>
    </w:p>
    <w:tbl>
      <w:tblPr>
        <w:tblW w:w="10003" w:type="dxa"/>
        <w:jc w:val="left"/>
        <w:tblInd w:w="0" w:type="dxa"/>
        <w:tblLayout w:type="fixed"/>
        <w:tblCellMar>
          <w:top w:w="28" w:type="dxa"/>
          <w:left w:w="28" w:type="dxa"/>
          <w:bottom w:w="28" w:type="dxa"/>
          <w:right w:w="28" w:type="dxa"/>
        </w:tblCellMar>
      </w:tblPr>
      <w:tblGrid>
        <w:gridCol w:w="3271"/>
        <w:gridCol w:w="211"/>
        <w:gridCol w:w="1377"/>
        <w:gridCol w:w="365"/>
        <w:gridCol w:w="1377"/>
        <w:gridCol w:w="146"/>
        <w:gridCol w:w="211"/>
        <w:gridCol w:w="1333"/>
        <w:gridCol w:w="312"/>
        <w:gridCol w:w="1400"/>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204,056</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608,012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614,558</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163,292</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503,013</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471,735</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(75,979)</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(246,859)</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(243,475)</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291,369</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864,166</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842,818</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395,821</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398,267</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107,011</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311,597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272,351</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(85,659)</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(276,810)</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(270,840)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147,342</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430,608</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399,778</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78,066</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212,191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216,291</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56,281</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191,416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199,384</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27,365</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144,027</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433,558</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443,040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34,330</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31,339</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52,913</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30,081</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89,163</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84,252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assigned to the Retail segment as of September 30, 2025 and December 31, 2024 was $279,630 thousand and $273,802 thousand, respectively. Intangible assets, net assigned to the Retail segment as of September 30, 2025 and December 31, 2024 was $251,812 thousand and $254,358 thousand,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assigned to the Consumer Packaged Goods segment as of September 30, 2025 and December 31, 2024 was $314,809 thousand and $315,889 thousand, respectively. Intangible assets, net assigned to the Consumer Packaged Goods segment as of September 30, 2025 and December 31, 2024 was $190,922 thousand and $233,929 thousand,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management_discussion_and_analysis"/>
      <w:bookmarkStart w:id="9" w:name="item2_mda"/>
      <w:bookmarkEnd w:id="8"/>
      <w:bookmarkEnd w:id="9"/>
      <w:r>
        <w:rPr>
          <w:rFonts w:ascii="Times New Roman" w:hAnsi="Times New Roman"/>
          <w:b/>
          <w:color w:val="000000"/>
          <w:sz w:val="20"/>
        </w:rPr>
        <w:t>ITEM 2. MANAGEMENT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 discussion and analysis (“MD&amp;A”) of the financial condition and results of operations of Green Thumb Industries Inc. (the “Company” or “Green Thumb”) is for the three and nine months ended September 30, 2025 and 2024. It is supplemental to, and should be read in conjunction with, the Company’s unaudited interim condensed consolidated financial statements as of September 30, 2025 and the consolidated financial statements for the year ended December 31, 2024 included in the Company’s Annual Report on Form 10-K for the year ended December 31, 2024 filed with the U.S. Securities and Exchange Commission (“SEC”) on February 27, 2025 (the “2024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2024 Form 10-K.” As a result of many factors, the Company’s actual results may differ materially from those anticipated in these forward-looking statements and information. </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Established in 2014 and headquartered in Chicago, Illinois, Green Thumb, a national cannabis consumer packaged goods company and retailer, promotes well-being through the power of cannabis while being committed to community and sustainable, profitable growth. As of September 30, 2025, Green Thumb has operations in fourteen U.S. markets, employs approximately 4,800 people and serves millions of patients and customers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Green Thumb’s core business is manufacturing, distributing and marketing a portfolio of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 immaterial portion of the Company’s business involves producing products containing hemp-derived tetrahydrocannabinol (“THC”) such as Delta-8 THC and Delta-9 THC.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(of which none of these product categories are individually material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Green Thumb owns and operates a national cannabis retail chain called RISE Dispensaries that aims to bring patients and customers a variety of high-quality products at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currently are located in the fourteen states in which we operate. As of September 30, 2025, the Company had 108 open and operating Retail stores. The Company’s new store opening plans will remain fluid depending on market conditions, obtaining local licensing, construction and other permissions and subject to the Company’s capital allocation plans as described under the heading “Liquidity, Financing Activities During the Period, and Capital Resources” below.</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 Consolidated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Company’s selected consolidated financial results for the periods, and as of the dates, indicated. The (i) unaudited interim condensed consolidated statements of operations for the three and nine months ended September 30, 2025 and 2024 and (ii) unaudited interim condensed consolidated balance sheets as of September 30, 2025 and December 31, 2024 have been derived from, and should be read in conjunction with, the unaudited interim condensed consolidated financial statements and accompanying notes presented in Item 1 of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73"/>
        <w:gridCol w:w="196"/>
        <w:gridCol w:w="1055"/>
        <w:gridCol w:w="205"/>
        <w:gridCol w:w="1055"/>
        <w:gridCol w:w="196"/>
        <w:gridCol w:w="1045"/>
        <w:gridCol w:w="203"/>
        <w:gridCol w:w="1045"/>
        <w:gridCol w:w="146"/>
        <w:gridCol w:w="196"/>
        <w:gridCol w:w="674"/>
        <w:gridCol w:w="615"/>
        <w:gridCol w:w="196"/>
        <w:gridCol w:w="674"/>
        <w:gridCol w:w="531"/>
      </w:tblGrid>
      <w:tr>
        <w:trPr/>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291,369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864,166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21,348</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 Sold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(147,342)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(430,608)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144,027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433,558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(9,482)</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107,286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104,967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314,902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39,177</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107,286</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104,967</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314,902</w:t>
            </w:r>
          </w:p>
        </w:tc>
        <w:tc>
          <w:tcPr>
            <w:tcW w:w="2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39,177</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118,656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(48,659)</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(27,589)</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 And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134,947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(21,070)</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49,122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102,013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(28,113)</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Green Thumb Industries Inc.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30,949</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14,672</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(29,455)</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Per Share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231,652,595</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236,303,348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234,524,146</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236,821,181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233,535,805</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238,295,887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237,218,778</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239,934,521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55" w:type="dxa"/>
        <w:jc w:val="left"/>
        <w:tblInd w:w="0" w:type="dxa"/>
        <w:tblLayout w:type="fixed"/>
        <w:tblCellMar>
          <w:top w:w="28" w:type="dxa"/>
          <w:left w:w="28" w:type="dxa"/>
          <w:bottom w:w="28" w:type="dxa"/>
          <w:right w:w="28" w:type="dxa"/>
        </w:tblCellMar>
      </w:tblPr>
      <w:tblGrid>
        <w:gridCol w:w="1666"/>
        <w:gridCol w:w="196"/>
        <w:gridCol w:w="1606"/>
        <w:gridCol w:w="196"/>
        <w:gridCol w:w="1591"/>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2,639,185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2,537,012</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562,722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582,963</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September 30, 2025 Compared to the Three Months Ended September 30, 2024</w:t>
      </w:r>
    </w:p>
    <w:p>
      <w:pPr>
        <w:pStyle w:val="TextBody"/>
        <w:bidi w:val="0"/>
        <w:spacing w:before="120" w:after="283"/>
        <w:jc w:val="left"/>
        <w:rPr>
          <w:rFonts w:ascii="Times New Roman" w:hAnsi="Times New Roman"/>
          <w:sz w:val="20"/>
        </w:rPr>
      </w:pPr>
      <w:r>
        <w:rPr>
          <w:rFonts w:ascii="Times New Roman" w:hAnsi="Times New Roman"/>
          <w:i/>
          <w:color w:val="000000"/>
          <w:sz w:val="20"/>
        </w:rPr>
        <w:t>Revenues, net of Discounts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three months ended September 30, 2025 was $291,369 thousand, an increase of 2% from $286,865 thousand during the three months ended September 30, 2024. The increase in revenue was largely due to the launch of adult-use sales in Minnesota and Ohio which began on September 16, 2025 and August 6, 2024, respectively, as well as continued growth in existing markets, particularly in Florida and New York, and revenue generated from new and existing Retail stores, partially offset by price compression and increased competition in select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108 Retail stores during the quarter compared to 98 in the same quarter of the prior year. Retail revenues made up 70% of total revenues during the three months ended September 30, 2025 as compared to 72% during the three months ended September 30, 2024. Since September 30, 2024, the Company opened two new Retail stores in Florida, two in Nevada and one each in Illinois, Minnesota, Ohio and Pennsylvania. Additionally, the Company acquired three Retail stores in Connecticut and disposed of one Retail store in Massachusetts.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Packaged Goods revenues made up 30% of total revenues during the three months ended September 30, 2025 as compared to 28% during the three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goods sold are derived from retail purchases made by the Company from its third-party licensed producers operating within the Company's state markets and costs related to the internal cultivation and production of cannabis. Cost of goods sold for the three months ended September 30, 2025 was $147,342 thousand, an increase of 6% from $139,274 thousand for the three months ended September 30, 2024, driven by continued growth in existing markets, particularly in Florida and New York, the legalization of adult-use sales in Minnesota and Ohio as described above, and new Retail store openings since September 30, 2024.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rFonts w:ascii="Times New Roman" w:hAnsi="Times New Roman"/>
          <w:color w:val="000000"/>
          <w:sz w:val="20"/>
        </w:rPr>
      </w:pPr>
      <w:r>
        <w:rPr>
          <w:rFonts w:ascii="Times New Roman" w:hAnsi="Times New Roman"/>
          <w:color w:val="000000"/>
          <w:sz w:val="20"/>
        </w:rPr>
        <w:t>Gross profit for the three months ended September 30, 2025 was $144,027 thousand, representing a gross margin on the sale of branded cannabis flower and processed and packaged products including concentrates, edibles, topicals and other cannabis products, of 49%. This is compared to gross profit for the three months ended September 30, 2024 of $147,591 thousand, or a 51% gross margin. The decrease in gross profit was primarily driven by price compression.</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three months ended September 30, 2025 were $107,286 thousand, or 37% of revenues, net of discounts, an increase of $2,319 thousand compared to the same period in the prior year. Total expenses for the three months ended September 30, 2024 were $104,967 thousand or 37% of revenues, net of discounts. The increase in total expenses was attributable to overall salaries and benefits and increased costs associated with the opening and operation of new Retail stores as described above.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other income (expense) for the three months ended September 30, 2025 was $36,182 thousand, a favorable change of $39,103 thousand, primarily due to the net gain on sale of Green Thumb's intellectual property rights to RYTHM, Inc. during the three months ended September 30, 2025. </w:t>
      </w:r>
    </w:p>
    <w:p>
      <w:pPr>
        <w:pStyle w:val="TextBody"/>
        <w:bidi w:val="0"/>
        <w:spacing w:before="360" w:after="283"/>
        <w:jc w:val="left"/>
        <w:rPr>
          <w:rFonts w:ascii="Times New Roman" w:hAnsi="Times New Roman"/>
          <w:sz w:val="20"/>
        </w:rPr>
      </w:pPr>
      <w:r>
        <w:rPr>
          <w:rFonts w:ascii="Times New Roman" w:hAnsi="Times New Roman"/>
          <w:i/>
          <w:color w:val="000000"/>
          <w:sz w:val="20"/>
        </w:rPr>
        <w:t>Income Before Provision for Income Taxes and Non-Controlling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provision for income taxes and non-controlling interest for the three months ended September 30, 2025 was $72,923 thousand, an increase of $33,220 thousand compared to the three months ended September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presented under the heading “Non-GAAP Measures” below, after adjusting for non-cash equity incentive compensation of $11,654 thousand and $8,349 thousand in the three months ended September 30, 2025 and 2024, respectively, and other nonoperating expenses of $1,687 thousand and $9,727 thousand in three months ended September 30, 2025 and 2024, respectively, Adjusted EBITDA was $80,163 thousand and $89,192 thousand,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three months ended September 30, 2025, federal and state income tax expense totaled $49,122 thousand compared to expense of $30,922 thousand</w:t>
      </w:r>
      <w:r>
        <w:rPr>
          <w:rFonts w:ascii="Times New Roman" w:hAnsi="Times New Roman"/>
          <w:color w:val="FF0000"/>
          <w:sz w:val="20"/>
        </w:rPr>
        <w:t xml:space="preserve"> </w:t>
      </w:r>
      <w:r>
        <w:rPr>
          <w:rFonts w:ascii="Times New Roman" w:hAnsi="Times New Roman"/>
          <w:color w:val="000000"/>
          <w:sz w:val="20"/>
        </w:rPr>
        <w:t xml:space="preserve">for the three months ended September 30, 2024.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Nine Months Ended September 30, 2025 Compared to the Nine Months Ended September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net of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nine months ended September 30, 2025 was $864,166 thousand, an increase of 3% from $842,818 thousand for the nine months ended September 30, 2024. The increase in revenue was largely due to the launch of adult-use sales in Minnesota and Ohio which began on September 16, 2025 and August 6, 2024, respectively, as well as continued growth in existing markets, particularly in Florida and New York, and revenue generated from new and Retail stores, partially offset by price compression and increased competition in select markets.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108 Retail stores during the period compared to 98 in the same period of the prior year. Since September 30, 2024, the Company opened two new Retail stores in Florida, two in Nevada and one each in Illinois, Minnesota, Ohio and Pennsylvania. Additionally, the Company acquired three Retail stores in Connecticut and disposed of one Retail store in Massachusetts. </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goods sold are derived from retail purchases made by the Company from its third-party licensed producers operating within our state markets and costs related to the internal cultivation and production of cannabis. Cost of goods sold for the nine months ended September 30, 2025 was $430,608 thousand, an increase of 8% from $399,778 thousand for the nine months ended September 30, 2024, driven by continued growth in existing markets, particularly in Florida and New York, legalization of adult-use sales in Minnesota and Ohio as described above, and new Retail store openings since September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for the nine months ended September 30, 2025 was $433,558 thousand, representing a gross margin on the sale of branded cannabis flower and processed and packaged products including concentrates, edibles, topicals and other cannabis products, of 50%. This is compared to gross profit for the nine months ended September 30, 2024 of $443,040 thousand or a 53% gross margin. The decrease in gross profit was primarily driven by price compression.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nine months ended September 30, 2025 were $314,902 thousand or 36% of revenues, net of discounts, an increase of $39,177 thousand over the same period in the prior year. Total expenses for the nine months ended September 30, 2024 were $275,725 thousand or 33% of revenues, net of discounts. The increase in total expenses was attributable to overall salaries and benefits and increased costs associated with the opening and operation of new Retail stores as described above. In addition, expenses for the nine months ended September 30, 2024, included the impact of one-time favorable fair value adjustments associated with the Company's contingent consideration arrangements.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Other Income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income (expense) for the nine months ended September 30, 2025 was $16,291 thousand, a favorable change of $27,589 thousand over the same period in the prior year, primarily due to the net gain on sale of Green Thumb's intellectual property rights to RYTHM during the nine months ended September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Income Before Provision for Income Taxes and Non-Controlling Interest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before provision for income taxes and non-controlling interest for the nine months ended September 30, 2025 was $134,947 thousand, a decrease of $21,070 thousand compared to the nine months ended September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presented under the heading “Non-GAAP Measures” below, after adjusting for non-cash equity incentive compensation of $33,929 thousand and $23,705 thousand, and other nonoperating expenses (income), of $6,402 thousand and $(1,736) thousand in the nine months ended September 30, 2025 and 2024, respectively, Adjusted EBITDA was $248,150 thousand and $273,536 thousand,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nine months ended September 30, 2025, federal and state income tax expense totaled $102,013 thousand compared to expense of $94,970 thousand for the nine months ended September 30, 2024.</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by Segment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revenues, net of discounts by segment for the three and nine months ended September 30, 2025 and 2024: </w:t>
      </w:r>
    </w:p>
    <w:p>
      <w:pPr>
        <w:pStyle w:val="TextBody"/>
        <w:bidi w:val="0"/>
        <w:spacing w:before="120" w:after="283"/>
        <w:jc w:val="left"/>
        <w:rPr/>
      </w:pPr>
      <w:r>
        <w:rPr/>
        <w:t> </w:t>
      </w:r>
    </w:p>
    <w:tbl>
      <w:tblPr>
        <w:tblW w:w="7143" w:type="dxa"/>
        <w:jc w:val="left"/>
        <w:tblInd w:w="0" w:type="dxa"/>
        <w:tblLayout w:type="fixed"/>
        <w:tblCellMar>
          <w:top w:w="28" w:type="dxa"/>
          <w:left w:w="28" w:type="dxa"/>
          <w:bottom w:w="28" w:type="dxa"/>
          <w:right w:w="28" w:type="dxa"/>
        </w:tblCellMar>
      </w:tblPr>
      <w:tblGrid>
        <w:gridCol w:w="2506"/>
        <w:gridCol w:w="196"/>
        <w:gridCol w:w="1182"/>
        <w:gridCol w:w="321"/>
        <w:gridCol w:w="1182"/>
        <w:gridCol w:w="196"/>
        <w:gridCol w:w="809"/>
        <w:gridCol w:w="751"/>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204,056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163,292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(75,979)</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(84,759)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291,369</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286,865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4,504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r>
    </w:tbl>
    <w:p>
      <w:pPr>
        <w:pStyle w:val="TextBody"/>
        <w:bidi w:val="0"/>
        <w:spacing w:before="360" w:after="283"/>
        <w:jc w:val="left"/>
        <w:rPr/>
      </w:pPr>
      <w:r>
        <w:rPr/>
        <w:t> </w:t>
      </w:r>
    </w:p>
    <w:tbl>
      <w:tblPr>
        <w:tblW w:w="7053" w:type="dxa"/>
        <w:jc w:val="left"/>
        <w:tblInd w:w="0" w:type="dxa"/>
        <w:tblLayout w:type="fixed"/>
        <w:tblCellMar>
          <w:top w:w="28" w:type="dxa"/>
          <w:left w:w="28" w:type="dxa"/>
          <w:bottom w:w="28" w:type="dxa"/>
          <w:right w:w="28" w:type="dxa"/>
        </w:tblCellMar>
      </w:tblPr>
      <w:tblGrid>
        <w:gridCol w:w="2506"/>
        <w:gridCol w:w="196"/>
        <w:gridCol w:w="1158"/>
        <w:gridCol w:w="279"/>
        <w:gridCol w:w="1158"/>
        <w:gridCol w:w="196"/>
        <w:gridCol w:w="873"/>
        <w:gridCol w:w="687"/>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608,012</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614,558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(6,546)</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503,013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31,278</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(246,859)</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(243,475)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864,166</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842,818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21,348</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Three Months Ended September 30, 2025 Compared with the Three Months Ended September 30,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Retail segment were $204,056 thousand, a decrease of $2,068 thousand, compared to the three months ended September 30, 2024. The decrease in Retail revenues, net of discounts, was primarily driven by price compression and increased competition, particularly in Illinois, New Jersey and Pennsylvania, primarily offset by: (i) the launch of adult-use sales in Minnesota and Ohio which began on September 16, 2025 and August 6, 2024, respectively, (ii) revenue generated from new Retail stores openings as described above, and (iii) the acquisition of three stores in Connecticut.</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Revenues, net of discounts, for the Consumer Packaged Goods segment were $163,292 thousand, a decrease of $2,208 thousand or 1%, compared to the three months ended September 30, 2024. The decrease in Consumer Packaged Goods revenues, net of discounts, was primarily driven by price compression and increased competition particularly in Illinois, New Jersey and Pennsylvania, primarily offset by the launch of adult-use sales in Minnesota and Ohio which began on September 16, 2025 and August 6, 2024, respectively, as well as continued growth in existing markets, particularly in Florida and New York.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Intersegment eliminations associated with the Consumer Packaged Goods segment were $75,979 thousand, a decrease of $8,780 thousand or 10% compared to the three months ended September 30, 2024. The decrease in intersegment eliminations was driven by decreased intercompany sales, primarily due to price compression and increased competition particularly in Illinois, New Jersey and Pennsylvania, partially offset by the launch of adult-use sales in Minnesota and Ohio which began on September 16, 2025 and August 6, 2024, respectively. Consumer Packaged Goods revenues, net of intersegment eliminations, made up 30% of total revenues during the three months ended September 30, 2025 as compared to 28% during the three months ended September 30,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Due to the vertically integrated nature of the business, the Company reviews its revenue at the Retail and Consumer Packaged Goods level while reviewing its operating results on a consolidated basis.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Nine Months Ended September 30, 2025 Compared with the Nine Months Ended September 30, 2024</w:t>
      </w:r>
    </w:p>
    <w:p>
      <w:pPr>
        <w:pStyle w:val="TextBody"/>
        <w:bidi w:val="0"/>
        <w:spacing w:before="24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Revenues, net of discounts for the Retail segment were $608,012 thousand, a decrease of $6,546 thousand or 1%, compared to the nine months ended September 30, 2024. The decrease in Retail revenues, net of discounts, was primarily driven by price compression and increased competition particularly in Illinois, New Jersey and Pennsylvania, primarily offset by: (i) the launch of adult-use sales in Minnesota and Ohio which began on September 16, 2025 and August 6, 2024, respectively, (ii) continued growth in existing markets, particularly in Florida and New York, and (iii) revenue generated from new Retail stores openings as described above.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Revenues, net of discounts, for the Consumer Packaged Goods segment were $503,013 thousand, an increase of $31,278 thousand or 7%, compared to the nine months ended September 30, 2024. The increase in Consumer Packaged Goods revenues was primarily driven by the launch of adult-use sales in Minnesota and Ohio which began on September 16, 2025 and August 6, 2024, respectively, as well as continued growth in existing markets, particularly in Florida and New York, partially offset by price compression and increased competition in select markets.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Intersegment eliminations associated with the Consumer Packaged Goods segment were $246,859 thousand, an increase of $3,384 thousand or 1% compared to the nine months ended September 30, 2024. The increase in intersegment eliminations was driven by increased intercompany sales, primarily due to the launch of adult-use sales in Minnesota and Ohio which began on September 16, 2025 and August 6, 2024, respectively, as well as continued growth in existing markets, particularly in Florida and New York, primarily offset by price compression and increased competition in select markets. Consumer Packaged Goods revenues, net of intersegment eliminations, made up 30% of total revenues during the nine months ended September 30, 2025 as compared to 27% during the nine months ended September 30,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360" w:after="283"/>
        <w:jc w:val="left"/>
        <w:rPr>
          <w:rFonts w:ascii="Times New Roman" w:hAnsi="Times New Roman"/>
          <w:sz w:val="20"/>
        </w:rPr>
      </w:pPr>
      <w:r>
        <w:rPr>
          <w:rFonts w:ascii="Times New Roman" w:hAnsi="Times New Roman"/>
          <w:b/>
          <w:color w:val="000000"/>
          <w:sz w:val="20"/>
        </w:rPr>
        <w:t>Drivers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its revenue from two revenue streams: a Consumer Packaged Goods business in which it manufactures, sells and distributes a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permitted by state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revenue was contributed from Retail and Consumer Packaged Goods sales across California, Connecticut, Florida, Illinois, Maryland, Massachusetts, Minnesota, Nevada, New Jersey, New York, Ohio, Pennsylvania, Rhode Island and Virginia. </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September 30, 2025,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income taxes in the jurisdictions in which it operates, and consequently, income tax expense is a function of the allocation of taxable income by jurisdiction and the various activities that impact the timing of taxable events. The IRS has taken the position that companies that operate in the federally illegal cannabis industry, are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360" w:after="283"/>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89"/>
        <w:gridCol w:w="196"/>
        <w:gridCol w:w="1212"/>
        <w:gridCol w:w="330"/>
        <w:gridCol w:w="1061"/>
        <w:gridCol w:w="146"/>
        <w:gridCol w:w="196"/>
        <w:gridCol w:w="1120"/>
        <w:gridCol w:w="305"/>
        <w:gridCol w:w="1150"/>
      </w:tblGrid>
      <w:tr>
        <w:trPr/>
        <w:tc>
          <w:tcPr>
            <w:tcW w:w="4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23,801</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32,934</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61,047</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(7,082)</w:t>
            </w:r>
          </w:p>
        </w:tc>
      </w:tr>
      <w:tr>
        <w:trPr/>
        <w:tc>
          <w:tcPr>
            <w:tcW w:w="4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5,228</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15,139</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18,791</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49,122</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102,013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94,970</w:t>
            </w:r>
          </w:p>
        </w:tc>
      </w:tr>
      <w:tr>
        <w:trPr/>
        <w:tc>
          <w:tcPr>
            <w:tcW w:w="4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(38,110)</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30,081</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89,163</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84,252</w:t>
            </w:r>
          </w:p>
        </w:tc>
      </w:tr>
      <w:tr>
        <w:trPr/>
        <w:tc>
          <w:tcPr>
            <w:tcW w:w="4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before interest, taxes, depreciation and</w:t>
              <w:br/>
              <w:t>   amortization (EBITDA) (non-GAAP measure)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66,822</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207,819</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251,567</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Non-cash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23,705</w:t>
            </w:r>
          </w:p>
        </w:tc>
      </w:tr>
      <w:tr>
        <w:trPr/>
        <w:tc>
          <w:tcPr>
            <w:tcW w:w="4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Transaction and Other Non-operating Costs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6,402</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r>
      <w:tr>
        <w:trPr/>
        <w:tc>
          <w:tcPr>
            <w:tcW w:w="4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 (Non-GAAP Measure)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80,163</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248,150</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273,536</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Financing Activities During the Period,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Company had total current liabilities of $241,553 thousand and $164,969 thousand, respectively, and cash and cash equivalents of $226,211 thousand and $171,687 thousand, respectively, to meet its current obligations. The Company had working capital of $235,909 thousand as of September 30, 2025, a decrease of $3,022 thousand as compared to December 31, 2024. This decrease in working capital was primarily driven by acquisitions as well as the repurchase of 5,718,000 Subordinate Voting Shares through the Company's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(Used in) Operating, Investing and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(used in) operating, investing and financing activities for the nine months ended September 30, 2025 and 2024 were as follows: </w:t>
      </w:r>
    </w:p>
    <w:p>
      <w:pPr>
        <w:pStyle w:val="TextBody"/>
        <w:bidi w:val="0"/>
        <w:jc w:val="left"/>
        <w:rPr/>
      </w:pPr>
      <w:r>
        <w:rPr/>
        <w:t> </w:t>
      </w:r>
    </w:p>
    <w:tbl>
      <w:tblPr>
        <w:tblW w:w="6707" w:type="dxa"/>
        <w:jc w:val="left"/>
        <w:tblInd w:w="0" w:type="dxa"/>
        <w:tblLayout w:type="fixed"/>
        <w:tblCellMar>
          <w:top w:w="28" w:type="dxa"/>
          <w:left w:w="28" w:type="dxa"/>
          <w:bottom w:w="28" w:type="dxa"/>
          <w:right w:w="28" w:type="dxa"/>
        </w:tblCellMar>
      </w:tblPr>
      <w:tblGrid>
        <w:gridCol w:w="3661"/>
        <w:gridCol w:w="196"/>
        <w:gridCol w:w="1304"/>
        <w:gridCol w:w="315"/>
        <w:gridCol w:w="1231"/>
      </w:tblGrid>
      <w:tr>
        <w:trPr/>
        <w:tc>
          <w:tcPr>
            <w:tcW w:w="3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Provided by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204,785</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151,845</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(111,237)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(53,435)</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(29,822)</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(86,403)</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Commitments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Maturities of notes payable as of September 30, 2025 were as follows:</w:t>
      </w:r>
    </w:p>
    <w:p>
      <w:pPr>
        <w:pStyle w:val="TextBody"/>
        <w:bidi w:val="0"/>
        <w:spacing w:before="360" w:after="283"/>
        <w:jc w:val="left"/>
        <w:rPr/>
      </w:pPr>
      <w:r>
        <w:rPr/>
        <w:t> </w:t>
      </w:r>
    </w:p>
    <w:tbl>
      <w:tblPr>
        <w:tblW w:w="6592" w:type="dxa"/>
        <w:jc w:val="left"/>
        <w:tblInd w:w="0" w:type="dxa"/>
        <w:tblLayout w:type="fixed"/>
        <w:tblCellMar>
          <w:top w:w="28" w:type="dxa"/>
          <w:left w:w="28" w:type="dxa"/>
          <w:bottom w:w="28" w:type="dxa"/>
          <w:right w:w="28" w:type="dxa"/>
        </w:tblCellMar>
      </w:tblPr>
      <w:tblGrid>
        <w:gridCol w:w="2746"/>
        <w:gridCol w:w="196"/>
        <w:gridCol w:w="1201"/>
        <w:gridCol w:w="196"/>
        <w:gridCol w:w="1321"/>
        <w:gridCol w:w="196"/>
        <w:gridCol w:w="736"/>
      </w:tblGrid>
      <w:tr>
        <w:trPr/>
        <w:tc>
          <w:tcPr>
            <w:tcW w:w="2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Maturities of Notes Payable</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 Ending December 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Facility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 Notes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18,706</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30,695</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137,026</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 and Thereafter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maturities of notes payable </w:t>
            </w:r>
            <w:r>
              <w:rPr>
                <w:rFonts w:ascii="Times New Roman" w:hAnsi="Times New Roman"/>
                <w:b/>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144,375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249,999</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18"/>
        </w:rPr>
        <w:t>Total maturities of notes payable excludes unamortized debt discount of $1,698 thousand associated with the Credit Facility and $852 thousand associated with the mortgage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or Adoption of Accounting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discussion of recently adopted/issued accounting pronouncements under Part I, Item 1, Notes to Unaudited Interim Condensed Consolidated Financial Statements, Note 1—Overview and Basis of Presentation.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to our critical accounting policies and estimates from the information provided in “Management’s Discussion and Analysis of Financial Condition and Results of Operations,” included in our 2024 Form 10-K.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quant_and_qual_disclosure_market_risk"/>
      <w:bookmarkEnd w:id="10"/>
      <w:r>
        <w:rPr>
          <w:rFonts w:ascii="Times New Roman" w:hAnsi="Times New Roman"/>
          <w:b/>
          <w:color w:val="000000"/>
          <w:sz w:val="20"/>
        </w:rPr>
        <w:t>ITEM 3. QUANTITAVE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market risk disclosures as set forth in Part II Item 7A of our 2024 Form 10-K. </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September 30,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during the third quarter of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Inherent Limitations on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partii_item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is an update to the status of previously disclosed matters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unaudited interim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September 30, 2025, the Company held the bond in the amount of $9,202 thousand within restricted cash and cash equivalents on the Company's unaudited interim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September 30, 2025 and December 31,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 </w:t>
      </w:r>
    </w:p>
    <w:p>
      <w:pPr>
        <w:pStyle w:val="TextBody"/>
        <w:bidi w:val="0"/>
        <w:jc w:val="left"/>
        <w:rPr/>
      </w:pPr>
      <w:r>
        <w:rPr/>
        <w:t> </w:t>
      </w:r>
    </w:p>
    <w:p>
      <w:pPr>
        <w:pStyle w:val="TextBody"/>
        <w:bidi w:val="0"/>
        <w:spacing w:before="120" w:after="283"/>
        <w:jc w:val="left"/>
        <w:rPr>
          <w:rFonts w:ascii="Times New Roman" w:hAnsi="Times New Roman"/>
          <w:sz w:val="20"/>
        </w:rPr>
      </w:pPr>
      <w:bookmarkStart w:id="13" w:name="partii_item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our potential risks and uncertainties, see the information under the heading “Risk Factors” in our 2024 Form 10-K.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partii_item2_sale_of_unregistered_securi"/>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During the three months ended September 30, 2025, the Company issued a total of 3,289 Subordinate Voting Shares to non-employee contractors.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Multiple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Super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partii_item3_defaults_upon_senior_securi"/>
      <w:bookmarkEnd w:id="15"/>
      <w:r>
        <w:rPr>
          <w:rFonts w:ascii="Times New Roman" w:hAnsi="Times New Roman"/>
          <w:b/>
          <w:color w:val="000000"/>
          <w:sz w:val="20"/>
        </w:rPr>
        <w:t>Recent 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repurchases of our Subordinate Voting Shares during the nine months ended September 30, 2025:</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41"/>
        <w:gridCol w:w="1454"/>
        <w:gridCol w:w="196"/>
        <w:gridCol w:w="1239"/>
        <w:gridCol w:w="2541"/>
        <w:gridCol w:w="196"/>
        <w:gridCol w:w="2838"/>
      </w:tblGrid>
      <w:tr>
        <w:trPr/>
        <w:tc>
          <w:tcPr>
            <w:tcW w:w="174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 except per share amounts)</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2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Program</w:t>
            </w:r>
            <w:r>
              <w:rPr>
                <w:rFonts w:ascii="Times New Roman" w:hAnsi="Times New Roman"/>
                <w:color w:val="000000"/>
                <w:sz w:val="16"/>
              </w:rPr>
              <w:t>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January 1, 2025 through January 31, 2025</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40,400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February 1, 2025 through February 28, 2025</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41"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40,400</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March 1, 2025 through March 31, 2025</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160,000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6.49</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160,000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39,300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April 1, 2025 through April 30, 2025</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5.00</w:t>
            </w:r>
          </w:p>
        </w:tc>
        <w:tc>
          <w:tcPr>
            <w:tcW w:w="2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38,800</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May 1, 2025 through May 31, 2025</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38,800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June 1, 2025 through June 30, 2025</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5,458,000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4.26</w:t>
            </w:r>
          </w:p>
        </w:tc>
        <w:tc>
          <w:tcPr>
            <w:tcW w:w="2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5,458,000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15,600</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July 1, 2025 through July 31, 2025</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15,600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August 1, 2025 through August 31, 2025</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41"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15,600</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September 1, 2025 through September 30, 2025</w:t>
            </w:r>
          </w:p>
        </w:tc>
        <w:tc>
          <w:tcPr>
            <w:tcW w:w="1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D0D0D"/>
              </w:rPr>
            </w:pPr>
            <w:r>
              <w:rPr>
                <w:color w:val="0D0D0D"/>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D0D0D"/>
              </w:rPr>
            </w:pPr>
            <w:r>
              <w:rPr>
                <w:color w:val="0D0D0D"/>
              </w:rPr>
              <w:t>—</w:t>
            </w:r>
          </w:p>
        </w:tc>
        <w:tc>
          <w:tcPr>
            <w:tcW w:w="2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D0D0D"/>
              </w:rPr>
            </w:pPr>
            <w:r>
              <w:rPr>
                <w:color w:val="0D0D0D"/>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50,000</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5,718,000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1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4.34</w:t>
            </w:r>
          </w:p>
        </w:tc>
        <w:tc>
          <w:tcPr>
            <w:tcW w:w="2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5,718,000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2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50,000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The Company's Board of Directors authorized a new share repurchase program that commenced on September 23, 2025, immediately following the expiration of the Company's prior share repurchase program on September 22, 2025. The new program authorizes the Company to repurchase up to 10,364,640 of its Subordinate Voting Shares over a 12-month period at an aggregate cost of up to $50,000 thousand. During the nine months ended September 30, 2025, the Company repurchased 5,718,000 Subordinate Voting Shares at an average price of $4.34 per share. As of September 30, 2025, the total remaining repurchase ability of the Company was approximately $50,000 thousand.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partii_item4_mine_safety_disclosur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7" w:name="partii_item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Trading Arrangements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partii_item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exhibits are filed with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9466"/>
      </w:tblGrid>
      <w:tr>
        <w:trPr/>
        <w:tc>
          <w:tcPr>
            <w:tcW w:w="739"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1_1.htm">
              <w:r>
                <w:rPr>
                  <w:rStyle w:val="InternetLink"/>
                  <w:rFonts w:ascii="Times New Roman" w:hAnsi="Times New Roman"/>
                  <w:color w:val="0000FF"/>
                  <w:sz w:val="20"/>
                  <w:u w:val="single"/>
                </w:rPr>
                <w:t>CERTIFICATE OF CHIEF EXECUTIVE OFFICER</w:t>
              </w:r>
            </w:hyperlink>
            <w:hyperlink w:anchor="gtbif-ex31_1.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1_2.htm">
              <w:r>
                <w:rPr>
                  <w:rStyle w:val="InternetLink"/>
                  <w:rFonts w:ascii="Times New Roman" w:hAnsi="Times New Roman"/>
                  <w:color w:val="0000FF"/>
                  <w:sz w:val="20"/>
                  <w:u w:val="single"/>
                </w:rPr>
                <w:t>CERTIFICATE OF CHIEF FINANCIAL OFFICER</w:t>
              </w:r>
            </w:hyperlink>
            <w:hyperlink w:anchor="gtbif-ex31_2.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2_1.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2_2.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101.Scs</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 Inline XBRL File)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requirements of the Securities Exchange Act of 1934, the Company has duly caused this report to be signed on its behalf by the undersigned thereunto duly authorized.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5, 2025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5, 2025 </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0" w:name="gtbif-ex31_1.htm"/>
      <w:bookmarkStart w:id="21" w:name="ksgtbifex31_1"/>
      <w:bookmarkEnd w:id="20"/>
      <w:bookmarkEnd w:id="2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Benjamin Kovler,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5, 2025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gtbif-ex31_2.htm"/>
      <w:bookmarkStart w:id="23" w:name="ksgtbifex31_2"/>
      <w:bookmarkEnd w:id="22"/>
      <w:bookmarkEnd w:id="2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Mathew Faulkner,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5, 2025</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4" w:name="gtbif-ex32_1.htm"/>
      <w:bookmarkStart w:id="25" w:name="ksgtbifex32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nine months ended September 30, 2025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5, 2025</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6" w:name="gtbif-ex32_2.htm"/>
      <w:bookmarkStart w:id="27" w:name="ksgtbifex32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nine months ended September 30, 2025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5,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18682</Words>
  <Characters>105744</Characters>
  <CharactersWithSpaces>124276</CharactersWithSpaces>
  <Paragraphs>4965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