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gtbif-20211231.htm"/>
      <w:bookmarkStart w:id="1" w:name="ksgtbif20211231"/>
      <w:bookmarkEnd w:id="0"/>
      <w:bookmarkEnd w:id="1"/>
      <w:r>
        <w:rPr/>
        <w:t> </w:t>
      </w:r>
    </w:p>
    <w:p>
      <w:pPr>
        <w:pStyle w:val="TextBody"/>
        <w:pBdr>
          <w:top w:val="double" w:sz="6" w:space="1" w:color="000000"/>
        </w:pBdr>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32"/>
        </w:rPr>
        <w:t>UNITED STATES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32"/>
        </w:rPr>
        <w:t>SECURITIES AND EXCHANGE COMMISSION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WASHINGTON, D.C. 20549</w:t>
      </w:r>
      <w:r>
        <w:rPr>
          <w:rFonts w:ascii="Times New Roman" w:hAnsi="Times New Roman"/>
          <w:sz w:val="20"/>
        </w:rPr>
        <w:t xml:space="preserve"> </w:t>
      </w:r>
    </w:p>
    <w:p>
      <w:pPr>
        <w:pStyle w:val="TextBody"/>
        <w:pBdr>
          <w:bottom w:val="single" w:sz="8" w:space="1" w:color="000000"/>
        </w:pBdr>
        <w:spacing w:lineRule="atLeast" w:line="141" w:before="100" w:after="0"/>
        <w:jc w:val="center"/>
        <w:rPr/>
      </w:pPr>
      <w:r>
        <w:rPr/>
        <w:t> </w:t>
      </w:r>
    </w:p>
    <w:p>
      <w:pPr>
        <w:pStyle w:val="TextBody"/>
        <w:spacing w:lineRule="auto" w:line="273" w:before="100" w:after="0"/>
        <w:jc w:val="center"/>
        <w:rPr>
          <w:rFonts w:ascii="Times New Roman" w:hAnsi="Times New Roman"/>
          <w:sz w:val="20"/>
        </w:rPr>
      </w:pPr>
      <w:r>
        <w:rPr>
          <w:rFonts w:ascii="Times New Roman" w:hAnsi="Times New Roman"/>
          <w:b/>
          <w:sz w:val="32"/>
        </w:rPr>
        <w:t>FORM 10-K</w:t>
      </w:r>
      <w:r>
        <w:rPr>
          <w:rFonts w:ascii="Times New Roman" w:hAnsi="Times New Roman"/>
          <w:sz w:val="20"/>
        </w:rPr>
        <w:t xml:space="preserve"> </w:t>
      </w:r>
    </w:p>
    <w:p>
      <w:pPr>
        <w:pStyle w:val="TextBody"/>
        <w:pBdr>
          <w:bottom w:val="single" w:sz="8" w:space="1" w:color="000000"/>
        </w:pBdr>
        <w:spacing w:lineRule="atLeast" w:line="141" w:before="100" w:after="0"/>
        <w:jc w:val="center"/>
        <w:rPr/>
      </w:pPr>
      <w:r>
        <w:rPr/>
        <w:t> </w:t>
      </w:r>
    </w:p>
    <w:p>
      <w:pPr>
        <w:pStyle w:val="TextBody"/>
        <w:spacing w:lineRule="auto" w:line="273" w:before="100" w:after="0"/>
        <w:jc w:val="left"/>
        <w:rPr/>
      </w:pPr>
      <w:r>
        <w:rPr/>
        <w:t xml:space="preserve">☒ </w:t>
      </w:r>
      <w:r>
        <w:rPr>
          <w:rFonts w:ascii="Times New Roman" w:hAnsi="Times New Roman"/>
          <w:b/>
          <w:sz w:val="20"/>
        </w:rPr>
        <w:t>ANNUAL REPORT PURSUANT TO SECTION 13 OR 15(d) OF THE SECURITIES EXCHANGE ACT OF 1934</w:t>
      </w:r>
    </w:p>
    <w:p>
      <w:pPr>
        <w:pStyle w:val="TextBody"/>
        <w:spacing w:lineRule="auto" w:line="273" w:before="100" w:after="0"/>
        <w:jc w:val="center"/>
        <w:rPr>
          <w:rFonts w:ascii="Times New Roman" w:hAnsi="Times New Roman"/>
          <w:b/>
          <w:sz w:val="16"/>
        </w:rPr>
      </w:pPr>
      <w:r>
        <w:rPr>
          <w:rFonts w:ascii="Times New Roman" w:hAnsi="Times New Roman"/>
          <w:b/>
          <w:sz w:val="16"/>
        </w:rPr>
        <w:t>For the fiscal year ended December 31, 2021</w:t>
      </w:r>
    </w:p>
    <w:p>
      <w:pPr>
        <w:pStyle w:val="TextBody"/>
        <w:spacing w:lineRule="auto" w:line="273" w:before="100" w:after="0"/>
        <w:jc w:val="center"/>
        <w:rPr>
          <w:rFonts w:ascii="Times New Roman" w:hAnsi="Times New Roman"/>
          <w:sz w:val="20"/>
        </w:rPr>
      </w:pPr>
      <w:r>
        <w:rPr>
          <w:rFonts w:ascii="Times New Roman" w:hAnsi="Times New Roman"/>
          <w:b/>
          <w:sz w:val="16"/>
        </w:rPr>
        <w:t>OR</w:t>
      </w:r>
      <w:r>
        <w:rPr>
          <w:rFonts w:ascii="Times New Roman" w:hAnsi="Times New Roman"/>
          <w:sz w:val="20"/>
        </w:rPr>
        <w:t xml:space="preserve"> </w:t>
      </w:r>
    </w:p>
    <w:p>
      <w:pPr>
        <w:pStyle w:val="TextBody"/>
        <w:spacing w:lineRule="auto" w:line="273" w:before="100" w:after="0"/>
        <w:jc w:val="center"/>
        <w:rPr/>
      </w:pPr>
      <w:r>
        <w:rPr/>
        <w:t xml:space="preserve">☐ </w:t>
      </w:r>
      <w:r>
        <w:rPr>
          <w:rFonts w:ascii="Times New Roman" w:hAnsi="Times New Roman"/>
          <w:b/>
          <w:sz w:val="20"/>
        </w:rPr>
        <w:t>TRANSITION REPORT PURSUANT TO SECTION 13 OR 15(d) OF THE SECURITIES EXCHANGE ACT OF 1934</w:t>
      </w:r>
    </w:p>
    <w:p>
      <w:pPr>
        <w:pStyle w:val="TextBody"/>
        <w:spacing w:lineRule="auto" w:line="273" w:before="100" w:after="0"/>
        <w:jc w:val="center"/>
        <w:rPr>
          <w:rFonts w:ascii="Times New Roman" w:hAnsi="Times New Roman"/>
          <w:sz w:val="20"/>
        </w:rPr>
      </w:pPr>
      <w:r>
        <w:rPr>
          <w:rFonts w:ascii="Times New Roman" w:hAnsi="Times New Roman"/>
          <w:b/>
          <w:sz w:val="20"/>
        </w:rPr>
        <w:t>For the transition period from to</w:t>
      </w:r>
      <w:r>
        <w:rPr>
          <w:rFonts w:ascii="Times New Roman" w:hAnsi="Times New Roman"/>
          <w:sz w:val="20"/>
        </w:rPr>
        <w:t xml:space="preserve"> </w:t>
      </w:r>
    </w:p>
    <w:p>
      <w:pPr>
        <w:pStyle w:val="TextBody"/>
        <w:spacing w:lineRule="auto" w:line="273" w:before="100" w:after="0"/>
        <w:jc w:val="center"/>
        <w:rPr/>
      </w:pPr>
      <w:r>
        <w:rPr/>
        <w:drawing>
          <wp:inline distT="0" distB="0" distL="0" distR="0">
            <wp:extent cx="53816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81625" cy="800100"/>
                    </a:xfrm>
                    <a:prstGeom prst="rect">
                      <a:avLst/>
                    </a:prstGeom>
                  </pic:spPr>
                </pic:pic>
              </a:graphicData>
            </a:graphic>
          </wp:inline>
        </w:drawing>
      </w:r>
      <w:r>
        <w:rPr/>
        <w:t> </w:t>
      </w:r>
    </w:p>
    <w:p>
      <w:pPr>
        <w:pStyle w:val="TextBody"/>
        <w:spacing w:lineRule="auto" w:line="273" w:before="80" w:after="0"/>
        <w:jc w:val="center"/>
        <w:rPr>
          <w:rFonts w:ascii="Times New Roman" w:hAnsi="Times New Roman"/>
          <w:sz w:val="20"/>
        </w:rPr>
      </w:pPr>
      <w:r>
        <w:rPr>
          <w:rFonts w:ascii="Times New Roman" w:hAnsi="Times New Roman"/>
          <w:b/>
          <w:sz w:val="16"/>
        </w:rPr>
        <w:t>Commission file number 000-56132</w:t>
      </w:r>
      <w:r>
        <w:rPr>
          <w:rFonts w:ascii="Times New Roman" w:hAnsi="Times New Roman"/>
          <w:sz w:val="20"/>
        </w:rPr>
        <w:t xml:space="preserve"> </w:t>
      </w:r>
    </w:p>
    <w:p>
      <w:pPr>
        <w:pStyle w:val="TextBody"/>
        <w:pBdr>
          <w:bottom w:val="single" w:sz="8" w:space="1" w:color="000000"/>
        </w:pBdr>
        <w:spacing w:lineRule="atLeast" w:line="141" w:before="100" w:after="0"/>
        <w:jc w:val="center"/>
        <w:rPr/>
      </w:pPr>
      <w:r>
        <w:rPr/>
        <w:t> </w:t>
      </w:r>
    </w:p>
    <w:p>
      <w:pPr>
        <w:pStyle w:val="TextBody"/>
        <w:spacing w:lineRule="auto" w:line="273" w:before="100" w:after="0"/>
        <w:jc w:val="center"/>
        <w:rPr>
          <w:rFonts w:ascii="Times New Roman" w:hAnsi="Times New Roman"/>
          <w:sz w:val="20"/>
        </w:rPr>
      </w:pPr>
      <w:r>
        <w:rPr>
          <w:rFonts w:ascii="Times New Roman" w:hAnsi="Times New Roman"/>
          <w:b/>
          <w:sz w:val="36"/>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(Exact name of registrant as specified in its charter)</w:t>
      </w:r>
      <w:r>
        <w:rPr>
          <w:rFonts w:ascii="Times New Roman" w:hAnsi="Times New Roman"/>
          <w:sz w:val="20"/>
        </w:rPr>
        <w:t xml:space="preserve"> </w:t>
      </w:r>
    </w:p>
    <w:p>
      <w:pPr>
        <w:pStyle w:val="TextBody"/>
        <w:pBdr>
          <w:bottom w:val="single" w:sz="8" w:space="1" w:color="000000"/>
        </w:pBdr>
        <w:spacing w:lineRule="atLeast" w:line="141" w:before="100" w:after="0"/>
        <w:jc w:val="center"/>
        <w:rPr/>
      </w:pPr>
      <w:r>
        <w:rPr/>
        <w:t> </w:t>
      </w:r>
    </w:p>
    <w:p>
      <w:pPr>
        <w:pStyle w:val="TextBody"/>
        <w:spacing w:lineRule="auto" w:line="273" w:before="0" w:after="0"/>
        <w:jc w:val="left"/>
        <w:rPr/>
      </w:pPr>
      <w:r>
        <w:rPr/>
        <w:t> </w:t>
      </w:r>
    </w:p>
    <w:tbl>
      <w:tblPr>
        <w:tblW w:w="3197" w:type="dxa"/>
        <w:jc w:val="left"/>
        <w:tblInd w:w="0" w:type="dxa"/>
        <w:tblCellMar>
          <w:top w:w="28" w:type="dxa"/>
          <w:left w:w="28" w:type="dxa"/>
          <w:bottom w:w="28" w:type="dxa"/>
          <w:right w:w="28" w:type="dxa"/>
        </w:tblCellMar>
      </w:tblPr>
      <w:tblGrid>
        <w:gridCol w:w="2146"/>
        <w:gridCol w:w="1051"/>
      </w:tblGrid>
      <w:tr>
        <w:trPr/>
        <w:tc>
          <w:tcPr>
            <w:tcW w:w="2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British Columbia</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98-1437430</w:t>
            </w:r>
          </w:p>
        </w:tc>
      </w:tr>
      <w:tr>
        <w:trPr/>
        <w:tc>
          <w:tcPr>
            <w:tcW w:w="2146" w:type="dxa"/>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(State or other jurisdiction of</w:t>
            </w:r>
          </w:p>
          <w:p>
            <w:pPr>
              <w:pStyle w:val="TableContents"/>
              <w:spacing w:lineRule="auto" w:line="252" w:before="0" w:after="20"/>
              <w:ind w:left="0" w:right="0" w:hanging="0"/>
              <w:jc w:val="center"/>
              <w:rPr>
                <w:rFonts w:ascii="Times New Roman" w:hAnsi="Times New Roman"/>
                <w:b/>
                <w:sz w:val="12"/>
              </w:rPr>
            </w:pPr>
            <w:r>
              <w:rPr>
                <w:rFonts w:ascii="Times New Roman" w:hAnsi="Times New Roman"/>
                <w:b/>
                <w:sz w:val="12"/>
              </w:rPr>
              <w:t>incorporation or organization)</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(I.R.S. employer</w:t>
            </w:r>
          </w:p>
          <w:p>
            <w:pPr>
              <w:pStyle w:val="TableContents"/>
              <w:spacing w:lineRule="auto" w:line="252" w:before="0" w:after="20"/>
              <w:ind w:left="0" w:right="0" w:hanging="0"/>
              <w:jc w:val="center"/>
              <w:rPr>
                <w:rFonts w:ascii="Times New Roman" w:hAnsi="Times New Roman"/>
                <w:b/>
                <w:sz w:val="12"/>
              </w:rPr>
            </w:pPr>
            <w:r>
              <w:rPr>
                <w:rFonts w:ascii="Times New Roman" w:hAnsi="Times New Roman"/>
                <w:b/>
                <w:sz w:val="12"/>
              </w:rPr>
              <w:t>identification no.)</w:t>
            </w:r>
          </w:p>
        </w:tc>
      </w:tr>
      <w:tr>
        <w:trPr/>
        <w:tc>
          <w:tcPr>
            <w:tcW w:w="2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left"/>
              <w:rPr/>
            </w:pPr>
            <w:r>
              <w:rPr/>
              <w:t> </w:t>
            </w:r>
          </w:p>
        </w:tc>
      </w:tr>
      <w:tr>
        <w:trPr/>
        <w:tc>
          <w:tcPr>
            <w:tcW w:w="214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325 West Huron Street,</w:t>
            </w:r>
          </w:p>
          <w:p>
            <w:pPr>
              <w:pStyle w:val="TableContents"/>
              <w:spacing w:lineRule="auto" w:line="252" w:before="0" w:after="20"/>
              <w:ind w:left="0" w:right="0" w:hanging="0"/>
              <w:jc w:val="center"/>
              <w:rPr>
                <w:rFonts w:ascii="Times New Roman" w:hAnsi="Times New Roman"/>
                <w:sz w:val="20"/>
              </w:rPr>
            </w:pPr>
            <w:r>
              <w:rPr>
                <w:rFonts w:ascii="Times New Roman" w:hAnsi="Times New Roman"/>
                <w:b/>
                <w:sz w:val="16"/>
              </w:rPr>
              <w:t>Suite 700</w:t>
            </w:r>
            <w:r>
              <w:rPr>
                <w:rFonts w:ascii="Times New Roman" w:hAnsi="Times New Roman"/>
                <w:sz w:val="20"/>
              </w:rPr>
              <w:t xml:space="preserve"> </w:t>
            </w:r>
            <w:r>
              <w:rPr>
                <w:rFonts w:ascii="Times New Roman" w:hAnsi="Times New Roman"/>
                <w:b/>
                <w:sz w:val="16"/>
              </w:rPr>
              <w:t>Chicago, Illinois</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60654</w:t>
            </w:r>
          </w:p>
        </w:tc>
      </w:tr>
      <w:tr>
        <w:trPr/>
        <w:tc>
          <w:tcPr>
            <w:tcW w:w="2146" w:type="dxa"/>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(Address of principal executive offices)</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sz w:val="12"/>
              </w:rPr>
            </w:pPr>
            <w:r>
              <w:rPr>
                <w:rFonts w:ascii="Times New Roman" w:hAnsi="Times New Roman"/>
                <w:b/>
                <w:sz w:val="12"/>
              </w:rPr>
              <w:t>(zip code)</w:t>
            </w:r>
          </w:p>
        </w:tc>
      </w:tr>
    </w:tbl>
    <w:p>
      <w:pPr>
        <w:pStyle w:val="TextBody"/>
        <w:spacing w:lineRule="auto" w:line="273" w:before="100" w:after="0"/>
        <w:jc w:val="center"/>
        <w:rPr>
          <w:rFonts w:ascii="Times New Roman" w:hAnsi="Times New Roman"/>
          <w:sz w:val="20"/>
        </w:rPr>
      </w:pPr>
      <w:r>
        <w:rPr>
          <w:rFonts w:ascii="Times New Roman" w:hAnsi="Times New Roman"/>
          <w:b/>
          <w:sz w:val="16"/>
        </w:rPr>
        <w:t>Registrant’s telephone number, including area code - (312) 471-6720</w:t>
      </w:r>
      <w:r>
        <w:rPr>
          <w:rFonts w:ascii="Times New Roman" w:hAnsi="Times New Roman"/>
          <w:sz w:val="20"/>
        </w:rPr>
        <w:t xml:space="preserve"> </w:t>
      </w:r>
    </w:p>
    <w:p>
      <w:pPr>
        <w:pStyle w:val="TextBody"/>
        <w:pBdr>
          <w:bottom w:val="single" w:sz="8" w:space="1" w:color="000000"/>
        </w:pBdr>
        <w:spacing w:lineRule="atLeast" w:line="141" w:before="100" w:after="0"/>
        <w:jc w:val="center"/>
        <w:rPr/>
      </w:pPr>
      <w:r>
        <w:rPr/>
        <w:t> </w:t>
      </w:r>
    </w:p>
    <w:p>
      <w:pPr>
        <w:pStyle w:val="TextBody"/>
        <w:spacing w:lineRule="auto" w:line="273" w:before="100" w:after="0"/>
        <w:jc w:val="center"/>
        <w:rPr>
          <w:rFonts w:ascii="Times New Roman" w:hAnsi="Times New Roman"/>
          <w:sz w:val="20"/>
        </w:rPr>
      </w:pPr>
      <w:r>
        <w:rPr>
          <w:rFonts w:ascii="Times New Roman" w:hAnsi="Times New Roman"/>
          <w:b/>
          <w:sz w:val="16"/>
        </w:rPr>
        <w:t>Securities registered pursuant to Section 12(g) of the Act:</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Subordinate Voting Shares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Multiple Voting Shares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6"/>
        </w:rPr>
        <w:t>Super Voting Shares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12"/>
        </w:rPr>
        <w:t>(Title of each Class)</w:t>
      </w:r>
      <w:r>
        <w:rPr>
          <w:rFonts w:ascii="Times New Roman" w:hAnsi="Times New Roman"/>
          <w:sz w:val="20"/>
        </w:rPr>
        <w:t xml:space="preserve"> </w:t>
      </w:r>
    </w:p>
    <w:p>
      <w:pPr>
        <w:pStyle w:val="TextBody"/>
        <w:spacing w:lineRule="auto" w:line="273" w:before="100" w:after="0"/>
        <w:jc w:val="left"/>
        <w:rPr>
          <w:rFonts w:ascii="Times New Roman" w:hAnsi="Times New Roman"/>
          <w:sz w:val="20"/>
        </w:rPr>
      </w:pPr>
      <w:r>
        <w:rPr>
          <w:rFonts w:ascii="Times New Roman" w:hAnsi="Times New Roman"/>
          <w:b w:val="false"/>
          <w:sz w:val="16"/>
        </w:rPr>
        <w:t>Indicate by check mark if the registrant is a well-known seasoned issuer, as defined in Rule 405 of the Securities Act. Yes</w:t>
      </w:r>
      <w:r>
        <w:rPr>
          <w:rFonts w:ascii="Times New Roman" w:hAnsi="Times New Roman"/>
          <w:sz w:val="20"/>
        </w:rPr>
        <w:t xml:space="preserve"> ☒ </w:t>
      </w:r>
      <w:r>
        <w:rPr>
          <w:rFonts w:ascii="Times New Roman" w:hAnsi="Times New Roman"/>
          <w:b w:val="false"/>
          <w:sz w:val="16"/>
        </w:rPr>
        <w:t>No ☐</w:t>
      </w:r>
      <w:r>
        <w:rPr>
          <w:rFonts w:ascii="Times New Roman" w:hAnsi="Times New Roman"/>
          <w:sz w:val="20"/>
        </w:rPr>
        <w:t xml:space="preserve"> </w:t>
      </w:r>
    </w:p>
    <w:p>
      <w:pPr>
        <w:pStyle w:val="TextBody"/>
        <w:spacing w:lineRule="auto" w:line="273" w:before="100" w:after="0"/>
        <w:jc w:val="left"/>
        <w:rPr>
          <w:rFonts w:ascii="Times New Roman" w:hAnsi="Times New Roman"/>
          <w:sz w:val="20"/>
        </w:rPr>
      </w:pPr>
      <w:r>
        <w:rPr>
          <w:rFonts w:ascii="Times New Roman" w:hAnsi="Times New Roman"/>
          <w:b w:val="false"/>
          <w:sz w:val="16"/>
        </w:rPr>
        <w:t>Indicate by check mark if the registrant is not required to file reports pursuant to Section 13 or Section 15(d) of the Act. Yes ☐ No</w:t>
      </w:r>
      <w:r>
        <w:rPr>
          <w:rFonts w:ascii="Times New Roman" w:hAnsi="Times New Roman"/>
          <w:sz w:val="20"/>
        </w:rPr>
        <w:t xml:space="preserve"> ☒ </w:t>
      </w:r>
    </w:p>
    <w:p>
      <w:pPr>
        <w:pStyle w:val="TextBody"/>
        <w:spacing w:lineRule="auto" w:line="273" w:before="100" w:after="0"/>
        <w:jc w:val="left"/>
        <w:rPr>
          <w:rFonts w:ascii="Times New Roman" w:hAnsi="Times New Roman"/>
          <w:sz w:val="20"/>
        </w:rPr>
      </w:pPr>
      <w:r>
        <w:rPr>
          <w:rFonts w:ascii="Times New Roman" w:hAnsi="Times New Roman"/>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w:t>
      </w:r>
      <w:r>
        <w:rPr>
          <w:rFonts w:ascii="Times New Roman" w:hAnsi="Times New Roman"/>
          <w:sz w:val="20"/>
        </w:rPr>
        <w:t xml:space="preserve"> ☒ </w:t>
      </w:r>
      <w:r>
        <w:rPr>
          <w:rFonts w:ascii="Times New Roman" w:hAnsi="Times New Roman"/>
          <w:b w:val="false"/>
          <w:sz w:val="16"/>
        </w:rPr>
        <w:t>No ☐</w:t>
      </w:r>
      <w:r>
        <w:rPr>
          <w:rFonts w:ascii="Times New Roman" w:hAnsi="Times New Roman"/>
          <w:sz w:val="20"/>
        </w:rPr>
        <w:t xml:space="preserve"> </w:t>
      </w:r>
    </w:p>
    <w:p>
      <w:pPr>
        <w:pStyle w:val="TextBody"/>
        <w:spacing w:lineRule="auto" w:line="273" w:before="100" w:after="0"/>
        <w:jc w:val="left"/>
        <w:rPr>
          <w:rFonts w:ascii="Times New Roman" w:hAnsi="Times New Roman"/>
          <w:sz w:val="20"/>
        </w:rPr>
      </w:pPr>
      <w:r>
        <w:rPr>
          <w:rFonts w:ascii="Times New Roman" w:hAnsi="Times New Roman"/>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6"/>
        </w:rPr>
        <w:t>No ☐</w:t>
      </w:r>
      <w:r>
        <w:rPr>
          <w:rFonts w:ascii="Times New Roman" w:hAnsi="Times New Roman"/>
          <w:sz w:val="20"/>
        </w:rPr>
        <w:t xml:space="preserve"> </w:t>
      </w:r>
    </w:p>
    <w:p>
      <w:pPr>
        <w:pStyle w:val="TextBody"/>
        <w:spacing w:lineRule="auto" w:line="273" w:before="100" w:after="0"/>
        <w:jc w:val="left"/>
        <w:rPr>
          <w:rFonts w:ascii="Times New Roman" w:hAnsi="Times New Roman"/>
          <w:sz w:val="20"/>
        </w:rPr>
      </w:pPr>
      <w:r>
        <w:rPr>
          <w:rFonts w:ascii="Times New Roman" w:hAnsi="Times New Roman"/>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lineRule="auto" w:line="273" w:before="0" w:after="0"/>
        <w:jc w:val="left"/>
        <w:rPr/>
      </w:pPr>
      <w:r>
        <w:rPr/>
        <w:t> </w:t>
      </w:r>
    </w:p>
    <w:tbl>
      <w:tblPr>
        <w:tblW w:w="4729" w:type="dxa"/>
        <w:jc w:val="left"/>
        <w:tblInd w:w="0" w:type="dxa"/>
        <w:tblCellMar>
          <w:top w:w="28" w:type="dxa"/>
          <w:left w:w="28" w:type="dxa"/>
          <w:bottom w:w="28" w:type="dxa"/>
          <w:right w:w="28" w:type="dxa"/>
        </w:tblCellMar>
      </w:tblPr>
      <w:tblGrid>
        <w:gridCol w:w="2041"/>
        <w:gridCol w:w="316"/>
        <w:gridCol w:w="2011"/>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Large accelerated filer</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Accelerated filer</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2041"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1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Non-accelerated filer</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Smaller reporting company</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2041"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2011"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Emerging growth company</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01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r>
    </w:tbl>
    <w:p>
      <w:pPr>
        <w:pStyle w:val="TextBody"/>
        <w:spacing w:lineRule="auto" w:line="273" w:before="100" w:after="0"/>
        <w:jc w:val="left"/>
        <w:rPr>
          <w:rFonts w:ascii="Times New Roman" w:hAnsi="Times New Roman"/>
          <w:sz w:val="20"/>
        </w:rPr>
      </w:pPr>
      <w:r>
        <w:rPr>
          <w:rFonts w:ascii="Times New Roman" w:hAnsi="Times New Roman"/>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lineRule="auto" w:line="273" w:before="100" w:after="0"/>
        <w:jc w:val="left"/>
        <w:rPr>
          <w:rFonts w:ascii="Times New Roman" w:hAnsi="Times New Roman"/>
          <w:sz w:val="20"/>
        </w:rPr>
      </w:pPr>
      <w:r>
        <w:rPr>
          <w:rFonts w:ascii="Times New Roman" w:hAnsi="Times New Roman"/>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lineRule="auto" w:line="273" w:before="100" w:after="0"/>
        <w:jc w:val="left"/>
        <w:rPr>
          <w:rFonts w:ascii="Times New Roman" w:hAnsi="Times New Roman"/>
          <w:sz w:val="20"/>
        </w:rPr>
      </w:pPr>
      <w:r>
        <w:rPr>
          <w:rFonts w:ascii="Times New Roman" w:hAnsi="Times New Roman"/>
          <w:b w:val="false"/>
          <w:sz w:val="16"/>
        </w:rPr>
        <w:t xml:space="preserve">Indicate by check mark whether the registrant is a shell company (as defined in Rule 12b-2 of the Act). Yes </w:t>
      </w:r>
      <w:r>
        <w:rPr>
          <w:rFonts w:ascii="Times New Roman" w:hAnsi="Times New Roman"/>
          <w:sz w:val="20"/>
        </w:rPr>
        <w:t xml:space="preserve">☐ </w:t>
      </w:r>
      <w:r>
        <w:rPr>
          <w:rFonts w:ascii="Times New Roman" w:hAnsi="Times New Roman"/>
          <w:b w:val="false"/>
          <w:sz w:val="16"/>
        </w:rPr>
        <w:t>No ☒</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100" w:after="0"/>
        <w:jc w:val="left"/>
        <w:rPr>
          <w:rFonts w:ascii="Times New Roman" w:hAnsi="Times New Roman"/>
          <w:sz w:val="20"/>
        </w:rPr>
      </w:pPr>
      <w:r>
        <w:rPr>
          <w:rFonts w:ascii="Times New Roman" w:hAnsi="Times New Roman"/>
          <w:b w:val="false"/>
          <w:sz w:val="16"/>
        </w:rPr>
        <w:t>As of February 24, 2022, there were 202,526,260</w:t>
      </w:r>
      <w:r>
        <w:rPr>
          <w:rFonts w:ascii="Times New Roman" w:hAnsi="Times New Roman"/>
          <w:sz w:val="20"/>
        </w:rPr>
        <w:t xml:space="preserve"> </w:t>
      </w:r>
      <w:r>
        <w:rPr>
          <w:rFonts w:ascii="Times New Roman" w:hAnsi="Times New Roman"/>
          <w:b w:val="false"/>
          <w:sz w:val="16"/>
        </w:rPr>
        <w:t>shares of the registrant’s Subordinate Voting Shares, 3,853,100</w:t>
      </w:r>
      <w:r>
        <w:rPr>
          <w:rFonts w:ascii="Times New Roman" w:hAnsi="Times New Roman"/>
          <w:sz w:val="20"/>
        </w:rPr>
        <w:t xml:space="preserve"> </w:t>
      </w:r>
      <w:r>
        <w:rPr>
          <w:rFonts w:ascii="Times New Roman" w:hAnsi="Times New Roman"/>
          <w:b w:val="false"/>
          <w:sz w:val="16"/>
        </w:rPr>
        <w:t>shares of the registrant’s Multiple Voting Shares (on an as converted basis) and 28,503,100</w:t>
      </w:r>
      <w:r>
        <w:rPr>
          <w:rFonts w:ascii="Times New Roman" w:hAnsi="Times New Roman"/>
          <w:sz w:val="20"/>
        </w:rPr>
        <w:t xml:space="preserve"> </w:t>
      </w:r>
      <w:r>
        <w:rPr>
          <w:rFonts w:ascii="Times New Roman" w:hAnsi="Times New Roman"/>
          <w:b w:val="false"/>
          <w:sz w:val="16"/>
        </w:rPr>
        <w:t>shares of the registrant’s Super Voting Shares (on an as converted basis) outstanding.</w:t>
      </w:r>
    </w:p>
    <w:p>
      <w:pPr>
        <w:pStyle w:val="TextBody"/>
        <w:spacing w:lineRule="auto" w:line="273" w:before="100" w:after="0"/>
        <w:jc w:val="left"/>
        <w:rPr>
          <w:rFonts w:ascii="Times New Roman" w:hAnsi="Times New Roman"/>
          <w:sz w:val="20"/>
        </w:rPr>
      </w:pPr>
      <w:r>
        <w:rPr>
          <w:rFonts w:ascii="Times New Roman" w:hAnsi="Times New Roman"/>
          <w:b w:val="false"/>
          <w:sz w:val="16"/>
        </w:rPr>
        <w:t>The aggregate market value of the Subordinate Voting Shares, and Multiple Voting Shares, and Super Voting Shares (on an as converted basis, based on the closing price of these Subordinate Voting Shares on the Canadian Stock Exchange) on June 30, 2021, the last business day of the registrant's most recently completed second fiscal quarter, held by nonaffiliates was $6,535,629</w:t>
      </w:r>
      <w:r>
        <w:rPr>
          <w:rFonts w:ascii="Times New Roman" w:hAnsi="Times New Roman"/>
          <w:sz w:val="20"/>
        </w:rPr>
        <w:t xml:space="preserve"> </w:t>
      </w:r>
      <w:r>
        <w:rPr>
          <w:rFonts w:ascii="Times New Roman" w:hAnsi="Times New Roman"/>
          <w:b w:val="false"/>
          <w:sz w:val="16"/>
        </w:rPr>
        <w:t>thousand.</w:t>
      </w:r>
    </w:p>
    <w:p>
      <w:pPr>
        <w:pStyle w:val="TextBody"/>
        <w:spacing w:lineRule="auto" w:line="273" w:before="100" w:after="0"/>
        <w:jc w:val="left"/>
        <w:rPr/>
      </w:pPr>
      <w:r>
        <w:rPr/>
        <w:t> </w:t>
      </w:r>
    </w:p>
    <w:p>
      <w:pPr>
        <w:pStyle w:val="TextBody"/>
        <w:spacing w:lineRule="auto" w:line="273" w:before="0" w:after="0"/>
        <w:jc w:val="center"/>
        <w:rPr>
          <w:rFonts w:ascii="Times New Roman" w:hAnsi="Times New Roman"/>
          <w:b w:val="false"/>
          <w:sz w:val="16"/>
        </w:rPr>
      </w:pPr>
      <w:r>
        <w:rPr>
          <w:rFonts w:ascii="Times New Roman" w:hAnsi="Times New Roman"/>
          <w:b w:val="false"/>
          <w:sz w:val="16"/>
        </w:rPr>
        <w:t>DOCUMENTS INCORPORATED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Part I of this Annual Report on Form 10-K incorporates certain information by reference from the Registrant's Amendment No. 2 Registration Statement on Form S-1 (No. 333-248213) to the extent stated herein under the heading "History of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Part III of this Annual Report on Form 10-K incorporates certain information by reference from the definitive proxy statement to be filed by the registrant in connection with the 2022 General Annual Meeting of Stockholders (the “2022 Proxy Statement”). The 2022 Proxy Statement will be filed by the registrant with the Securities and Exchange Commission not later than 120 days after December 31, 2021, the end of the registrant’s fiscal year.</w:t>
      </w:r>
    </w:p>
    <w:p>
      <w:pPr>
        <w:pStyle w:val="TextBody"/>
        <w:spacing w:lineRule="auto" w:line="273" w:before="0" w:after="0"/>
        <w:jc w:val="left"/>
        <w:rPr/>
      </w:pPr>
      <w:r>
        <w:rPr/>
        <w:t> </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ANNUAL REPORT ON FORM 10-K</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FOR THE FISCAL YEAR ENDED December 31, 2021</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bookmarkStart w:id="2" w:name="toc"/>
      <w:bookmarkEnd w:id="2"/>
      <w:r>
        <w:rPr>
          <w:rFonts w:ascii="Times New Roman" w:hAnsi="Times New Roman"/>
          <w:b/>
          <w:sz w:val="20"/>
        </w:rPr>
        <w:t>TABLE OF CONTENTS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75"/>
        <w:gridCol w:w="805"/>
        <w:gridCol w:w="7966"/>
        <w:gridCol w:w="146"/>
        <w:gridCol w:w="513"/>
      </w:tblGrid>
      <w:tr>
        <w:trPr/>
        <w:tc>
          <w:tcPr>
            <w:tcW w:w="77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7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r>
      <w:tr>
        <w:trPr/>
        <w:tc>
          <w:tcPr>
            <w:tcW w:w="9546" w:type="dxa"/>
            <w:gridSpan w:val="3"/>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Page</w:t>
            </w:r>
          </w:p>
        </w:tc>
      </w:tr>
      <w:tr>
        <w:trPr/>
        <w:tc>
          <w:tcPr>
            <w:tcW w:w="775"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PART I</w:t>
            </w:r>
          </w:p>
        </w:tc>
        <w:tc>
          <w:tcPr>
            <w:tcW w:w="805" w:type="dxa"/>
            <w:tcBorders/>
            <w:shd w:fill="auto" w:val="clear"/>
            <w:vAlign w:val="center"/>
          </w:tcPr>
          <w:p>
            <w:pPr>
              <w:pStyle w:val="TableContents"/>
              <w:spacing w:lineRule="auto" w:line="252" w:before="0" w:after="0"/>
              <w:ind w:left="0" w:right="0" w:hanging="0"/>
              <w:jc w:val="left"/>
              <w:rPr/>
            </w:pPr>
            <w:r>
              <w:rPr/>
              <w:t> </w:t>
            </w:r>
          </w:p>
        </w:tc>
        <w:tc>
          <w:tcPr>
            <w:tcW w:w="79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pPr>
            <w:r>
              <w:rPr/>
              <w:t> </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_business">
              <w:r>
                <w:rPr>
                  <w:rStyle w:val="InternetLink"/>
                  <w:rFonts w:ascii="Times New Roman" w:hAnsi="Times New Roman"/>
                  <w:b w:val="false"/>
                  <w:sz w:val="20"/>
                  <w:u w:val="single"/>
                </w:rPr>
                <w:t>ITEM 1.</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BUSINESS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5</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a_risk_factors">
              <w:r>
                <w:rPr>
                  <w:rStyle w:val="InternetLink"/>
                  <w:rFonts w:ascii="Times New Roman" w:hAnsi="Times New Roman"/>
                  <w:b w:val="false"/>
                  <w:sz w:val="20"/>
                  <w:u w:val="single"/>
                </w:rPr>
                <w:t>ITEM 1A.</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 FACTORS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b_unresolved_staff_comments">
              <w:r>
                <w:rPr>
                  <w:rStyle w:val="InternetLink"/>
                  <w:rFonts w:ascii="Times New Roman" w:hAnsi="Times New Roman"/>
                  <w:b w:val="false"/>
                  <w:sz w:val="20"/>
                  <w:u w:val="single"/>
                </w:rPr>
                <w:t>ITEM 1B.</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UNRESOLVED STAFF COMMENTS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2_properties">
              <w:r>
                <w:rPr>
                  <w:rStyle w:val="InternetLink"/>
                  <w:rFonts w:ascii="Times New Roman" w:hAnsi="Times New Roman"/>
                  <w:b w:val="false"/>
                  <w:sz w:val="20"/>
                  <w:u w:val="single"/>
                </w:rPr>
                <w:t>ITEM 2.</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45</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3_legal_proceedings">
              <w:r>
                <w:rPr>
                  <w:rStyle w:val="InternetLink"/>
                  <w:rFonts w:ascii="Times New Roman" w:hAnsi="Times New Roman"/>
                  <w:b w:val="false"/>
                  <w:sz w:val="20"/>
                  <w:u w:val="single"/>
                </w:rPr>
                <w:t>ITEM 3.</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LEGAL PROCEEDINGS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45</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4_mine_safety">
              <w:r>
                <w:rPr>
                  <w:rStyle w:val="InternetLink"/>
                  <w:rFonts w:ascii="Times New Roman" w:hAnsi="Times New Roman"/>
                  <w:b w:val="false"/>
                  <w:sz w:val="20"/>
                  <w:u w:val="single"/>
                </w:rPr>
                <w:t>ITEM 4.</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MINE SAFETY DISCLOSURES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45</w:t>
            </w:r>
          </w:p>
        </w:tc>
      </w:tr>
      <w:tr>
        <w:trPr/>
        <w:tc>
          <w:tcPr>
            <w:tcW w:w="775"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PART II</w:t>
            </w:r>
          </w:p>
        </w:tc>
        <w:tc>
          <w:tcPr>
            <w:tcW w:w="805" w:type="dxa"/>
            <w:tcBorders/>
            <w:shd w:fill="auto" w:val="clear"/>
            <w:vAlign w:val="center"/>
          </w:tcPr>
          <w:p>
            <w:pPr>
              <w:pStyle w:val="TableContents"/>
              <w:spacing w:lineRule="auto" w:line="252" w:before="0" w:after="0"/>
              <w:ind w:left="0" w:right="0" w:hanging="0"/>
              <w:jc w:val="left"/>
              <w:rPr/>
            </w:pPr>
            <w:r>
              <w:rPr/>
              <w:t> </w:t>
            </w:r>
          </w:p>
        </w:tc>
        <w:tc>
          <w:tcPr>
            <w:tcW w:w="79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pPr>
            <w:r>
              <w:rPr/>
              <w:t> </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20" w:after="0"/>
              <w:ind w:left="0" w:right="0" w:hanging="0"/>
              <w:jc w:val="left"/>
              <w:rPr/>
            </w:pPr>
            <w:hyperlink w:anchor="item5_market_price">
              <w:r>
                <w:rPr>
                  <w:rStyle w:val="InternetLink"/>
                  <w:rFonts w:ascii="Times New Roman" w:hAnsi="Times New Roman"/>
                  <w:b w:val="false"/>
                  <w:sz w:val="20"/>
                  <w:u w:val="single"/>
                </w:rPr>
                <w:t>ITEM 5.</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MARKET PRICE OF AND DIVIDENDS ON THE REGISTRANTS COMMON EQUITY AND RELATED STOCKHOLDER MATTERS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46</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6_selected_financial_data">
              <w:r>
                <w:rPr>
                  <w:rStyle w:val="InternetLink"/>
                  <w:rFonts w:ascii="Times New Roman" w:hAnsi="Times New Roman"/>
                  <w:b w:val="false"/>
                  <w:sz w:val="20"/>
                  <w:u w:val="single"/>
                </w:rPr>
                <w:t>ITEM 6.</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SELECTED FINANCIAL DATA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49</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7_mda">
              <w:r>
                <w:rPr>
                  <w:rStyle w:val="InternetLink"/>
                  <w:rFonts w:ascii="Times New Roman" w:hAnsi="Times New Roman"/>
                  <w:b w:val="false"/>
                  <w:sz w:val="20"/>
                  <w:u w:val="single"/>
                </w:rPr>
                <w:t>ITEM 7.</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MANAGEMENT DISCUSSION AND ANALYSIS OF FINANCIAL CONDITION AND RESULTS OF OPERATION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49</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7a_quantqual_marketrisk">
              <w:r>
                <w:rPr>
                  <w:rStyle w:val="InternetLink"/>
                  <w:rFonts w:ascii="Times New Roman" w:hAnsi="Times New Roman"/>
                  <w:b w:val="false"/>
                  <w:sz w:val="20"/>
                  <w:u w:val="single"/>
                </w:rPr>
                <w:t>ITEM 7A.</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QUANTITATIVE AND QUALITATIVE DISCLOSURES ABOUT MARKET RISK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61</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8_financialstmts_and_suppdata">
              <w:r>
                <w:rPr>
                  <w:rStyle w:val="InternetLink"/>
                  <w:rFonts w:ascii="Times New Roman" w:hAnsi="Times New Roman"/>
                  <w:b w:val="false"/>
                  <w:sz w:val="20"/>
                  <w:u w:val="single"/>
                </w:rPr>
                <w:t>ITEM 8.</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FINANCIAL STATEMENTS AND SUPPLEMENTARY DATA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62</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9_changesdisagreements_accountants">
              <w:r>
                <w:rPr>
                  <w:rStyle w:val="InternetLink"/>
                  <w:rFonts w:ascii="Times New Roman" w:hAnsi="Times New Roman"/>
                  <w:b w:val="false"/>
                  <w:sz w:val="20"/>
                  <w:u w:val="single"/>
                </w:rPr>
                <w:t>ITEM 9.</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CHANGES AND DISAGREEMENTS WITH ACCOUNTANTS ON ACCOUNTING AND FINANCIAL DISCLOSURE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62</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9a_controlsandprocedures">
              <w:r>
                <w:rPr>
                  <w:rStyle w:val="InternetLink"/>
                  <w:rFonts w:ascii="Times New Roman" w:hAnsi="Times New Roman"/>
                  <w:b w:val="false"/>
                  <w:sz w:val="20"/>
                  <w:u w:val="single"/>
                </w:rPr>
                <w:t>ITEM 9A.</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CONTROLS AND PROCEDURES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63</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9b_other_information">
              <w:r>
                <w:rPr>
                  <w:rStyle w:val="InternetLink"/>
                  <w:rFonts w:ascii="Times New Roman" w:hAnsi="Times New Roman"/>
                  <w:b w:val="false"/>
                  <w:sz w:val="20"/>
                  <w:u w:val="single"/>
                </w:rPr>
                <w:t>ITEM 9B.</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INFORMATION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9c_disclosure_foreign_jurisdictions">
              <w:r>
                <w:rPr>
                  <w:rStyle w:val="InternetLink"/>
                  <w:rFonts w:ascii="Times New Roman" w:hAnsi="Times New Roman"/>
                  <w:b w:val="false"/>
                  <w:sz w:val="20"/>
                  <w:u w:val="single"/>
                </w:rPr>
                <w:t>ITEM 9C.</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DISCLOSURE REGARDING FOREIGN JURISDICTIONS THAT PREVENT INSPECTIONS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PART III</w:t>
            </w:r>
          </w:p>
        </w:tc>
        <w:tc>
          <w:tcPr>
            <w:tcW w:w="805" w:type="dxa"/>
            <w:tcBorders/>
            <w:shd w:fill="auto" w:val="clear"/>
            <w:vAlign w:val="center"/>
          </w:tcPr>
          <w:p>
            <w:pPr>
              <w:pStyle w:val="TableContents"/>
              <w:spacing w:lineRule="auto" w:line="252" w:before="0" w:after="0"/>
              <w:ind w:left="0" w:right="0" w:hanging="0"/>
              <w:jc w:val="left"/>
              <w:rPr/>
            </w:pPr>
            <w:r>
              <w:rPr/>
              <w:t> </w:t>
            </w:r>
          </w:p>
        </w:tc>
        <w:tc>
          <w:tcPr>
            <w:tcW w:w="79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pPr>
            <w:r>
              <w:rPr/>
              <w:t> </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0_executiveofficers">
              <w:r>
                <w:rPr>
                  <w:rStyle w:val="InternetLink"/>
                  <w:rFonts w:ascii="Times New Roman" w:hAnsi="Times New Roman"/>
                  <w:b w:val="false"/>
                  <w:sz w:val="20"/>
                  <w:u w:val="single"/>
                </w:rPr>
                <w:t>ITEM 10.</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EXECUTIVE OFFICERS OF GREEN THUMB INDUSTRIES,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1_executive_compensation">
              <w:r>
                <w:rPr>
                  <w:rStyle w:val="InternetLink"/>
                  <w:rFonts w:ascii="Times New Roman" w:hAnsi="Times New Roman"/>
                  <w:b w:val="false"/>
                  <w:sz w:val="20"/>
                  <w:u w:val="single"/>
                </w:rPr>
                <w:t>ITEM 11.</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EXECUTIVE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2_securityownership">
              <w:r>
                <w:rPr>
                  <w:rStyle w:val="InternetLink"/>
                  <w:rFonts w:ascii="Times New Roman" w:hAnsi="Times New Roman"/>
                  <w:b w:val="false"/>
                  <w:sz w:val="20"/>
                  <w:u w:val="single"/>
                </w:rPr>
                <w:t>ITEM 12.</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SECURITY OWNERSHIP OF CERTAIN BENEFICIAL OWNERS AND MANAGEMENT AND RELATED STOCKHOLDER MATTERS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3_certain_relationships_and_related">
              <w:r>
                <w:rPr>
                  <w:rStyle w:val="InternetLink"/>
                  <w:rFonts w:ascii="Times New Roman" w:hAnsi="Times New Roman"/>
                  <w:b w:val="false"/>
                  <w:sz w:val="20"/>
                  <w:u w:val="single"/>
                </w:rPr>
                <w:t>ITEM 13.</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CERTAIN RELATIONSHIPS AND RELATED TRANSACTIONS, AND DIRECTOR INDEPENDENCE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4_principal_accounting_fees">
              <w:r>
                <w:rPr>
                  <w:rStyle w:val="InternetLink"/>
                  <w:rFonts w:ascii="Times New Roman" w:hAnsi="Times New Roman"/>
                  <w:b w:val="false"/>
                  <w:sz w:val="20"/>
                  <w:u w:val="single"/>
                </w:rPr>
                <w:t>ITEM 14.</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PRINCIPAL ACCOUNTING FEES AND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64</w:t>
            </w:r>
          </w:p>
        </w:tc>
      </w:tr>
      <w:tr>
        <w:trPr/>
        <w:tc>
          <w:tcPr>
            <w:tcW w:w="775"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PART IV</w:t>
            </w:r>
          </w:p>
        </w:tc>
        <w:tc>
          <w:tcPr>
            <w:tcW w:w="805" w:type="dxa"/>
            <w:tcBorders/>
            <w:shd w:fill="auto" w:val="clear"/>
            <w:vAlign w:val="center"/>
          </w:tcPr>
          <w:p>
            <w:pPr>
              <w:pStyle w:val="TableContents"/>
              <w:spacing w:lineRule="auto" w:line="252" w:before="0" w:after="0"/>
              <w:ind w:left="0" w:right="0" w:hanging="0"/>
              <w:jc w:val="left"/>
              <w:rPr/>
            </w:pPr>
            <w:r>
              <w:rPr/>
              <w:t> </w:t>
            </w:r>
          </w:p>
        </w:tc>
        <w:tc>
          <w:tcPr>
            <w:tcW w:w="79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pPr>
            <w:r>
              <w:rPr/>
              <w:t> </w:t>
            </w:r>
          </w:p>
        </w:tc>
      </w:tr>
      <w:tr>
        <w:trPr/>
        <w:tc>
          <w:tcPr>
            <w:tcW w:w="775" w:type="dxa"/>
            <w:tcBorders/>
            <w:shd w:fill="auto" w:val="clear"/>
            <w:vAlign w:val="center"/>
          </w:tcPr>
          <w:p>
            <w:pPr>
              <w:pStyle w:val="TableContents"/>
              <w:spacing w:lineRule="auto" w:line="252" w:before="0" w:after="0"/>
              <w:ind w:left="0" w:right="0" w:hanging="0"/>
              <w:jc w:val="center"/>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5_exhibits">
              <w:r>
                <w:rPr>
                  <w:rStyle w:val="InternetLink"/>
                  <w:rFonts w:ascii="Times New Roman" w:hAnsi="Times New Roman"/>
                  <w:b w:val="false"/>
                  <w:sz w:val="20"/>
                  <w:u w:val="single"/>
                </w:rPr>
                <w:t>ITEM 15.</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EXHIBITS, FINANCIAL STATEMENT SCHEDULES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65</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05" w:type="dxa"/>
            <w:tcBorders/>
            <w:shd w:fill="auto" w:val="clear"/>
            <w:vAlign w:val="center"/>
          </w:tcPr>
          <w:p>
            <w:pPr>
              <w:pStyle w:val="TableContents"/>
              <w:spacing w:lineRule="auto" w:line="252" w:before="0" w:after="0"/>
              <w:ind w:left="0" w:right="0" w:hanging="0"/>
              <w:jc w:val="left"/>
              <w:rPr/>
            </w:pPr>
            <w:hyperlink w:anchor="item16_form10k_summary">
              <w:r>
                <w:rPr>
                  <w:rStyle w:val="InternetLink"/>
                  <w:rFonts w:ascii="Times New Roman" w:hAnsi="Times New Roman"/>
                  <w:b w:val="false"/>
                  <w:sz w:val="20"/>
                  <w:u w:val="single"/>
                </w:rPr>
                <w:t>ITEM 16.</w:t>
              </w:r>
            </w:hyperlink>
          </w:p>
        </w:tc>
        <w:tc>
          <w:tcPr>
            <w:tcW w:w="7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FORM 10-K SUMMARY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65</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771" w:type="dxa"/>
            <w:gridSpan w:val="2"/>
            <w:tcBorders/>
            <w:shd w:fill="auto" w:val="clear"/>
            <w:vAlign w:val="center"/>
          </w:tcPr>
          <w:p>
            <w:pPr>
              <w:pStyle w:val="TableContents"/>
              <w:spacing w:lineRule="auto" w:line="252" w:before="0" w:after="0"/>
              <w:ind w:left="0" w:right="0" w:hanging="0"/>
              <w:jc w:val="left"/>
              <w:rPr/>
            </w:pPr>
            <w:hyperlink w:anchor="index_to_consolidated_financial_stmts">
              <w:r>
                <w:rPr>
                  <w:rStyle w:val="InternetLink"/>
                  <w:rFonts w:ascii="Times New Roman" w:hAnsi="Times New Roman"/>
                  <w:b w:val="false"/>
                  <w:sz w:val="20"/>
                  <w:u w:val="single"/>
                </w:rPr>
                <w:t>Index to Consolidated Financial Statements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F-1</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771" w:type="dxa"/>
            <w:gridSpan w:val="2"/>
            <w:tcBorders/>
            <w:shd w:fill="auto" w:val="clear"/>
            <w:vAlign w:val="center"/>
          </w:tcPr>
          <w:p>
            <w:pPr>
              <w:pStyle w:val="TableContents"/>
              <w:spacing w:lineRule="auto" w:line="252" w:before="0" w:after="0"/>
              <w:ind w:left="0" w:right="0" w:hanging="0"/>
              <w:jc w:val="left"/>
              <w:rPr/>
            </w:pPr>
            <w:hyperlink w:anchor="balance_sheets">
              <w:r>
                <w:rPr>
                  <w:rStyle w:val="InternetLink"/>
                  <w:rFonts w:ascii="Times New Roman" w:hAnsi="Times New Roman"/>
                  <w:b w:val="false"/>
                  <w:sz w:val="20"/>
                  <w:u w:val="single"/>
                </w:rPr>
                <w:t>Consolidated Financial Statements and Notes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F-1</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771" w:type="dxa"/>
            <w:gridSpan w:val="2"/>
            <w:tcBorders/>
            <w:shd w:fill="auto" w:val="clear"/>
            <w:vAlign w:val="center"/>
          </w:tcPr>
          <w:p>
            <w:pPr>
              <w:pStyle w:val="TableContents"/>
              <w:spacing w:lineRule="auto" w:line="252" w:before="0" w:after="0"/>
              <w:ind w:left="0" w:right="0" w:hanging="0"/>
              <w:jc w:val="left"/>
              <w:rPr/>
            </w:pPr>
            <w:hyperlink w:anchor="auditor_report">
              <w:r>
                <w:rPr>
                  <w:rStyle w:val="InternetLink"/>
                  <w:rFonts w:ascii="Times New Roman" w:hAnsi="Times New Roman"/>
                  <w:b w:val="false"/>
                  <w:sz w:val="20"/>
                  <w:u w:val="single"/>
                </w:rPr>
                <w:t>Report of Independent Registered Public Accounting Firms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46</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771" w:type="dxa"/>
            <w:gridSpan w:val="2"/>
            <w:tcBorders/>
            <w:shd w:fill="auto" w:val="clear"/>
            <w:vAlign w:val="center"/>
          </w:tcPr>
          <w:p>
            <w:pPr>
              <w:pStyle w:val="TableContents"/>
              <w:spacing w:lineRule="auto" w:line="252" w:before="0" w:after="0"/>
              <w:ind w:left="0" w:right="0" w:hanging="0"/>
              <w:jc w:val="left"/>
              <w:rPr/>
            </w:pPr>
            <w:hyperlink w:anchor="exhibits">
              <w:r>
                <w:rPr>
                  <w:rStyle w:val="InternetLink"/>
                  <w:rFonts w:ascii="Times New Roman" w:hAnsi="Times New Roman"/>
                  <w:b w:val="false"/>
                  <w:sz w:val="20"/>
                  <w:u w:val="single"/>
                </w:rPr>
                <w:t>Exhibits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66</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771" w:type="dxa"/>
            <w:gridSpan w:val="2"/>
            <w:tcBorders/>
            <w:shd w:fill="auto" w:val="clear"/>
            <w:vAlign w:val="center"/>
          </w:tcPr>
          <w:p>
            <w:pPr>
              <w:pStyle w:val="TableContents"/>
              <w:spacing w:lineRule="auto" w:line="252" w:before="0" w:after="0"/>
              <w:ind w:left="0" w:right="0" w:hanging="0"/>
              <w:jc w:val="left"/>
              <w:rPr/>
            </w:pPr>
            <w:hyperlink w:anchor="appendixa">
              <w:r>
                <w:rPr>
                  <w:rStyle w:val="InternetLink"/>
                  <w:rFonts w:ascii="Times New Roman" w:hAnsi="Times New Roman"/>
                  <w:b w:val="false"/>
                  <w:sz w:val="20"/>
                  <w:u w:val="single"/>
                </w:rPr>
                <w:t>Appendix A</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66</w:t>
            </w:r>
          </w:p>
        </w:tc>
      </w:tr>
      <w:tr>
        <w:trPr/>
        <w:tc>
          <w:tcPr>
            <w:tcW w:w="775" w:type="dxa"/>
            <w:tcBorders/>
            <w:shd w:fill="auto" w:val="clear"/>
            <w:vAlign w:val="center"/>
          </w:tcPr>
          <w:p>
            <w:pPr>
              <w:pStyle w:val="TableContents"/>
              <w:spacing w:lineRule="auto" w:line="252" w:before="0" w:after="0"/>
              <w:ind w:left="0" w:right="0" w:hanging="0"/>
              <w:jc w:val="left"/>
              <w:rPr/>
            </w:pPr>
            <w:r>
              <w:rPr/>
              <w:t> </w:t>
            </w:r>
          </w:p>
        </w:tc>
        <w:tc>
          <w:tcPr>
            <w:tcW w:w="8771" w:type="dxa"/>
            <w:gridSpan w:val="2"/>
            <w:tcBorders/>
            <w:shd w:fill="auto" w:val="cle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70</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Use of Names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this Annual Report on Form 10-K, unless the context otherwise requires, the terms “we,” “us,” “our,” “Company,” “Corporation” or “Green Thumb” refer to Green Thumb Industries Inc. together with its wholly-owned subsidiaries.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Currency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Unless otherwise indicated, all references to “$” or “US$” in this document refer to United States dollars, and all references to “C$” refer to Canadian dollars.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sz w:val="20"/>
        </w:rPr>
        <w:t>Disclosure Regarding Forward-Looking Statements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PART I</w:t>
      </w:r>
    </w:p>
    <w:p>
      <w:pPr>
        <w:pStyle w:val="TextBody"/>
        <w:spacing w:lineRule="auto" w:line="273" w:before="0" w:after="0"/>
        <w:jc w:val="left"/>
        <w:rPr>
          <w:rFonts w:ascii="Times New Roman" w:hAnsi="Times New Roman"/>
          <w:b/>
          <w:sz w:val="20"/>
        </w:rPr>
      </w:pPr>
      <w:bookmarkStart w:id="3" w:name="item1_business"/>
      <w:bookmarkEnd w:id="3"/>
      <w:r>
        <w:rPr>
          <w:rFonts w:ascii="Times New Roman" w:hAnsi="Times New Roman"/>
          <w:b/>
          <w:sz w:val="20"/>
        </w:rPr>
        <w:t>ITEM 1.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Background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Green Thumb Industries Inc. is a reporting issuer in the United States and Canada and the Company's Subordinate Voting Shares are listed for trading on the Canadian Securities Exchange (“CSE”) under the symbol “GTII.” The Company’s Subordinate Voting Shares (as hereinafter defined) are also traded in the United States on the OTCQX Best Market (the “OTCQX”) under the symbol “GTBIF.”</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Originally founded in 2014, Green Thumb began operations in 2015 upon the award of a medical marijuana license for cultivation/processing and retail sale of cannabis in Illinois. The Company has since expanded its operational footprint to 15 U.S. markets, including California, Colorado, Connecticut, Florida, Illinois, Maryland, Massachusetts, Minnesota, Nevada, New Jersey, New York, Ohio, Pennsylvania, Rhode Island and Virginia. Currently, Green Thumb owns, manufactures, and distributes a portfolio of cannabis consumer packaged goods brands including Beboe, Dogwalkers, Doctor Solomon’s, Good Green, incredibles and RYTHM, to third-party retail stores across the United States as well as to Green Thumb owned retail stores. The Company also owns and operates retail cannabis stores that include a rapidly growing national chain called Rise, as well as retail stores operating under other names, many of which are in the process of being rebranded to Rise. Our retail stores sell a combination of our products and third-party products (which we refer to as our Retail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through its subsidiaries, owns state-licensed medical and/or adult use marijuana businesses in California, Connecticut, Florida, Illinois, Maryland, Massachusetts, Minnesota, Nevada, New Jersey, New York, Ohio, Pennsylvania, Rhode Island and Virginia. We also license our intellectual property and certain brands to licensees in Colorado. The following organizational chart describes the organizational structure of the Company as of December 31, 2021. See Exhibit 21.1 to this document for a list of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6858000"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7625"/>
                    </a:xfrm>
                    <a:prstGeom prst="rect">
                      <a:avLst/>
                    </a:prstGeom>
                  </pic:spPr>
                </pic:pic>
              </a:graphicData>
            </a:graphic>
          </wp:inline>
        </w:drawing>
      </w: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registered office of the Company is located at 250 Howe Street, 20</w:t>
      </w:r>
      <w:r>
        <w:rPr>
          <w:rFonts w:ascii="Times New Roman" w:hAnsi="Times New Roman"/>
          <w:b w:val="false"/>
          <w:sz w:val="13"/>
        </w:rPr>
        <w:t xml:space="preserve">th </w:t>
      </w:r>
      <w:r>
        <w:rPr>
          <w:rFonts w:ascii="Times New Roman" w:hAnsi="Times New Roman"/>
          <w:b w:val="false"/>
          <w:sz w:val="20"/>
        </w:rPr>
        <w:t>Floor, Vancouver, British Columbia V6C 3R8. The head office is located at 325 W. Huron Street, Suite 700, Chicago, Illinois 60654.</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History of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Financing Activities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February 8, 2021, the SEC declared effective the Company’s Registration Statement No. 333-248213 on Form S-1 filed on February 2, 2021. Shortly thereafter, the Company received an offer from a single institutional investor to purchase 3,122,074 of the Subordinate Voting Shares registered on the Form S-1 at a price of $32.03 per share for a total of $100,000 thousand. The transaction closed on February 9, 2021. On February 23, 2021, the Company accepted additional offers to purchase a total of 1,571,917 Subordinate Voting Shares at a price of $35.50 per share, for a total of $55,803 thousand. The Company used the net proceeds from the sale of securities for general corporate purposes, which included capital expenditures, working capital and general and administrative expenses. The Company also used a portion of the net proceeds to acquire or invest in businesses or products that are complimentary to the Company's own businesses and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April 30, 2021, the Company closed a $216,734 thousand Senior Secured non-brokered private placement financing through the issuance of senior secured notes (the “April 30, 2021 Notes”) pursuant to the Second Amendment to the Note Purchase Agreement (the "Note Purchase Agreement"). The Company used the proceeds to retire the Company’s existing $105,466 thousand, senior secured notes due May 22, 2023 (the "May 22, 2019 Notes") and the remaining proceeds for general working capital purposes as well as various growth initiatives. The Notes have a maturity date of April 30, 2024 and bear interest from the date of issue of 7.00% per annum, payable quarterly, with an option, at the discretion of the Company, to extend for an additional 12 months. The financing permitted the Company to borrow an additional $33,266 thousand over the next twelve months. The purchasers of the April 30, 2021 Notes also received 1,459,044 warrants (the “Warrants”) which allow the holder to purchase one Subordinate Voting Share at an exercise price of $32.68 per share, for a period of 60 months from the date of issue.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October 15, 2021, the Company amended its existing Notes Purchase Agreement with the Second Amended Notes Purchase Agreement dated April 30, 2021, for the purposes of borrowing an additional $33,200 thousand, as permitted under the April 30, 2021 Notes Purchase Agreement (the "Amended Notes"). The additional borrowings have terms consistent with the April 30, 2021 Notes and increase the total amount borrowed to $249,934 thousand. The Company intends to use the additional proceeds for general working capital purposes as well as various growth initiatives. The purchasers of the Amended Notes received an additional 243,303 warrants which allow the holder to purchase one Subordinate Voting Share at an exercise price of $30.02 per share, for a period of 60 months from the date of issue.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March 6, 2020, the Company closed a sale and lease back transaction to sell its Oglesby, Illinois cultivation and processing facility to an unrelated third party, Innovative Industrial Properties (“IIP”). Under a long-term agreement, the Company leased back the facility and continues to operate and manage it. The purchase price for the property was $9,000 thousand, excluding transaction costs. The Company made certain improvements to the property that have significantly enhance production capacity, for which IIP provided reimbursement of $41,000 thousand.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January 31, 2020, the Company closed a sale and leaseback transaction to sell its Toledo, Ohio processing facility to IIP. Under a long-term agreement, the Company leased back the facility and continues to operate the space and manage it. The purchase price for the property was $2,900 thousand, excluding transaction costs. The Company made certain improvements to the property that have significantly enhance production capacity, for which IIP has provided reimbursement of $4,300 thousand.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October 1, 2020, the Company and IIP agreed to amend the lease on the Toledo, Ohio processing facility. Under the amendment, IIP provided an additional $25,000 thousand in funding to be used for the construction of a cannabis cultivation facility at the property.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November 12, 2019, the Company closed a sale and lease back transaction to sell its Danville, Pennsylvania cultivation and processing facility to IIP. Under a long-term agreement, the Company leased back the facility and continues to operate and manage it. The purchase price for the property was $20,300 thousand, excluding transaction costs. The Company made certain improvements to the property that have significantly enhanced production capacity, for which IIP provided reimbursement of $19,300 thousand.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Certain Recent Developments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December 30, 2021, the Company closed on its acquisition of LeafLine Industries, LLC (“LeafLine”) which expanded the Company's national footprint into the Minnesota cannabis market, for $38,731 thousand in cash and 5,513,942 Subordinate Voting Shares (including 386,002 deferred shares) valued at approximately $117,833 thousand. LeafLine is one of only two licensed cultivators in the Minnesota medical cannabis market, licensed to grow, process and dispense medical cannabis directly to patients. LeafLine has one cultivation facility and eight retail dispensaries, five of which are currently open and operating.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November 1, 2021, the Company closed on its acquisition of MDHWC Management Corp., which holds contractual interests in Maryland Health and Wellness Center, Inc. a Maryland-based medical dispensary (collectively referred to as "MDHWC"), for $8,320 thousand in cash and 309,157 Subordinate Voting Shares valued at approximately $6,375 thousand.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September 1, 2021, the Company closed on its acquisition of GreenStar Herbals, Inc. (“GreenStar”), a Massachusetts-based adult-use cannabis retailer, for $5,228 thousand in cash and 1,344,216 Subordinate Voting Shares (including 161,306 deferred shares) valued at approximately $39,681 thousand. The acquisition included two open and operating adult-use retail locations and one location that was opened later in the year, all in Massachusetts.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August 2, 2021, the Company closed on its acquisition of Mobley Pain Management and Wellness Center, LLC and Canwell Processing, LLC (collectively referred to as "Summit"), which both hold contractual interests in Summit Medical Compassion Center, Inc., a non-profit corporation with vertically integrated cannabis operations in Rhode Island. The acquisition expanded the Company's national footprint into the Rhode Island cannabis market and was completed for 2,387,807 Subordinate Voting Shares (including 303,599 deferred shares) valued at approximately $69,874 thousand. The acquisition included one of only three retail locations in the state.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July 1, 2021, the Company closed on its acquisition of Dharma Pharmaceuticals, LLC (“Dharma”). The acquisition expanded the Company's national geographic footprint into the Virginia cannabis market and was completed for $15,175 thousand in cash and 2,298,779 Subordinate Voting Shares (including 229,878 deferred shares) valued at approximately $75,897 thousand. As one of only five licenses in the Virginia medical cannabis market, Dharma is licensed to grow, process and distribute cannabis to patients through its own retail dispensaries, as well as third party dispensaries. The acquisition included one open and operating cultivation and production facility and one retail location. Green Thumb also has the ability to open five additional retail dispensaries in Virginia, one of which was opened during the third quarter of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June 1, 2021, the Company closed on its acquisition of Liberty Compassion Inc. (“Liberty”), a Massachusetts-based medical cannabis cultivator and retailer, for 2,146,565 Subordinate Voting Shares (including 259,765 deferred shares) valued at approximately $64,585 thousand. The acquisition included one cultivation and production facility and two operating medical cannabis dispensaries.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February 8, 2021, the SEC declared effective, the Company’s Registration Statement No. 333-248213 on Form S-1 filed on February 2, 2021. Shortly thereafter, the Company received an offer from a single institutional investor to purchase 3,122,073 of the Subordinate Voting Shares registered on the Form S-1 at a price of $32.03 per share for a total of $100,000 thousand. The transaction closed on February 9, 2021. On February 23, 2021, the Company accepted additional offers to purchase a total of 1,571,917 Subordinate Voting Shares at a price of $35.50 per share, for a total of $55,803 thousand.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March 11, 2020, the World Health Organization categorized the coronavirus disease 2019 (together with its variants "COVID-19") a global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During 2021, the Company’s revenue, gross profit and operating income were not negatively impacted by COVID-19 and the Company generally maintained the consistency of its operations. However, it remains uncertain of how the future spread of COVID-19 and applicable vaccine mandates, or public health measures may impact the Company’s business operations for reasons including the potential quarantine of Green Thumb employees or those of its supply chain partners.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Description of the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Overview of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Established in 2014 and headquartered in Chicago, Illinois, Green Thumb is promoting well-being through the power of cannabis through branded consumer packaged goods and people-first retail experiences, while being committed to community and sustainable profitable growth.</w:t>
      </w:r>
      <w:r>
        <w:rPr>
          <w:rFonts w:ascii="Times New Roman" w:hAnsi="Times New Roman"/>
          <w:sz w:val="20"/>
        </w:rPr>
        <w:t xml:space="preserve"> </w:t>
      </w:r>
      <w:r>
        <w:rPr>
          <w:rFonts w:ascii="Times New Roman" w:hAnsi="Times New Roman"/>
          <w:b w:val="false"/>
          <w:sz w:val="20"/>
        </w:rPr>
        <w:t>As of December 31, 2021, Green Thumb has operations across 15 U.S. markets, employs over 3,700 people and serves hundreds of thousands of patients and customers annually.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Green Thumb’s core business is manufacturing, distributing and marketing a portfolio of owned cannabis consumer packaged goods brands (which we refer to as our Consumer Packaged Goods business), including Beboe, Dogwalkers, Doctor Solomon’s, Good Green, incredibles and RYTHM. The Company distributes and markets these products to third-party licensed retail cannabis stores across the United States as well as to Green Thumb-owned retail stores (which we refer to as our Retail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Consumer Packaged Goods portfolio is primarily generated from plant material that Green Thumb grows and processes which we use to produce our consumer packaged goods in 17 owned and operated manufacturing facilities. This portfolio consists of stock keeping units (“SKUs”) across a range of cannabis product categories, including flower, pre-rolls, concentrates, vape, capsules, tinctures, edibles, topicals and other cannabis-related products (none of which product category are individually material to the Company). These Consumer Package Goods products are sold in retail locations throughout the 15 U.S. markets Green Thumb operates in including Green Thumb’s own Rise dispensaries.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Green Thumb owns and operates a national cannabis retail chain called Rise which provide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ten of the states in which we operate. As of December 31, 2021, the Company had 73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COVID-19.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Financial Highlights and Revenue Streams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consolidated financial statements across its operating businesses with revenue from the manufacture, sale and distribution of branded cannabis products to third-party licensed retail customers as well as</w:t>
      </w:r>
      <w:r>
        <w:rPr>
          <w:rFonts w:ascii="Times New Roman" w:hAnsi="Times New Roman"/>
          <w:sz w:val="20"/>
        </w:rPr>
        <w:t xml:space="preserve"> </w:t>
      </w:r>
      <w:r>
        <w:rPr>
          <w:rFonts w:ascii="Times New Roman" w:hAnsi="Times New Roman"/>
          <w:b w:val="false"/>
          <w:sz w:val="20"/>
        </w:rPr>
        <w:t>the sale of finished products to consumers in its retail stores.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percentage of total revenue contributed by operations of the Consumer Package Goods segment was</w:t>
      </w:r>
      <w:r>
        <w:rPr>
          <w:rFonts w:ascii="Times New Roman" w:hAnsi="Times New Roman"/>
          <w:sz w:val="20"/>
        </w:rPr>
        <w:t xml:space="preserve"> </w:t>
      </w:r>
      <w:r>
        <w:rPr>
          <w:rFonts w:ascii="Times New Roman" w:hAnsi="Times New Roman"/>
          <w:b w:val="false"/>
          <w:sz w:val="20"/>
        </w:rPr>
        <w:t>31%, 29% and 36% for the years ended December 31, 2021, 2020 and 2019 respectively. The percentage of total revenue contributed by the Retail segment was 69%, 71% and 64% for the years ended December 31, 2021, 2020 and 2019, respectively. See Item 7—“Management Discussion and Analysis” for details on key financial highlights.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the year ended December 31, 2021, Green Thumb has operating revenue in 15 markets (California, Colorado, Connecticut, Florida, Illinois, Maryland, Massachusetts, Minnesota, Nevada, New Jersey, New York, Ohio, Pennsylvania, Rhode Island and Virginia).</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Geographic Information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Green Thumb operates in 15 U.S. states: California, Colorado, Connecticut, Florida, Illinois, Maryland, Massachusetts,</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Minnesota, Nevada, New Jersey, New York, Ohio, Pennsylvania, Rhode Island and Virginia.</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029200" cy="2828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9200" cy="2828925"/>
                    </a:xfrm>
                    <a:prstGeom prst="rect">
                      <a:avLst/>
                    </a:prstGeom>
                  </pic:spPr>
                </pic:pic>
              </a:graphicData>
            </a:graphic>
          </wp:inline>
        </w:drawing>
      </w: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Product Research, Design and Development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Company’s branded products portfolio includes SKUs across a range of product categories, including flower, pre-rolls, concentrates, vape, tinctures, edibles, topicals and other cannabis-related products.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Green Thumb engages in research and development activities focused on developing new extracted or infused cannabis consumer packaged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Manufacturing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branded products are produced in manufacturing facilities across 15 U.S. states in which the primary activity is the cultivation, processing and manufacture of cannabis consumer packaged goods. The majority of our finished goods production is manufactured by our owned production facilities. However, we also have entered into manufacturing agreements with third parties, primarily for our cannabidiol (“CBD”) business lines, none of which account for more than 1% of finished goods production.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aim to maintain strict brand and quality assurance standards and have implemented standard operating procedures across all production facilities to ensure continuity of product and consistent consumer experience across all operating markets.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Sources and Availability of Materials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Almost all of the raw material input, except packaging materials, used by the Company to produce finished cannabis consumer packaged goods are cultivated or processed internally for further use in the manufacturing process.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Significant Customers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Green Thumb is not dependent upon a single customer, or a few customers, the loss of any one or more of which would not have a material adverse effect on the business. No customer accounted for 10% or more of our consolidated net revenue during fiscal 2021, 2020 or 2019.</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Merchandise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 meet the array of unique customer needs, we offer a variety of cannabis products at each of our Rise and other stores, totaling thousands of SKUs in managed inventory, comprehensive of product categories including flower, concentrates, topicals (bath and beauty products) and edibles (confection, beverages, snacks).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leverage our owned retail channel, Rise and our other stores to distribute our branded product portfolio, such as Beboe, Dogwalkers, Doctor Solomon’s, Good Green, incredibles, and RYTHM, among others.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the Company’s vendor requirements for quality assurance and reliability.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Omnichannel Distribution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Products sold at our Rise and other stores are delivered directly to our stores primarily by our manufacturing and distribution vendor partners.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Intellectual Property – Patents and Trademarks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we are not able to protect all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From the time the Company became licensed to cultivate cannabis, we have developed proprietary cultivation techniques. The Company has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relies on non-disclosure/confidentiality agreements to protect its intellectual property rights. To the extent the Company describes or discloses its proprietary cultivation or extraction techniques in its applications for cultivation or processing licenses, the Company redacts or requests redaction of such information prior to public disclosure.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has sought U.S. patent protection for certain of its Doctor Solomon’s products, namely a utility patent for compositions and methods for treating skin and neuropathic conditions and disorders. Where commercially reasonable, we will seek further U.S. patent protection on other eligible products and services. The Company owns several website domains, including www.gtigrows.com, numerous social media accounts across all major platforms and various phone and web application platforms.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has successfully registered over 70 trademarks across the United States and internationally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For incredibles branded cannabis products, the Company has entered into licensing contracts with third parties that hold licenses to engage in the sale of cannabis in the state of Colorado, where the Company does not have licenses to operate cultivation and processing facilities. Such third parties directly engage in or arrange for the sourcing, manufacturing, laboratory testing, quality assurance, storage, marketing, sales, distribution and delivery of products containing cannabis and remit licensing fees to the Company.</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Joint Ventures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utilize joint ventures when necessary to comply with state regulatory requirements in certain states. Partnering with one or more non-affiliated third parties provides the Company with the opportunity to mitigate certain operational and financial risks while ensuring continued compliance with the applicable regulatory guidelines. As of December 31, 2021, the Company has joint ventures for the operation of (i) two dispensaries in Illinois of which the Company holds a 50% interest, (ii) a dispensary in Westport, Connecticut of which the Company holds a 46% interest, and (iii) a Massachusetts operator of which the Company holds less than a 10% interest.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Working Capital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For additional details on liquidity and Capital Resources, see Item 7—“Management’s Discussion and Analysis of Financial Condition and Results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Number of Employees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Green Thumb employs over 3,700 team members nationwide including corporate, retail and manufacturing, both full- and part-time employees, and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employees are split across the Company as follows:</w:t>
      </w:r>
    </w:p>
    <w:p>
      <w:pPr>
        <w:pStyle w:val="TextBody"/>
        <w:spacing w:lineRule="auto" w:line="273" w:before="0" w:after="0"/>
        <w:jc w:val="left"/>
        <w:rPr/>
      </w:pPr>
      <w:r>
        <w:rPr/>
        <w:t> </w:t>
      </w:r>
    </w:p>
    <w:tbl>
      <w:tblPr>
        <w:tblW w:w="2267" w:type="dxa"/>
        <w:jc w:val="left"/>
        <w:tblInd w:w="0" w:type="dxa"/>
        <w:tblCellMar>
          <w:top w:w="28" w:type="dxa"/>
          <w:left w:w="28" w:type="dxa"/>
          <w:bottom w:w="28" w:type="dxa"/>
          <w:right w:w="28" w:type="dxa"/>
        </w:tblCellMar>
      </w:tblPr>
      <w:tblGrid>
        <w:gridCol w:w="1396"/>
        <w:gridCol w:w="871"/>
      </w:tblGrid>
      <w:tr>
        <w:trPr/>
        <w:tc>
          <w:tcPr>
            <w:tcW w:w="13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Corporate:</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311</w:t>
            </w:r>
            <w:r>
              <w:rPr>
                <w:rFonts w:ascii="Times New Roman" w:hAnsi="Times New Roman"/>
                <w:sz w:val="20"/>
              </w:rPr>
              <w:t xml:space="preserve"> </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Retail:</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2,056</w:t>
            </w:r>
            <w:r>
              <w:rPr>
                <w:rFonts w:ascii="Times New Roman" w:hAnsi="Times New Roman"/>
                <w:sz w:val="20"/>
              </w:rPr>
              <w:t xml:space="preserve"> </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Manufacturing:</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1,363</w:t>
            </w:r>
            <w:r>
              <w:rPr>
                <w:rFonts w:ascii="Times New Roman" w:hAnsi="Times New Roman"/>
                <w:sz w:val="20"/>
              </w:rPr>
              <w:t xml:space="preserve"> </w:t>
            </w:r>
          </w:p>
        </w:tc>
      </w:tr>
      <w:tr>
        <w:trPr/>
        <w:tc>
          <w:tcPr>
            <w:tcW w:w="139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Total</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sz w:val="20"/>
              </w:rPr>
              <w:t>3,730</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Environmental Compliance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Competitive Conditions and the Company’s Position in the Industry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Competition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markets in which the Company’s products are distributed and its retail stores are operated are highly competitive markets. The Company’s operations exist in markets with relatively high barriers to entry given the licensed nature of the cannabis industry. The Company competes directly with cannabis producers and retailers within single-state operating markets, as well as those that operate across several U.S. markets. More broadly, Green Thumb views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faces intense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The vast majority of both manufacturing and retail competitors in our markets consist of localized businesses (i.e. doing business in only a single state market). There are a few multi</w:t>
        <w:softHyphen/>
        <w:t>state operators with whom the Company competes directly in several of the Company’s operating markets. Aside from this direct competition, out-of-state operators that are capitalized well enough to enter those markets through acquisitions are also part of the competitive landscape. Similarly, as the Company executes its national U.S. growth strategy, operators in our future state markets will inevitably become direct competitors.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Because of the early stage of the industry in which the Company operates, the Company faces additional competition from new entrants. If the number of consumers of medical and adult use cannabis in the states in which the Company operates its business increases, the demand for products will increase and the Company expects that competition will become more intense, as current and future competitors begin to offer an increasing number of diversified products. To remain competitive, the Company will require a continued high level of investment in research and development, marketing, sales and client support. The Company may not have sufficient resources to maintain research and development, marketing, sales and client support efforts on a competitive basis, which could materially and adversely affect the business, financial condition and results of its operations.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Item 1A—“Risk Factors” with respect to competition.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Federal and State Regulation of Cannabis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Below is a discussion of the federal and state-level regulatory regimes in the jurisdictions where the Company is currently operating through its subsidiaries.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Federal illegality of Cannabis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U.S. federal government regulates drugs through the Controlled Substances Act (21 U.S.C. § 811),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 However, the Department of Justice did not provide (and has not provided since) specific guidelines for what regulatory and enforcement systems would be deemed sufficient under the Cole Memorandum.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January 4, 2018, then U.S. Attorney General Jeff Sessions issued a new memorandum which rescinded the Cole Memorandum. Despite its recission, as of December 21, 2021, federal prosecutors appear to continue to use the Cole Memorandum’s priorities as an enforcement guide. Merrick Garland, who became Attorney General on March 10, 2021, has indicated that he would deprioritize enforcement of low-level cannabis crimes such as possession, and during his congressional testimony in February 2021, Garland stated that the Justice Department would not pursue cases against Americans complying with laws of the states that have legalized and are regulating marijuana. President Joseph R. Biden, who assumed office in January 2021, stated a policy goal of federal cannabis decriminalization, but has not publicly supported the legalization of cannabis.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an industry best practice, the Company continues to employ the following policies to ensure compliance with the guidance provided by the Cole Memorandum: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operations and our subsidiaries’ operations are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 </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operating subsidiaries must pass a range of requirements, adhere to strict business practice standards and be subject to strict regulatory oversight to ensure that no revenue is distributed to criminal enterprises, gangs or cartels; </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have implemented an inventory tracking system and necessary procedures to help ensure that such compliance system is effective in tracking inventory and preventing diversion of cannabis or cannabis products, as well as employ strict customer identification protocols to prevent sales to minors; </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state-authorized cannabis business activity is not used as a cover or pretense for trafficking of other illegal drugs, and we are not engaged in any other illegal activity; and </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conduct reviews of products and product packaging to ensure that the products comply with applicable regulations and contain necessary disclaimers about the contents of the products to prevent adverse public health consequences from cannabis use and prevent impaired driving.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have been efforts at reforming federal cannabis law. As of December 21, 2021, there were more than a dozen proposed congressional bills addressing myriad issues regarding the cannabis industry, from banking and tax reform to full legalization. However, none have passed into law.</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does exists a legislative safeguard for the medical cannabis industry, appended to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 against regulated medical cannabis actors operating in compliance with state and local law. On December 3, 2021, the amendment was renewed through a pair of stopgap spending bills, with the most recent extension effective through February 18, 2022.</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 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there is a risk that federal authorities may enforce current U.S. federal law criminalizing cannabis.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Federal Law and Ability to Access Public and Private Capital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Due to the present state of the laws and regulations governing financial institutions in the U.S., banks often refuse to provide services to businesses involved in the cannabis industry and U.S. multistate operators are currently not permitted to list securities on the U.S. exchanges. Consequently, it may be difficult for us to obtain financing from large U.S. financial institutions.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have historically, and continue to have, access to equity and debt financing from non-public (i.e., private placement) markets and state-chartered financial institutions. Our executive team and Board have extensive relationships with sources of capital (such as funds and high net worth individuals).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to our working capital, we continue to generate adequate cash to fund our operations from capital raising transactions. Our business plan continues to include aggressive growth, both in the form of additional acquisitions and through facility expansion and improvements. Accordingly, we expect to raise additional capital, both in the form of debt and new equity offerings, during the next few years.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However, there can be no assurance that additional financing will be available to us when needed or on terms that are acceptable.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Restricted Access to Banking and Other Financial Services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FinCEN issued the FinCEN Memorandum on February 14, 2014, which advised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March 7, 2019, Democratic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most recently on February 4, 2022, as an amendment to the America COMPETES Act. Some industry observers are hopeful that the bill will be signed into law within the next year, which would allow financial institutions to provide services to marijuana related businesses without risk of violating federal money laundering statutes.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State Cannabis Law</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State laws that permit and regulate the production, distribution and use of cannabis for adult use or medical purposes are in direct conflict with federal law. Although certain states and territories of the U.S. authorize medical and/or adult 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that may be brought against the Company.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December 31, 2021, 36 states, (and the territories of Guam, Puerto Rico, the U.S. Virgin Islands and the Northern Mariana Islands,) have legalized the cultivation and sale of cannabis for medical purposes. In 18 of those states, the sale and possession of cannabis is legal for both medical and adult use, and the District of Columbia has legalized adult use but not commercial sale. In November 2020, voters in Arizona, Montana, New Jersey and South Dakota voted by referendum to legalize cannabis for adult use, and voters in Mississippi and South Dakota voted to legalized cannabis for medical use. In February 2021, adult use cannabis became legal in New Jersey. Adult use cannabis was legalized in New York one month later. And in July 2021, Virginia became the first southern state to legalize cannabis for adult use.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Company’s Medical-Only Markets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All of the medical-only markets in which the Company does business (Connecticut, Florida, Maryland, Minnesota, New Jersey, New York, Ohio, Pennsylvania, Rhode Island and Virginia) have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allows adult use (including Illinois, California, Colorado, Massachusetts and Nevada) has regulations specifying which medical conditions qualify a patient for a license to purchase cannabis, and generally require the approval from a physician. A number of these states have passed laws allowing for adult-use sales, but those programs are not yet operational. Specifically, Connecticut, New Jersey, New York and Virginia have all legalized adult use cannabis, but none have launched their adult use programs. Connecticut and New Jersey are expected to launch their adult use programs during 2022. New York is expected to begin sales in late 2022 or 2023; and Virginia is not expected to begin sales until 2024.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Company’s Adult Use Markets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adult use operations in California, Illinois, Massachusetts and Nevada. The Company also has licensing and distribution contracts with third parties that hold licenses to engage in the sale of cannabis in Colorado for incredibles and Beboe branded cannabis products. Many of the adult use markets in which the Company operates in (California, Colorado, Massachusetts and Nevada)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Additionally, regulations in some adult use markets, such as Illinois, allowed us to quickly develop adult use market share in those states. Purchasers of adult use cannabis generally are subject to higher sales taxes than apply to purchasers who are authorized for medical purposes. However, anecdotal evidence suggests that some consumers who meet the criteria to apply for medical licenses make adult use purchases and avoid pursuing a state’s medical registration/qualification process.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Regulatory Environment in States Where We Operate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risk of federal enforcement and other risks associated with the Company’s business are described in Item 1A—“Risk Factors.”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Regulation of the Cannabis Market at State and Local Level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Following the thesis that distributing brands at scale will win, we enter markets where we believe that we can profitably and sustainably operate and command significant market share, and thus maximize consumer and brand awareness. The regulatory frameworks installed by the states, which are similar to the limited and controlled issuance of gaming or alcohol distributorship licenses, provide macro-level indication of whether certain state markets will be sustainable and profitable.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Below is a summary overview of the regulatory and competitive frameworks in each of our operating markets. See Appendix A to this Annual Report on Form 10-K for a state-by-state list of the licenses and permits held by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California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California was the first state to legalize medical marijuana through Proposition 215, the Compassionate Use Act of 1996. This legalized the use, possession and cultivation of medical marijuana by patients with a physician recommendation for treatment of a variety of illnesses, including any for which marijuana provides relief. In 2003, Senate Bill 420 was signed into law establishing an optional identification card system for medical marijuana patients.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September 2015, the California legislature passed three bills collectively known as the Medical Cannabis Regulation and Safety Act(“MCRSA”). The MCRSA established a licensing and regulatory framework for medical marijuana businesses in California. In November 2016, voters in California overwhelmingly passed Proposition 64, the Adult Use of Marijuana Act (“AUMA”) creating an adult use marijuana program for adults 21 years of age or older. Senate Bill No. 94, known as Medicinal and Adult Use Cannabis Regulation and Safety Act (“MAUCRSA”) in June 2017, amalgamating MCRSA and AUMA to provide a single set of regulations to govern a medical and adult use licensing. MAUCRSA went into effect on January 1, 2018.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California License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are three principal license categories in California: (1) cultivation, (2) processing and (3) retailer.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Processing licenses authorize manufacturers to process marijuana biomass into certain value-added products with the use of volatile or non-volatile solvents, depending on the license type.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2021, we opened our first California retail operation in Pasadena. We have also been granted a conditional license, permitting us to pursue a second retail location.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California.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on Form 10-K for a list of the licenses and conditional licenses issued to us with respect to our operations in California.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Colorado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November 7, 2000, Colorado voters approved Amendment 20, which amended the state constitution to allow the use of marijuana in the state by approved patients with written medical consent. Conditions.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Colorado License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three principal license categories in Colorado: (1) cultivation, (2) product manufacturer and (3) medical center/retail store. Each facility is authorized to engage only in the type of activity for which it is licensed.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do not have any licenses in the State of Colorado. We have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us. See Item 1—“Intellectual Property Patents and Trademarks” for details on licenses with respect to operations in Colorado.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Regulations for the production and sale of marijuana in Colorado are published through the Marijuana Enforcement Division of the Department of Revenue.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Connecticut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Connecticut’s medical cannabis program was introduced in May 2012 when the General Assembly passed legislation PA 12-55 “An Act Concerning the Palliative Use of Marijuana,” providing for the use of marijuana in the state by approved patients with written consent from a physician or advanced practice nurse. On July 1, 2021, PA 21-1 went into effect, allowing for the purchase and use of cannabis by any adult over the age of 21. Adult use retail sales are not expected to begin until late 2022.</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Connecticut Licenses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Connecticut Department of Consumer Protection has issued regulations regarding the Medical Marijuana Program in Connecticut.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two principal medical marijuana license categories in Connecticut: (1) cultivation/processing and (2) dispensary. We are licensed to operate one medical marijuana cultivation/processing facility and three medical marijuana dispensaries. All licenses are, as of the date hereof, active with the State of Connecticut. The licenses are independently issued for each approved activity for use at our facilities in Connecticut.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Medical marijuana cultivation/processing licenses permit us to operate a secure, indoor facility to cultivate and process medical marijuana and wholesale to dispensaries.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Medical marijuana dispensary facility licenses qualify a dispensary to purchase medical cannabis from licensed medical cannabis producers and to dispense cannabis to qualifying patients or primary caregivers that are registered under the Medical Marijuana Program in Connecticut. Dispensaries must have a pharmacist on staff.</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Connecticut.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Connecticut.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Florida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2016, the Florida Medical Marijuana Legalization Initiative was introduced by citizen referendum and passed on November 8. This language, known as “Amendment 2,” amended the state constitution and mandated an expansion of the state’s medical cannabis program, which was previously limited to patients suffering from a diagnosed terminal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Florida Licenses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is one principal license category in Florida: the vertically-integrated Medical Marijuana Treatment Centers license. We are licensed to operate one medical cannabis cultivation/processing facility and medical cannabis dispensaries. All licenses are, as of the date hereof, active with the State of Florida. The licenses are independently issued for each approved activity for use at our facilities in Florida, meaning that the cultivation/processing facility is licensed and each of the medical cannabis dispensaries is individually licensed.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Licenses are issued by the Florida Department of Heath, Office of Medical Marijuana Use.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our operations in Florida are vertically-integrated, we are able to cultivate, harvest, process and sell/dispense/deliver its own medical cannabis products. Under the terms of our Florida license, we are permitted to sell medical cannabis only to qualified medical patients that are registered with the State. Only certified physicians who have successfully completed a medical cannabis educational program can register patients on the Florida Office of Compassionate Use Registry.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Florida.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Florida.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Illinois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2013, the Illinois General Assembly passed the Compassionate Use of Medical Cannabis Pilot Program Act, which went into effect on January 1, 2014, allowing the use of marijuana in the state by approved patients with written medical consent. In June 2019, the Governor signed legislation legalizing cannabis for adult use. The Cannabis Regulation and Tax Act, legalizing and regulating cannabis for recreational use, went into effect on June 25, 2019, and adult use sales of cannabis began in the state on January 1, 2020. The adult use program allowed existing medical cannabis license holders to apply for Early Approval Adult Use Dispensing Organization licenses to be able to sell adult use product at existing medical cannabis dispensaries (known as “co-located” or “same site” dispensaries) beginning on January 1, 2020, and to have the privilege of opening a secondary adult use only retail site for every medical cannabis dispensary location the Dispensing Organization already had in its portfolio. The Cannabis Regulation and Tax Act also authorized issuance of an additional 185 Conditional Adult Use Dispensing Organization licenses in 2021 but to date the awarding of those licenses has been stayed by court order. As of December 31, 2021, the awarding of new, smaller-scale cultivation licenses was also delayed by court order.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Illinois Licenses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Illinois licenses four types of cannabis businesses within the state: (1) cultivation (includes processing); (2) infusing; (3) transportation; and (4) dispensary. Dispensaries are regulated by the Illinois Department of Financial and Professional Regulation; the remainder are regulated by the Department of Agriculture. We are licensed to grow and process cannabis for medical and adult use sales at our two cultivation facilities. Dispensaries require separate licenses for adult use sales and medical sales. The dispensaries with “secondary” licenses by law serve only adult use customers, not medical patients.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cultivation/processing licenses permit us to acquire, possess, cultivate, manufacture/process into edible marijuana products and/or marijuana-infused products, have tested, supply and sell marijuana and related supplies to marijuana dispensaries.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retail dispensary licenses permit us to purchase marijuana and marijuana products from cultivation/processing facilities, as well as allow the sale of marijuana and marijuana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December 31, 2021, we have ten operating dispensaries in Illinois which is the statutory cap, operating under 15 licenses. All licenses are, as of the date hereof, active with the State of Illinois. The licenses are independently issued for each approved activity for use at our facilities in Illinois.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Illinois.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us with respect to our operations in Illinois.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Maryland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2012, a state law was enacted in Maryland to establish a state-regulated medical marijuana program. Legislation was signed in May 2013 and the program became operational on December 1, 2017. The Maryland Medical Cannabis Commission regulates the state program, which allows the use of marijuana in the state by approved patients with written medical consent.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Maryland Licenses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three principal license categories in Maryland: (1) cultivation, (2) processing and (3) dispensary. We own one cultivation license, one processing license and three retail dispensaries. All licenses are, as of the date hereof, active with the State of Maryland. The licenses are independently issued for each approved activity for use at the Company facilities in Maryland. We also have a contract to manage another dispensary and a call option to acquire 100% of the equity interests in that dispensary in 2022.</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medical cultivation licenses permit us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medical processing license permits us to acquire, possess, manufacture, deliver, transfer, transport, supply, or sell marijuana products or marijuana infused products to other medical marijuana production facilities or medical marijuana dispensaries.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retail dispensary licenses permit us to purchase marijuana from cultivation facilities, marijuana and marijuana products from product manufacturing facilities and marijuana from other medical marijuana dispensaries, as well as allow the sale of marijuana and marijuana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Maryland.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Maryland.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Massachusetts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Massachusetts legalized medical marijuana when voters passed a ballot initiative in 2012. The law took effect on January 1, 2023. Adult use marijuana became legal in Massachusetts as of December 15, 2016, following a ballot initiative in November 2016. In September 2017, the Cannabis Control Commission was established to regulate medical and adult use of marijuana in the state.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Massachusetts Licenses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the medical side, there is one principal license category in Massachusetts: a vertically-integrated Medical Marijuana Treatment Center (“MTC”) license. WMTCs grow, process and dispense their own marijuana. On the adult use side, there are many license categories, but the two principal ones are Marijuana Cultivator and Marijuana Establishment (dispensary).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Cannabis Control Commission, a regulatory body created in 2018, oversees the medical and adult use programs, including licensing of cultivation, processing and dispensary facilities. Licensed medical dispensaries are given priority status in adult use licensing.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have had an MTC in Massachusetts since 2018, with a cultivation facility in Holyoke and a medical/adult use dispensary in Amherst. With the acquisition of MTC Liberty Compassion, Inc. in 2021, we are licensed to operate two medical MTCs, including two cultivation/processing facilities and three retail dispensaries. All licenses are, as of the date hereof, active with the State of Massachusetts. The licenses are independently issued for each approved activity for use at our facilities in Massachusetts. On the adult use side, we acquired GreenStar in 2021, which operates three dispensaries, bringing our adult-use operations in Massachusetts to one cultivation center and four dispensaries.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Massachusetts.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Massachusetts.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Minnesota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2014, Minnesota created a medical marijuana program for patients with qualifying medical conditions upon physician, physician assistant or nurse practitioner recommendation. While it is one of the stricter medical cannabis programs in the country, the list of qualifying conditions expanded over the years, including the addition of chronic pain in 2020. And while the forms of cannabis products available for purchase are limited, regulators announced in 2021 that edibles and smokable flower would be added to the list of approved products in 2022.</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i/>
          <w:sz w:val="20"/>
        </w:rPr>
      </w:pPr>
      <w:r>
        <w:rPr>
          <w:rFonts w:ascii="Times New Roman" w:hAnsi="Times New Roman"/>
          <w:b w:val="false"/>
          <w:i/>
          <w:sz w:val="20"/>
        </w:rPr>
        <w:t>Minnesota License and Regulations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0"/>
        </w:rPr>
        <w:t>There is one category of licensure in Minnesota: medical cannabis manufacturer, which can grow, process and dispense medical cannabis.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0"/>
        </w:rPr>
        <w:t>A medical cannabis manufacturer is an entity registered with the Commissioner of Health that can cultivate, acquire, manufacturer, possess, prepare, transfer, transport, supply, and dispense medical cannabis.</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The main regulatory body for marijuana is the Minnesota Department of Health, Office of Medical Cannabis.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0"/>
        </w:rPr>
        <w:t>In December 2021, we acquired LeafLine Industries, one of only two licensed medical cannabis manufacturer licenses in Minnesota, which came with a cultivation facility, five operating dispensaries and the right to open three additional dispensaries.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Minnesota.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See Appendix A to this Annual Report for a list of the licenses issued to us with respect to our operations in Minnesota.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On June 12, 2019, the laws were revised, creating the Nevada Cannabis Compliance Board to oversee administration of the program. The new laws also provided that each marijuana establishment must obtain a license from its local jurisdiction as well as the state.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Nevada Licenses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are three principal license categories in Nevada: (1) cultivation, (2) processing and (3) dispensary. We are licensed to operate two medical and adult use cultivation facilities, three medical and adult use processing facilities, five medical dispensary licenses and up to 13 adult use retail locations. All licenses are, as of the date hereof, active with the State of Nevada. The licenses are independently issued for each approved activity for use at our facilities in 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cultivation licenses permit us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processing license permits us to acquire, possess, manufacture, deliver, transfer, transport, supply or sell edible marijuana products or marijuana infused products to other marijuana production facilities or marijuana dispensaries.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retail dispensary licenses permit us to purchase marijuana from cultivation facilities, marijuana and marijuana products from product manufacturing facilities and marijuana from other retail stores, as well as allow the sale of marijuana and marijuana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New Jersey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January 18, 2010, the governor of New Jersey signed into law S.119, the Compassionate Use Medical Marijuana Act, permitting the use of medical cannabis with physician approval. The Compassionate Use of Medical Marijuana Act mandates that cannabis must be acquired through Alternative Treatment Centers licensed by the State. New Jersey’s adult use cannabis law went into effect in 2021, and the state began accepting applications for adult use licenses at the end of the year.</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A single Alternative Treatment Centers license allows for the cultivation, processing and dispensing of medical marijuana products. Originally, each Alternative Treatment Centers was permitted to open one dispensary. With the </w:t>
      </w:r>
      <w:r>
        <w:rPr>
          <w:rFonts w:ascii="Times New Roman" w:hAnsi="Times New Roman"/>
          <w:b w:val="false"/>
          <w:i/>
          <w:sz w:val="20"/>
        </w:rPr>
        <w:t>Executive Order 6 Report</w:t>
      </w:r>
      <w:r>
        <w:rPr>
          <w:rFonts w:ascii="Times New Roman" w:hAnsi="Times New Roman"/>
          <w:b w:val="false"/>
          <w:sz w:val="20"/>
        </w:rPr>
        <w:t>, each Alternative Treatment Center can now open two additional satellite dispensaries within their New Jersey Department of Health-designated region for a total of three dispensaries each, as well as satellite production facilities, subject to regulatory approval.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July 2, 2019, Governor Phil Murphy signed the Jake Honig Compassionate Use Medical Cannabis Act into law, which amended the Compassionate Use Medical Marijuana Act. Previously, New Jersey law only permitted applicants to apply for vertically-integrated licenses. Under the Jake Honig Compassionate Use Medical Cannabis Act, the permit process includes three different permit types. The new permit types are medical cannabis cultivator, dispensary and manufacturer permits, which are to be applied for individually. The vertically-integrated Alternative Treatment Centers will continue to be able to cultivate, manufacture and dispense medical cannabis.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After voters approved a ballot measure in November 2019, Governor Phil Murphy signed three bills into law in 2021 that establish an adult use program in New Jersey for adults who are at least 21 years old. New Jersey adult use sales are expected to begin during 2022.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New Jersey Licenses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New Jersey Cannabis Regulatory Commission is responsible for regulating cannabis in New Jersey.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licensed to operate one medical cultivation and processing facility and three retail medical cannabis dispensaries in the state of New Jersey. All licenses are, as of the date hereof, active with the State of New Jersey. The licenses are independently issued for each approved activity for use at our facilities in New Jersey. Our medical cannabis licenses will allow us to participate in the adult use program once that program is operational, provided we notify the CRC of our intent, prove that we have adequate supply to meet the reasonably anticipated needs of medical cannabis patients, and receive approval from the municipalities where we are located.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New Jersey.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New Jersey.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u w:val="single"/>
        </w:rPr>
        <w:t>New York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July 2014, the New York Legislature and Governor enacted the Compassionate Care Act to provide a comprehensive, safe and effective medical marijuana program. The Compassionate Care Act provides access to the program for those who suffer from qualifying conditions and have a physician's recommendation. The program allows ten Registered Organizations to hold vertically-integrated licenses and service qualified patients and caregivers. Each Registered Organization has one cultivation/processing license and four dispensary licenses.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Only registered pharmacists can dispense medical marijuana to approved patients and caregivers. New York legislators legalized adult use cannabis in 2021, and the newly formed New York Office of Cannabis Management is promulgating rules and regulations. Adult use sales are not expected to begin until the end of 2022 or 2023.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New York Licenses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Office of Cannabis Management is the regulatory agency that oversees the medical marijuana program in New York. There is currently one principal license category in New York: vertically integrated license. The state also allows license holders to wholesale manufactured products to one another. We are licensed to operate one medical marijuana cultivation/manufacturing facility and four medical marijuana dispensaries. All licenses are, as of the date hereof, active with the State of New York. The licenses are independently issued for each approved activity for use at our facilities in New York.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New York.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See Appendix A to this Annual Report for a list of the licenses issued to us with respect to our operations in New York.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Ohio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In November 2018, the state issued 12 ‘Level I’ cultivation licenses, which permit up to 25,000 square feet of canopy, and 12 ‘Level II’ cultivation licenses, which permit up to 3,000 square feet of canopy. In June 2018, the state issued 56 dispensary licenses. Subsequently, additional licenses have been granted.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Under the program rules, the Board will consider, on at least a biennial basis, whether enough medical marijuana dispensaries exist, considering the state population, the number of patients seeking to use medical marijuana and the geographic distribution of dispensary sites. More licenses may be issued based on those findings.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Ohio License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are three principal license categories in Ohio: (1) cultivation, (2) processing and (3) dispensary. We are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our facilities in Ohio.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medical cultivation licenses permit us to acquire, possess, cultivate, manufacture/process into medical marijuana products, deliver, transfer, have tested, transport, supply or sell marijuana and related supplies to medical marijuana dispensaries. The medical processor license permits us to manufacture and produce medical marijuana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dispensary licenses will permit us to purchase marijuana and marijuana products from cultivation and/or processing facilities, as well as allow the sale of marijuana and marijuana products to registered patients.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Ohio.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Pennsylvania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Pennsylvania medical marijuana program was signed into law on April 17, 2016 under Act 16 and provided access to state residents with qualifying conditions. The state originally awarded only 12 licenses to cultivate/process and 27 licenses to operate retail dispensaries (which entitled holders to up to three medical dispensary locations per retail license). Subsequently, additional licenses have been granted.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Pennsylvania Licenses and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All cultivation/processing establishments and dispensaries must register with the Pennsylvania Department of Health.</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medical cultivation/processing licenses permit us to acquire, possess, cultivate, manufacture/process into medical marijuana products and/or medical marijuana-infused products, deliver, transfer, have tested, transport, supply or sell marijuana and related supplies to medical marijuana dispensaries.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retail dispensary licenses permit the Company to purchase marijuana and marijuana products from cultivation/processing facilities, as well as allow the sale of marijuana and marijuana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Pennsylvania.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Pennsylvania.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Rhode Island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Rhode Island legalized medical marijuana in 2006. Under this law, Rhode Island offers medical marijuana registration cards for patients with qualifying conditions and physician approval.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Rhode Island Licensure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are two categories of licensure in Rhode Island: compassion center (which can cultivate) and cultivator. As of December 31, 2021, there are three operating compassion centers in the state, and five more received approval to operate in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compassion center is licensed by Rhode Island Department of Business Regulation, Office of Cannabis Regulation, to acquire, possess, cultivate, manufacture, deliver, transfer, transport, supply, or dispense medical marijuana, or related supplies and educational materials, to registered qualifying patients and their registered primary caregivers or authorized purchasers, or out-of-state patient cardholders or other marijuana establishment licensee.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2021, we acquired Mobley Pain Management and Wellness Center, LLC and Canwell Processing, LLC, which both held management agreements with Summit Medical Compassion Center, Inc., a non-profit corporation with cultivation and retail operations. Summit operates one of the three currently operating (as of December 31, 2021) dispensaries in the state.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Rhode Island.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Rhode Island.</w:t>
      </w:r>
    </w:p>
    <w:p>
      <w:pPr>
        <w:pStyle w:val="TextBody"/>
        <w:spacing w:lineRule="auto" w:line="273" w:before="240" w:after="0"/>
        <w:jc w:val="left"/>
        <w:rPr>
          <w:rFonts w:ascii="Times New Roman" w:hAnsi="Times New Roman"/>
          <w:b w:val="false"/>
          <w:sz w:val="20"/>
          <w:u w:val="single"/>
        </w:rPr>
      </w:pPr>
      <w:r>
        <w:rPr>
          <w:rFonts w:ascii="Times New Roman" w:hAnsi="Times New Roman"/>
          <w:b w:val="false"/>
          <w:sz w:val="20"/>
          <w:u w:val="single"/>
        </w:rPr>
        <w:t>Virginia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2017, Virginia passed a law that allowed patients suffering from intractable epilepsy access to cannabidiol (“CBD”) or THC-A oil. In 2018, this law was significantly expanded, which allowed any medical condition to qualify with state-certified physician, nurse practitioner or physician assistant recommendation. The next year, the law was amended to allow for higher potency THC. In February 2021, cannabis was legalized for adult use. Adult-use retail sales will not begin until 2024.</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Virginia License and Regulations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currently two principal license categories in Virginia: (1) pharmaceutical processing and (2) dispensing. The primary regulatory body for cannabis is the Virginia Department of Health Professions: Board of Pharmacy. A pharmaceutical processor must obtain a permit from the Board of Pharmacy. A pharmaceutical processor can cultivate cannabis plants intended only for the production of cannabis oil, botanical cannabis, and usable cannabis, produces cannabis products, and dispenses cannabis products to a registered patient, his registered agent, or, if such patient is a minor or an incapacitated adult.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cannabis dispensing facility means a facility that has obtained a permit from the Board of Pharmacy. A cannabis dispensing facility is owned, at least in part, by a pharmaceutical processor; and can dispense cannabis products produced by a pharmaceutical processor to a registered patient, his registered agent, or, if such patient is a minor or an incapacitated adult.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2021, we acquired a pharmaceutical processor and one operating dispensary. We opened one additional dispensary in August 2021 two additional dispensaries in February 2022 and have the right to open two more dispensaries pending regulatory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follow all regulatory requirements regarding the reporting of inventory movement and sale, as well as all other data reporting and record retention requirements mandated by Virginia.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Appendix A to this Annual Report for a list of the licenses issued to us with respect to our operations in Virginia.</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State License Renewal Requirements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Newly Established Legal Regime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business activities rely on newly established and/or developing laws and regulations in the states in which we operate.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Available Information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Our website address is </w:t>
      </w:r>
      <w:r>
        <w:rPr>
          <w:rFonts w:ascii="Times New Roman" w:hAnsi="Times New Roman"/>
          <w:b w:val="false"/>
          <w:sz w:val="20"/>
          <w:u w:val="single"/>
        </w:rPr>
        <w:t>www.gtigrows.com</w:t>
      </w:r>
      <w:r>
        <w:rPr>
          <w:rFonts w:ascii="Times New Roman" w:hAnsi="Times New Roman"/>
          <w:b w:val="false"/>
          <w:sz w:val="20"/>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pStyle w:val="TextBody"/>
        <w:spacing w:lineRule="auto" w:line="273" w:before="24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4" w:name="item1a_risk_factors"/>
      <w:bookmarkEnd w:id="4"/>
      <w:r>
        <w:rPr>
          <w:rFonts w:ascii="Times New Roman" w:hAnsi="Times New Roman"/>
          <w:b/>
          <w:sz w:val="20"/>
        </w:rPr>
        <w:t>ITEM 1A. RISK FACTORS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u w:val="single"/>
        </w:rPr>
      </w:pPr>
      <w:r>
        <w:rPr>
          <w:rFonts w:ascii="Times New Roman" w:hAnsi="Times New Roman"/>
          <w:b/>
          <w:sz w:val="20"/>
          <w:u w:val="single"/>
        </w:rPr>
        <w:t>Summary of Risk Factors</w:t>
      </w:r>
    </w:p>
    <w:p>
      <w:pPr>
        <w:pStyle w:val="TextBody"/>
        <w:spacing w:lineRule="auto" w:line="273" w:before="240" w:after="0"/>
        <w:jc w:val="left"/>
        <w:rPr>
          <w:rFonts w:ascii="Times New Roman" w:hAnsi="Times New Roman"/>
          <w:sz w:val="20"/>
        </w:rPr>
      </w:pPr>
      <w:r>
        <w:rPr>
          <w:rFonts w:ascii="Times New Roman" w:hAnsi="Times New Roman"/>
          <w:b w:val="false"/>
          <w:i/>
          <w:sz w:val="20"/>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Cannabis remains illegal under U.S. federal law, and enforcement of cannabis laws could change.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subject to action by the U.S. federal government.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State regulation of cannabis is uncertain.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subject to heightened scrutiny by Canadian regulatory authorities.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face limitations on ownership of cannabis licenses.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become subject to Food and Drug Administration or Bureau of Alcohol, Tobacco, Firearms and Explosives regulation.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Cannabis businesses are subject to applicable anti-money laundering laws and regulations and have restricted access to banking and other financial services.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face difficulties acquiring additional financing.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lack access to U.S. bankruptcy protections.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operate in a highly regulated sector and may not always succeed in complying fully with applicable regulatory requirements in all jurisdictions where we carry on business.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face difficulties in enforcing our contracts.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have limited trademark protection.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Cannabis businesses are subject to unfavorable U.S. tax treatment.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Cannabis businesses may be subject to civil asset forfeiture.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subject to proceeds of crime statutes.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face exposure to fraudulent or illegal activity.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use of joint ventures, strategic partnerships and alliances may expose us to risks associated with jointly owned investments.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face risks due to industry immaturity or limited comparable, competitive or established industry best practices.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face risks related to our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dependent on the popularity of consumer acceptance of our brand portfolio.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business is subject to the risks inherent in agricultural operations.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adversely impacted by rising or volatile energy costs.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face risks related to our information technology systems and potential cyber-attacks and security breaches.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face an inherent risk of product liability and similar claims.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products may be subject to product recalls.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face unfavorable publicity or consumer perception.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voting control is concentrated.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capital structure and voting control may cause unpredictability.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Sales of substantial amounts of Subordinate Voting Shares by our existing shareholders in the public market may have an adverse effect on the market price of the Subordinate Voting Shares.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are governed by the corporate laws in British Columbia, Canada which in some cases have a different effect on shareholders than the corporate laws in Delaware, United States.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u w:val="single"/>
        </w:rPr>
      </w:pPr>
      <w:r>
        <w:rPr>
          <w:rFonts w:ascii="Times New Roman" w:hAnsi="Times New Roman"/>
          <w:b/>
          <w:sz w:val="20"/>
          <w:u w:val="single"/>
        </w:rPr>
        <w:t>Risk Factors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Cannabis remains illegal under U.S. federal law, and enforcement of cannabis laws could change.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Cannabis is illegal under U.S. federal law</w:t>
      </w:r>
      <w:r>
        <w:rPr>
          <w:rFonts w:ascii="Times New Roman" w:hAnsi="Times New Roman"/>
          <w:b w:val="false"/>
          <w:sz w:val="20"/>
        </w:rPr>
        <w:t xml:space="preserve">. In those states in which the use of cannabis has been legalized, its use remains a violation of federal law pursuant to the Controlled Substances Act (21 U.S.C. § 811). The Controlled Substances Act classifies cannabis as a Schedule I controlled substance, and as such, medical and adult use cannabis use is illegal under U.S. federal law.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w:t>
      </w:r>
      <w:r>
        <w:rPr>
          <w:rFonts w:ascii="Times New Roman" w:hAnsi="Times New Roman"/>
          <w:b/>
          <w:sz w:val="20"/>
        </w:rPr>
        <w:t>enforcement of federal law regarding cannabis is a significant risk</w:t>
      </w:r>
      <w:r>
        <w:rPr>
          <w:rFonts w:ascii="Times New Roman" w:hAnsi="Times New Roman"/>
          <w:sz w:val="20"/>
        </w:rPr>
        <w:t xml:space="preserve"> </w:t>
      </w:r>
      <w:r>
        <w:rPr>
          <w:rFonts w:ascii="Times New Roman" w:hAnsi="Times New Roman"/>
          <w:b w:val="false"/>
          <w:sz w:val="20"/>
        </w:rPr>
        <w:t>and would greatly harm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activities are, and will continue to be, subject to evolving regulation by governmental authorities. We are directly or indirectly engaged in the medical and adult 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and despite the clear conflict with U.S. federal law, 36 states, plus the District of Columbia (and the territories of Guam, Puerto Rico, the U.S. Virgin Islands and the Northern Mariana Islands) have legalized cannabis for medical use, while 18 of those states have legalized adult use of cannabis, and the District of Columbia has legalized the adult use but not commercial sale of cannabis. In November 2020, voters in Arizona, Montana, New Jersey and South Dakota voted by referendum to legalize cannabis for adult use, and voters in Mississippi and South Dakota voted to legalized cannabis for medical use.</w:t>
      </w:r>
      <w:r>
        <w:rPr>
          <w:rFonts w:ascii="Times New Roman" w:hAnsi="Times New Roman"/>
          <w:sz w:val="20"/>
        </w:rPr>
        <w:t xml:space="preserve"> </w:t>
      </w:r>
      <w:r>
        <w:rPr>
          <w:rFonts w:ascii="Times New Roman" w:hAnsi="Times New Roman"/>
          <w:b w:val="false"/>
          <w:sz w:val="20"/>
        </w:rPr>
        <w:t>In February 2021, adult use cannabis became legal in New jersey. Adult use cannabis was legalized in New York on month later and in July 2021, Virginia became the first southern state to legalize cannabis for adult use.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Despite this, our activities in the medical and adult 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 However, the Department of Justice did not provide (and has not provided since) specific guidelines for what regulatory and enforcement systems would be deemed sufficient under the Cole Memorandum.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January 4, 2018, then U.S. Attorney General Jeff Sessions formally rescinded the Cole Memorandum. Despite its recission, as of December 21, 2021, federal prosecutors appear to continue to use the Cole Memorandum's priorities as an enforcement guide. Merrick Garland, who became Attorney General on March 10, 2021, has indicated that he would deprioritize enforcement of low-level cannabis crimes such as possession, and during his congressional testimony in February 2021, Garland stated that the Justice Department would not pursue cases against Americans complying with laws of the states that have legalized and are regulating marijuana. President Joseph R. Biden, who assumed office in January 2021, stated a policy goal of federal cannabis decriminalization, but has not publicly supported the legalization of cannabis.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have been efforts at reforming federal cannabis law. As of December 21, 2021, there were more than a dozen proposed congressional bills addressing myriad issues regarding the cannabis industry, from banking and tax reform to full legalization. However, none have passed into law.</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does exists a legislative safeguard for the medical cannabis industry, appended for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laws against regulated medical cannabis actors operating in compliance with state and local law. On December 3, 2021, the amendment was renewed through a pair of stopgap spending bill, with the most recent extension effective through February 18, 2022.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Rohrabacher-Blumenauer Amendment may or may not be renewed as part of a subsequent stopgap spending bill or omnibus appropriations package. If the Rohrabacher-Blumenauer Amendment is not renewed, potential proceedings could involve significant restrictions being imposed upon us or third parties and divert the attention of key executives. Such proceedings could also have a material adverse effect on our business, prospects, revenue, results of operation and financial condition, as well our reputation, even if such proceedings were concluded successfully in our favor.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uncertainty of U.S. federal enforcement practices going forward and the inconsistency between U.S. federal and state laws and regulations present major risks for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 subject to action by the U.S. federal government.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Since the cultivation, processing, production, distribution and sale of cannabis for any purpose, medical, adult use or otherwise, remain illegal under U.S. federal law, it is possible that we may be forced to cease activities. The U.S. federal government, through, among others, the Department of Justice, its sub-agency the Drug Enforcement Administration and the U.S. Internal Revenue Service, has the right to actively investigate, audit and shut down cannabis growing facilities, processors and retailers. The U.S. federal government may also attempt to seize the property of the Company. Any action taken by the Department of Justice, the Drug Enforcement Administration and/or the Internal Revenue Service to interfere with, seize or shut down our operations will have an adverse effect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the Department of Justice may at any time issue additional guidance that directs federal prosecutors to devote more resources to prosecuting cannabis related businesses. If the Department of Justice under U.S. Attorney General Garland, aggressively pursues financiers or equity owners of cannabis-related businesses, and U.S. Attorneys follow the Department of Justice policies through pursuing prosecutions, then we could face:</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seizure of our cash and other assets used to support or derived from our cannabis subsidiaries;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(ii)</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arrest of our employees, directors, officers, managers and investors; and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(iii)</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It is further possible that Department of Justice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Additionally, there can be no assurance as to the position the Biden administration or any future administration may take on cannabis, and a new administration could decide to enforce federal laws against state-regulated cannabis companies. Any enforcement of current federal cannabis laws could cause significant financial damage to us and our shareholders.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 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State regulation of cannabis is uncertain.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Federal actions against any individual or entity engaged in the cannabis industry or a substantial repeal of cannabis related legislation could adversely affect the Company,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regulatory approvals can be costly and time-consuming. No assurance can be given that the Company will receive the requisite licenses, permits or cards to continue operating our businesses.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State regulatory agencies may require the Company to post bonds or significant fees.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The Company is not able to quantify at this time the potential scope of such bonds or fees in the states in which it currently operates or may in the future operate. Any bonds or fees of material amounts could have a negative impact on the ultimate success of the Company’s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may be subject to heightened scrutiny by Canadian regulatory authorities.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Currently, the Company is traded on the CSE and on over-the-counter markets in the United States. The business, operations and investments of the Company in the United States, and any future business, operations or investments, may become the subject of heightened scrutiny by regulators, stock exchanges and other authorities in Canada and the United States. As a result, the Company may be subject to significant direct and indirect interaction with public officials. There can be no assurance that this heightened scrutiny will not in turn lead to the imposition of certain restrictions on the Company’s ability to operate or invest in the United States or any other jurisdiction, in addition to those described herein.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2017, there were concerns that the Canadian Depository for Securities Limited, through its subsidiary CDS Clearing and Depository Services Inc. (“CDS”), Canada’s central securities depository (clearing and settling trades in the Canadian equity, fixed income and money markets), would refuse to settle trades for cannabis issuers that have investments in the United States. However, CDS has not implemented this policy.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may face limitations on ownership of cannabis licenses.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 The Company employs joint ventures from time to time to help ensure continued compliance with the applicable regulatory guidelines. Currently, the Company has joint ventures with third parties in Connecticut and Illinois. The Company structures its joint ventures on a case-by-case basis but generally maintains operational control over the joint venture business and a variable economic interest through the applicable governing documents.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may become subject to Food and Drug Administration or Bureau of Alcohol, Tobacco, Firearms and Explosives regulation.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FDA, it may have an adverse effect on the Company’s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Cannabis businesses are subject to applicable anti-money laundering laws and regulations and have restricted access to banking and other financial services.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Although the FinCEN Memorandum remains intact, it is unclear whether the Biden administration will continue to follow its guidelines, or what may happen under future administrations.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the United States, the “SAFE Banking Act” was adopted by the U.S. House of Representatives, which would grant banks and other financial institutions immunity from federal criminal prosecution for servicing marijuana-related businesses if the underlying marijuana business follows state law. It is unclear whether the U.S. Senate will take up the SAFE Banking Act for a vote. While there is strong support in the public and within Congress for the SAFE Banking Act and similar legislation, there can be no assurance that it will be passed as presently proposed or at all.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face difficulties acquiring additional financing.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its growth and may have a material adverse effect upon the Company’s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lack access to U.S. bankruptcy protections.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operate in a highly regulated sector and may not always succeed in complying fully with applicable regulatory requirements in all jurisdictions where we carry on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face difficulties in enforcing our contracts.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Because our contracts involve cannabis and other activities that are not legal under federal law and in some state jurisdictions, we may face difficulties in enforcing its contracts in federal courts and certain state courts. We cannot be assured that it will have a remedy for breach of contract, which could have a material adverse effect on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have limited trademark protection.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will not be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are and may continue to be subject to constraints on marketing our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Certain of the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face risks related to the results of future clinical research.</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taxation in Canada and the United States.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Dividends received by U.S. shareholders will not be subject to U.S. withholding tax but will be subject to Canadian withholding tax. Dividends paid by us will be characterized as U.S. source income for purposes of the foreign tax credit rules under the Code.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Cannabis businesses are subject to unfavorable tax treatment.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Under Section 280E of the IRC,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Controlled Substances Act). The IRS has applied this provision to cannabis operations, prohibiting them from deducting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Cannabis businesses may be subject to civil asset forfeiture.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proceeds of crime statutes.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face exposure to fraudulent or illegal activity.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are a holding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a holding company and essentially all of our assets are the capital stock of our subsidiaries in our 15 markets, including California, Colorado,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Our internal controls over financial reporting may not be effective, and our independent auditors may not be able to certify as to their effectiveness, which could have a significant and adverse effect on our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Material acquisitions, dispositions and other strategic transactions involve a number of risks for us</w:t>
      </w:r>
      <w:r>
        <w:rPr>
          <w:rFonts w:ascii="Times New Roman" w:hAnsi="Times New Roman"/>
          <w:b w:val="false"/>
          <w:sz w:val="20"/>
        </w:rPr>
        <w: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Additionally, we may issue additional Subordinate Voting Shares in connection with such transactions, which would dilute a shareholder’s holdings in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invest in companies which may not be able to meet anticipated development targets or be successful in the future</w:t>
      </w:r>
      <w:r>
        <w:rPr>
          <w:rFonts w:ascii="Times New Roman" w:hAnsi="Times New Roman"/>
          <w:b/>
          <w:sz w:val="20"/>
        </w:rPr>
        <w: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may make investments in companies with no significant sources of operating cash flow and no revenue from operations, that are in early stages of development, or that have high-risk profiles.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Our use of joint ventures may expose us to risks associated with jointly owned investments.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There can be no assurance that our current and future strategic alliances or expansions of scope of existing relationships will have a beneficial impact on our business, financial condition and results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Our reputation and ability to do business may be negatively impacted by the improper conduct by our business partners, employees or agents.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face risks due to industry immaturity or limited comparable, competitive or established industry best practices.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a relatively new industry, there are not many established operators in the medical and adult use cannabis industries whose business models we can follow or build upon. Similarly, there is no or limited information about comparable companies available for potential investors to review in making a decision about whether to invest in us.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face risks related to our products.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dependent on the popularity of consumer acceptance of our brand portfolio.</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The Company’s business is subject to the risks inherent in agricultural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Company may be adversely impacted by rising or volatile energy costs.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cannabis growing operations consume considerable energy, which makes it vulnerable to rising energy costs. Accordingly, rising or volatile energy costs may adversely affect the business of the Company and our ability to operate profitably.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Company may encounter unknown environmental risks.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can be no assurance that the Company will not encounter hazardous conditions, such as asbestos or lead, at the</w:t>
      </w:r>
      <w:r>
        <w:rPr>
          <w:rFonts w:ascii="Times New Roman" w:hAnsi="Times New Roman"/>
          <w:sz w:val="20"/>
        </w:rPr>
        <w:t xml:space="preserve"> </w:t>
      </w:r>
      <w:r>
        <w:rPr>
          <w:rFonts w:ascii="Times New Roman" w:hAnsi="Times New Roman"/>
          <w:b w:val="false"/>
          <w:sz w:val="20"/>
        </w:rPr>
        <w:t>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face risks related to our information technology systems, and potential cyber-attacks and security breaches.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subject to laws, rules and regulations in the United States (such as the California Consumer Privacy Act (which became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California Consumer Privacy Act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face risks related to our insurance coverage and uninsurable risks.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are dependent on key inputs, suppliers and skilled labor and fluctuations in the cost or availability of materials we use in our products and supply chain could negatively affect our results.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The imposition of government or other vaccination, testing or other health mandates due to COVID-19 or any other similar event may impact our ability to retain current employees and attract new employees. The imposition of vaccine mandates could potentially cause labor shortages if employees refuse to get vaccinated and their employment is terminated, either voluntarily or involuntarily. Managing and tracking vaccination status and ongoing testing, or other health-related protocols for our employees could potentially materially increase our costs, as could addressing inconsistent mandates.</w:t>
      </w:r>
      <w:r>
        <w:rPr>
          <w:rFonts w:ascii="Times New Roman" w:hAnsi="Times New Roman"/>
          <w:sz w:val="20"/>
        </w:rPr>
        <w:t xml:space="preserve"> </w:t>
      </w:r>
      <w:r>
        <w:rPr>
          <w:rFonts w:ascii="Times New Roman" w:hAnsi="Times New Roman"/>
          <w:b w:val="false"/>
          <w:sz w:val="20"/>
        </w:rPr>
        <w:t>This could have an adverse effect on our financial results</w:t>
      </w:r>
      <w:r>
        <w:rPr>
          <w:rFonts w:ascii="Times New Roman" w:hAnsi="Times New Roman"/>
          <w:b/>
          <w:i/>
          <w:sz w:val="20"/>
        </w:rPr>
        <w:t>.</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must attract and maintain key personnel or our business will fail.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Our sales are difficult to forecast.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a result of recent and ongoing regulatory and policy changes in the medical and adult 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or other factors could have a material adverse effect on our business, results of operations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 subject to growth-related risks.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may be subject to litigation.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face an inherent risk of product liability claims.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may be exposed to infringement or misappropriation claims by third parties, which, if determined adversely to us, could subject us to significant liabilities and other costs.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Our products may be subject to product recalls.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face unfavorable publicity or consumer perception.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Management believes the medical and adult 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face intense competition.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 A decline in the price of the Subordinate Voting Shares could affect our ability to raise further working capital and adversely impact our ability to continue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prolonged decline in the price of the Subordinate Voting Shares could result in a reduction in the liquidity of the Subordinate Voting Shares and a reduction in our ability to raise capital. Because a significant portion of our operations have been and will be financed through the sale of equity securities, a decline in the price of our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w:t>
      </w:r>
      <w:r>
        <w:rPr>
          <w:rFonts w:ascii="Times New Roman" w:hAnsi="Times New Roman"/>
          <w:sz w:val="20"/>
        </w:rPr>
        <w:t xml:space="preserve"> </w:t>
      </w:r>
      <w:r>
        <w:rPr>
          <w:rFonts w:ascii="Times New Roman" w:hAnsi="Times New Roman"/>
          <w:b/>
          <w:i/>
          <w:sz w:val="20"/>
        </w:rPr>
        <w:t>may have increased labor costs based on union activity.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Labor unions are working to organize workforces in the cannabis industry in general. Currently, only an immaterial percentage of our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general economic risks.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operations could be affected by the economic context should the unemployment level, interest rates or inflation reach levels that influence consumer trends and spending and, consequently, impact our sales and profitability.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 negatively impacted by challenging global economic conditions.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business, financial condition, results of operations and cash flow may be negatively impacted by challenging global economic conditions. For example and as discussed in more detail below, since early 2020, the U.S and other world economies have experienced turmoil due to outbreaks of COVID-19 and its variants, which has resulted in global economic uncertainty, supply chain disruptions and other issues.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risks arising from epidemic diseases, such as the recent outbreak of the COVID-19 illness.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COVID-19 illness and its variants,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priorities during the COVID-19 pandemic are protecting the health and safety of our employees and our customers, following the recommended actions of government and health authorities. In the future, the pandemic may cause reduced demand for our products and services if, for example, the pandemic results in a recessionary economic environment. Our operations are currently ongoing as the cultivation, processing and sale of cannabis products was considered an essential business by all states in which we operate with respect to all customers when shutdowns were imposed. Our ability to continue to operate without any significant negative operational impact from the COVID-19 pandemic will in part depend on our ability to protect our employees, customers and supply chain.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further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or any of its variants,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w:t>
      </w:r>
      <w:r>
        <w:rPr>
          <w:rFonts w:ascii="Times New Roman" w:hAnsi="Times New Roman"/>
          <w:sz w:val="20"/>
        </w:rPr>
        <w:t xml:space="preserve"> </w:t>
      </w:r>
      <w:r>
        <w:rPr>
          <w:rFonts w:ascii="Times New Roman" w:hAnsi="Times New Roman"/>
          <w:b w:val="false"/>
          <w:sz w:val="20"/>
        </w:rPr>
        <w:t>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Our Securities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A return on our securities is not guaranteed.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 affected by currency fluctuations.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employee options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voting control is concentrated.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Chief Financial Officer. Subordinate Voting Shares are entitled to one vote per share, Multiple Voting Shares are entitled to 100 votes per share, and Super Voting Shares are entitled to up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capital structure and voting control may cause unpredictability.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i/>
          <w:sz w:val="20"/>
        </w:rPr>
        <w:t>Additional issuances of Super Voting Shares, Multiple Voting Shares or Subordinate Voting Shares may result in dilution.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of directors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Sales of substantial amounts of Subordinate Voting Shares may have an adverse effect on the market price of the Subordinate Voting Shares.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it desire to do so.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The market price for the Subordinate Voting Shares may be volatile.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actual or anticipated fluctuations in our quarterly results of operations;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recommendations by securities research analysts;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changes in the economic performance or market valuations of companies in the industry in which we operate;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addition or departure of our executive officers and other key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release or expiration of transfer restrictions on outstanding Subordinate Voting Shares;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sales or perceived sales of additional Subordinate Voting Shares;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operating and financial performance that varies from the expectations of management, securities analysts and investors;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regulatory changes affecting our industry generally and our business and operations both domestically and abroad;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announcements of developments and other material events by us or our competitors;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fluctuations in the costs of vital production materials and services;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changes in global financial markets, global economies and general market conditions, such as interest rates and pharmaceutical product price volatility;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significant acquisitions or business combinations, strategic partnerships, joint ventures or capital commitments by or involving us or our competitors;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operating and share price performance of other companies that investors deem comparable to us or from a lack of market comparable companies;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news reports relating to trends, concerns, technological or competitive developments, regulatory changes and other related issues in our industry or target markets.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If securities or industry analysts do not publish or cease publishing research or reports or publish misleading, inaccurate or unfavorable research about us, our business or our market, our stock price and trading volume could decline.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face liquidity risks.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Subordinate Voting Shares currently trade on the CSE and on over-the-counter markets in the U.S. We cannot predict at what prices the Subordinate Voting Shares will continue to trade, and there is no assurance that an active trading market will be sustained.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increased costs as a result of being a public company in Canada and the United States.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face costs of maintaining a public listing.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do not intend to pay dividends on our common shares and, consequently, your ability to achieve a return on your investment will depend on appreciation in the price of our common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common shares will depend upon any future appreciation in their value. There is no guarantee that our common shares will appreciate in value or even maintain the price at which you purchased them.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5" w:name="item1b_unresolved_staff_comments"/>
      <w:bookmarkEnd w:id="5"/>
      <w:r>
        <w:rPr>
          <w:rFonts w:ascii="Times New Roman" w:hAnsi="Times New Roman"/>
          <w:b/>
          <w:sz w:val="20"/>
        </w:rPr>
        <w:t>ITEM 1B. UNRESOLVED STAFF COMMENTS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6" w:name="item2_properties"/>
      <w:bookmarkEnd w:id="6"/>
      <w:r>
        <w:rPr>
          <w:rFonts w:ascii="Times New Roman" w:hAnsi="Times New Roman"/>
          <w:b/>
          <w:sz w:val="20"/>
        </w:rPr>
        <w:t>ITEM 2. PROPERTIES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headquarters is located in Chicago, IL. The following table set forth the Company’s principal cultivation and processing properties.</w:t>
      </w:r>
      <w:r>
        <w:rPr>
          <w:rFonts w:ascii="Times New Roman" w:hAnsi="Times New Roman"/>
          <w:sz w:val="20"/>
        </w:rPr>
        <w:t xml:space="preserve"> </w:t>
      </w:r>
    </w:p>
    <w:p>
      <w:pPr>
        <w:pStyle w:val="TextBody"/>
        <w:spacing w:lineRule="auto" w:line="273" w:before="0" w:after="0"/>
        <w:jc w:val="left"/>
        <w:rPr/>
      </w:pPr>
      <w:r>
        <w:rPr/>
        <w:t> </w:t>
      </w:r>
    </w:p>
    <w:tbl>
      <w:tblPr>
        <w:tblW w:w="5118" w:type="dxa"/>
        <w:jc w:val="left"/>
        <w:tblInd w:w="0" w:type="dxa"/>
        <w:tblCellMar>
          <w:top w:w="28" w:type="dxa"/>
          <w:left w:w="28" w:type="dxa"/>
          <w:bottom w:w="28" w:type="dxa"/>
          <w:right w:w="28" w:type="dxa"/>
        </w:tblCellMar>
      </w:tblPr>
      <w:tblGrid>
        <w:gridCol w:w="1981"/>
        <w:gridCol w:w="1696"/>
        <w:gridCol w:w="1441"/>
      </w:tblGrid>
      <w:tr>
        <w:trPr/>
        <w:tc>
          <w:tcPr>
            <w:tcW w:w="1981"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5118"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Production Properties</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u w:val="single"/>
              </w:rPr>
            </w:pPr>
            <w:r>
              <w:rPr>
                <w:rFonts w:ascii="Times New Roman" w:hAnsi="Times New Roman"/>
                <w:b w:val="false"/>
                <w:sz w:val="20"/>
                <w:u w:val="single"/>
              </w:rPr>
              <w:t>Type</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u w:val="single"/>
              </w:rPr>
            </w:pPr>
            <w:r>
              <w:rPr>
                <w:rFonts w:ascii="Times New Roman" w:hAnsi="Times New Roman"/>
                <w:b w:val="false"/>
                <w:sz w:val="20"/>
                <w:u w:val="single"/>
              </w:rPr>
              <w:t>Location</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u w:val="single"/>
              </w:rPr>
            </w:pPr>
            <w:r>
              <w:rPr>
                <w:rFonts w:ascii="Times New Roman" w:hAnsi="Times New Roman"/>
                <w:b w:val="false"/>
                <w:sz w:val="20"/>
                <w:u w:val="single"/>
              </w:rPr>
              <w:t>Leased / Owned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West Haven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West Haven, CT</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Homestead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Homestead, FL</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Owned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Oglesby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Oglesby, IL</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Rock Island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Rock Island, IL</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Owned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Centreville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Centreville, MD</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Owned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Clinton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Clinton, MA</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Holyoke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Holyoke, MA</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Cottage Grove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Cottage Grove, MN</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Owned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Carson City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Carson City, NV</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Las Vegas Facility 1</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Las Vegas, NV</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Las Vegas Facility 2</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Las Vegas, NV</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Paterson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Paterson, NJ</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Schenectady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Glenville, NY</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Toledo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Toledo, OH</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Danville Facility</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Danville, PA</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Warwick Facility 1</w:t>
            </w:r>
            <w:r>
              <w:rPr>
                <w:rFonts w:ascii="Times New Roman" w:hAnsi="Times New Roman"/>
                <w:b w:val="false"/>
                <w:sz w:val="13"/>
              </w:rPr>
              <w:t>1</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Warwick, RI</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Warwick Facility 2</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Warwick, RI</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r>
        <w:trPr/>
        <w:tc>
          <w:tcPr>
            <w:tcW w:w="198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Abingdon Facility</w:t>
            </w:r>
            <w:r>
              <w:rPr>
                <w:rFonts w:ascii="Times New Roman" w:hAnsi="Times New Roman"/>
                <w:b w:val="false"/>
                <w:sz w:val="13"/>
              </w:rPr>
              <w:t>2</w:t>
            </w:r>
          </w:p>
        </w:tc>
        <w:tc>
          <w:tcPr>
            <w:tcW w:w="16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Abingdon, VA</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Leased</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to the above properties, as of December 31, 2021 the Company has 73 open and operating retail locations throughout the U.S. of which we own 9.</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Properties Subject to an Encumbrance.</w:t>
      </w:r>
      <w:r>
        <w:rPr>
          <w:rFonts w:ascii="Times New Roman" w:hAnsi="Times New Roman"/>
          <w:sz w:val="20"/>
        </w:rPr>
        <w:t xml:space="preserve"> </w:t>
      </w:r>
      <w:r>
        <w:rPr>
          <w:rFonts w:ascii="Times New Roman" w:hAnsi="Times New Roman"/>
          <w:b w:val="false"/>
          <w:sz w:val="20"/>
        </w:rPr>
        <w:t>Pursuant to the Amended and Restated Note Purchase Agreement, the Company collateralized the facilities in (i) Rock Island, Illinois, and (ii) Homestead, Florida (iii) Lakewood, OH (Rise Lakewood Madison), (iv) Centreville, MD, and (v) Warminster, PA.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7" w:name="item3_legal_proceedings"/>
      <w:bookmarkEnd w:id="7"/>
      <w:r>
        <w:rPr>
          <w:rFonts w:ascii="Times New Roman" w:hAnsi="Times New Roman"/>
          <w:b/>
          <w:sz w:val="20"/>
        </w:rPr>
        <w:t>ITEM 3. LEGAL PROCEEDINGS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Legal Proceedings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no legal proceedings, pending or threatened, which would have a material impact on the operations or financial condition of the Company.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8" w:name="item4_mine_safety"/>
      <w:bookmarkEnd w:id="8"/>
      <w:r>
        <w:rPr>
          <w:rFonts w:ascii="Times New Roman" w:hAnsi="Times New Roman"/>
          <w:b/>
          <w:sz w:val="20"/>
        </w:rPr>
        <w:t>ITEM 4. MINE SAFETY DISCLOSURE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PART II</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bookmarkStart w:id="9" w:name="item5_market_price"/>
      <w:bookmarkEnd w:id="9"/>
      <w:r>
        <w:rPr>
          <w:rFonts w:ascii="Times New Roman" w:hAnsi="Times New Roman"/>
          <w:b/>
          <w:sz w:val="20"/>
        </w:rPr>
        <w:t>ITEM 5. MARKET PRICE OF AND DIVIDENDS ON THE REGISTRANT’S COMMON EQUITY AND RELATED STOCKHOLDER MATTERS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Trading Price and Volume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Subordinate Voting Shares of the Company are traded on the CSE under the symbol “GTII.”. The following table sets forth trading information for the Subordinate Voting Shares for the periods indicated, as quoted on the CSE.</w:t>
      </w:r>
      <w:r>
        <w:rPr>
          <w:rFonts w:ascii="Times New Roman" w:hAnsi="Times New Roman"/>
          <w:b w:val="false"/>
          <w:sz w:val="13"/>
        </w:rPr>
        <w:t>(1)</w:t>
      </w:r>
      <w:r>
        <w:rPr>
          <w:rFonts w:ascii="Times New Roman" w:hAnsi="Times New Roman"/>
          <w:sz w:val="20"/>
        </w:rPr>
        <w:t xml:space="preserve"> </w:t>
      </w:r>
    </w:p>
    <w:p>
      <w:pPr>
        <w:pStyle w:val="TextBody"/>
        <w:spacing w:lineRule="auto" w:line="273" w:before="0" w:after="0"/>
        <w:jc w:val="left"/>
        <w:rPr/>
      </w:pPr>
      <w:r>
        <w:rPr/>
        <w:t> </w:t>
      </w:r>
    </w:p>
    <w:tbl>
      <w:tblPr>
        <w:tblW w:w="8553" w:type="dxa"/>
        <w:jc w:val="left"/>
        <w:tblInd w:w="0" w:type="dxa"/>
        <w:tblCellMar>
          <w:top w:w="28" w:type="dxa"/>
          <w:left w:w="28" w:type="dxa"/>
          <w:bottom w:w="28" w:type="dxa"/>
          <w:right w:w="28" w:type="dxa"/>
        </w:tblCellMar>
      </w:tblPr>
      <w:tblGrid>
        <w:gridCol w:w="3046"/>
        <w:gridCol w:w="146"/>
        <w:gridCol w:w="396"/>
        <w:gridCol w:w="1074"/>
        <w:gridCol w:w="146"/>
        <w:gridCol w:w="146"/>
        <w:gridCol w:w="409"/>
        <w:gridCol w:w="1106"/>
        <w:gridCol w:w="146"/>
        <w:gridCol w:w="146"/>
        <w:gridCol w:w="146"/>
        <w:gridCol w:w="1646"/>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3046" w:type="dxa"/>
            <w:tcBorders/>
            <w:shd w:fill="auto" w:val="clear"/>
            <w:vAlign w:val="center"/>
          </w:tcPr>
          <w:p>
            <w:pPr>
              <w:pStyle w:val="TableContents"/>
              <w:spacing w:lineRule="auto" w:line="252" w:before="0" w:after="0"/>
              <w:ind w:left="10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Low Trading Price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High Trading Price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2" w:type="dxa"/>
            <w:gridSpan w:val="2"/>
            <w:tcBorders/>
            <w:shd w:fill="auto" w:val="clear"/>
            <w:vAlign w:val="center"/>
          </w:tcPr>
          <w:p>
            <w:pPr>
              <w:pStyle w:val="TableContents"/>
              <w:spacing w:lineRule="auto" w:line="252" w:before="0" w:after="0"/>
              <w:ind w:left="0" w:right="0" w:firstLine="100"/>
              <w:jc w:val="center"/>
              <w:rPr>
                <w:rFonts w:ascii="Times New Roman" w:hAnsi="Times New Roman"/>
                <w:b/>
                <w:sz w:val="16"/>
              </w:rPr>
            </w:pPr>
            <w:r>
              <w:rPr>
                <w:rFonts w:ascii="Times New Roman" w:hAnsi="Times New Roman"/>
                <w:b/>
                <w:sz w:val="16"/>
              </w:rPr>
              <w:t>Volume</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sz w:val="20"/>
                <w:u w:val="single"/>
              </w:rPr>
            </w:pPr>
            <w:r>
              <w:rPr>
                <w:rFonts w:ascii="Times New Roman" w:hAnsi="Times New Roman"/>
                <w:b/>
                <w:sz w:val="20"/>
                <w:u w:val="single"/>
              </w:rPr>
              <w:t>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sz w:val="20"/>
                <w:u w:val="single"/>
              </w:rPr>
            </w:pPr>
            <w:r>
              <w:rPr>
                <w:rFonts w:ascii="Times New Roman" w:hAnsi="Times New Roman"/>
                <w:b/>
                <w:sz w:val="20"/>
                <w:u w:val="single"/>
              </w:rPr>
              <w:t>Year Ended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pPr>
            <w:r>
              <w:rPr/>
              <w:t> </w:t>
            </w:r>
          </w:p>
        </w:tc>
        <w:tc>
          <w:tcPr>
            <w:tcW w:w="10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1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left"/>
              <w:rPr/>
            </w:pPr>
            <w:r>
              <w:rPr/>
              <w:t>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First Quarter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56,354,032</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Second Quarter (June 30,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24,761,835</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Third Quarter (September 30,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17,635,212</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Fourth Quarter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42,223,734</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sz w:val="20"/>
                <w:u w:val="single"/>
              </w:rPr>
            </w:pPr>
            <w:r>
              <w:rPr>
                <w:rFonts w:ascii="Times New Roman" w:hAnsi="Times New Roman"/>
                <w:b/>
                <w:sz w:val="20"/>
                <w:u w:val="single"/>
              </w:rPr>
              <w:t>Year Ended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pPr>
            <w:r>
              <w:rPr/>
              <w:t> </w:t>
            </w:r>
          </w:p>
        </w:tc>
        <w:tc>
          <w:tcPr>
            <w:tcW w:w="10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1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left"/>
              <w:rPr/>
            </w:pPr>
            <w:r>
              <w:rPr/>
              <w:t>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First Quarter (March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25,072,866</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Second Quarter (June 30,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23,749,362</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Third Quarter (September 30,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16,553,128</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Fourth Quarter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39,421,324</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Notes:</w:t>
      </w:r>
    </w:p>
    <w:p>
      <w:pPr>
        <w:pStyle w:val="TextBody"/>
        <w:spacing w:lineRule="auto" w:line="273" w:before="0" w:after="0"/>
        <w:jc w:val="left"/>
        <w:rPr>
          <w:rFonts w:ascii="Times New Roman" w:hAnsi="Times New Roman"/>
          <w:sz w:val="20"/>
        </w:rPr>
      </w:pPr>
      <w:r>
        <w:rPr>
          <w:rFonts w:ascii="Times New Roman" w:hAnsi="Times New Roman"/>
          <w:b w:val="false"/>
          <w:sz w:val="20"/>
        </w:rPr>
        <w:t>(1) Source: Bloomberg.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Subordinate Voting Shares of the Company are also traded on the OTCQX under the symbol “GTBIF.”</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following table sets forth trading information for the Subordinate Voting Shares for the periods indicated, as quoted on the OTCQX.</w:t>
      </w:r>
      <w:r>
        <w:rPr>
          <w:rFonts w:ascii="Times New Roman" w:hAnsi="Times New Roman"/>
          <w:b w:val="false"/>
          <w:sz w:val="13"/>
        </w:rPr>
        <w:t>(1)</w:t>
      </w:r>
      <w:r>
        <w:rPr>
          <w:rFonts w:ascii="Times New Roman" w:hAnsi="Times New Roman"/>
          <w:sz w:val="20"/>
        </w:rPr>
        <w:t xml:space="preserve"> </w:t>
      </w:r>
    </w:p>
    <w:p>
      <w:pPr>
        <w:pStyle w:val="TextBody"/>
        <w:spacing w:lineRule="auto" w:line="273" w:before="0" w:after="0"/>
        <w:jc w:val="left"/>
        <w:rPr/>
      </w:pPr>
      <w:r>
        <w:rPr/>
        <w:t> </w:t>
      </w:r>
    </w:p>
    <w:tbl>
      <w:tblPr>
        <w:tblW w:w="8553" w:type="dxa"/>
        <w:jc w:val="left"/>
        <w:tblInd w:w="0" w:type="dxa"/>
        <w:tblCellMar>
          <w:top w:w="28" w:type="dxa"/>
          <w:left w:w="28" w:type="dxa"/>
          <w:bottom w:w="28" w:type="dxa"/>
          <w:right w:w="28" w:type="dxa"/>
        </w:tblCellMar>
      </w:tblPr>
      <w:tblGrid>
        <w:gridCol w:w="3046"/>
        <w:gridCol w:w="146"/>
        <w:gridCol w:w="396"/>
        <w:gridCol w:w="1074"/>
        <w:gridCol w:w="146"/>
        <w:gridCol w:w="146"/>
        <w:gridCol w:w="409"/>
        <w:gridCol w:w="1106"/>
        <w:gridCol w:w="146"/>
        <w:gridCol w:w="146"/>
        <w:gridCol w:w="146"/>
        <w:gridCol w:w="1646"/>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Low Trading Price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High Trading Price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2" w:type="dxa"/>
            <w:gridSpan w:val="2"/>
            <w:tcBorders/>
            <w:shd w:fill="auto" w:val="clear"/>
            <w:vAlign w:val="center"/>
          </w:tcPr>
          <w:p>
            <w:pPr>
              <w:pStyle w:val="TableContents"/>
              <w:spacing w:lineRule="auto" w:line="252" w:before="0" w:after="0"/>
              <w:ind w:left="0" w:right="0" w:firstLine="100"/>
              <w:jc w:val="center"/>
              <w:rPr>
                <w:rFonts w:ascii="Times New Roman" w:hAnsi="Times New Roman"/>
                <w:b/>
                <w:sz w:val="16"/>
              </w:rPr>
            </w:pPr>
            <w:r>
              <w:rPr>
                <w:rFonts w:ascii="Times New Roman" w:hAnsi="Times New Roman"/>
                <w:b/>
                <w:sz w:val="16"/>
              </w:rPr>
              <w:t>Volume</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sz w:val="20"/>
                <w:u w:val="single"/>
              </w:rPr>
            </w:pPr>
            <w:r>
              <w:rPr>
                <w:rFonts w:ascii="Times New Roman" w:hAnsi="Times New Roman"/>
                <w:b/>
                <w:sz w:val="20"/>
                <w:u w:val="single"/>
              </w:rPr>
              <w:t>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0" w:type="dxa"/>
            <w:gridSpan w:val="2"/>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4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15" w:type="dxa"/>
            <w:gridSpan w:val="2"/>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4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92" w:type="dxa"/>
            <w:gridSpan w:val="2"/>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sz w:val="20"/>
                <w:u w:val="single"/>
              </w:rPr>
            </w:pPr>
            <w:r>
              <w:rPr>
                <w:rFonts w:ascii="Times New Roman" w:hAnsi="Times New Roman"/>
                <w:b/>
                <w:sz w:val="20"/>
                <w:u w:val="single"/>
              </w:rPr>
              <w:t>Year Ended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pPr>
            <w:r>
              <w:rPr/>
              <w:t> </w:t>
            </w:r>
          </w:p>
        </w:tc>
        <w:tc>
          <w:tcPr>
            <w:tcW w:w="10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1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left"/>
              <w:rPr/>
            </w:pPr>
            <w:r>
              <w:rPr/>
              <w:t>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First Quarter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54,326,905</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Second Quarter (June 30,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21,540,519</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Third Quarter (September 30,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17,337,344</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Fourth Quarter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pPr>
            <w:r>
              <w:rPr/>
              <w:t>       </w:t>
            </w:r>
            <w:r>
              <w:rPr>
                <w:rFonts w:ascii="Times New Roman" w:hAnsi="Times New Roman"/>
                <w:b w:val="false"/>
                <w:sz w:val="20"/>
              </w:rPr>
              <w:t>37,227,905</w:t>
            </w:r>
            <w:r>
              <w:rPr>
                <w:rFonts w:ascii="Times New Roman" w:hAnsi="Times New Roman"/>
                <w:sz w:val="20"/>
              </w:rPr>
              <w:t xml:space="preserve">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sz w:val="20"/>
                <w:u w:val="single"/>
              </w:rPr>
            </w:pPr>
            <w:r>
              <w:rPr>
                <w:rFonts w:ascii="Times New Roman" w:hAnsi="Times New Roman"/>
                <w:b/>
                <w:sz w:val="20"/>
                <w:u w:val="single"/>
              </w:rPr>
              <w:t>Year Ended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pPr>
            <w:r>
              <w:rPr/>
              <w:t> </w:t>
            </w:r>
          </w:p>
        </w:tc>
        <w:tc>
          <w:tcPr>
            <w:tcW w:w="10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pPr>
            <w:r>
              <w:rPr/>
              <w:t> </w:t>
            </w:r>
          </w:p>
        </w:tc>
        <w:tc>
          <w:tcPr>
            <w:tcW w:w="11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left"/>
              <w:rPr/>
            </w:pPr>
            <w:r>
              <w:rPr/>
              <w:t> </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First Quarter (March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23,749,100</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Second Quarter (June 30,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19,681,767</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Third Quarter (September 30,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25,478,800</w:t>
            </w:r>
          </w:p>
        </w:tc>
      </w:tr>
      <w:tr>
        <w:trPr/>
        <w:tc>
          <w:tcPr>
            <w:tcW w:w="30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Fourth Quarter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7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35,059,415</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Notes:</w:t>
      </w:r>
    </w:p>
    <w:p>
      <w:pPr>
        <w:pStyle w:val="TextBody"/>
        <w:spacing w:lineRule="auto" w:line="273" w:before="0" w:after="0"/>
        <w:jc w:val="left"/>
        <w:rPr>
          <w:rFonts w:ascii="Times New Roman" w:hAnsi="Times New Roman"/>
          <w:sz w:val="20"/>
        </w:rPr>
      </w:pPr>
      <w:r>
        <w:rPr>
          <w:rFonts w:ascii="Times New Roman" w:hAnsi="Times New Roman"/>
          <w:b w:val="false"/>
          <w:sz w:val="20"/>
        </w:rPr>
        <w:t>(1) Source: Bloomberg.</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 Over-the-counter market quotations reflect inter-dealer prices, without retail mark-up or mark-down or commission and may not necessarily represent actual transactions.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Shareholders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February 18, 2022, there are 842 holders of record of our Subordinate Voting Shares.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not declared distributions on Subordinate Voting Shares in the past. The Company currently intends to reinvest all future earnings to finance the development and growth of its business.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Equity Compensation Plans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more information on equity compensation plans, see Item 12 of Part III of the Annual Report.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Peer Performance Table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graph compares the cumulative total shareholder return on Green Thumb Industries Inc. Subordinate Voting Shares from June 12, 2018, when Green Thumb Industries Inc. began trading on the CSE, through December 31, 2021, with the comparable cumulative return of the Russell 2000 Index and a selected peer group of companies. The comparison assumes all dividends have been reinvested (if any) and an initial investment of $100 on December 12, 2018.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400675" cy="3305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00675" cy="3305175"/>
                    </a:xfrm>
                    <a:prstGeom prst="rect">
                      <a:avLst/>
                    </a:prstGeom>
                  </pic:spPr>
                </pic:pic>
              </a:graphicData>
            </a:graphic>
          </wp:inline>
        </w:drawing>
      </w:r>
      <w:r>
        <w:rPr/>
        <w:t> </w:t>
      </w:r>
    </w:p>
    <w:p>
      <w:pPr>
        <w:pStyle w:val="TextBody"/>
        <w:spacing w:lineRule="auto" w:line="273" w:before="0" w:after="0"/>
        <w:jc w:val="left"/>
        <w:rPr/>
      </w:pPr>
      <w:r>
        <w:rPr/>
        <w:t> </w:t>
      </w:r>
    </w:p>
    <w:tbl>
      <w:tblPr>
        <w:tblW w:w="8133" w:type="dxa"/>
        <w:jc w:val="left"/>
        <w:tblInd w:w="0" w:type="dxa"/>
        <w:tblCellMar>
          <w:top w:w="28" w:type="dxa"/>
          <w:left w:w="28" w:type="dxa"/>
          <w:bottom w:w="28" w:type="dxa"/>
          <w:right w:w="28" w:type="dxa"/>
        </w:tblCellMar>
      </w:tblPr>
      <w:tblGrid>
        <w:gridCol w:w="2071"/>
        <w:gridCol w:w="275"/>
        <w:gridCol w:w="550"/>
        <w:gridCol w:w="146"/>
        <w:gridCol w:w="211"/>
        <w:gridCol w:w="916"/>
        <w:gridCol w:w="146"/>
        <w:gridCol w:w="211"/>
        <w:gridCol w:w="916"/>
        <w:gridCol w:w="146"/>
        <w:gridCol w:w="211"/>
        <w:gridCol w:w="916"/>
        <w:gridCol w:w="146"/>
        <w:gridCol w:w="211"/>
        <w:gridCol w:w="1061"/>
      </w:tblGrid>
      <w:tr>
        <w:trPr/>
        <w:tc>
          <w:tcPr>
            <w:tcW w:w="207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lineRule="auto" w:line="252" w:before="0" w:after="0"/>
              <w:ind w:left="0" w:right="0" w:hanging="0"/>
              <w:jc w:val="left"/>
              <w:rPr/>
            </w:pPr>
            <w:r>
              <w:rPr/>
              <w:t> </w:t>
            </w:r>
          </w:p>
        </w:tc>
        <w:tc>
          <w:tcPr>
            <w:tcW w:w="8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Base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1" w:type="dxa"/>
            <w:tcBorders/>
            <w:shd w:fill="auto" w:val="clear"/>
            <w:vAlign w:val="center"/>
          </w:tcPr>
          <w:p>
            <w:pPr>
              <w:pStyle w:val="TableContents"/>
              <w:spacing w:lineRule="auto" w:line="252" w:before="0" w:after="0"/>
              <w:ind w:left="0" w:right="0" w:hanging="0"/>
              <w:jc w:val="left"/>
              <w:rPr/>
            </w:pPr>
            <w:r>
              <w:rPr/>
              <w:t> </w:t>
            </w:r>
          </w:p>
        </w:tc>
      </w:tr>
      <w:tr>
        <w:trPr/>
        <w:tc>
          <w:tcPr>
            <w:tcW w:w="2071" w:type="dxa"/>
            <w:tcBorders/>
            <w:shd w:fill="auto" w:val="clear"/>
            <w:vAlign w:val="center"/>
          </w:tcPr>
          <w:p>
            <w:pPr>
              <w:pStyle w:val="TableContents"/>
              <w:spacing w:lineRule="auto" w:line="252" w:before="0" w:after="0"/>
              <w:ind w:left="0" w:right="0" w:hanging="0"/>
              <w:jc w:val="left"/>
              <w:rPr/>
            </w:pPr>
            <w:r>
              <w:rPr/>
              <w:t> </w:t>
            </w:r>
          </w:p>
        </w:tc>
        <w:tc>
          <w:tcPr>
            <w:tcW w:w="8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1" w:type="dxa"/>
            <w:tcBorders/>
            <w:shd w:fill="auto" w:val="clear"/>
            <w:vAlign w:val="center"/>
          </w:tcPr>
          <w:p>
            <w:pPr>
              <w:pStyle w:val="TableContents"/>
              <w:spacing w:lineRule="auto" w:line="252" w:before="0" w:after="0"/>
              <w:ind w:left="0" w:right="0" w:hanging="0"/>
              <w:jc w:val="left"/>
              <w:rPr/>
            </w:pPr>
            <w:r>
              <w:rPr/>
              <w:t> </w:t>
            </w:r>
          </w:p>
        </w:tc>
      </w:tr>
      <w:tr>
        <w:trPr/>
        <w:tc>
          <w:tcPr>
            <w:tcW w:w="2071" w:type="dxa"/>
            <w:tcBorders/>
            <w:shd w:fill="auto" w:val="clear"/>
            <w:vAlign w:val="center"/>
          </w:tcPr>
          <w:p>
            <w:pPr>
              <w:pStyle w:val="TableContents"/>
              <w:spacing w:lineRule="auto" w:line="252" w:before="0" w:after="0"/>
              <w:ind w:left="0" w:right="0" w:hanging="0"/>
              <w:jc w:val="left"/>
              <w:rPr/>
            </w:pPr>
            <w:r>
              <w:rPr/>
              <w:t> </w:t>
            </w:r>
          </w:p>
        </w:tc>
        <w:tc>
          <w:tcPr>
            <w:tcW w:w="825" w:type="dxa"/>
            <w:gridSpan w:val="2"/>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6/12/2018</w:t>
            </w:r>
          </w:p>
        </w:tc>
        <w:tc>
          <w:tcPr>
            <w:tcW w:w="14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12/31/2018</w:t>
            </w:r>
          </w:p>
        </w:tc>
        <w:tc>
          <w:tcPr>
            <w:tcW w:w="14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12/31/2019</w:t>
            </w:r>
          </w:p>
        </w:tc>
        <w:tc>
          <w:tcPr>
            <w:tcW w:w="14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12/31/2020</w:t>
            </w:r>
          </w:p>
        </w:tc>
        <w:tc>
          <w:tcPr>
            <w:tcW w:w="146"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1" w:type="dxa"/>
            <w:tcBorders>
              <w:bottom w:val="single" w:sz="18" w:space="0" w:color="000000"/>
            </w:tcBorders>
            <w:shd w:fill="auto" w:val="clear"/>
            <w:tcMar>
              <w:top w:w="0" w:type="dxa"/>
              <w:left w:w="0" w:type="dxa"/>
              <w:right w:w="0" w:type="dxa"/>
            </w:tcMar>
            <w:vAlign w:val="center"/>
          </w:tcPr>
          <w:p>
            <w:pPr>
              <w:pStyle w:val="TableContents"/>
              <w:spacing w:lineRule="auto" w:line="252" w:before="0" w:after="0"/>
              <w:ind w:left="0" w:right="0" w:firstLine="100"/>
              <w:jc w:val="right"/>
              <w:rPr>
                <w:rFonts w:ascii="Times New Roman" w:hAnsi="Times New Roman"/>
                <w:b/>
                <w:sz w:val="16"/>
              </w:rPr>
            </w:pPr>
            <w:r>
              <w:rPr>
                <w:rFonts w:ascii="Times New Roman" w:hAnsi="Times New Roman"/>
                <w:b/>
                <w:sz w:val="16"/>
              </w:rPr>
              <w:t>12/31/2021</w:t>
            </w:r>
          </w:p>
        </w:tc>
      </w:tr>
      <w:tr>
        <w:trPr/>
        <w:tc>
          <w:tcPr>
            <w:tcW w:w="207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Green Thumb Industries</w:t>
            </w:r>
          </w:p>
        </w:tc>
        <w:tc>
          <w:tcPr>
            <w:tcW w:w="27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345.66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1"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310.04</w:t>
            </w:r>
          </w:p>
        </w:tc>
      </w:tr>
      <w:tr>
        <w:trPr/>
        <w:tc>
          <w:tcPr>
            <w:tcW w:w="207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Russell 2000</w:t>
            </w:r>
          </w:p>
        </w:tc>
        <w:tc>
          <w:tcPr>
            <w:tcW w:w="27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1" w:type="dxa"/>
            <w:tcBorders/>
            <w:shd w:fill="auto" w:val="clear"/>
            <w:vAlign w:val="center"/>
          </w:tcPr>
          <w:p>
            <w:pPr>
              <w:pStyle w:val="TableContents"/>
              <w:spacing w:lineRule="auto" w:line="252" w:before="0" w:after="0"/>
              <w:ind w:left="0" w:right="0" w:firstLine="100"/>
              <w:jc w:val="right"/>
              <w:rPr>
                <w:rFonts w:ascii="Times New Roman" w:hAnsi="Times New Roman"/>
                <w:b w:val="false"/>
                <w:sz w:val="20"/>
              </w:rPr>
            </w:pPr>
            <w:r>
              <w:rPr>
                <w:rFonts w:ascii="Times New Roman" w:hAnsi="Times New Roman"/>
                <w:b w:val="false"/>
                <w:sz w:val="20"/>
              </w:rPr>
              <w:t>137.29</w:t>
            </w:r>
          </w:p>
        </w:tc>
      </w:tr>
      <w:tr>
        <w:trPr/>
        <w:tc>
          <w:tcPr>
            <w:tcW w:w="207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Peer Group</w:t>
            </w:r>
          </w:p>
        </w:tc>
        <w:tc>
          <w:tcPr>
            <w:tcW w:w="27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6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176.52</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Below are the specific companies included in the peer group.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u w:val="single"/>
        </w:rPr>
      </w:pPr>
      <w:r>
        <w:rPr>
          <w:rFonts w:ascii="Times New Roman" w:hAnsi="Times New Roman"/>
          <w:b/>
          <w:sz w:val="20"/>
          <w:u w:val="single"/>
        </w:rPr>
        <w:t>Peer Group Companies</w:t>
      </w:r>
    </w:p>
    <w:tbl>
      <w:tblPr>
        <w:tblW w:w="4453" w:type="dxa"/>
        <w:jc w:val="left"/>
        <w:tblInd w:w="0" w:type="dxa"/>
        <w:tblCellMar>
          <w:top w:w="28" w:type="dxa"/>
          <w:left w:w="28" w:type="dxa"/>
          <w:bottom w:w="28" w:type="dxa"/>
          <w:right w:w="28" w:type="dxa"/>
        </w:tblCellMar>
      </w:tblPr>
      <w:tblGrid>
        <w:gridCol w:w="2056"/>
        <w:gridCol w:w="2206"/>
        <w:gridCol w:w="191"/>
      </w:tblGrid>
      <w:tr>
        <w:trPr/>
        <w:tc>
          <w:tcPr>
            <w:tcW w:w="2056"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Cresco Labs Inc.</w:t>
            </w:r>
          </w:p>
        </w:tc>
        <w:tc>
          <w:tcPr>
            <w:tcW w:w="22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Trulieve Cannabis Corp.</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Curaleaf Holdings, Inc</w:t>
            </w:r>
          </w:p>
        </w:tc>
        <w:tc>
          <w:tcPr>
            <w:tcW w:w="22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 Verano Holdings Corp.</w:t>
            </w:r>
            <w:r>
              <w:rPr>
                <w:rFonts w:ascii="Times New Roman" w:hAnsi="Times New Roman"/>
                <w:sz w:val="20"/>
              </w:rPr>
              <w:t xml:space="preserve"> </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This performance graph and other information furnished under this Part II Item 5 of this Form 10-K shall not be deemed to be “soliciting material” or to be “filed” with the SEC or subject to Regulation 14A or 14C, or to the liabilities of Section 18 of the Exchange Act.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Recent Sales of Unregistered Securities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Subordinate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Beginning on January 1 2019 and through December 31, 2019, our shareholders converted an additional 357,104 Multiple Voting Shares into 35,710,400 Subordinate Voting Shares, continuing through December 31, 2020, our shareholders converted an additional 423,319 Multiple Voting Shares into 42,331,900 Subordinate Voting Shares, and continuing through December 31, 2021, our shareholders converted an additional 287,580 Multiple Voting Shares into 2,875,800 Subordinate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On December 31, 2019, February 20, 2020, and May 31, 2020, the holders of Compensation Options issued to underwriters as part of the 2018 reverse takeover of Bayswater Ventures Corp. (the </w:t>
      </w:r>
      <w:r>
        <w:rPr>
          <w:rFonts w:ascii="Times New Roman" w:hAnsi="Times New Roman"/>
          <w:sz w:val="20"/>
        </w:rPr>
        <w:t>“</w:t>
      </w:r>
      <w:r>
        <w:rPr>
          <w:rFonts w:ascii="Times New Roman" w:hAnsi="Times New Roman"/>
          <w:b w:val="false"/>
          <w:sz w:val="20"/>
        </w:rPr>
        <w:t>Transaction</w:t>
      </w:r>
      <w:r>
        <w:rPr>
          <w:rFonts w:ascii="Times New Roman" w:hAnsi="Times New Roman"/>
          <w:sz w:val="20"/>
        </w:rPr>
        <w:t>”</w:t>
      </w:r>
      <w:r>
        <w:rPr>
          <w:rFonts w:ascii="Times New Roman" w:hAnsi="Times New Roman"/>
          <w:b w:val="false"/>
          <w:sz w:val="20"/>
        </w:rPr>
        <w:t>), converted into 104,192 Subordinate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Between January 1, 2019 and December 31, 2019, we issued, in total, 12,413,906 Subordinate Voting Shares for 100% of the membership interests or shares of privately held companies, continuing through December 31, 2020, we issued, in total, an additional 1,964,014 Subordinate Voting Shares, and continuing through December 31, 2021, we issued, in total, an additional 13,802,837 Subordinate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Between January 1, 2019 through December 31, 2019, we issued 4,402,735 Subordinate Voting Shares to buyout the membership interests of joint venture partners pursuant to agreements between the parties and, continuing through December 31, 2020, we issued an additional 1,315,789 Subordinate Voting Shares, and continuing through December 31, 2021, we issued an additional 203,436 Subordinate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Between February 11, 2019, January 3, 2020, May 18, 2020, and August 12, 2020 we issued, in total, 8,408,779 Subordinate Voting Shares for 100% of the membership interest of Advanced Grow Labs, LLC as well as for certain achieved milestone events.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May 22, 2019 and May 24, 2019, we issued 19,875 Subordinate Voting Shares to the lead lender pursuant to the Note Purchase Agreement, and on April 30, 2021, we issued an additional 8,413 Subordinate Voting Shares to the lead lender pursuant to the Second Amendment to the Note Purchase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June 5, 2019, June 21, 2019, August 12, 2019, May 25, 2020, July 10, 2020, March 22, 2021 and December 20, 2021, we issued, in total, 25,883,797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Between July 2, 2019 and December 31, 2019, we issued, in total, 1,179,354 Subordinate Voting Shares to holders of our restricted stock units issued under our 2018 Stock and Incentive Plan, which vested over the same period. From January 1, 2020 through February 19, 2020 (the effective date of the filing of our registration statement on Form S-8), we issued, in total, 1,250 Subordinate Voting Shares to holders of our restricted stock units issued under our 2018 Stock and Incentive Plan, which vested over the same period.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Multiple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Beginning on January 1, 2019 and through December 31, 2019, our shareholders converted 357,104 Multiple Voting Shares into 35,710,400 Subordinate Voting Shares, continuing through December 31, 2020, our shareholders converted an additional 423,319 Multiple Voting Shares into 42,331,900 Subordinate Voting Shares and, continuing through December 31, 2021, our shareholders converted an additional 28,758 Multiple Voting Shares into 2,875,800 Subordinate Voting Shares.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January 8, 2019, we issued 31,000 Multiple Voting Shares to buyout the membership interest of joint venture partners pursuant to an agreement between the parties.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Beginning on January 1, 2019 and through December 31, 2019, our shareholders converted 22,224 Super Voting Shares into 22,224 Multiple Voting Shares, continuing through December 31, 2020, our shareholders converted an additional 90,258 Super Voting Shares into 90,258 Multiple Voting Shares, and continuing through December 31, 2021, our shareholders converted an additional 27,000 Super Voting Shares into 27,000 Multiple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Super Voting Shares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Beginning on January 1, 2019 and through December 31, 2019, our shareholders converted 22,224 Super Voting Shares into 22,224 Multiple Voting Shares, continuing through December 31, 2020, our shareholders converted an additional 90,258 Super Voting Shares into 90,258 Multiple Voting Shares, and continuing through December 31, 2021, our shareholders converted an additional 27,000 Super Voting Shares into 27,000 Multiple Voting Shares.</w:t>
      </w:r>
    </w:p>
    <w:p>
      <w:pPr>
        <w:pStyle w:val="TextBody"/>
        <w:spacing w:lineRule="auto" w:line="273" w:before="0" w:after="0"/>
        <w:jc w:val="left"/>
        <w:rPr/>
      </w:pPr>
      <w:bookmarkStart w:id="10" w:name="item6_selected_financial_data"/>
      <w:bookmarkEnd w:id="10"/>
      <w:r>
        <w:rPr/>
        <w:t> </w:t>
      </w:r>
    </w:p>
    <w:p>
      <w:pPr>
        <w:pStyle w:val="TextBody"/>
        <w:spacing w:lineRule="auto" w:line="273" w:before="0" w:after="0"/>
        <w:jc w:val="left"/>
        <w:rPr>
          <w:rFonts w:ascii="Times New Roman" w:hAnsi="Times New Roman"/>
          <w:b/>
          <w:sz w:val="20"/>
        </w:rPr>
      </w:pPr>
      <w:r>
        <w:rPr>
          <w:rFonts w:ascii="Times New Roman" w:hAnsi="Times New Roman"/>
          <w:b/>
          <w:sz w:val="20"/>
        </w:rPr>
        <w:t>ITEM 6. SELECTED FINANCIAL DATA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Reserved.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1" w:name="item7_mda"/>
      <w:bookmarkStart w:id="12" w:name="management_discussion_and_analysis"/>
      <w:bookmarkEnd w:id="11"/>
      <w:bookmarkEnd w:id="12"/>
      <w:r>
        <w:rPr>
          <w:rFonts w:ascii="Times New Roman" w:hAnsi="Times New Roman"/>
          <w:b/>
          <w:sz w:val="20"/>
        </w:rPr>
        <w:t>ITEM 7. MANAGEMENT DISCUSSION AND ANALYSIS OF FINANCIAL CONDITION AND RESULTS OF OPERATION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The following information should be read in conjunction with the consolidated financial statements and related notes thereto included in this Annual Report on Form 10-K.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“Disclosure Regarding Forward-Looking Statements” included at the beginning of this Annual Report on Form 10-K. The risks and uncertainties can cause actual results to differ significantly from those forecast in forward-looking statements or implied in historical results and trends.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This management discussion and analysis (“MD&amp;A”) of the financial condition and results of operations of Green Thumb Industries Inc. (the “Company” or “Green Thumb”) is for the years ended December 31, 2021, 2020 and 2019. It is supplemental to, and should be read in conjunction with, the Company’s consolidated financial statements for the years ended December 31, 2021, 2020 and 2019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 Company’s actual results may differ materially from those anticipated in these forward-looking statements and information.</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COVID-19 Considerations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March 2020, the World Health Organization categorized coronavirus disease 2019 (together with its variants “COVID-19”) as a pandemic. COVID-19 continues to spread throughout the U.S. and other countries across the world, and the duration and severity of its effects and those of its variants are currently unknown. The Company continues to implement and evaluate actions to strengthen its financial position and support the continuity of its business and operations in the face of this pandemic and other events.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2021, the Company’s revenue, gross profit and operating income were not negatively impacted by COVID-19 and the Company generally maintained the consistency of its operations. However, the uncertain nature of the spread of COVID-19 may impact its business operations for reasons including the potential quarantine of Green Thumb employees or those of its supply chain partners.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OVERVIEW OF THE COMPANY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2021, Green Thumb has operations in 15 U.S. markets, employs approximately 3,700 people and serves millions of patients and customers annually.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Green Thumb’s core business is manufacturing, distributing and marketing a portfolio of owned cannabis consumer packaged goods brands (which we refer to as our Consumer Packaged Goods business), including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Consumer Packaged Goods portfolio is primarily generated from plant material that Green Thumb grows and processes itself, which we use to produce our consumer packaged goods in 17 manufacturing facilities. This portfolio consists of stock keeping units (“SKUs”)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U.S. including at Green Thumb’s own Rise and other dispensaries.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Green Thumb owns and operates a national cannabis retail chain called Rise</w:t>
      </w:r>
      <w:r>
        <w:rPr>
          <w:rFonts w:ascii="Times New Roman" w:hAnsi="Times New Roman"/>
          <w:sz w:val="20"/>
        </w:rPr>
        <w:t xml:space="preserve"> </w:t>
      </w:r>
      <w:r>
        <w:rPr>
          <w:rFonts w:ascii="Times New Roman" w:hAnsi="Times New Roman"/>
          <w:b w:val="false"/>
          <w:sz w:val="20"/>
        </w:rPr>
        <w:t>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naming is subject to licensing or similar restrictions or in certain instances where we co-own the store.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dispensaries currently are located in ten of the states in which we operate. As of December 31, 2021, the Company had 73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COVID-19 as described above and under the heading “Liquidity, Financing Activities During the Period, and Capital Resources” below.</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Results of Operations – Consolidated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following table sets forth the Company’s selected consolidated financial results for the periods, and as of the dates, indicated. The (i) consolidated statements of operations for the years ended December 31, 2021, 2020, 2019 and (ii) consolidated balance sheet as of December 31, 2021 and 2020 have been derived from, and should be read in conjunction with the consolidated financial statements and accompanying notes presented in Item 8 of this Report.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038"/>
        <w:gridCol w:w="196"/>
        <w:gridCol w:w="1159"/>
        <w:gridCol w:w="196"/>
        <w:gridCol w:w="1084"/>
        <w:gridCol w:w="196"/>
        <w:gridCol w:w="1084"/>
        <w:gridCol w:w="196"/>
        <w:gridCol w:w="835"/>
        <w:gridCol w:w="514"/>
        <w:gridCol w:w="196"/>
        <w:gridCol w:w="835"/>
        <w:gridCol w:w="676"/>
      </w:tblGrid>
      <w:tr>
        <w:trPr/>
        <w:tc>
          <w:tcPr>
            <w:tcW w:w="30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3038"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719"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Years Ended December 31,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4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 vs. 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 vs. 2019</w:t>
            </w:r>
          </w:p>
        </w:tc>
      </w:tr>
      <w:tr>
        <w:trPr/>
        <w:tc>
          <w:tcPr>
            <w:tcW w:w="3038"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5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r>
      <w:tr>
        <w:trPr/>
        <w:tc>
          <w:tcPr>
            <w:tcW w:w="3038" w:type="dxa"/>
            <w:tcBorders/>
            <w:shd w:fill="auto" w:val="clear"/>
            <w:vAlign w:val="center"/>
          </w:tcPr>
          <w:p>
            <w:pPr>
              <w:pStyle w:val="TableContents"/>
              <w:spacing w:lineRule="auto" w:line="252" w:before="0" w:after="0"/>
              <w:ind w:left="0" w:right="0" w:hanging="0"/>
              <w:jc w:val="center"/>
              <w:rPr/>
            </w:pPr>
            <w:r>
              <w:rPr/>
              <w:t> </w:t>
            </w:r>
          </w:p>
        </w:tc>
        <w:tc>
          <w:tcPr>
            <w:tcW w:w="7167" w:type="dxa"/>
            <w:gridSpan w:val="1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 except share and per share amounts)</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Revenues, net of discounts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159"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893,560</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556,573</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216,433</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336,987</w:t>
            </w:r>
            <w:r>
              <w:rPr>
                <w:rFonts w:ascii="Times New Roman" w:hAnsi="Times New Roman"/>
                <w:sz w:val="16"/>
              </w:rPr>
              <w:t xml:space="preserve"> </w:t>
            </w:r>
          </w:p>
        </w:tc>
        <w:tc>
          <w:tcPr>
            <w:tcW w:w="5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61%</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340,140</w:t>
            </w:r>
            <w:r>
              <w:rPr>
                <w:rFonts w:ascii="Times New Roman" w:hAnsi="Times New Roman"/>
                <w:sz w:val="16"/>
              </w:rPr>
              <w:t xml:space="preserve"> </w:t>
            </w:r>
          </w:p>
        </w:tc>
        <w:tc>
          <w:tcPr>
            <w:tcW w:w="6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157%</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Cost of Goods Sold, net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(401,631)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(252,404)</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(109,402)</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(149,227)</w:t>
            </w:r>
          </w:p>
        </w:tc>
        <w:tc>
          <w:tcPr>
            <w:tcW w:w="5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(59)%</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(143,002)</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(131)%</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Gross Profit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491,929</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304,169</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107,031</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187,760</w:t>
            </w:r>
            <w:r>
              <w:rPr>
                <w:rFonts w:ascii="Times New Roman" w:hAnsi="Times New Roman"/>
                <w:sz w:val="16"/>
              </w:rPr>
              <w:t xml:space="preserve"> </w:t>
            </w:r>
          </w:p>
        </w:tc>
        <w:tc>
          <w:tcPr>
            <w:tcW w:w="5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62%</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197,138</w:t>
            </w:r>
            <w:r>
              <w:rPr>
                <w:rFonts w:ascii="Times New Roman" w:hAnsi="Times New Roman"/>
                <w:sz w:val="16"/>
              </w:rPr>
              <w:t xml:space="preserve"> </w:t>
            </w:r>
          </w:p>
        </w:tc>
        <w:tc>
          <w:tcPr>
            <w:tcW w:w="676" w:type="dxa"/>
            <w:tcBorders/>
            <w:shd w:fill="auto" w:val="clear"/>
            <w:vAlign w:val="center"/>
          </w:tcPr>
          <w:p>
            <w:pPr>
              <w:pStyle w:val="TableContents"/>
              <w:spacing w:lineRule="auto" w:line="252" w:before="0" w:after="0"/>
              <w:ind w:left="0" w:right="0" w:firstLine="200"/>
              <w:jc w:val="center"/>
              <w:rPr>
                <w:rFonts w:ascii="Times New Roman" w:hAnsi="Times New Roman"/>
                <w:b w:val="false"/>
                <w:sz w:val="16"/>
              </w:rPr>
            </w:pPr>
            <w:r>
              <w:rPr>
                <w:rFonts w:ascii="Times New Roman" w:hAnsi="Times New Roman"/>
                <w:b w:val="false"/>
                <w:sz w:val="16"/>
              </w:rPr>
              <w:t>184%</w:t>
            </w:r>
          </w:p>
        </w:tc>
      </w:tr>
      <w:tr>
        <w:trPr/>
        <w:tc>
          <w:tcPr>
            <w:tcW w:w="303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Expenses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277,087</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198,062</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134,721</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79,025</w:t>
            </w:r>
            <w:r>
              <w:rPr>
                <w:rFonts w:ascii="Times New Roman" w:hAnsi="Times New Roman"/>
                <w:sz w:val="16"/>
              </w:rPr>
              <w:t xml:space="preserve"> </w:t>
            </w:r>
          </w:p>
        </w:tc>
        <w:tc>
          <w:tcPr>
            <w:tcW w:w="5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40%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63,341</w:t>
            </w:r>
            <w:r>
              <w:rPr>
                <w:rFonts w:ascii="Times New Roman" w:hAnsi="Times New Roman"/>
                <w:sz w:val="16"/>
              </w:rPr>
              <w:t xml:space="preserve">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47%</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 (Loss) From Operations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214,842</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106,107</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(27,690)</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108,735</w:t>
            </w:r>
            <w:r>
              <w:rPr>
                <w:rFonts w:ascii="Times New Roman" w:hAnsi="Times New Roman"/>
                <w:sz w:val="16"/>
              </w:rPr>
              <w:t xml:space="preserve"> </w:t>
            </w:r>
          </w:p>
        </w:tc>
        <w:tc>
          <w:tcPr>
            <w:tcW w:w="5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102%</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133,797</w:t>
            </w:r>
            <w:r>
              <w:rPr>
                <w:rFonts w:ascii="Times New Roman" w:hAnsi="Times New Roman"/>
                <w:sz w:val="16"/>
              </w:rPr>
              <w:t xml:space="preserve"> </w:t>
            </w:r>
          </w:p>
        </w:tc>
        <w:tc>
          <w:tcPr>
            <w:tcW w:w="676" w:type="dxa"/>
            <w:tcBorders/>
            <w:shd w:fill="auto" w:val="clear"/>
            <w:vAlign w:val="center"/>
          </w:tcPr>
          <w:p>
            <w:pPr>
              <w:pStyle w:val="TableContents"/>
              <w:spacing w:lineRule="auto" w:line="252" w:before="0" w:after="0"/>
              <w:ind w:left="0" w:right="0" w:firstLine="200"/>
              <w:jc w:val="center"/>
              <w:rPr>
                <w:rFonts w:ascii="Times New Roman" w:hAnsi="Times New Roman"/>
                <w:b w:val="false"/>
                <w:sz w:val="16"/>
              </w:rPr>
            </w:pPr>
            <w:r>
              <w:rPr>
                <w:rFonts w:ascii="Times New Roman" w:hAnsi="Times New Roman"/>
                <w:b w:val="false"/>
                <w:sz w:val="16"/>
              </w:rPr>
              <w:t>483%</w:t>
            </w:r>
          </w:p>
        </w:tc>
      </w:tr>
      <w:tr>
        <w:trPr/>
        <w:tc>
          <w:tcPr>
            <w:tcW w:w="3038"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Total Other Income (Expense)</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(9,867)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(3,176)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(22,512)</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(6,691)</w:t>
            </w:r>
          </w:p>
        </w:tc>
        <w:tc>
          <w:tcPr>
            <w:tcW w:w="5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(211)%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19,336</w:t>
            </w:r>
            <w:r>
              <w:rPr>
                <w:rFonts w:ascii="Times New Roman" w:hAnsi="Times New Roman"/>
                <w:sz w:val="16"/>
              </w:rPr>
              <w:t xml:space="preserve">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86%</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 (Loss) Before Provision for Income Taxes and Non-Controlling Interest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204,975</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102,931</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(50,202)</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102,044</w:t>
            </w:r>
            <w:r>
              <w:rPr>
                <w:rFonts w:ascii="Times New Roman" w:hAnsi="Times New Roman"/>
                <w:sz w:val="16"/>
              </w:rPr>
              <w:t xml:space="preserve"> </w:t>
            </w:r>
          </w:p>
        </w:tc>
        <w:tc>
          <w:tcPr>
            <w:tcW w:w="5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99%</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153,133</w:t>
            </w:r>
            <w:r>
              <w:rPr>
                <w:rFonts w:ascii="Times New Roman" w:hAnsi="Times New Roman"/>
                <w:sz w:val="16"/>
              </w:rPr>
              <w:t xml:space="preserve"> </w:t>
            </w:r>
          </w:p>
        </w:tc>
        <w:tc>
          <w:tcPr>
            <w:tcW w:w="6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305%</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Provision for Income Taxes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124,612</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83,853</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9,344</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40,759</w:t>
            </w:r>
            <w:r>
              <w:rPr>
                <w:rFonts w:ascii="Times New Roman" w:hAnsi="Times New Roman"/>
                <w:sz w:val="16"/>
              </w:rPr>
              <w:t xml:space="preserve"> </w:t>
            </w:r>
          </w:p>
        </w:tc>
        <w:tc>
          <w:tcPr>
            <w:tcW w:w="5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49%</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74,509</w:t>
            </w:r>
            <w:r>
              <w:rPr>
                <w:rFonts w:ascii="Times New Roman" w:hAnsi="Times New Roman"/>
                <w:sz w:val="16"/>
              </w:rPr>
              <w:t xml:space="preserve">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797%</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Before Non-Controlling Interest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80,363</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19,078</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084"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(59,546)</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61,285</w:t>
            </w:r>
            <w:r>
              <w:rPr>
                <w:rFonts w:ascii="Times New Roman" w:hAnsi="Times New Roman"/>
                <w:sz w:val="16"/>
              </w:rPr>
              <w:t xml:space="preserve"> </w:t>
            </w:r>
          </w:p>
        </w:tc>
        <w:tc>
          <w:tcPr>
            <w:tcW w:w="514"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321%</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r>
              <w:rPr>
                <w:rFonts w:ascii="Times New Roman" w:hAnsi="Times New Roman"/>
                <w:b w:val="false"/>
                <w:sz w:val="16"/>
              </w:rPr>
              <w:t>78,624</w:t>
            </w:r>
            <w:r>
              <w:rPr>
                <w:rFonts w:ascii="Times New Roman" w:hAnsi="Times New Roman"/>
                <w:sz w:val="16"/>
              </w:rPr>
              <w:t xml:space="preserve"> </w:t>
            </w:r>
          </w:p>
        </w:tc>
        <w:tc>
          <w:tcPr>
            <w:tcW w:w="6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132%</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Attributable to Non-Controlling Interest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4,927</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4,085</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(430)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842</w:t>
            </w:r>
            <w:r>
              <w:rPr>
                <w:rFonts w:ascii="Times New Roman" w:hAnsi="Times New Roman"/>
                <w:sz w:val="16"/>
              </w:rPr>
              <w:t xml:space="preserve"> </w:t>
            </w:r>
          </w:p>
        </w:tc>
        <w:tc>
          <w:tcPr>
            <w:tcW w:w="5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4,515</w:t>
            </w:r>
            <w:r>
              <w:rPr>
                <w:rFonts w:ascii="Times New Roman" w:hAnsi="Times New Roman"/>
                <w:sz w:val="16"/>
              </w:rPr>
              <w:t xml:space="preserve">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1,050%</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Attributable to Green Thumb Industries Inc.</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75,436</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14,993</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(59,116)</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60,443</w:t>
            </w:r>
            <w:r>
              <w:rPr>
                <w:rFonts w:ascii="Times New Roman" w:hAnsi="Times New Roman"/>
                <w:sz w:val="16"/>
              </w:rPr>
              <w:t xml:space="preserve"> </w:t>
            </w:r>
          </w:p>
        </w:tc>
        <w:tc>
          <w:tcPr>
            <w:tcW w:w="5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403%</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74,109</w:t>
            </w:r>
            <w:r>
              <w:rPr>
                <w:rFonts w:ascii="Times New Roman" w:hAnsi="Times New Roman"/>
                <w:sz w:val="16"/>
              </w:rPr>
              <w:t xml:space="preserve">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125%</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per share – basic</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0.34</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0.07</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(0.31)</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0.27</w:t>
            </w:r>
            <w:r>
              <w:rPr>
                <w:rFonts w:ascii="Times New Roman" w:hAnsi="Times New Roman"/>
                <w:sz w:val="16"/>
              </w:rPr>
              <w:t xml:space="preserve"> </w:t>
            </w:r>
          </w:p>
        </w:tc>
        <w:tc>
          <w:tcPr>
            <w:tcW w:w="5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386%</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0.38</w:t>
            </w:r>
            <w:r>
              <w:rPr>
                <w:rFonts w:ascii="Times New Roman" w:hAnsi="Times New Roman"/>
                <w:sz w:val="16"/>
              </w:rPr>
              <w:t xml:space="preserve">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123%</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per share – diluted</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0.33</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0.07</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(0.31)</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0.26</w:t>
            </w:r>
            <w:r>
              <w:rPr>
                <w:rFonts w:ascii="Times New Roman" w:hAnsi="Times New Roman"/>
                <w:sz w:val="16"/>
              </w:rPr>
              <w:t xml:space="preserve"> </w:t>
            </w:r>
          </w:p>
        </w:tc>
        <w:tc>
          <w:tcPr>
            <w:tcW w:w="5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371%</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0.38</w:t>
            </w:r>
            <w:r>
              <w:rPr>
                <w:rFonts w:ascii="Times New Roman" w:hAnsi="Times New Roman"/>
                <w:sz w:val="16"/>
              </w:rPr>
              <w:t xml:space="preserve">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123%</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number of shares outstanding – basic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223,192,326</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210,988,259</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190,602,400</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p>
        </w:tc>
        <w:tc>
          <w:tcPr>
            <w:tcW w:w="514"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p>
        </w:tc>
        <w:tc>
          <w:tcPr>
            <w:tcW w:w="676" w:type="dxa"/>
            <w:tcBorders/>
            <w:shd w:fill="auto" w:val="clear"/>
            <w:vAlign w:val="center"/>
          </w:tcPr>
          <w:p>
            <w:pPr>
              <w:pStyle w:val="TableContents"/>
              <w:spacing w:lineRule="auto" w:line="252" w:before="0" w:after="0"/>
              <w:ind w:left="0" w:right="0" w:hanging="0"/>
              <w:jc w:val="center"/>
              <w:rPr/>
            </w:pPr>
            <w:r>
              <w:rPr/>
              <w:t> </w:t>
            </w:r>
          </w:p>
        </w:tc>
      </w:tr>
      <w:tr>
        <w:trPr/>
        <w:tc>
          <w:tcPr>
            <w:tcW w:w="303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number of shares outstanding –diluted</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226,758,882</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212,531,188</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r>
              <w:rPr>
                <w:rFonts w:ascii="Times New Roman" w:hAnsi="Times New Roman"/>
                <w:b w:val="false"/>
                <w:sz w:val="16"/>
              </w:rPr>
              <w:t>190,602,400</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p>
        </w:tc>
        <w:tc>
          <w:tcPr>
            <w:tcW w:w="514"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835" w:type="dxa"/>
            <w:tcBorders/>
            <w:shd w:fill="auto" w:val="clear"/>
            <w:vAlign w:val="center"/>
          </w:tcPr>
          <w:p>
            <w:pPr>
              <w:pStyle w:val="TableContents"/>
              <w:spacing w:lineRule="auto" w:line="252" w:before="0" w:after="0"/>
              <w:ind w:left="0" w:right="0" w:hanging="0"/>
              <w:jc w:val="center"/>
              <w:rPr/>
            </w:pPr>
            <w:r>
              <w:rPr/>
              <w:t> </w:t>
            </w:r>
          </w:p>
        </w:tc>
        <w:tc>
          <w:tcPr>
            <w:tcW w:w="676" w:type="dxa"/>
            <w:tcBorders/>
            <w:shd w:fill="auto" w:val="clear"/>
            <w:vAlign w:val="center"/>
          </w:tcPr>
          <w:p>
            <w:pPr>
              <w:pStyle w:val="TableContents"/>
              <w:spacing w:lineRule="auto" w:line="252" w:before="0" w:after="0"/>
              <w:ind w:left="0" w:right="0" w:hanging="0"/>
              <w:jc w:val="center"/>
              <w:rPr/>
            </w:pPr>
            <w:r>
              <w:rPr/>
              <w:t> </w:t>
            </w:r>
          </w:p>
        </w:tc>
      </w:tr>
    </w:tbl>
    <w:p>
      <w:pPr>
        <w:pStyle w:val="TextBody"/>
        <w:spacing w:lineRule="auto" w:line="273" w:before="0" w:after="0"/>
        <w:jc w:val="left"/>
        <w:rPr/>
      </w:pPr>
      <w:r>
        <w:rPr/>
        <w:t> </w:t>
      </w:r>
    </w:p>
    <w:tbl>
      <w:tblPr>
        <w:tblW w:w="7280" w:type="dxa"/>
        <w:jc w:val="left"/>
        <w:tblInd w:w="0" w:type="dxa"/>
        <w:tblCellMar>
          <w:top w:w="28" w:type="dxa"/>
          <w:left w:w="28" w:type="dxa"/>
          <w:bottom w:w="28" w:type="dxa"/>
          <w:right w:w="28" w:type="dxa"/>
        </w:tblCellMar>
      </w:tblPr>
      <w:tblGrid>
        <w:gridCol w:w="1921"/>
        <w:gridCol w:w="211"/>
        <w:gridCol w:w="2446"/>
        <w:gridCol w:w="211"/>
        <w:gridCol w:w="2491"/>
      </w:tblGrid>
      <w:tr>
        <w:trPr/>
        <w:tc>
          <w:tcPr>
            <w:tcW w:w="19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spacing w:lineRule="auto" w:line="252" w:before="0" w:after="0"/>
              <w:ind w:left="0" w:right="0" w:hanging="0"/>
              <w:jc w:val="center"/>
              <w:rPr/>
            </w:pPr>
            <w:r>
              <w:rPr/>
              <w:t> </w:t>
            </w:r>
          </w:p>
        </w:tc>
        <w:tc>
          <w:tcPr>
            <w:tcW w:w="26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r>
      <w:tr>
        <w:trPr/>
        <w:tc>
          <w:tcPr>
            <w:tcW w:w="1921" w:type="dxa"/>
            <w:tcBorders/>
            <w:shd w:fill="auto" w:val="clear"/>
            <w:vAlign w:val="center"/>
          </w:tcPr>
          <w:p>
            <w:pPr>
              <w:pStyle w:val="TableContents"/>
              <w:spacing w:lineRule="auto" w:line="252" w:before="0" w:after="0"/>
              <w:ind w:left="0" w:right="0" w:hanging="0"/>
              <w:jc w:val="center"/>
              <w:rPr/>
            </w:pPr>
            <w:r>
              <w:rPr/>
              <w:t> </w:t>
            </w:r>
          </w:p>
        </w:tc>
        <w:tc>
          <w:tcPr>
            <w:tcW w:w="5359" w:type="dxa"/>
            <w:gridSpan w:val="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Assets</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44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2,385,851</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49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1,358,549</w:t>
            </w:r>
            <w:r>
              <w:rPr>
                <w:rFonts w:ascii="Times New Roman" w:hAnsi="Times New Roman"/>
                <w:sz w:val="20"/>
              </w:rPr>
              <w:t xml:space="preserve"> </w:t>
            </w:r>
          </w:p>
        </w:tc>
      </w:tr>
      <w:tr>
        <w:trPr/>
        <w:tc>
          <w:tcPr>
            <w:tcW w:w="19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Long-Term Liabilities</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44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561,994</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49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325,102</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Revenue Streams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Year Ended December 31, 2021 Compared to the Year Ended December 31, 2020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Revenues, net of Discounts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Revenue for the year ended December 31, 2021 was $893,560 thousand, up 61% from $556,573 thousand for the year ended December 31, 2020, driven by contributions from both Retail and Consumer Packaged Goods, largely due to continued growth in Illinois and Pennsylvania. Key performance drivers for the Retail revenues in 2021 are: increased store traffic to Green Thumb’s open and operating retail stores, particularly in Illinois and Pennsylvania, and new store openings including acquired stores, particularly in Massachusetts, Virginia, Rhode Island and Maryland. The Company generated revenue from 73 Retail locations during the year compared to 51 in the prior year. During the year ended December 31, 2021, Retail revenue made up 69% of total revenue as compared to 71% of total revenue in 2020. Since December 31, 2020, the Company acquired one retail store in Maryland, four in Massachusetts, one in Rhode Island, one in Virginia and five in Minnesota and opened ten new Retail locations in Pennsylvania, Illinois, Massachusetts, California, New Jersey, Nevada and Virginia that contributed to the increase in Retail revenues.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key driver for the Consumer Packaged Goods increase in revenues was the sale of Green Thumb’s branded product portfolio to third-party retailers through the Company’s existing Consumer Packaged Goods cultivation and processing facilities in Illinois, Pennsylvania, Massachusetts, Maryland, Nevada, New Jersey, Ohio and Connecticut due to increased scale and efficiency. The Company also acquired cultivation and processing facilities in Massachusetts, Minnesota, Rhode Island and Virginia during the year ended December 31, 2021. Consumer Packaged Goods revenue made up 31% of total revenues in 2021 as compared to 29% in 2020.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Cost of Goods Sold, net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2021 was $401,631 thousand, up 59% from $252,404 thousand for the year ended December 31, 2020, driven by increased volume in open and operating retail stores; new and acquired retail store openings in Massachusetts, Virginia, Rhode Island, New Jersey and Pennsylvania and expansion of the consumer products sales primarily in Illinois, Pennsylvania, Massachusetts and New Jersey as described above.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Gross Profit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Gross profit for the year ended December 31, 2021 was $491,929 thousand, representing a gross margin on the sale of branded cannabis flower and processed and packaged products including concentrates, edibles, topicals and other cannabis products, of 55%. This is compared to gross profit for the year ended December 31, 2020 of $304,169 thousand or a 55% gross margin. The increase in gross profit (dollars) was directly attributable to the revenue increase as described above.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Total Expenses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Total expenses for the year ended December 31, 2021 were $277,087 thousand or 31% of revenues, net of discounts, resulting in an increase of $79,025 thousand. Total expenses for the year ended December 31, 2020 were $198,062 thousand or 36% of revenues, net of discounts. The increase in total expenses was attributable to Retail salaries and benefits, depreciation expense and other operational and facility expenses mainly as a result of the Company’s addition of ten new and twelve acquired Retail dispensaries over the prior year period. In addition, an increase in intangible amortization expense and corporate staff salaries also contributed to the overall increase in total expenses. The reduction in expenses as a percentage of revenue was attributable to measures deployed to control variable expenses as well as inherent operating leverage caused by the significant increase in revenue.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Total Other Income (Expense)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Total other income (expense) for the year ended December 31, 2021 was $(9,867) thousand, a change of $(6,691) thousand, primarily due to an increase in interest expense on the Company's April 30, 2021 Notes and interest on contingent consideration associated with 2021 acquisitions.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Income Before Provision for Income Taxes and Non-Controlling Interest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Income before provision for income taxes and non-controlling interest for the year ended December 31, 2021 was $204,975 thousand, an increase of $102,044 thousand compared to the year ended December 31, 2020.</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presented under the heading “Non-GAAP Measures” below, after adjusting for non-cash equity incentive compensation of $19,600 thousand and $19,337 thousand, as well as other non-operating items of $4,934 thousand and $1,635 thousand, adjusted operating Earnings Before Interest, Taxes, Depreciation, and Amortization (“EBITDA”) was $307,834 thousand and $179,585 thousand for the years ended December 31, 2021 and 2020, respectively.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Provision for Income Taxes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Income tax expense is recognized based on the expected tax payable on the taxable income for the year, using tax rates enacted or substantively enacted at year-end. For the year ended December 31, 2021, federal and state income tax expense totaled $124,612 thousand compared to expense of $83,853 thousand for the year ended December 31, 2020.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net expense of $124,612 thousand for the year ended December 31, 2021 includes current tax expense of $132,151 thousand and deferred tax expense of $(7,539) thousand in the current period.</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Year Ended December 31, 2020 Compared to the Year Ended December 31, 2019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Revenues, net of Discounts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 for the year ended December 31, 2020 was $556,573 thousand, up 157% from $216,433 thousand for the year ended December 31, 2019. The increase in revenue was driven by contributions from both Retail and Consumer Packaged Goods, largely due to growth in Illinois and Pennsylvania. The key performance driver of Retail revenues in 2020 was legalization of adult use in Illinois on January 1, 2020 as well as new store openings particularly in Illinois and Pennsylvania, and the 2020 full period effect of the June 2019 acquisition of Integral Associates, LLC's Essence branded stores ("Essence") in Nevada. During the year ended December 31, 2020, Retail revenue made up 71% of total revenue as compared to 64% in 2019. During the year ended December 31, 2020, the Company increased its Retail footprint by opening 11 new stores and acquiring one store as compared to opening 17 new stores and acquiring eight during the same period in 2019. In total, the Company had 51 Retail locations open and operating during year ended December 31, 2020 as compared to 39 Retail locations in the prior year.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key drivers for Consumer Packaged Goods revenue was legalization of adult use in Illinois on January 1, 2020 as well as the expansion of Green Thumb’s branded product portfolio to third-party retailers through the Company’s existing Consumer Packaged Goods cultivation and processing facilities in Illinois, Pennsylvania, Massachusetts, Maryland, Connecticut and Nevada due to increased scale and efficiency. Consumer Packaged Goods revenue made up 29% of total revenues in 2020 as compared to 36% in 2019.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Cost of Goods Sold, net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 of goods sold are derived from costs related to the internal cultivation and production of cannabis and from Retail purchases made from other licensed producers operating within our state markets.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 of goods sold for the year ended December 31, 2020 was $252,404 thousand, up 131% from $109,402 thousand for the year ended December 31, 2019, driven by increased volume in open and operating Retail stores; new Retail store openings in Illinois, Pennsylvania and Nevada; and expansion of the Consumer Packaged Goods sales in Illinois, Pennsylvania, Massachusetts, Maryland, Connecticut and 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Gross Profit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Gross profit for the year ended December 31, 2020 was $304,169 thousand, representing a gross margin on the sale of finished cannabis consumer packaged goods of 55%. This is compared to gross profit for the year ended December 31, 2019 of $107,031 thousand or a 49% gross margin. The Company’s increase in gross margin percentage was mainly attributed to an overall increase in Retail sales as a proportion of total sales. In addition, Consumer Packaged Goods also contributed to the increase in gross profit through expanded capacity. The increase in gross profit was directly attributable to the revenue increase as further described above.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Total Expenses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Total expenses for the year ended December 31, 2020 were $198,062 thousand or 36% of total revenues, net of discounts. Total expenses for the year ended December 31, 2019 were $134,721 thousand or 62% of total revenues, net of discounts.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increase in total expenses was attributable to Retail salaries, benefits, depreciation expense and other operational and facility expenses mainly as a result of the Company’s new and acquired Retail facilities. In addition, an increase in intangible asset amortization expense, back office personnel costs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Total Other Income (Expense)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Total other income (expense) decreased to $(3,176) thousand for the year ended December 31, 2020 as compared to $(22,512) thousand for the year ended December 31, 2019. The reduction in other income (expense) was primarily due to favorable fair value adjustments on the Company’s investments offset by unfavorable adjustments to the fair value of the warrant liability and increased interest expense.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Income (Loss) Before Provision for Income Taxes and Non-Controlling Interest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Net operating income before provision for income taxes and non-controlling interest for the year ended December 31, 2020 was $102,931 thousand as compared to loss of $(50,202) thousand for the year ended December 31, 2019.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presented under the heading “Non-GAAP Measures” below, after adjusting for non-cash equity incentive compensation of $19,337 thousand for 2020 and $18,285 thousand for 2019, as well as other non-operating items, Adjusted Operating EBITDA (as defined below under the heading “Non GAAP Measures”) was $179,585 thousand and $28,092 thousand for the year ended December 31, 2020 and 2019, respectively.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Provision for Income Taxes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Income tax expense is recognized based on the expected tax payable on the taxable income for the year, using tax rates enacted at year-end. For the year ended December 31, 2020, federal and state income tax expense totaled $83,853 thousand as compared to $9,344 thousand for the year ended December 31, 2019.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net expense of $83,853 thousand for the year ended December 31, 2020 includes current tax expense of $81,758 thousand and deferred tax expense of $2,095 thousand in the current period.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Year Ended December 31, 2019 Compared with Year Ended December 31, 2018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Revenues, net of Discounts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 for the year ended December 31, 2019 was $216,433 thousand, up 246% from $62,494 thousand for the year ended December 31, 2018 driven by contribution from both Consumer Packaged Goods and Retail sales across all 12 markets (California, Colorado, Connecticut, Florida, Illinois, Maryland, Massachusetts, Nevada, New Jersey, New York, Ohio and Pennsylvania). Key performance drivers were: distribution expansion of Green Thumb’s branded product portfolio primarily in Illinois, Massachusetts and Pennsylvania; new store openings and increased store traffic to Green Thumb’s 39 open and operating retail stores, particularly in Florida, Illinois, Massachusetts and Pennsylvania; and the addition of revenue from the acquisition of Connecticut-based AGL and Nevada-based Integral Associates.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Cost of Goods Sold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 of goods sold are derived from cost related to the internal cultivation and production of cannabis and from retail purchases made from other licensed producers operating within our state markets.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 of goods sold for the year ended December 31, 2019 was $109,402 thousand, up 220% from $34,177 thousand for the year ended December 31, 2018, driven by growth from both Consumer Packaged Goods and Retail sales across all 12 markets (California, Colorado, Connecticut, Florida, Illinois, Maryland, Massachusetts, Nevada, New Jersey, New York, Ohio and Pennsylvania).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Gross Profit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Gross profit for the year ended December 31, 2019 was $107,031 thousand, representing a gross margin on the sale of finished cannabis Consumer Packaged goods of 49%. This is compared to gross profit for the year ended December 31, 2018 of $28,316 thousand representing a 45% gross margin driven by increased harvested cannabis and consumer packaged goods shipments, along with incremental contribution from increased volume from Retail sales.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Total Expenses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Total expenses for the year ended December 31, 2019 were $134,721 thousand or 62% of total revenues, net of discounts, an increase of $80,065 thousand. Total expenses for the year ended December 31, 2018 were $54,657 thousand or 87% of total revenues, net of discounts.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increase in total expenses was attributable to an increase in general and administrative expenses, mainly due to non-cash charges related to equity incentive compensation of $18,285 thousand, an increase of $6,137 thousand compared to the year ended December 31, 2018. Salaries and benefits also contributed as a result of increased headcount from the Company’s Retail facilities in Florida, Illinois, Nevada, Maryland, Massachusetts and Pennsylvania, along with corporate staff development.</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Additionally, the Company had professional fees of $17,714 thousand which represented an increase of $7,025 thousand over the 2018 amount of $10,689 thousand, primarily driven by acquisition related support, and other regulatory and growth-related activities.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Total Other Income (Expense)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Total other income (expense) for the year ended December 31, 2019 was ($22,512) thousand, compared to income of $56,092 thousand for the year ended December 31, 2018, mainly due to a favorable adjustment to the fair values of the Company’s investments recorded in 2018.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Income (Loss) Before Provision for Income Taxes and Non-Controlling Interest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Net operating loss before provision for income taxes and non-controlling interest for the year ended December 31, 2019 was ($50,202) thousand compared to income of $29,751 thousand for the year ended December 31, 2018.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presented under the heading “Non-GAAP Measures” below, after adjusting for non-cash equity incentive compensation of $18,285 thousand in 2019 and $12,148 thousand in 2018, as well as other non-operating items, Adjusted Operating EBITDA was $28,092 thousand and ($9,008) thousand for the years ended December 31, 2019 and 2018, respectively.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Provision for Income Taxes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Income tax expense is recognized based on the expected tax payable on the taxable income for the year, using tax rates enacted at year-end. For the year ended December 31, 2019, federal and state income tax expense totaled $9,344 thousand compared to $7,184 thousand for the year ended December 31, 2018. The net expense of $9,344 thousand for the year ended December 31, 2019 includes current tax expense of $22,761 thousand and deferred tax benefit of $13,417 thousand in the current period. The deferred tax benefit is mainly driven by changes in the fair value of investments and amortization of intangibles.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Results of Operation by Segment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summarizes revenues net of sales discounts by segment for the years ended December 31, 2021, 2020 and 2019:</w:t>
      </w:r>
    </w:p>
    <w:p>
      <w:pPr>
        <w:pStyle w:val="TextBody"/>
        <w:spacing w:lineRule="auto" w:line="273" w:before="40" w:after="0"/>
        <w:jc w:val="left"/>
        <w:rPr/>
      </w:pPr>
      <w:r>
        <w:rPr/>
        <w:t> </w:t>
      </w:r>
    </w:p>
    <w:tbl>
      <w:tblPr>
        <w:tblW w:w="10205" w:type="dxa"/>
        <w:jc w:val="left"/>
        <w:tblInd w:w="0" w:type="dxa"/>
        <w:tblCellMar>
          <w:top w:w="28" w:type="dxa"/>
          <w:left w:w="28" w:type="dxa"/>
          <w:bottom w:w="28" w:type="dxa"/>
          <w:right w:w="28" w:type="dxa"/>
        </w:tblCellMar>
      </w:tblPr>
      <w:tblGrid>
        <w:gridCol w:w="1092"/>
        <w:gridCol w:w="196"/>
        <w:gridCol w:w="1353"/>
        <w:gridCol w:w="196"/>
        <w:gridCol w:w="1353"/>
        <w:gridCol w:w="196"/>
        <w:gridCol w:w="1353"/>
        <w:gridCol w:w="196"/>
        <w:gridCol w:w="1353"/>
        <w:gridCol w:w="661"/>
        <w:gridCol w:w="196"/>
        <w:gridCol w:w="1353"/>
        <w:gridCol w:w="707"/>
      </w:tblGrid>
      <w:tr>
        <w:trPr/>
        <w:tc>
          <w:tcPr>
            <w:tcW w:w="109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r>
      <w:tr>
        <w:trPr/>
        <w:tc>
          <w:tcPr>
            <w:tcW w:w="1092" w:type="dxa"/>
            <w:tcBorders/>
            <w:shd w:fill="auto" w:val="clear"/>
            <w:vAlign w:val="center"/>
          </w:tcPr>
          <w:p>
            <w:pPr>
              <w:pStyle w:val="TableContents"/>
              <w:spacing w:lineRule="auto" w:line="252" w:before="0" w:after="0"/>
              <w:ind w:left="0" w:right="0" w:hanging="0"/>
              <w:jc w:val="center"/>
              <w:rPr/>
            </w:pPr>
            <w:r>
              <w:rPr/>
              <w:t> </w:t>
            </w:r>
          </w:p>
        </w:tc>
        <w:tc>
          <w:tcPr>
            <w:tcW w:w="464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Years Ended December 31,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01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 vs. 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0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 vs. 2019</w:t>
            </w:r>
          </w:p>
        </w:tc>
      </w:tr>
      <w:tr>
        <w:trPr/>
        <w:tc>
          <w:tcPr>
            <w:tcW w:w="1092"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br/>
              <w:t>Change</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br/>
              <w:t>Change</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br/>
              <w:t>Change</w:t>
            </w:r>
          </w:p>
        </w:tc>
        <w:tc>
          <w:tcPr>
            <w:tcW w:w="7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br/>
              <w:t>Change</w:t>
            </w:r>
          </w:p>
        </w:tc>
      </w:tr>
      <w:tr>
        <w:trPr/>
        <w:tc>
          <w:tcPr>
            <w:tcW w:w="1092" w:type="dxa"/>
            <w:tcBorders/>
            <w:shd w:fill="auto" w:val="clear"/>
            <w:vAlign w:val="center"/>
          </w:tcPr>
          <w:p>
            <w:pPr>
              <w:pStyle w:val="TableContents"/>
              <w:spacing w:lineRule="auto" w:line="252" w:before="0" w:after="0"/>
              <w:ind w:left="0" w:right="0" w:hanging="0"/>
              <w:jc w:val="center"/>
              <w:rPr/>
            </w:pPr>
            <w:r>
              <w:rPr/>
              <w:t> </w:t>
            </w:r>
          </w:p>
        </w:tc>
        <w:tc>
          <w:tcPr>
            <w:tcW w:w="464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center"/>
              <w:rPr/>
            </w:pPr>
            <w:r>
              <w:rPr/>
              <w:t> </w:t>
            </w:r>
          </w:p>
        </w:tc>
        <w:tc>
          <w:tcPr>
            <w:tcW w:w="661"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center"/>
              <w:rPr/>
            </w:pPr>
            <w:r>
              <w:rPr/>
              <w:t> </w:t>
            </w:r>
          </w:p>
        </w:tc>
        <w:tc>
          <w:tcPr>
            <w:tcW w:w="707" w:type="dxa"/>
            <w:tcBorders/>
            <w:shd w:fill="auto" w:val="clear"/>
            <w:vAlign w:val="center"/>
          </w:tcPr>
          <w:p>
            <w:pPr>
              <w:pStyle w:val="TableContents"/>
              <w:spacing w:lineRule="auto" w:line="252" w:before="0" w:after="0"/>
              <w:ind w:left="0" w:right="0" w:hanging="0"/>
              <w:jc w:val="center"/>
              <w:rPr/>
            </w:pPr>
            <w:r>
              <w:rPr/>
              <w:t> </w:t>
            </w:r>
          </w:p>
        </w:tc>
      </w:tr>
      <w:tr>
        <w:trPr/>
        <w:tc>
          <w:tcPr>
            <w:tcW w:w="109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Consumer Packaged Goods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467,258</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273,977</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109,930</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193,281</w:t>
            </w:r>
            <w:r>
              <w:rPr>
                <w:rFonts w:ascii="Times New Roman" w:hAnsi="Times New Roman"/>
                <w:sz w:val="16"/>
              </w:rPr>
              <w:t xml:space="preserve">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71%</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164,047</w:t>
            </w:r>
            <w:r>
              <w:rPr>
                <w:rFonts w:ascii="Times New Roman" w:hAnsi="Times New Roman"/>
                <w:sz w:val="16"/>
              </w:rPr>
              <w:t xml:space="preserve"> </w:t>
            </w:r>
          </w:p>
        </w:tc>
        <w:tc>
          <w:tcPr>
            <w:tcW w:w="70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149%</w:t>
            </w:r>
          </w:p>
        </w:tc>
      </w:tr>
      <w:tr>
        <w:trPr/>
        <w:tc>
          <w:tcPr>
            <w:tcW w:w="109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Retail</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614,739</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396,372</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137,810</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218,367</w:t>
            </w:r>
            <w:r>
              <w:rPr>
                <w:rFonts w:ascii="Times New Roman" w:hAnsi="Times New Roman"/>
                <w:sz w:val="16"/>
              </w:rPr>
              <w:t xml:space="preserve">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55%</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258,562</w:t>
            </w:r>
            <w:r>
              <w:rPr>
                <w:rFonts w:ascii="Times New Roman" w:hAnsi="Times New Roman"/>
                <w:sz w:val="16"/>
              </w:rPr>
              <w:t xml:space="preserve"> </w:t>
            </w:r>
          </w:p>
        </w:tc>
        <w:tc>
          <w:tcPr>
            <w:tcW w:w="70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188%</w:t>
            </w:r>
          </w:p>
        </w:tc>
      </w:tr>
      <w:tr>
        <w:trPr/>
        <w:tc>
          <w:tcPr>
            <w:tcW w:w="1092"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Intersegment Eliminations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(188,437)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(113,776)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(31,307)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(74,661)</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(82,469)</w:t>
            </w:r>
          </w:p>
        </w:tc>
        <w:tc>
          <w:tcPr>
            <w:tcW w:w="7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263%</w:t>
            </w:r>
          </w:p>
        </w:tc>
      </w:tr>
      <w:tr>
        <w:trPr/>
        <w:tc>
          <w:tcPr>
            <w:tcW w:w="1092"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 Revenues, Net of Discounts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893,560</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556,573</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216,433</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336,987</w:t>
            </w:r>
            <w:r>
              <w:rPr>
                <w:rFonts w:ascii="Times New Roman" w:hAnsi="Times New Roman"/>
                <w:sz w:val="16"/>
              </w:rPr>
              <w:t xml:space="preserve"> </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61%</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340,140</w:t>
            </w:r>
            <w:r>
              <w:rPr>
                <w:rFonts w:ascii="Times New Roman" w:hAnsi="Times New Roman"/>
                <w:sz w:val="16"/>
              </w:rPr>
              <w:t xml:space="preserve"> </w:t>
            </w:r>
          </w:p>
        </w:tc>
        <w:tc>
          <w:tcPr>
            <w:tcW w:w="7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157%</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Year Ended December 31, 2021 Compared with the Year Ended December 31, 2020</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Revenues, net of discounts for the Retail segment were $614,739 thousand, an increase of $218,367 thousand or 55%, compared to the year ended December 31, 2020. The increase in Retail revenues, net of discounts, was primarily driven by increased store traffic to Green Thumb’s open and operating retail stores, particularly in Illinois and Pennsylvania, as well as acquired stores in Massachusetts, Virginia, Rhode Island and Maryland.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Revenues, net of discounts for the Consumer Packaged Goods segment were $467,258 thousand, an increase of $193,281 thousand or 71%, compared to the year ended December 31, 2020. The increase in Consumer Packaged Goods revenues, net of discounts, was primarily driven by increased sales volume in established markets such as Illinois, Pennsylvania, Massachusetts and New Jersey.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Due to the vertically integrated nature of the business, the Company reviews its revenue at the Retail and Consumer Packaged Goods level while reviewing its operating results on a consolidated basis.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Year Ended December 31, 2020 Compared with the Year Ended December 31, 2019</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Revenues, net of discounts for the Retail segment were $396,372 thousand for the year ended December 31, 2020, an increase of $258,562 thousand or 188%, compared to the year ended December 31, 2019. The increase in Retail revenues, net of discounts, was primarily driven by legalization of adult use in Illinois on January 1, 2020 as well as new store openings particularly in Illinois and Pennsylvania, and the 2020 full period effect of the June 2019 acquisition of the Essence stores in 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Revenues, net of discounts for the Consumer Packaged Goods segment were $273,977 thousand for the year ended December 31, 2020, an increase of $164,047 thousand or 149%, compared to the year ended December 31, 2019. The increase in Consumer Packaged Goods revenues, net of discounts, was primarily driven by the legalization of adult- use cannabis in Illinois on January 1, 2020, increased sales volume in established markets such as Pennsylvania, Massachusetts and Maryland and the 2020 full period effect of the June 2019 acquisition of Desert Grown Farms and Cannabiotix in Nevada.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Due to the vertically integrated nature of the business, the Company reviews its revenue at the Retail and Consumer Packaged Goods level while reviewing its operating results on a consolidated basis.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Year Ended December 31, 2019 Compared with the Year Ended December 31, 2018</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Revenues, net of discounts for the Retail segment were $137,810 thousand for the year ended December 31, 2019, an increase of $95,815 thousand or 228%, compared to the year ended December 31, 2018. The increase in Retail revenues, net of discounts, was primarily driven by new store openings, the acquisition of Integral Associates, LLC’s Essence branded dispensaries and increased sales volume at existing stores.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Revenues, net of discounts for the Consumer Packaged Goods segment were $109,930 thousand for the year ended December 31, 2019, an increase of $84,224 thousand or 328%, compared to the year ended December 31, 2018. The increase in Consumer Packaged Goods revenues, net of discounts, was primarily driven by increased sales volume in established markets such as Illinois, Massachusetts, Maryland and Pennsylvania as well as the acquisition of Advanced Grow Labs, LLC’s cultivation and processing facility and Integral Associates, LLC’s Desert Grown Farms and Cannabiotix cultivation and processing facility.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Due to the vertically integrated nature of the business, the Company reviews its revenue at the Retail and Consumer Packaged Goods level while reviewing its operating results on a consolidated basis.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Drivers of Results of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Revenue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derives its revenue from two revenue streams: a Consumer Packaged Goods business in which it manufactures, sells and distributes its portfolio of Consumer Packaged Goods brands including Beboe, Dogwalkers, Doctor Solomon’s, Good Green incredibles, and RYTHM,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the year ended December 31, 2021, revenue was contributed from Consumer Packaged Goods and Retail sales across California, Colorado, Connecticut, Florida, Illinois, Maryland, Massachusetts, Minnesota, Nevada, New Jersey, New York, Ohio, Pennsylvania, Rhode Island and Virginia.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Gross Profit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 ended December 31, 2021,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Total Expenses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General and administrative expenses also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to support aggressive expansion plans and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Provision for Income Taxes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Non-GAAP Measures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r>
        <w:rPr>
          <w:rFonts w:ascii="Times New Roman" w:hAnsi="Times New Roman"/>
          <w:sz w:val="20"/>
        </w:rPr>
        <w:t xml:space="preserve"> </w:t>
      </w:r>
    </w:p>
    <w:p>
      <w:pPr>
        <w:pStyle w:val="TextBody"/>
        <w:spacing w:lineRule="auto" w:line="273" w:before="0" w:after="0"/>
        <w:jc w:val="left"/>
        <w:rPr/>
      </w:pPr>
      <w:r>
        <w:rPr/>
        <w:t> </w:t>
      </w:r>
    </w:p>
    <w:tbl>
      <w:tblPr>
        <w:tblW w:w="9682" w:type="dxa"/>
        <w:jc w:val="left"/>
        <w:tblInd w:w="0" w:type="dxa"/>
        <w:tblCellMar>
          <w:top w:w="28" w:type="dxa"/>
          <w:left w:w="28" w:type="dxa"/>
          <w:bottom w:w="28" w:type="dxa"/>
          <w:right w:w="28" w:type="dxa"/>
        </w:tblCellMar>
      </w:tblPr>
      <w:tblGrid>
        <w:gridCol w:w="3871"/>
        <w:gridCol w:w="196"/>
        <w:gridCol w:w="1711"/>
        <w:gridCol w:w="196"/>
        <w:gridCol w:w="1756"/>
        <w:gridCol w:w="196"/>
        <w:gridCol w:w="1756"/>
      </w:tblGrid>
      <w:tr>
        <w:trPr/>
        <w:tc>
          <w:tcPr>
            <w:tcW w:w="38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lineRule="auto" w:line="252" w:before="0" w:after="0"/>
              <w:ind w:left="0" w:right="0" w:hanging="0"/>
              <w:jc w:val="center"/>
              <w:rPr/>
            </w:pPr>
            <w:r>
              <w:rPr/>
              <w:t> </w:t>
            </w:r>
          </w:p>
        </w:tc>
        <w:tc>
          <w:tcPr>
            <w:tcW w:w="581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Years Ended December 31,</w:t>
            </w:r>
          </w:p>
        </w:tc>
      </w:tr>
      <w:tr>
        <w:trPr/>
        <w:tc>
          <w:tcPr>
            <w:tcW w:w="3871"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r>
      <w:tr>
        <w:trPr/>
        <w:tc>
          <w:tcPr>
            <w:tcW w:w="3871" w:type="dxa"/>
            <w:tcBorders/>
            <w:shd w:fill="auto" w:val="clear"/>
            <w:vAlign w:val="center"/>
          </w:tcPr>
          <w:p>
            <w:pPr>
              <w:pStyle w:val="TableContents"/>
              <w:spacing w:lineRule="auto" w:line="252" w:before="0" w:after="0"/>
              <w:ind w:left="0" w:right="0" w:hanging="0"/>
              <w:jc w:val="center"/>
              <w:rPr/>
            </w:pPr>
            <w:r>
              <w:rPr/>
              <w:t> </w:t>
            </w:r>
          </w:p>
        </w:tc>
        <w:tc>
          <w:tcPr>
            <w:tcW w:w="581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Net Income (Loss) Before Non-Controlling Interest</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80,363</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19,078</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(59,546)</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Income, net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(1,432)</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(114)</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(1,466)</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Expense, net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21,976</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18,667</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13,659</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Provision For Income Taxes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124,612</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83,853</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9,344</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Other (Income) Expense, net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(10,677)</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(15,377)</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10,319</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Depreciation and amortization</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68,458</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52,506</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31,482</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Earnings before interest, taxes, depreciation and</w:t>
              <w:br/>
              <w:t>   amortization (EBITDA) (non-GAAP measure)</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283,300</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158,613</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3,792</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Stock-based compensation, non-cash</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19,600</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19,337</w:t>
            </w:r>
            <w:r>
              <w:rPr>
                <w:rFonts w:ascii="Times New Roman" w:hAnsi="Times New Roman"/>
                <w:sz w:val="16"/>
              </w:rPr>
              <w:t xml:space="preserve">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18,285</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Acquisition, transaction and other non-operating costs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7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4,934</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1,635</w:t>
            </w:r>
            <w:r>
              <w:rPr>
                <w:rFonts w:ascii="Times New Roman" w:hAnsi="Times New Roman"/>
                <w:sz w:val="16"/>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6,015</w:t>
            </w:r>
            <w:r>
              <w:rPr>
                <w:rFonts w:ascii="Times New Roman" w:hAnsi="Times New Roman"/>
                <w:sz w:val="16"/>
              </w:rPr>
              <w:t xml:space="preserve"> </w:t>
            </w:r>
          </w:p>
        </w:tc>
      </w:tr>
      <w:tr>
        <w:trPr/>
        <w:tc>
          <w:tcPr>
            <w:tcW w:w="38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Adjusted Operating EBITDA (non-GAAP measure)</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307,834</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179,585</w:t>
            </w:r>
            <w:r>
              <w:rPr>
                <w:rFonts w:ascii="Times New Roman" w:hAnsi="Times New Roman"/>
                <w:sz w:val="16"/>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28,092</w:t>
            </w:r>
            <w:r>
              <w:rPr>
                <w:rFonts w:ascii="Times New Roman" w:hAnsi="Times New Roman"/>
                <w:sz w:val="16"/>
              </w:rPr>
              <w:t xml:space="preserve">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Liquidity, Financing and Capital Resources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and December 31, 2020 the Company had total current liabilities of $204,379 thousand and $119,289 thousand, respectively, and cash and cash equivalents of $230,420 thousand and $83,758 thousand, respectively to meet its current obligations. The Company had working capital of $159,851 thousand as of December 31, 2021, an increase of $95,196 thousand as compared to December 31, 2020. This increase in working capital was primarily driven by the $155,498 thousand sale of registered Subordinate Voting Shares pursuant to the Company’s Registration Statement on Form S-1 as well as the proceeds from issuance of notes of $208,700 thousand, primarily associated with the Company's April 30, 2021 Notes, partially offset by principal repayments of notes and mortgages of $70,507 thousand including the May 22, 2019 Notes.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is an early-stage growth company, generating cash from revenues deploying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development and marketing, as well as customer, supplier, and investor and industry relations.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While our revenue, gross profit and operating income were not materially impacted by COVID-19 and we maintained the consistency of our operations during the twelve months of 2021,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partners.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Cash Flows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Cash Used in Operating Activities, Investing and Financing Activities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Net cash provided by (used in) operating, investing and financing activities for the years ended December 31, 2021, 2020, 2019, were as follows:</w:t>
      </w:r>
      <w:r>
        <w:rPr>
          <w:rFonts w:ascii="Times New Roman" w:hAnsi="Times New Roman"/>
          <w:sz w:val="20"/>
        </w:rPr>
        <w:t xml:space="preserve"> </w:t>
      </w:r>
    </w:p>
    <w:p>
      <w:pPr>
        <w:pStyle w:val="TextBody"/>
        <w:spacing w:lineRule="auto" w:line="273" w:before="0" w:after="0"/>
        <w:jc w:val="left"/>
        <w:rPr/>
      </w:pPr>
      <w:r>
        <w:rPr/>
        <w:t> </w:t>
      </w:r>
    </w:p>
    <w:tbl>
      <w:tblPr>
        <w:tblW w:w="6997" w:type="dxa"/>
        <w:jc w:val="left"/>
        <w:tblInd w:w="0" w:type="dxa"/>
        <w:tblCellMar>
          <w:top w:w="28" w:type="dxa"/>
          <w:left w:w="28" w:type="dxa"/>
          <w:bottom w:w="28" w:type="dxa"/>
          <w:right w:w="28" w:type="dxa"/>
        </w:tblCellMar>
      </w:tblPr>
      <w:tblGrid>
        <w:gridCol w:w="3781"/>
        <w:gridCol w:w="196"/>
        <w:gridCol w:w="871"/>
        <w:gridCol w:w="196"/>
        <w:gridCol w:w="811"/>
        <w:gridCol w:w="196"/>
        <w:gridCol w:w="946"/>
      </w:tblGrid>
      <w:tr>
        <w:trPr/>
        <w:tc>
          <w:tcPr>
            <w:tcW w:w="37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02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r>
      <w:tr>
        <w:trPr/>
        <w:tc>
          <w:tcPr>
            <w:tcW w:w="3781"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r>
      <w:tr>
        <w:trPr/>
        <w:tc>
          <w:tcPr>
            <w:tcW w:w="3781"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02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provided by (used in) Operating Activities</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132,048</w:t>
            </w:r>
            <w:r>
              <w:rPr>
                <w:rFonts w:ascii="Times New Roman" w:hAnsi="Times New Roman"/>
                <w:sz w:val="18"/>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95,918</w:t>
            </w:r>
            <w:r>
              <w:rPr>
                <w:rFonts w:ascii="Times New Roman" w:hAnsi="Times New Roman"/>
                <w:sz w:val="18"/>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4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(18,014)</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used in Investing Activities</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(280,730)</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(57,274)</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4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(174,671)</w:t>
            </w:r>
          </w:p>
        </w:tc>
      </w:tr>
      <w:tr>
        <w:trPr/>
        <w:tc>
          <w:tcPr>
            <w:tcW w:w="37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provided by (used in) Financing Activities</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295,344</w:t>
            </w:r>
            <w:r>
              <w:rPr>
                <w:rFonts w:ascii="Times New Roman" w:hAnsi="Times New Roman"/>
                <w:sz w:val="18"/>
              </w:rPr>
              <w:t xml:space="preserve">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(1,553)</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4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8"/>
              </w:rPr>
              <w:t>93,366</w:t>
            </w:r>
            <w:r>
              <w:rPr>
                <w:rFonts w:ascii="Times New Roman" w:hAnsi="Times New Roman"/>
                <w:sz w:val="18"/>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Contractual Cash Obligations and Other Commitments and Contingencies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quantifies the Company’s future contractual obligations as of December 31, 2021:</w:t>
      </w:r>
    </w:p>
    <w:p>
      <w:pPr>
        <w:pStyle w:val="TextBody"/>
        <w:spacing w:lineRule="auto" w:line="273" w:before="0" w:after="0"/>
        <w:jc w:val="left"/>
        <w:rPr/>
      </w:pPr>
      <w:r>
        <w:rPr/>
        <w:t> </w:t>
      </w:r>
    </w:p>
    <w:tbl>
      <w:tblPr>
        <w:tblW w:w="12216" w:type="dxa"/>
        <w:jc w:val="left"/>
        <w:tblInd w:w="0" w:type="dxa"/>
        <w:tblCellMar>
          <w:top w:w="28" w:type="dxa"/>
          <w:left w:w="28" w:type="dxa"/>
          <w:bottom w:w="28" w:type="dxa"/>
          <w:right w:w="28" w:type="dxa"/>
        </w:tblCellMar>
      </w:tblPr>
      <w:tblGrid>
        <w:gridCol w:w="1081"/>
        <w:gridCol w:w="196"/>
        <w:gridCol w:w="1231"/>
        <w:gridCol w:w="146"/>
        <w:gridCol w:w="196"/>
        <w:gridCol w:w="1276"/>
        <w:gridCol w:w="146"/>
        <w:gridCol w:w="196"/>
        <w:gridCol w:w="1276"/>
        <w:gridCol w:w="146"/>
        <w:gridCol w:w="196"/>
        <w:gridCol w:w="1276"/>
        <w:gridCol w:w="146"/>
        <w:gridCol w:w="196"/>
        <w:gridCol w:w="1276"/>
        <w:gridCol w:w="146"/>
        <w:gridCol w:w="196"/>
        <w:gridCol w:w="1276"/>
        <w:gridCol w:w="146"/>
        <w:gridCol w:w="196"/>
        <w:gridCol w:w="1276"/>
      </w:tblGrid>
      <w:tr>
        <w:trPr/>
        <w:tc>
          <w:tcPr>
            <w:tcW w:w="10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1081"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2027 and Thereafter</w:t>
            </w:r>
          </w:p>
        </w:tc>
      </w:tr>
      <w:tr>
        <w:trPr/>
        <w:tc>
          <w:tcPr>
            <w:tcW w:w="1081"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0939" w:type="dxa"/>
            <w:gridSpan w:val="19"/>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Notes Payable</w:t>
            </w:r>
            <w:r>
              <w:rPr>
                <w:rFonts w:ascii="Times New Roman" w:hAnsi="Times New Roman"/>
                <w:b w:val="false"/>
                <w:sz w:val="11"/>
              </w:rPr>
              <w:t>(a)</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249,934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249,934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Charitable Contributions</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1,238</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474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412</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352</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Mortgage Payable</w:t>
            </w:r>
            <w:r>
              <w:rPr>
                <w:rFonts w:ascii="Times New Roman" w:hAnsi="Times New Roman"/>
                <w:b w:val="false"/>
                <w:sz w:val="11"/>
              </w:rPr>
              <w:t>(b)</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10,168</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360</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381</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402</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1,804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353</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6,868</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Due on Notes Payable</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40,976</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16,579</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17,495</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6,902</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Interest Due on Mortgage Payable</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5,706</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576</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555</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533</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491</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623</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2,928</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Operating Leases - Third Party</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427,048</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33,200</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33,006</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32,384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29,967</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27,999</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270,492</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Operating Leases - Related Parties</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12,274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1,119</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1,144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1,027</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948</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970</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7,066</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Contingent Consideration</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83,865</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50,284</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33,581</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Construction Commitments</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73,000</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73,000</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w:t>
            </w:r>
            <w:r>
              <w:rPr>
                <w:rFonts w:ascii="Times New Roman" w:hAnsi="Times New Roman"/>
                <w:sz w:val="16"/>
              </w:rPr>
              <w:t xml:space="preserve"> </w:t>
            </w:r>
          </w:p>
        </w:tc>
      </w:tr>
      <w:tr>
        <w:trPr/>
        <w:tc>
          <w:tcPr>
            <w:tcW w:w="108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 as of December 31, 2021</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904,209</w:t>
            </w:r>
            <w:r>
              <w:rPr>
                <w:rFonts w:ascii="Times New Roman" w:hAnsi="Times New Roman"/>
                <w:sz w:val="16"/>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175,592</w:t>
            </w:r>
            <w:r>
              <w:rPr>
                <w:rFonts w:ascii="Times New Roman" w:hAnsi="Times New Roman"/>
                <w:sz w:val="16"/>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86,574</w:t>
            </w:r>
            <w:r>
              <w:rPr>
                <w:rFonts w:ascii="Times New Roman" w:hAnsi="Times New Roman"/>
                <w:sz w:val="16"/>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291,534</w:t>
            </w:r>
            <w:r>
              <w:rPr>
                <w:rFonts w:ascii="Times New Roman" w:hAnsi="Times New Roman"/>
                <w:sz w:val="16"/>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33,210</w:t>
            </w:r>
            <w:r>
              <w:rPr>
                <w:rFonts w:ascii="Times New Roman" w:hAnsi="Times New Roman"/>
                <w:sz w:val="16"/>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29,945</w:t>
            </w:r>
            <w:r>
              <w:rPr>
                <w:rFonts w:ascii="Times New Roman" w:hAnsi="Times New Roman"/>
                <w:sz w:val="16"/>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16"/>
              </w:rPr>
              <w:t>287,354</w:t>
            </w:r>
            <w:r>
              <w:rPr>
                <w:rFonts w:ascii="Times New Roman" w:hAnsi="Times New Roman"/>
                <w:sz w:val="16"/>
              </w:rPr>
              <w:t xml:space="preserve"> </w:t>
            </w:r>
          </w:p>
        </w:tc>
      </w:tr>
    </w:tbl>
    <w:p>
      <w:pPr>
        <w:pStyle w:val="TextBody"/>
        <w:spacing w:lineRule="auto" w:line="273" w:before="0" w:after="0"/>
        <w:jc w:val="left"/>
        <w:rPr/>
      </w:pPr>
      <w:r>
        <w:rPr/>
        <w:t> </w:t>
      </w:r>
    </w:p>
    <w:p>
      <w:pPr>
        <w:pStyle w:val="TextBody"/>
        <w:spacing w:lineRule="auto" w:line="273" w:before="0" w:after="10"/>
        <w:jc w:val="left"/>
        <w:rPr>
          <w:rFonts w:ascii="Times New Roman" w:hAnsi="Times New Roman"/>
          <w:sz w:val="20"/>
        </w:rPr>
      </w:pPr>
      <w:r>
        <w:rPr>
          <w:rFonts w:ascii="Times New Roman" w:hAnsi="Times New Roman"/>
          <w:b w:val="false"/>
          <w:sz w:val="16"/>
        </w:rPr>
        <w:t>(a) -</w:t>
      </w:r>
      <w:r>
        <w:rPr>
          <w:rFonts w:ascii="Times New Roman" w:hAnsi="Times New Roman"/>
          <w:sz w:val="20"/>
        </w:rPr>
        <w:t xml:space="preserve"> </w:t>
      </w:r>
      <w:r>
        <w:rPr>
          <w:rFonts w:ascii="Times New Roman" w:hAnsi="Times New Roman"/>
          <w:b w:val="false"/>
          <w:sz w:val="16"/>
        </w:rPr>
        <w:t xml:space="preserve">This amount excludes $21,244 thousand of unamortized debt discount as of December 31, 2021. See Note 9—Notes Payable for details. </w:t>
        <w:br/>
        <w:br/>
        <w:t>(b) - The amount excludes $162 thousand of unamortized debt discount as of December 31, 2021.</w:t>
      </w:r>
      <w:r>
        <w:rPr>
          <w:rFonts w:ascii="Times New Roman" w:hAnsi="Times New Roman"/>
          <w:sz w:val="20"/>
        </w:rPr>
        <w:t xml:space="preserve"> </w:t>
      </w:r>
      <w:r>
        <w:rPr>
          <w:rFonts w:ascii="Times New Roman" w:hAnsi="Times New Roman"/>
          <w:b w:val="false"/>
          <w:sz w:val="16"/>
        </w:rPr>
        <w:t>See Note 9 - Notes Payable for details.</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and 2020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Changes in or Adoption of Accounting Practices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See discussion under Part II, Item 8, Notes to Consolidated Financial Statements, Note 2 – Significant Accounting Policies.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CRITICAL ACCOUNTING ESTIMATES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Significant judgments, estimates and assumptions that have the most significant effect on the amounts recognized in the consolidated financial statements are described below.</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Estimated Useful Lives and Amortization of Intangible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Business Combinations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of approximately 3%. Other significant assumptions include revenue, gross profit, operating expenses and anticipated capital expenditures which are based upon the Corporation’s historical operations along with management projections.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evaluations are linked closely to the assumptions made by management regarding the future performance of these assets and any changes in the discount rate applied.</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Inventories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Investments in Private Holdings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Goodwill Impairment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applies the guidance in Financial Accounting Standards Board (“FASB”) Accounting Standards Update (“ASU”) 2011-08 “Intangibles-Goodwill and Other-Testing Goodwill for Impairment,” which provides entities with an option to perform a qualitative assessment (commonly 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Determination of Reporting Units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Company’s assets are aggregated into two reportable segments (Retail and Consumer Packaged Goods). For the purposes of testing goodwill, the Company has identified 30 reporting units. The Company analyzed its reporting units by first reviewing the operating segments based on the geographic areas in which the Company conducts business (or each market). The markets were then further divided into reporting units based on the market operations (retail and consumer packaged goods) which were primarily determined based on the licenses each market holds. The following represent the markets in which the Company operates as of December 31, 2021: California, Colorado, Connecticut, Florida, Illinois, Maryland, Massachusetts, Minnesota, Nevada, New Jersey, New York, Ohio, Pennsylvania, Rhode Island and Virginia.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Consolidation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Allowance for Uncollectible Accounts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Stock-Based Payments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Fair Value of Financial Instruments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Financial Instruments and Financial Risk Management</w:t>
      </w:r>
    </w:p>
    <w:p>
      <w:pPr>
        <w:pStyle w:val="TextBody"/>
        <w:spacing w:lineRule="auto" w:line="273"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The Company’s financial instruments consist of cash and cash equivalents, accounts receivable, investments, accounts payable and accrued liabilities, notes payable, warrant liability and contingent consideration payable.</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Financial instruments recorded at fair value are classified using a fair value hierarchy that reflects the significance of the inputs to fair value measurements. The three levels of hierarchy are:</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Level 1—Unadjusted quoted prices in active markets for identical assets or liabilities;</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Level 2—Inputs other than quoted prices that are observable for the asset or liability, either directly or indirectly; and</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Level 3—Inputs for the asset or liability that are not based on observable market data.</w:t>
      </w:r>
    </w:p>
    <w:p>
      <w:pPr>
        <w:pStyle w:val="TextBody"/>
        <w:spacing w:lineRule="auto" w:line="273" w:before="360" w:after="120"/>
        <w:jc w:val="left"/>
        <w:rPr>
          <w:rFonts w:ascii="Times New Roman" w:hAnsi="Times New Roman"/>
          <w:b/>
          <w:sz w:val="20"/>
        </w:rPr>
      </w:pPr>
      <w:bookmarkStart w:id="13" w:name="item7a_quantqual_marketrisk"/>
      <w:bookmarkEnd w:id="13"/>
      <w:r>
        <w:rPr>
          <w:rFonts w:ascii="Times New Roman" w:hAnsi="Times New Roman"/>
          <w:b/>
          <w:sz w:val="20"/>
        </w:rPr>
        <w:t>ITEM 7A. QUANTITAVE AND QUALITATIVE DISCLOSURES ABOUT MARKET RISK</w:t>
      </w:r>
    </w:p>
    <w:p>
      <w:pPr>
        <w:pStyle w:val="TextBody"/>
        <w:spacing w:lineRule="auto" w:line="273" w:before="360" w:after="120"/>
        <w:jc w:val="left"/>
        <w:rPr>
          <w:rFonts w:ascii="Times New Roman" w:hAnsi="Times New Roman"/>
          <w:b/>
          <w:sz w:val="20"/>
        </w:rPr>
      </w:pPr>
      <w:r>
        <w:rPr>
          <w:rFonts w:ascii="Times New Roman" w:hAnsi="Times New Roman"/>
          <w:b/>
          <w:sz w:val="20"/>
        </w:rPr>
        <w:t>Financial Risk Management</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is exposed in varying degrees to a variety of financial instrument related risks. The Company’s Board of Directors (the “Board”) mitigates these risks by assessing, monitoring and approving the Company’s risk management processes.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Credit Risk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Credit risk is the risk of a potential loss to the Company if a customer or third party to a financial instrument fails to meet its contractual obligations. The Company does not have significant credit risk with respect to its customers.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provides credit to its customers in the normal course of business. The Company has established credit evaluation and monitoring processes to mitigate credit risk but has limited risk as the majority of its sales are paid at the time of sale.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Liquidity Risk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u w:val="single"/>
        </w:rPr>
      </w:pPr>
      <w:r>
        <w:rPr>
          <w:rFonts w:ascii="Times New Roman" w:hAnsi="Times New Roman"/>
          <w:b w:val="false"/>
          <w:sz w:val="20"/>
          <w:u w:val="single"/>
        </w:rPr>
        <w:t>Market Risk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Market risk is the risk of loss arising from adverse changes in market rates and prices, such as interest rates, foreign exchange, raw material and other commodity prices.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Currency Risk</w:t>
      </w:r>
      <w:r>
        <w:rPr>
          <w:rFonts w:ascii="Times New Roman" w:hAnsi="Times New Roman"/>
          <w:b w:val="false"/>
          <w:sz w:val="20"/>
        </w:rPr>
        <w:t>. The operating results and financial position of the Company are reported in U.S. dollars. Some of the Company’s financial transactions are denominated in 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Interest Rate Risk</w:t>
      </w:r>
      <w:r>
        <w:rPr>
          <w:rFonts w:ascii="Times New Roman" w:hAnsi="Times New Roman"/>
          <w:b w:val="false"/>
          <w:sz w:val="20"/>
        </w:rPr>
        <w:t>. 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Commodities Price Risk</w:t>
      </w:r>
      <w:r>
        <w:rPr>
          <w:rFonts w:ascii="Times New Roman" w:hAnsi="Times New Roman"/>
          <w:b w:val="false"/>
          <w:sz w:val="20"/>
        </w:rPr>
        <w:t>. Commodities Price risk is the risk of variability in fair value due to movements in equity or market prices. The primary 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4" w:name="item8_financialstmts_and_suppdata"/>
      <w:bookmarkEnd w:id="14"/>
      <w:r>
        <w:rPr>
          <w:rFonts w:ascii="Times New Roman" w:hAnsi="Times New Roman"/>
          <w:b/>
          <w:sz w:val="20"/>
        </w:rPr>
        <w:t>ITEM 8. FINANCIAL STATEMENTS AND SUPPLEMENTARY DATA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financial information required by Item 8 is located beginning on page F-1 of this report.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5" w:name="item9_changesdisagreements_accountants"/>
      <w:bookmarkEnd w:id="15"/>
      <w:r>
        <w:rPr>
          <w:rFonts w:ascii="Times New Roman" w:hAnsi="Times New Roman"/>
          <w:b/>
          <w:sz w:val="20"/>
        </w:rPr>
        <w:t>ITEM 9. CHANGES IN AND DISAGREEMENTS WITH ACCOUNTANTS ON ACCOUNTING AND FINANCIAL DISCLOSURES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Prior Independent Registered Accounting Firm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Following the Transaction, the independent registered public accounting firm of the Corporation was Macias Gini &amp; O’Connell LLP (“MGO”) located at 2029 Century Park East, Suite 1500, Los Angeles, California 90067. The Company engaged MGO on October 21, 2019, and MGO completed an audit of the Company for the year ended December 31, 2020 and 2019. MGO resigned as the Company’s auditor effective May 13, 2021. The resignation of MGO was approved by the Audit Committee and the Board. During the years ended December 31, 2019 and 2020 and the subsequent period through May 13, 2021, the date of MGO’s resignation, there were no (1) disagreements with MGO on any matter of accounting principles or practices, financial statement disclosure or auditing scope or procedure, which, if not resolved to MGO’s satisfaction, would have caused MGO to make reference thereto in its report on the consolidated financial statements of the Company (as described in Item 304(a)(1)(iv) of Regulation S-K) or (2) reportable events (as described in Item 304(a)(1)(v) of Regulation S-K).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provided MGO with a copy of the foregoing disclosures in this section and requested that MGO furnish it with a letter addressed to the Securities and Exchange Commission (“SEC”) stating whether it agrees with the above statements. A copy of MGO’s letter, dated May 13, 2021, is included herewith as Exhibit 16.1 to this document, indicating its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Engagement of Baker Tilly US, LLP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appointed Baker Tilly US, LLP (“Baker Tilly”) located at 205 North Michigan Avenue, Suite 2800, Chicago, IL 60601 as its independent registered public accounting firm effective May 13, 2021. The engagement of Baker Tilly was approved by the Audit Committee and the Board. Baker Tilly has completed an audit of the Company for the year ended December 31,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During the fiscal years ended December 31, 2019 and December 31, 2020, and during the subsequent interim period through May 13, 2021, neither the Company, nor anyone acting on its behalf, has consulted Baker Tilly with respect to: (i) the application of accounting principles to a specified transaction, either completed or proposed, or the type of audit opinion that might be rendered on the Company’s consolidated financial statements, and Baker Tilly did not provide either a written report or oral advice to the Company that Baker Tilly concluded was an important factor considered by the Company in reaching a decision as to any accounting, auditing, or financial reporting issue, or (ii) (a) any matter that was either the subject of a disagreement (as defined in Item 304(a)(1)(iv) of Regulation and the related instructions) or (b) a “reportable event” as described in Item 304(a)(1)(v) of Regulation S-K.</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95" w:before="0" w:after="0"/>
        <w:jc w:val="left"/>
        <w:rPr>
          <w:rFonts w:ascii="Times New Roman" w:hAnsi="Times New Roman"/>
          <w:sz w:val="20"/>
        </w:rPr>
      </w:pPr>
      <w:bookmarkStart w:id="16" w:name="item9a_controlsandprocedures"/>
      <w:bookmarkEnd w:id="16"/>
      <w:r>
        <w:rPr>
          <w:rFonts w:ascii="Times New Roman" w:hAnsi="Times New Roman"/>
          <w:b/>
          <w:sz w:val="20"/>
        </w:rPr>
        <w:t>ITEM 9A. CONTROLS AND PROCEDURES</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i/>
          <w:sz w:val="20"/>
        </w:rPr>
      </w:pPr>
      <w:r>
        <w:rPr>
          <w:rFonts w:ascii="Times New Roman" w:hAnsi="Times New Roman"/>
          <w:b/>
          <w:i/>
          <w:sz w:val="20"/>
        </w:rPr>
        <w:t>Evaluation of Disclosure Controls and Procedures</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2021. Based on the evaluation of the Company’s disclosure controls and procedures as of December 31, 2021, the Company’s Chief Executive Officer and Chief Financial Officer concluded that, as a result of the material weakness in our internal control described below, the Company’s disclosure controls and procedures were not effective as of such date.</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i/>
          <w:sz w:val="20"/>
        </w:rPr>
      </w:pPr>
      <w:r>
        <w:rPr>
          <w:rFonts w:ascii="Times New Roman" w:hAnsi="Times New Roman"/>
          <w:b/>
          <w:i/>
          <w:sz w:val="20"/>
        </w:rPr>
        <w:t>Management’s Report on Internal Controls Over Financial Reporting</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established in “Internal Control - Integrated Framework” (2013) issued by the Committee of Sponsoring Organizations of the Treadway Commission (COSO).</w:t>
      </w:r>
    </w:p>
    <w:p>
      <w:pPr>
        <w:pStyle w:val="TextBody"/>
        <w:spacing w:lineRule="auto" w:line="273"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During the year ended December 31, 2021, the Company completed six separate acquisitions (the “Acquired Entities”) and is in the process of integrating the operations of the such entities and, consequently, has not included the Acquired Entities in its evaluation of internal control over financial reporting pursuant to Section 404 of the Sarbanes-Oxley Act of 2002. See Notes to the Consolidated Financial Statements — Note 5, Acquisitions, for additional information. The Acquired Entities operations constituted approximately three percent of total assets (excluding goodwill and other intangible assets) as of December 31, 2021, and approximately four percent of revenues, net of discounts for the year then ended. The Acquired Entities operations will be included in the Company's assessment as of December 31, 2022.</w:t>
      </w:r>
    </w:p>
    <w:p>
      <w:pPr>
        <w:pStyle w:val="TextBody"/>
        <w:spacing w:lineRule="auto" w:line="273"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sz w:val="20"/>
        </w:rPr>
        <w:t>As of December 31, 2021, we have a material weakness in our internal controls over financial reporting relating to our accounting for contingent consideration. A material weakness is a deficiency, or combination of control deficiencies, in internal controls over financial reporting, such that there is a reasonable possibility that a material misstatement of the annual or interim consolidated financial statements will not be prevented or detected on a timely basis.</w:t>
        <w:br/>
        <w:t>We have developed a plan to remediate the material weakness, including designing and implementing improved processes and internal controls with the intent of ensuring proper application of relevant accounting guidance.</w:t>
        <w:br/>
        <w:br/>
      </w:r>
      <w:r>
        <w:rPr>
          <w:rFonts w:ascii="Times New Roman" w:hAnsi="Times New Roman"/>
          <w:sz w:val="20"/>
        </w:rPr>
        <w:t> </w:t>
      </w:r>
    </w:p>
    <w:p>
      <w:pPr>
        <w:pStyle w:val="TextBody"/>
        <w:spacing w:lineRule="auto" w:line="273"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The effectiveness of the Company’s internal control over financial reporting as of December 31, 2021, has been audited by our independent registered public accounting firm, as stated in their report which appears herein.</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95" w:before="0" w:after="0"/>
        <w:jc w:val="left"/>
        <w:rPr/>
      </w:pPr>
      <w:r>
        <w:rPr/>
        <w:t> </w:t>
      </w:r>
    </w:p>
    <w:p>
      <w:pPr>
        <w:pStyle w:val="TextBody"/>
        <w:spacing w:lineRule="auto" w:line="273" w:before="0" w:after="0"/>
        <w:jc w:val="left"/>
        <w:rPr>
          <w:rFonts w:ascii="Times New Roman" w:hAnsi="Times New Roman"/>
          <w:b/>
          <w:sz w:val="20"/>
        </w:rPr>
      </w:pPr>
      <w:bookmarkStart w:id="17" w:name="item9b_other_information"/>
      <w:bookmarkEnd w:id="17"/>
      <w:r>
        <w:rPr>
          <w:rFonts w:ascii="Times New Roman" w:hAnsi="Times New Roman"/>
          <w:b/>
          <w:sz w:val="20"/>
        </w:rPr>
        <w:t>ITEM 9B. OTHER INFORMATION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8" w:name="item9c_disclosure_foreign_jurisdictions"/>
      <w:bookmarkEnd w:id="18"/>
      <w:r>
        <w:rPr>
          <w:rFonts w:ascii="Times New Roman" w:hAnsi="Times New Roman"/>
          <w:b/>
          <w:sz w:val="20"/>
        </w:rPr>
        <w:t>ITEM 9C. DISCLOSURE REGARDING FOREIGN JURISDICTIONS THAT PREVENT INSPECTIONS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PART III</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0"/>
        </w:rPr>
      </w:pPr>
      <w:bookmarkStart w:id="19" w:name="item10_executiveofficers"/>
      <w:bookmarkEnd w:id="19"/>
      <w:r>
        <w:rPr>
          <w:rFonts w:ascii="Times New Roman" w:hAnsi="Times New Roman"/>
          <w:b/>
          <w:sz w:val="20"/>
        </w:rPr>
        <w:t>ITEM 10. DIRECTORS, EXECUTIVE OFFICERS AND CORPORATE GOVERNANCE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Information regarding directors and executive officers will be included in the 2022 Proxy Statement for the Company's 2022 Annual General Meeting of Shareholders (the</w:t>
      </w:r>
      <w:r>
        <w:rPr>
          <w:rFonts w:ascii="Times New Roman" w:hAnsi="Times New Roman"/>
          <w:sz w:val="20"/>
        </w:rPr>
        <w:t>“</w:t>
      </w:r>
      <w:r>
        <w:rPr>
          <w:rFonts w:ascii="Times New Roman" w:hAnsi="Times New Roman"/>
          <w:b w:val="false"/>
          <w:sz w:val="22"/>
        </w:rPr>
        <w:t xml:space="preserve">2022 Proxy Statement”) to be filed pursuant to Regulation 14A within 120 days after the end of the fiscal year to which this report relates and which sections are </w:t>
      </w:r>
      <w:r>
        <w:rPr>
          <w:rFonts w:ascii="Times New Roman" w:hAnsi="Times New Roman"/>
          <w:b w:val="false"/>
          <w:sz w:val="20"/>
        </w:rPr>
        <w:t>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20" w:name="item11_executive_compensation"/>
      <w:bookmarkEnd w:id="20"/>
      <w:r>
        <w:rPr>
          <w:rFonts w:ascii="Times New Roman" w:hAnsi="Times New Roman"/>
          <w:b/>
          <w:sz w:val="20"/>
        </w:rPr>
        <w:t>ITEM 11. EXECUTIVE COMPENSATION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information required by this item will be set forth under Executive Compensation in the Green Thumb Industries Inc. 2022 Proxy Statement and which sections are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21" w:name="item12_securityownership"/>
      <w:bookmarkEnd w:id="21"/>
      <w:r>
        <w:rPr>
          <w:rFonts w:ascii="Times New Roman" w:hAnsi="Times New Roman"/>
          <w:b/>
          <w:sz w:val="20"/>
        </w:rPr>
        <w:t>ITEM 12. SECURITY OWNERSHIP OF CERTAIN BENEFICIAL OWNERS AND MANAGEMENT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Information regarding security ownership of certain beneficial owners and management will be included in the 2022 Proxy Statement and which sections are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Equity Compensation Plans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Information regarding equity compensation plans will be included in the 2022 Proxy Statement and which sections are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22" w:name="item13_certain_relationships_and_related"/>
      <w:bookmarkEnd w:id="22"/>
      <w:r>
        <w:rPr>
          <w:rFonts w:ascii="Times New Roman" w:hAnsi="Times New Roman"/>
          <w:b/>
          <w:sz w:val="20"/>
        </w:rPr>
        <w:t>ITEM 13. CERTAIN RELATIONSHIPS AND RELATED TRANSACTIONS, DIRECTOR INDEPENDENCE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Information regarding certain relationships and related transactions and director independence will be included in the 2022 Proxy Statement and which sections are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23" w:name="item14_principal_accounting_fees"/>
      <w:bookmarkEnd w:id="23"/>
      <w:r>
        <w:rPr>
          <w:rFonts w:ascii="Times New Roman" w:hAnsi="Times New Roman"/>
          <w:b/>
          <w:sz w:val="20"/>
        </w:rPr>
        <w:t>ITEM 14. PRINCIPAL ACCOUNTING FEES AND SERVICES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Information regarding principal accounting fees and services will be included in the 2022 Proxy Statement and which sections are incorporated herein by reference.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24" w:name="item15_exhibits"/>
      <w:bookmarkEnd w:id="24"/>
      <w:r>
        <w:rPr>
          <w:rFonts w:ascii="Times New Roman" w:hAnsi="Times New Roman"/>
          <w:b/>
          <w:sz w:val="20"/>
        </w:rPr>
        <w:t>ITEM 15 . EXHIBITS, FINANCIAL STATEMENT SCHEDULES</w:t>
      </w:r>
    </w:p>
    <w:p>
      <w:pPr>
        <w:pStyle w:val="TextBody"/>
        <w:spacing w:lineRule="auto" w:line="273" w:before="0" w:after="0"/>
        <w:jc w:val="left"/>
        <w:rPr/>
      </w:pPr>
      <w:r>
        <w:rPr/>
        <w:t> </w:t>
      </w:r>
    </w:p>
    <w:tbl>
      <w:tblPr>
        <w:tblW w:w="2338" w:type="dxa"/>
        <w:jc w:val="left"/>
        <w:tblInd w:w="0" w:type="dxa"/>
        <w:tblCellMar>
          <w:top w:w="28" w:type="dxa"/>
          <w:left w:w="28" w:type="dxa"/>
          <w:bottom w:w="28" w:type="dxa"/>
          <w:right w:w="28" w:type="dxa"/>
        </w:tblCellMar>
      </w:tblPr>
      <w:tblGrid>
        <w:gridCol w:w="161"/>
        <w:gridCol w:w="331"/>
        <w:gridCol w:w="1846"/>
      </w:tblGrid>
      <w:tr>
        <w:trPr/>
        <w:tc>
          <w:tcPr>
            <w:tcW w:w="16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w:t>
            </w:r>
          </w:p>
        </w:tc>
        <w:tc>
          <w:tcPr>
            <w:tcW w:w="18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Financial Statements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financial statements listed in the accompanying index (page F-1) to the financial statements are filed as part of this Annual Report on Form 10-K.</w:t>
      </w:r>
    </w:p>
    <w:p>
      <w:pPr>
        <w:pStyle w:val="TextBody"/>
        <w:spacing w:lineRule="auto" w:line="273" w:before="0" w:after="0"/>
        <w:jc w:val="left"/>
        <w:rPr/>
      </w:pPr>
      <w:r>
        <w:rPr/>
        <w:t> </w:t>
      </w:r>
    </w:p>
    <w:tbl>
      <w:tblPr>
        <w:tblW w:w="1333" w:type="dxa"/>
        <w:jc w:val="left"/>
        <w:tblInd w:w="0" w:type="dxa"/>
        <w:tblCellMar>
          <w:top w:w="28" w:type="dxa"/>
          <w:left w:w="28" w:type="dxa"/>
          <w:bottom w:w="28" w:type="dxa"/>
          <w:right w:w="28" w:type="dxa"/>
        </w:tblCellMar>
      </w:tblPr>
      <w:tblGrid>
        <w:gridCol w:w="161"/>
        <w:gridCol w:w="331"/>
        <w:gridCol w:w="841"/>
      </w:tblGrid>
      <w:tr>
        <w:trPr/>
        <w:tc>
          <w:tcPr>
            <w:tcW w:w="16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w:t>
            </w:r>
          </w:p>
        </w:tc>
        <w:tc>
          <w:tcPr>
            <w:tcW w:w="8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Exhibits</w:t>
            </w:r>
          </w:p>
        </w:tc>
      </w:tr>
    </w:tbl>
    <w:p>
      <w:pPr>
        <w:pStyle w:val="TextBody"/>
        <w:spacing w:lineRule="auto" w:line="273" w:before="0" w:after="0"/>
        <w:jc w:val="left"/>
        <w:rPr>
          <w:rFonts w:ascii="Times New Roman" w:hAnsi="Times New Roman"/>
          <w:b w:val="false"/>
          <w:sz w:val="20"/>
        </w:rPr>
      </w:pPr>
      <w:r>
        <w:rPr>
          <w:rFonts w:ascii="Times New Roman" w:hAnsi="Times New Roman"/>
          <w:b w:val="false"/>
          <w:sz w:val="20"/>
        </w:rPr>
        <w:t>The exhibits listed on the accompanying index (page E-1) are filed as part of this Annual Report on Form 10-K.</w:t>
      </w:r>
    </w:p>
    <w:p>
      <w:pPr>
        <w:pStyle w:val="TextBody"/>
        <w:spacing w:lineRule="auto" w:line="273" w:before="0" w:after="0"/>
        <w:jc w:val="left"/>
        <w:rPr/>
      </w:pPr>
      <w:r>
        <w:rPr/>
        <w:t> </w:t>
      </w:r>
    </w:p>
    <w:tbl>
      <w:tblPr>
        <w:tblW w:w="3868" w:type="dxa"/>
        <w:jc w:val="left"/>
        <w:tblInd w:w="0" w:type="dxa"/>
        <w:tblCellMar>
          <w:top w:w="28" w:type="dxa"/>
          <w:left w:w="28" w:type="dxa"/>
          <w:bottom w:w="28" w:type="dxa"/>
          <w:right w:w="28" w:type="dxa"/>
        </w:tblCellMar>
      </w:tblPr>
      <w:tblGrid>
        <w:gridCol w:w="161"/>
        <w:gridCol w:w="316"/>
        <w:gridCol w:w="3391"/>
      </w:tblGrid>
      <w:tr>
        <w:trPr/>
        <w:tc>
          <w:tcPr>
            <w:tcW w:w="1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3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w:t>
            </w:r>
          </w:p>
        </w:tc>
        <w:tc>
          <w:tcPr>
            <w:tcW w:w="33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Financial Statements Schedules omitted</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Certain schedules have been omitted because the required information is included in the consolidated financial statements and notes thereto or because they are not applicable or not required.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 INDEX TO FINANCIAL STATEMENTS</w:t>
      </w:r>
    </w:p>
    <w:tbl>
      <w:tblPr>
        <w:tblW w:w="9575" w:type="dxa"/>
        <w:jc w:val="left"/>
        <w:tblInd w:w="0" w:type="dxa"/>
        <w:tblCellMar>
          <w:top w:w="28" w:type="dxa"/>
          <w:left w:w="28" w:type="dxa"/>
          <w:bottom w:w="28" w:type="dxa"/>
          <w:right w:w="28" w:type="dxa"/>
        </w:tblCellMar>
      </w:tblPr>
      <w:tblGrid>
        <w:gridCol w:w="8611"/>
        <w:gridCol w:w="146"/>
        <w:gridCol w:w="146"/>
        <w:gridCol w:w="481"/>
        <w:gridCol w:w="191"/>
      </w:tblGrid>
      <w:tr>
        <w:trPr/>
        <w:tc>
          <w:tcPr>
            <w:tcW w:w="8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27" w:type="dxa"/>
            <w:gridSpan w:val="2"/>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Page</w:t>
            </w:r>
          </w:p>
        </w:tc>
        <w:tc>
          <w:tcPr>
            <w:tcW w:w="19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Consolidated Balance Sheets as of December 31, 2021 and 2020</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F-1</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Consolidated Statement of Operations for each of the three years in the period ended December 31, 2021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F-2</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Consolidated Statements of Changes in Shareholders’ Equity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F-3</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Consolidated Statement of Cash Flows for each of the three years in the period ended December 31, 2021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F-5</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Notes to Consolidated Financial Statements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F-7</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86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Reports of Independent Public Accounting Firms (PCAOB ID 23)</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F-57</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 EXHIBITS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list of exhibits filed with this Annual Report on Form 10-K is included in the Exhibit Index immediately preceding Appendix A to this Annual Report and is incorporated herein by reference.</w:t>
      </w:r>
    </w:p>
    <w:p>
      <w:pPr>
        <w:pStyle w:val="TextBody"/>
        <w:spacing w:lineRule="auto" w:line="273" w:before="0" w:after="0"/>
        <w:jc w:val="left"/>
        <w:rPr/>
      </w:pPr>
      <w:bookmarkStart w:id="25" w:name="item16_form10k_summary"/>
      <w:bookmarkEnd w:id="25"/>
      <w:r>
        <w:rPr/>
        <w:t> </w:t>
      </w:r>
    </w:p>
    <w:p>
      <w:pPr>
        <w:pStyle w:val="TextBody"/>
        <w:spacing w:lineRule="auto" w:line="273" w:before="0" w:after="0"/>
        <w:jc w:val="left"/>
        <w:rPr>
          <w:rFonts w:ascii="Times New Roman" w:hAnsi="Times New Roman"/>
          <w:b/>
          <w:sz w:val="20"/>
        </w:rPr>
      </w:pPr>
      <w:r>
        <w:rPr>
          <w:rFonts w:ascii="Times New Roman" w:hAnsi="Times New Roman"/>
          <w:b/>
          <w:sz w:val="20"/>
        </w:rPr>
        <w:t>ITEM 16. FORM 10-K SUMMARY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Not applicable.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pPr>
      <w:bookmarkStart w:id="26" w:name="appendixa"/>
      <w:bookmarkEnd w:id="26"/>
      <w:r>
        <w:rPr/>
        <w:t> </w:t>
      </w:r>
    </w:p>
    <w:p>
      <w:pPr>
        <w:pStyle w:val="TextBody"/>
        <w:spacing w:lineRule="auto" w:line="273" w:before="0" w:after="0"/>
        <w:jc w:val="center"/>
        <w:rPr>
          <w:rFonts w:ascii="Times New Roman" w:hAnsi="Times New Roman"/>
          <w:b/>
          <w:sz w:val="20"/>
        </w:rPr>
      </w:pPr>
      <w:bookmarkStart w:id="27" w:name="exhibits"/>
      <w:bookmarkEnd w:id="27"/>
      <w:r>
        <w:rPr>
          <w:rFonts w:ascii="Times New Roman" w:hAnsi="Times New Roman"/>
          <w:b/>
          <w:sz w:val="20"/>
        </w:rPr>
        <w:t>EXHIBIT INDEX</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88"/>
        <w:gridCol w:w="9517"/>
      </w:tblGrid>
      <w:tr>
        <w:trPr/>
        <w:tc>
          <w:tcPr>
            <w:tcW w:w="688" w:type="dxa"/>
            <w:tcBorders/>
            <w:shd w:fill="auto" w:val="clear"/>
            <w:vAlign w:val="center"/>
          </w:tcPr>
          <w:p>
            <w:pPr>
              <w:pStyle w:val="TableContents"/>
              <w:spacing w:before="0" w:after="283"/>
              <w:rPr>
                <w:sz w:val="4"/>
                <w:szCs w:val="4"/>
              </w:rPr>
            </w:pPr>
            <w:r>
              <w:rPr>
                <w:sz w:val="4"/>
                <w:szCs w:val="4"/>
              </w:rPr>
            </w:r>
          </w:p>
        </w:tc>
        <w:tc>
          <w:tcPr>
            <w:tcW w:w="9517" w:type="dxa"/>
            <w:tcBorders/>
            <w:shd w:fill="auto" w:val="clear"/>
            <w:vAlign w:val="center"/>
          </w:tcPr>
          <w:p>
            <w:pPr>
              <w:pStyle w:val="TableContents"/>
              <w:spacing w:before="0" w:after="283"/>
              <w:rPr>
                <w:sz w:val="4"/>
                <w:szCs w:val="4"/>
              </w:rPr>
            </w:pPr>
            <w:r>
              <w:rPr>
                <w:sz w:val="4"/>
                <w:szCs w:val="4"/>
              </w:rPr>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3.1#</w:t>
            </w:r>
          </w:p>
        </w:tc>
        <w:tc>
          <w:tcPr>
            <w:tcW w:w="9517" w:type="dxa"/>
            <w:tcBorders/>
            <w:shd w:fill="auto" w:val="clear"/>
            <w:vAlign w:val="center"/>
          </w:tcPr>
          <w:p>
            <w:pPr>
              <w:pStyle w:val="TableContents"/>
              <w:spacing w:lineRule="auto" w:line="252" w:before="0" w:after="0"/>
              <w:ind w:left="0" w:right="0" w:hanging="0"/>
              <w:jc w:val="left"/>
              <w:rPr/>
            </w:pPr>
            <w:hyperlink r:id="rId6">
              <w:r>
                <w:rPr>
                  <w:rStyle w:val="InternetLink"/>
                  <w:rFonts w:ascii="Times New Roman" w:hAnsi="Times New Roman"/>
                  <w:b w:val="false"/>
                  <w:sz w:val="16"/>
                  <w:u w:val="single"/>
                </w:rPr>
                <w:t>Amended and Restated Articles of Green Thumb Industries Inc.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4.1#</w:t>
            </w:r>
          </w:p>
        </w:tc>
        <w:tc>
          <w:tcPr>
            <w:tcW w:w="9517" w:type="dxa"/>
            <w:tcBorders/>
            <w:shd w:fill="auto" w:val="clear"/>
            <w:vAlign w:val="center"/>
          </w:tcPr>
          <w:p>
            <w:pPr>
              <w:pStyle w:val="TableContents"/>
              <w:spacing w:lineRule="auto" w:line="252" w:before="0" w:after="0"/>
              <w:ind w:left="0" w:right="0" w:hanging="0"/>
              <w:jc w:val="left"/>
              <w:rPr/>
            </w:pPr>
            <w:hyperlink r:id="rId7">
              <w:r>
                <w:rPr>
                  <w:rStyle w:val="InternetLink"/>
                  <w:rFonts w:ascii="Times New Roman" w:hAnsi="Times New Roman"/>
                  <w:b w:val="false"/>
                  <w:sz w:val="16"/>
                  <w:u w:val="single"/>
                </w:rPr>
                <w:t>Coattail Agreement, dated June 12, 2018, by and among the Shareholders, Green Thumb Industries Inc. and Odyssey Trust Company.</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w:t>
            </w:r>
          </w:p>
        </w:tc>
        <w:tc>
          <w:tcPr>
            <w:tcW w:w="9517" w:type="dxa"/>
            <w:tcBorders/>
            <w:shd w:fill="auto" w:val="clear"/>
            <w:vAlign w:val="center"/>
          </w:tcPr>
          <w:p>
            <w:pPr>
              <w:pStyle w:val="TableContents"/>
              <w:spacing w:lineRule="auto" w:line="252" w:before="0" w:after="0"/>
              <w:ind w:left="0" w:right="0" w:hanging="0"/>
              <w:jc w:val="left"/>
              <w:rPr/>
            </w:pPr>
            <w:hyperlink r:id="rId8">
              <w:r>
                <w:rPr>
                  <w:rStyle w:val="InternetLink"/>
                  <w:rFonts w:ascii="Times New Roman" w:hAnsi="Times New Roman"/>
                  <w:b w:val="false"/>
                  <w:sz w:val="16"/>
                  <w:u w:val="single"/>
                </w:rPr>
                <w:t>Business Combination Agreement, dated June 12, 2018, by and among Bayswater Uranium Corporation, VCP23, LLC, GTI Finco Inc., 1165318 B.C. Ltd. and GTI23, Inc.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10.2*#</w:t>
            </w:r>
          </w:p>
        </w:tc>
        <w:tc>
          <w:tcPr>
            <w:tcW w:w="9517" w:type="dxa"/>
            <w:tcBorders/>
            <w:shd w:fill="auto" w:val="clear"/>
            <w:vAlign w:val="center"/>
          </w:tcPr>
          <w:p>
            <w:pPr>
              <w:pStyle w:val="TableContents"/>
              <w:spacing w:lineRule="auto" w:line="252" w:before="0" w:after="0"/>
              <w:ind w:left="0" w:right="0" w:hanging="0"/>
              <w:jc w:val="left"/>
              <w:rPr/>
            </w:pPr>
            <w:hyperlink r:id="rId9">
              <w:r>
                <w:rPr>
                  <w:rStyle w:val="InternetLink"/>
                  <w:rFonts w:ascii="Times New Roman" w:hAnsi="Times New Roman"/>
                  <w:b w:val="false"/>
                  <w:sz w:val="16"/>
                  <w:u w:val="single"/>
                </w:rPr>
                <w:t>Membership Interest Purchase Agreement, dated November 12, 2018, by and among the Seller Parties, GTI Core, LLC and Green Thumb Industries Inc.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10.3*#</w:t>
            </w:r>
          </w:p>
        </w:tc>
        <w:tc>
          <w:tcPr>
            <w:tcW w:w="9517" w:type="dxa"/>
            <w:tcBorders/>
            <w:shd w:fill="auto" w:val="clear"/>
            <w:vAlign w:val="center"/>
          </w:tcPr>
          <w:p>
            <w:pPr>
              <w:pStyle w:val="TableContents"/>
              <w:spacing w:lineRule="auto" w:line="252" w:before="0" w:after="0"/>
              <w:ind w:left="0" w:right="0" w:hanging="0"/>
              <w:jc w:val="left"/>
              <w:rPr/>
            </w:pPr>
            <w:hyperlink r:id="rId10">
              <w:r>
                <w:rPr>
                  <w:rStyle w:val="InternetLink"/>
                  <w:rFonts w:ascii="Times New Roman" w:hAnsi="Times New Roman"/>
                  <w:b w:val="false"/>
                  <w:sz w:val="16"/>
                  <w:u w:val="single"/>
                </w:rPr>
                <w:t>Amendment No. 1 to Membership Interest Purchase Agreement, dated June 5, 2019, by and among the Seller Parties, GTI Core, LLC and Green Thumb Industries Inc.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10.4*#</w:t>
            </w:r>
          </w:p>
        </w:tc>
        <w:tc>
          <w:tcPr>
            <w:tcW w:w="9517" w:type="dxa"/>
            <w:tcBorders/>
            <w:shd w:fill="auto" w:val="clear"/>
            <w:vAlign w:val="center"/>
          </w:tcPr>
          <w:p>
            <w:pPr>
              <w:pStyle w:val="TableContents"/>
              <w:spacing w:lineRule="auto" w:line="252" w:before="0" w:after="0"/>
              <w:ind w:left="0" w:right="0" w:hanging="0"/>
              <w:jc w:val="left"/>
              <w:rPr/>
            </w:pPr>
            <w:hyperlink r:id="rId11">
              <w:r>
                <w:rPr>
                  <w:rStyle w:val="InternetLink"/>
                  <w:rFonts w:ascii="Times New Roman" w:hAnsi="Times New Roman"/>
                  <w:b w:val="false"/>
                  <w:sz w:val="16"/>
                  <w:u w:val="single"/>
                </w:rPr>
                <w:t>Agreement and Plan of Merger and Reorganization, dated January 4, 2019, by and among Green Thumb Industries Inc., GTI Merger Sub, LLC and Advanced Grow Labs, LLC.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10.5*#</w:t>
            </w:r>
          </w:p>
        </w:tc>
        <w:tc>
          <w:tcPr>
            <w:tcW w:w="9517" w:type="dxa"/>
            <w:tcBorders/>
            <w:shd w:fill="auto" w:val="clear"/>
            <w:vAlign w:val="center"/>
          </w:tcPr>
          <w:p>
            <w:pPr>
              <w:pStyle w:val="TableContents"/>
              <w:spacing w:lineRule="auto" w:line="252" w:before="0" w:after="0"/>
              <w:ind w:left="0" w:right="0" w:hanging="0"/>
              <w:jc w:val="left"/>
              <w:rPr/>
            </w:pPr>
            <w:hyperlink r:id="rId12">
              <w:r>
                <w:rPr>
                  <w:rStyle w:val="InternetLink"/>
                  <w:rFonts w:ascii="Times New Roman" w:hAnsi="Times New Roman"/>
                  <w:b w:val="false"/>
                  <w:sz w:val="16"/>
                  <w:u w:val="single"/>
                </w:rPr>
                <w:t>First Amendment to the Agreement and Plan of Merger and Reorganization, dated February 11, 2019, by and among Green Thumb Industries Inc., GTI Merger Sub, LLC and Advanced Grow Labs, LLC.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10.6*^</w:t>
            </w:r>
          </w:p>
        </w:tc>
        <w:tc>
          <w:tcPr>
            <w:tcW w:w="9517" w:type="dxa"/>
            <w:tcBorders/>
            <w:shd w:fill="auto" w:val="clear"/>
            <w:vAlign w:val="center"/>
          </w:tcPr>
          <w:p>
            <w:pPr>
              <w:pStyle w:val="TableContents"/>
              <w:spacing w:lineRule="auto" w:line="252" w:before="0" w:after="0"/>
              <w:ind w:left="0" w:right="0" w:hanging="0"/>
              <w:jc w:val="left"/>
              <w:rPr/>
            </w:pPr>
            <w:hyperlink r:id="rId13">
              <w:r>
                <w:rPr>
                  <w:rStyle w:val="InternetLink"/>
                  <w:rFonts w:ascii="Times New Roman" w:hAnsi="Times New Roman"/>
                  <w:b w:val="false"/>
                  <w:sz w:val="16"/>
                  <w:u w:val="single"/>
                </w:rPr>
                <w:t>Second Amendment to the Note Purchase Agreement, dated April 30, 2021, by and among the Issuers, the Purchasers and the Agents.</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10.8#</w:t>
            </w:r>
          </w:p>
        </w:tc>
        <w:tc>
          <w:tcPr>
            <w:tcW w:w="9517" w:type="dxa"/>
            <w:tcBorders/>
            <w:shd w:fill="auto" w:val="clear"/>
            <w:vAlign w:val="center"/>
          </w:tcPr>
          <w:p>
            <w:pPr>
              <w:pStyle w:val="TableContents"/>
              <w:spacing w:lineRule="auto" w:line="252" w:before="0" w:after="0"/>
              <w:ind w:left="0" w:right="0" w:hanging="0"/>
              <w:jc w:val="left"/>
              <w:rPr/>
            </w:pPr>
            <w:hyperlink r:id="rId14">
              <w:r>
                <w:rPr>
                  <w:rStyle w:val="InternetLink"/>
                  <w:rFonts w:ascii="Times New Roman" w:hAnsi="Times New Roman"/>
                  <w:b w:val="false"/>
                  <w:sz w:val="16"/>
                  <w:u w:val="single"/>
                </w:rPr>
                <w:t>Green Thumb Industries Inc. 2018 Stock and Incentive Plan, dated June 11, 2018.</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10.9#</w:t>
            </w:r>
          </w:p>
        </w:tc>
        <w:tc>
          <w:tcPr>
            <w:tcW w:w="9517" w:type="dxa"/>
            <w:tcBorders/>
            <w:shd w:fill="auto" w:val="clear"/>
            <w:vAlign w:val="center"/>
          </w:tcPr>
          <w:p>
            <w:pPr>
              <w:pStyle w:val="TableContents"/>
              <w:spacing w:lineRule="auto" w:line="252" w:before="0" w:after="0"/>
              <w:ind w:left="0" w:right="0" w:hanging="0"/>
              <w:jc w:val="left"/>
              <w:rPr/>
            </w:pPr>
            <w:hyperlink r:id="rId15">
              <w:r>
                <w:rPr>
                  <w:rStyle w:val="InternetLink"/>
                  <w:rFonts w:ascii="Times New Roman" w:hAnsi="Times New Roman"/>
                  <w:b w:val="false"/>
                  <w:sz w:val="16"/>
                  <w:u w:val="single"/>
                </w:rPr>
                <w:t>Amendment No. 1 to the Green Thumb Industries Inc. 2018 Stock and Incentive Plan, dated August 30, 2019.</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10.10#</w:t>
            </w:r>
          </w:p>
        </w:tc>
        <w:tc>
          <w:tcPr>
            <w:tcW w:w="9517" w:type="dxa"/>
            <w:tcBorders/>
            <w:shd w:fill="auto" w:val="clear"/>
            <w:vAlign w:val="center"/>
          </w:tcPr>
          <w:p>
            <w:pPr>
              <w:pStyle w:val="TableContents"/>
              <w:spacing w:lineRule="auto" w:line="252" w:before="0" w:after="0"/>
              <w:ind w:left="0" w:right="0" w:hanging="0"/>
              <w:jc w:val="left"/>
              <w:rPr/>
            </w:pPr>
            <w:hyperlink r:id="rId16">
              <w:r>
                <w:rPr>
                  <w:rStyle w:val="InternetLink"/>
                  <w:rFonts w:ascii="Times New Roman" w:hAnsi="Times New Roman"/>
                  <w:b w:val="false"/>
                  <w:sz w:val="16"/>
                  <w:u w:val="single"/>
                </w:rPr>
                <w:t>Form of Notice of Option Grant.</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10.11#</w:t>
            </w:r>
          </w:p>
        </w:tc>
        <w:tc>
          <w:tcPr>
            <w:tcW w:w="9517" w:type="dxa"/>
            <w:tcBorders/>
            <w:shd w:fill="auto" w:val="clear"/>
            <w:vAlign w:val="center"/>
          </w:tcPr>
          <w:p>
            <w:pPr>
              <w:pStyle w:val="TableContents"/>
              <w:spacing w:lineRule="auto" w:line="252" w:before="0" w:after="0"/>
              <w:ind w:left="0" w:right="0" w:hanging="0"/>
              <w:jc w:val="left"/>
              <w:rPr/>
            </w:pPr>
            <w:hyperlink r:id="rId17">
              <w:r>
                <w:rPr>
                  <w:rStyle w:val="InternetLink"/>
                  <w:rFonts w:ascii="Times New Roman" w:hAnsi="Times New Roman"/>
                  <w:b w:val="false"/>
                  <w:sz w:val="16"/>
                  <w:u w:val="single"/>
                </w:rPr>
                <w:t>Form of Option Agreement.</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10.12#</w:t>
            </w:r>
          </w:p>
        </w:tc>
        <w:tc>
          <w:tcPr>
            <w:tcW w:w="9517" w:type="dxa"/>
            <w:tcBorders/>
            <w:shd w:fill="auto" w:val="clear"/>
            <w:vAlign w:val="center"/>
          </w:tcPr>
          <w:p>
            <w:pPr>
              <w:pStyle w:val="TableContents"/>
              <w:spacing w:lineRule="auto" w:line="252" w:before="0" w:after="0"/>
              <w:ind w:left="0" w:right="0" w:hanging="0"/>
              <w:jc w:val="left"/>
              <w:rPr/>
            </w:pPr>
            <w:hyperlink r:id="rId18">
              <w:r>
                <w:rPr>
                  <w:rStyle w:val="InternetLink"/>
                  <w:rFonts w:ascii="Times New Roman" w:hAnsi="Times New Roman"/>
                  <w:b w:val="false"/>
                  <w:sz w:val="16"/>
                  <w:u w:val="single"/>
                </w:rPr>
                <w:t>Form of Notice of RSU Grant and Agreement.</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10.13</w:t>
            </w:r>
          </w:p>
        </w:tc>
        <w:tc>
          <w:tcPr>
            <w:tcW w:w="9517" w:type="dxa"/>
            <w:tcBorders/>
            <w:shd w:fill="auto" w:val="clear"/>
            <w:vAlign w:val="center"/>
          </w:tcPr>
          <w:p>
            <w:pPr>
              <w:pStyle w:val="TableContents"/>
              <w:spacing w:lineRule="auto" w:line="252" w:before="0" w:after="0"/>
              <w:ind w:left="0" w:right="0" w:hanging="0"/>
              <w:jc w:val="left"/>
              <w:rPr/>
            </w:pPr>
            <w:hyperlink r:id="rId19">
              <w:r>
                <w:rPr>
                  <w:rStyle w:val="InternetLink"/>
                  <w:rFonts w:ascii="Times New Roman" w:hAnsi="Times New Roman"/>
                  <w:b w:val="false"/>
                  <w:sz w:val="16"/>
                  <w:u w:val="single"/>
                </w:rPr>
                <w:t>Form of Indemnification Agreement.</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16.1</w:t>
            </w:r>
          </w:p>
        </w:tc>
        <w:tc>
          <w:tcPr>
            <w:tcW w:w="9517" w:type="dxa"/>
            <w:tcBorders/>
            <w:shd w:fill="auto" w:val="clear"/>
            <w:vAlign w:val="center"/>
          </w:tcPr>
          <w:p>
            <w:pPr>
              <w:pStyle w:val="TableContents"/>
              <w:spacing w:lineRule="auto" w:line="252" w:before="0" w:after="0"/>
              <w:ind w:left="0" w:right="0" w:hanging="0"/>
              <w:jc w:val="left"/>
              <w:rPr/>
            </w:pPr>
            <w:hyperlink r:id="rId20">
              <w:r>
                <w:rPr>
                  <w:rStyle w:val="InternetLink"/>
                  <w:rFonts w:ascii="Times New Roman" w:hAnsi="Times New Roman"/>
                  <w:b w:val="false"/>
                  <w:sz w:val="16"/>
                  <w:u w:val="single"/>
                </w:rPr>
                <w:t>MGO Letter, dated May 13, 2021.</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21.1</w:t>
            </w:r>
          </w:p>
        </w:tc>
        <w:tc>
          <w:tcPr>
            <w:tcW w:w="9517" w:type="dxa"/>
            <w:tcBorders/>
            <w:shd w:fill="auto" w:val="clear"/>
            <w:vAlign w:val="center"/>
          </w:tcPr>
          <w:p>
            <w:pPr>
              <w:pStyle w:val="TableContents"/>
              <w:spacing w:lineRule="auto" w:line="252" w:before="0" w:after="0"/>
              <w:ind w:left="0" w:right="0" w:hanging="0"/>
              <w:jc w:val="left"/>
              <w:rPr/>
            </w:pPr>
            <w:hyperlink w:anchor="gtbif-ex21_1.htm">
              <w:r>
                <w:rPr>
                  <w:rStyle w:val="InternetLink"/>
                  <w:rFonts w:ascii="Times New Roman" w:hAnsi="Times New Roman"/>
                  <w:b w:val="false"/>
                  <w:sz w:val="16"/>
                  <w:u w:val="single"/>
                </w:rPr>
                <w:t>List of Subsidiaries of Green Thumb Industries Inc.</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23.1</w:t>
            </w:r>
          </w:p>
        </w:tc>
        <w:tc>
          <w:tcPr>
            <w:tcW w:w="9517" w:type="dxa"/>
            <w:tcBorders/>
            <w:shd w:fill="auto" w:val="clear"/>
            <w:vAlign w:val="center"/>
          </w:tcPr>
          <w:p>
            <w:pPr>
              <w:pStyle w:val="TableContents"/>
              <w:spacing w:lineRule="auto" w:line="252" w:before="0" w:after="0"/>
              <w:ind w:left="0" w:right="0" w:hanging="0"/>
              <w:jc w:val="left"/>
              <w:rPr/>
            </w:pPr>
            <w:hyperlink w:anchor="gtbif-ex23_1.htm">
              <w:r>
                <w:rPr>
                  <w:rStyle w:val="InternetLink"/>
                  <w:rFonts w:ascii="Times New Roman" w:hAnsi="Times New Roman"/>
                  <w:b w:val="false"/>
                  <w:sz w:val="16"/>
                  <w:u w:val="single"/>
                </w:rPr>
                <w:t>Consent of Independent Registered Public Accounting Firm (BakerTilly).</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23.2</w:t>
            </w:r>
          </w:p>
        </w:tc>
        <w:tc>
          <w:tcPr>
            <w:tcW w:w="9517" w:type="dxa"/>
            <w:tcBorders/>
            <w:shd w:fill="auto" w:val="clear"/>
            <w:vAlign w:val="center"/>
          </w:tcPr>
          <w:p>
            <w:pPr>
              <w:pStyle w:val="TableContents"/>
              <w:spacing w:lineRule="auto" w:line="252" w:before="0" w:after="0"/>
              <w:ind w:left="0" w:right="0" w:hanging="0"/>
              <w:jc w:val="left"/>
              <w:rPr/>
            </w:pPr>
            <w:hyperlink w:anchor="gtbif-ex23_2.htm">
              <w:r>
                <w:rPr>
                  <w:rStyle w:val="InternetLink"/>
                  <w:rFonts w:ascii="Times New Roman" w:hAnsi="Times New Roman"/>
                  <w:b w:val="false"/>
                  <w:sz w:val="16"/>
                  <w:u w:val="single"/>
                </w:rPr>
                <w:t>Consent of Independent Registered Public Accounting Firm (MGO).</w:t>
              </w:r>
            </w:hyperlink>
          </w:p>
        </w:tc>
      </w:tr>
      <w:tr>
        <w:trPr/>
        <w:tc>
          <w:tcPr>
            <w:tcW w:w="688"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31.1</w:t>
            </w:r>
          </w:p>
        </w:tc>
        <w:tc>
          <w:tcPr>
            <w:tcW w:w="9517" w:type="dxa"/>
            <w:tcBorders/>
            <w:shd w:fill="auto" w:val="clear"/>
            <w:vAlign w:val="center"/>
          </w:tcPr>
          <w:p>
            <w:pPr>
              <w:pStyle w:val="TableContents"/>
              <w:spacing w:lineRule="auto" w:line="252" w:before="0" w:after="0"/>
              <w:ind w:left="0" w:right="0" w:hanging="0"/>
              <w:jc w:val="left"/>
              <w:rPr/>
            </w:pPr>
            <w:hyperlink w:anchor="gtbif-ex31_1.htm">
              <w:r>
                <w:rPr>
                  <w:rStyle w:val="InternetLink"/>
                  <w:rFonts w:ascii="Times New Roman" w:hAnsi="Times New Roman"/>
                  <w:b w:val="false"/>
                  <w:sz w:val="16"/>
                  <w:u w:val="single"/>
                </w:rPr>
                <w:t>Certification of Chief Executive Officer required by Rule 13a-14(a) of the Exchange Act.</w:t>
              </w:r>
            </w:hyperlink>
          </w:p>
        </w:tc>
      </w:tr>
      <w:tr>
        <w:trPr/>
        <w:tc>
          <w:tcPr>
            <w:tcW w:w="688"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31.2</w:t>
            </w:r>
          </w:p>
        </w:tc>
        <w:tc>
          <w:tcPr>
            <w:tcW w:w="9517" w:type="dxa"/>
            <w:tcBorders/>
            <w:shd w:fill="auto" w:val="clear"/>
            <w:vAlign w:val="center"/>
          </w:tcPr>
          <w:p>
            <w:pPr>
              <w:pStyle w:val="TableContents"/>
              <w:spacing w:lineRule="auto" w:line="252" w:before="0" w:after="0"/>
              <w:ind w:left="0" w:right="0" w:hanging="0"/>
              <w:jc w:val="left"/>
              <w:rPr/>
            </w:pPr>
            <w:hyperlink w:anchor="gtbif-ex31_2.htm">
              <w:r>
                <w:rPr>
                  <w:rStyle w:val="InternetLink"/>
                  <w:rFonts w:ascii="Times New Roman" w:hAnsi="Times New Roman"/>
                  <w:b w:val="false"/>
                  <w:sz w:val="16"/>
                  <w:u w:val="single"/>
                </w:rPr>
                <w:t>Certification of Chief Financial Officer required by Rule 13a-14(a) of the Exchange Act.</w:t>
              </w:r>
            </w:hyperlink>
          </w:p>
        </w:tc>
      </w:tr>
      <w:tr>
        <w:trPr/>
        <w:tc>
          <w:tcPr>
            <w:tcW w:w="688"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32.1</w:t>
            </w:r>
          </w:p>
        </w:tc>
        <w:tc>
          <w:tcPr>
            <w:tcW w:w="9517" w:type="dxa"/>
            <w:tcBorders/>
            <w:shd w:fill="auto" w:val="clear"/>
            <w:vAlign w:val="center"/>
          </w:tcPr>
          <w:p>
            <w:pPr>
              <w:pStyle w:val="TableContents"/>
              <w:spacing w:lineRule="auto" w:line="252" w:before="0" w:after="0"/>
              <w:ind w:left="0" w:right="0" w:hanging="0"/>
              <w:jc w:val="left"/>
              <w:rPr/>
            </w:pPr>
            <w:hyperlink w:anchor="gtbif-ex32_1.htm">
              <w:r>
                <w:rPr>
                  <w:rStyle w:val="InternetLink"/>
                  <w:rFonts w:ascii="Times New Roman" w:hAnsi="Times New Roman"/>
                  <w:b w:val="false"/>
                  <w:sz w:val="16"/>
                  <w:u w:val="single"/>
                </w:rPr>
                <w:t>Certification of Chief Executive Officer pursuant to Section 1350 of Chapter 63 of the United States Code.</w:t>
              </w:r>
            </w:hyperlink>
          </w:p>
        </w:tc>
      </w:tr>
      <w:tr>
        <w:trPr/>
        <w:tc>
          <w:tcPr>
            <w:tcW w:w="688"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6"/>
              </w:rPr>
              <w:t>32.2</w:t>
            </w:r>
          </w:p>
        </w:tc>
        <w:tc>
          <w:tcPr>
            <w:tcW w:w="9517" w:type="dxa"/>
            <w:tcBorders/>
            <w:shd w:fill="auto" w:val="clear"/>
            <w:vAlign w:val="center"/>
          </w:tcPr>
          <w:p>
            <w:pPr>
              <w:pStyle w:val="TableContents"/>
              <w:spacing w:lineRule="auto" w:line="252" w:before="0" w:after="0"/>
              <w:ind w:left="0" w:right="0" w:hanging="0"/>
              <w:jc w:val="left"/>
              <w:rPr/>
            </w:pPr>
            <w:hyperlink w:anchor="gtbif-ex32_2.htm">
              <w:r>
                <w:rPr>
                  <w:rStyle w:val="InternetLink"/>
                  <w:rFonts w:ascii="Times New Roman" w:hAnsi="Times New Roman"/>
                  <w:b w:val="false"/>
                  <w:sz w:val="16"/>
                  <w:u w:val="single"/>
                </w:rPr>
                <w:t>Certification of Chief Financial Officer pursuant to Section 1350 of Chapter 63 of the United States Code.</w:t>
              </w:r>
            </w:hyperlink>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101.INS</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Inline XBRL Instance Document</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101.SCH</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Inline XBRL Taxonomy Extension Schema Document</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101.CAL</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Inline XBRL Taxonomy Extension Calculation Linkbase Document</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101.DEF</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Inline XBRL Taxonomy Extension Definition Linkbase Document</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101.LAB</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Inline XBRL Taxonomy Extension Label Linkbase Document</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101.PRE</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Inline XBRL Taxonomy Extension Presentation Linkbase Document</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104</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Cover Page Interactive Data File (embedded with Inline XBRL File)</w:t>
            </w:r>
            <w:r>
              <w:rPr>
                <w:rFonts w:ascii="Times New Roman" w:hAnsi="Times New Roman"/>
                <w:sz w:val="16"/>
              </w:rPr>
              <w:t xml:space="preserve"> </w:t>
            </w:r>
          </w:p>
        </w:tc>
      </w:tr>
      <w:tr>
        <w:trPr/>
        <w:tc>
          <w:tcPr>
            <w:tcW w:w="688" w:type="dxa"/>
            <w:tcBorders/>
            <w:shd w:fill="auto" w:val="clear"/>
            <w:vAlign w:val="center"/>
          </w:tcPr>
          <w:p>
            <w:pPr>
              <w:pStyle w:val="TableContents"/>
              <w:spacing w:lineRule="auto" w:line="252" w:before="0" w:after="0"/>
              <w:ind w:left="0" w:right="0" w:hanging="0"/>
              <w:jc w:val="left"/>
              <w:rPr/>
            </w:pPr>
            <w:r>
              <w:rPr/>
              <w:t> </w:t>
            </w:r>
          </w:p>
        </w:tc>
        <w:tc>
          <w:tcPr>
            <w:tcW w:w="9517" w:type="dxa"/>
            <w:tcBorders/>
            <w:shd w:fill="auto" w:val="clear"/>
            <w:vAlign w:val="center"/>
          </w:tcPr>
          <w:p>
            <w:pPr>
              <w:pStyle w:val="TableContents"/>
              <w:spacing w:lineRule="auto" w:line="252" w:before="0" w:after="0"/>
              <w:ind w:left="0" w:right="0" w:hanging="0"/>
              <w:jc w:val="left"/>
              <w:rPr/>
            </w:pPr>
            <w:r>
              <w:rPr/>
              <w:t> </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Certain confidential information has been excluded from this exhibit because it is both (i) not material and (ii) would be competitively harmful if publicly disclosed.</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Previously filed as an exhibit to our Current Report on Form 8-K dated April 30, 2021 filed on May 6, 2021.</w:t>
            </w:r>
          </w:p>
        </w:tc>
      </w:tr>
      <w:tr>
        <w:trPr/>
        <w:tc>
          <w:tcPr>
            <w:tcW w:w="688"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51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Previously filed as an exhibit to our registration statement on Form 10 filed on December 20, 2019.</w:t>
            </w:r>
          </w:p>
        </w:tc>
      </w:tr>
    </w:tbl>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right"/>
        <w:rPr>
          <w:rFonts w:ascii="Times New Roman" w:hAnsi="Times New Roman"/>
          <w:b/>
          <w:sz w:val="20"/>
        </w:rPr>
      </w:pPr>
      <w:r>
        <w:rPr>
          <w:rFonts w:ascii="Times New Roman" w:hAnsi="Times New Roman"/>
          <w:b/>
          <w:sz w:val="20"/>
        </w:rPr>
        <w:t>Appendix A</w:t>
      </w:r>
    </w:p>
    <w:p>
      <w:pPr>
        <w:pStyle w:val="TextBody"/>
        <w:spacing w:lineRule="auto" w:line="273" w:before="0" w:after="0"/>
        <w:jc w:val="center"/>
        <w:rPr>
          <w:rFonts w:ascii="Times New Roman" w:hAnsi="Times New Roman"/>
          <w:b/>
          <w:sz w:val="20"/>
        </w:rPr>
      </w:pPr>
      <w:r>
        <w:rPr>
          <w:rFonts w:ascii="Times New Roman" w:hAnsi="Times New Roman"/>
          <w:b/>
          <w:sz w:val="20"/>
        </w:rPr>
        <w:t>List of Licenses of Green Thumb Industries Inc.</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E-1</w:t>
      </w:r>
    </w:p>
    <w:p>
      <w:pPr>
        <w:pStyle w:val="HorizontalLine"/>
        <w:rPr/>
      </w:pPr>
      <w:r>
        <w:rPr/>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84"/>
        <w:gridCol w:w="1218"/>
        <w:gridCol w:w="1230"/>
        <w:gridCol w:w="855"/>
        <w:gridCol w:w="4418"/>
      </w:tblGrid>
      <w:tr>
        <w:trPr/>
        <w:tc>
          <w:tcPr>
            <w:tcW w:w="2484"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4418"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California</w:t>
            </w:r>
          </w:p>
        </w:tc>
      </w:tr>
      <w:tr>
        <w:trPr/>
        <w:tc>
          <w:tcPr>
            <w:tcW w:w="24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2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 License</w:t>
            </w:r>
          </w:p>
        </w:tc>
        <w:tc>
          <w:tcPr>
            <w:tcW w:w="1230"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5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44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WEHO,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Conditional License</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West Hollywood, CA</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N/A</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Retail Store, Home Delivery and Consumption Conditional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ASSOCIATES DENA,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C10-0000787-LIC</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Pasadena, CA</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2/26/2023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Adult Use Retail Store and Home Delivery Provisional License</w:t>
            </w:r>
          </w:p>
        </w:tc>
      </w:tr>
      <w:tr>
        <w:trPr/>
        <w:tc>
          <w:tcPr>
            <w:tcW w:w="2484" w:type="dxa"/>
            <w:tcBorders/>
            <w:shd w:fill="auto" w:val="clear"/>
            <w:vAlign w:val="center"/>
          </w:tcPr>
          <w:p>
            <w:pPr>
              <w:pStyle w:val="TableContents"/>
              <w:spacing w:lineRule="auto" w:line="252" w:before="0" w:after="0"/>
              <w:ind w:left="0" w:right="0" w:hanging="0"/>
              <w:jc w:val="center"/>
              <w:rPr/>
            </w:pPr>
            <w:r>
              <w:rPr/>
              <w:t> </w:t>
            </w:r>
          </w:p>
        </w:tc>
        <w:tc>
          <w:tcPr>
            <w:tcW w:w="1218" w:type="dxa"/>
            <w:tcBorders/>
            <w:shd w:fill="auto" w:val="clear"/>
            <w:vAlign w:val="center"/>
          </w:tcPr>
          <w:p>
            <w:pPr>
              <w:pStyle w:val="TableContents"/>
              <w:spacing w:lineRule="auto" w:line="252" w:before="0" w:after="0"/>
              <w:ind w:left="0" w:right="0" w:hanging="0"/>
              <w:jc w:val="center"/>
              <w:rPr/>
            </w:pPr>
            <w:r>
              <w:rPr/>
              <w:t> </w:t>
            </w:r>
          </w:p>
        </w:tc>
        <w:tc>
          <w:tcPr>
            <w:tcW w:w="1230" w:type="dxa"/>
            <w:tcBorders/>
            <w:shd w:fill="auto" w:val="clear"/>
            <w:vAlign w:val="center"/>
          </w:tcPr>
          <w:p>
            <w:pPr>
              <w:pStyle w:val="TableContents"/>
              <w:spacing w:lineRule="auto" w:line="252" w:before="0" w:after="0"/>
              <w:ind w:left="0" w:right="0" w:hanging="0"/>
              <w:jc w:val="center"/>
              <w:rPr/>
            </w:pPr>
            <w:r>
              <w:rPr/>
              <w:t> </w:t>
            </w:r>
          </w:p>
        </w:tc>
        <w:tc>
          <w:tcPr>
            <w:tcW w:w="855" w:type="dxa"/>
            <w:tcBorders/>
            <w:shd w:fill="auto" w:val="clear"/>
            <w:vAlign w:val="center"/>
          </w:tcPr>
          <w:p>
            <w:pPr>
              <w:pStyle w:val="TableContents"/>
              <w:spacing w:lineRule="auto" w:line="252" w:before="0" w:after="0"/>
              <w:ind w:left="0" w:right="0" w:hanging="0"/>
              <w:jc w:val="center"/>
              <w:rPr/>
            </w:pPr>
            <w:r>
              <w:rPr/>
              <w:t> </w:t>
            </w:r>
          </w:p>
        </w:tc>
        <w:tc>
          <w:tcPr>
            <w:tcW w:w="4418"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Connecticut</w:t>
            </w:r>
          </w:p>
        </w:tc>
      </w:tr>
      <w:tr>
        <w:trPr/>
        <w:tc>
          <w:tcPr>
            <w:tcW w:w="24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2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 License</w:t>
            </w:r>
          </w:p>
        </w:tc>
        <w:tc>
          <w:tcPr>
            <w:tcW w:w="1230"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5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44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ADVANCED GROW LABS,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MMPR.0000001</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West Haven, CT</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2/6/2023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Processor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ADVANCED GROW LABS,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BAK.0015356</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West Haven, CT</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Bakery License (for Edibles)</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BLUEPOINT WELLNESS OF CONNECTICUT</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MMDF.0000002</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Branford, CT</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4/10/2022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BLUEPOINT WELLNESS OF WESTPORT,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MMDF.0000029</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Westport, CT</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12/17/2022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SOUTHERN CT WELLNESS &amp; HEALING,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MMDF.0000015</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Milford, CT</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02/04/2023*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1218" w:type="dxa"/>
            <w:tcBorders/>
            <w:shd w:fill="auto" w:val="clear"/>
            <w:vAlign w:val="center"/>
          </w:tcPr>
          <w:p>
            <w:pPr>
              <w:pStyle w:val="TableContents"/>
              <w:spacing w:lineRule="auto" w:line="252" w:before="0" w:after="0"/>
              <w:ind w:left="0" w:right="0" w:hanging="0"/>
              <w:jc w:val="center"/>
              <w:rPr/>
            </w:pPr>
            <w:r>
              <w:rPr/>
              <w:t> </w:t>
            </w:r>
          </w:p>
        </w:tc>
        <w:tc>
          <w:tcPr>
            <w:tcW w:w="1230" w:type="dxa"/>
            <w:tcBorders/>
            <w:shd w:fill="auto" w:val="clear"/>
            <w:vAlign w:val="center"/>
          </w:tcPr>
          <w:p>
            <w:pPr>
              <w:pStyle w:val="TableContents"/>
              <w:spacing w:lineRule="auto" w:line="252" w:before="0" w:after="0"/>
              <w:ind w:left="0" w:right="0" w:hanging="0"/>
              <w:jc w:val="center"/>
              <w:rPr/>
            </w:pPr>
            <w:r>
              <w:rPr/>
              <w:t> </w:t>
            </w:r>
          </w:p>
        </w:tc>
        <w:tc>
          <w:tcPr>
            <w:tcW w:w="855" w:type="dxa"/>
            <w:tcBorders/>
            <w:shd w:fill="auto" w:val="clear"/>
            <w:vAlign w:val="center"/>
          </w:tcPr>
          <w:p>
            <w:pPr>
              <w:pStyle w:val="TableContents"/>
              <w:spacing w:lineRule="auto" w:line="252" w:before="0" w:after="0"/>
              <w:ind w:left="0" w:right="0" w:hanging="0"/>
              <w:jc w:val="center"/>
              <w:rPr/>
            </w:pPr>
            <w:r>
              <w:rPr/>
              <w:t> </w:t>
            </w:r>
          </w:p>
        </w:tc>
        <w:tc>
          <w:tcPr>
            <w:tcW w:w="4418"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Florida</w:t>
            </w:r>
          </w:p>
        </w:tc>
      </w:tr>
      <w:tr>
        <w:trPr/>
        <w:tc>
          <w:tcPr>
            <w:tcW w:w="24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2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 License</w:t>
            </w:r>
          </w:p>
        </w:tc>
        <w:tc>
          <w:tcPr>
            <w:tcW w:w="1230"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5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44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KSGNF,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MMTC</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Homestead, FL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9/23/2022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License to Operate a Medical Marijuana Treatment Center</w:t>
            </w:r>
          </w:p>
        </w:tc>
      </w:tr>
      <w:tr>
        <w:trPr/>
        <w:tc>
          <w:tcPr>
            <w:tcW w:w="2484"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1218" w:type="dxa"/>
            <w:tcBorders/>
            <w:shd w:fill="auto" w:val="clear"/>
            <w:vAlign w:val="center"/>
          </w:tcPr>
          <w:p>
            <w:pPr>
              <w:pStyle w:val="TableContents"/>
              <w:spacing w:lineRule="auto" w:line="252" w:before="0" w:after="0"/>
              <w:ind w:left="0" w:right="0" w:hanging="0"/>
              <w:jc w:val="center"/>
              <w:rPr/>
            </w:pPr>
            <w:r>
              <w:rPr/>
              <w:t> </w:t>
            </w:r>
          </w:p>
        </w:tc>
        <w:tc>
          <w:tcPr>
            <w:tcW w:w="1230" w:type="dxa"/>
            <w:tcBorders/>
            <w:shd w:fill="auto" w:val="clear"/>
            <w:vAlign w:val="center"/>
          </w:tcPr>
          <w:p>
            <w:pPr>
              <w:pStyle w:val="TableContents"/>
              <w:spacing w:lineRule="auto" w:line="252" w:before="0" w:after="0"/>
              <w:ind w:left="0" w:right="0" w:hanging="0"/>
              <w:jc w:val="center"/>
              <w:rPr/>
            </w:pPr>
            <w:r>
              <w:rPr/>
              <w:t> </w:t>
            </w:r>
          </w:p>
        </w:tc>
        <w:tc>
          <w:tcPr>
            <w:tcW w:w="855" w:type="dxa"/>
            <w:tcBorders/>
            <w:shd w:fill="auto" w:val="clear"/>
            <w:vAlign w:val="center"/>
          </w:tcPr>
          <w:p>
            <w:pPr>
              <w:pStyle w:val="TableContents"/>
              <w:spacing w:lineRule="auto" w:line="252" w:before="0" w:after="0"/>
              <w:ind w:left="0" w:right="0" w:hanging="0"/>
              <w:jc w:val="center"/>
              <w:rPr/>
            </w:pPr>
            <w:r>
              <w:rPr/>
              <w:t> </w:t>
            </w:r>
          </w:p>
        </w:tc>
        <w:tc>
          <w:tcPr>
            <w:tcW w:w="4418"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Illinois</w:t>
            </w:r>
          </w:p>
        </w:tc>
      </w:tr>
      <w:tr>
        <w:trPr/>
        <w:tc>
          <w:tcPr>
            <w:tcW w:w="24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2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30"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5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44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NH MEDICINAL DISPENSARIES,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280.000042-Disp</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Effingham,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8/22/2022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NH MEDICINAL DISPENSARIES,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284.000004-AUDO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Effingham,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NH MEDICINAL DISPENSARIES,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284.000074-AUDO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Charleston,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OGLESBY,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1503060648</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Oglesby,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3/9/2023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Cultivation/Processing Operation Permit</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OGLESBY,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1503060648-EA</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Oglesby,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Cultivation Center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ROCK ISLAND,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1503060649</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Rock Island,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3/9/2022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Cultivation/Processing Operation Permit</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ROCK ISLAND,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1503060649-EA</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Rock Island,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Cultivation Center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ROCK ISLAND,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1204-324</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Rock Island,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12/31/2021</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Industrial Hemp Processor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OGLESBY,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1204-481</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Oglesby,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12/31/2021</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Industrial Hemp Processor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MUNDELEIN,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280.000002-DISP</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Mundelein,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9/17/2022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MUNDELEIN,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284.000001-AUDO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Mundelein,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MUNDELEIN,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284.000044-AUDO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Joliet,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Provisional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3C COMPASSIONATE CARE CENTER,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280.000027-DISP</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Naperville,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1/29/2023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3C COMPASSIONATE CARE CENTER,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284.000003-AUDO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Naperville,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3C COMPASSIONATE CARE CENTER,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280.000011-DISP</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Joliet,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11/19/2022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3C COMPASSIONATE CARE CENTER,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284.000002-AUDO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Joliet,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3C COMPASSIONATE CARE CENTER,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284.000055-AUDO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Niles,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3C COMPASSIONATE CARE CENTER,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284.000110-AUDO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Lake in the Hills,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Provisional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EVERGREEN DISPENSARY,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280.000003-DISP</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Canton,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9/18/2022</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EVERGREEN DISPENSARY,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284.000005-AUDO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Canton,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EVERGREEN DISPENSARY,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284.000047-AUDO</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Quincy, IL</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3/31/2024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84" w:type="dxa"/>
            <w:tcBorders/>
            <w:shd w:fill="auto" w:val="clear"/>
            <w:vAlign w:val="center"/>
          </w:tcPr>
          <w:p>
            <w:pPr>
              <w:pStyle w:val="TableContents"/>
              <w:spacing w:lineRule="auto" w:line="252" w:before="0" w:after="0"/>
              <w:ind w:left="0" w:right="0" w:hanging="0"/>
              <w:jc w:val="center"/>
              <w:rPr>
                <w:rFonts w:cs="Times New Roman"/>
                <w:bCs w:val="false"/>
                <w:szCs w:val="16"/>
              </w:rPr>
            </w:pPr>
            <w:r>
              <w:rPr>
                <w:rFonts w:cs="Times New Roman"/>
                <w:bCs w:val="false"/>
                <w:szCs w:val="16"/>
              </w:rPr>
              <w:t>﻿</w:t>
            </w:r>
          </w:p>
        </w:tc>
        <w:tc>
          <w:tcPr>
            <w:tcW w:w="1218" w:type="dxa"/>
            <w:tcBorders/>
            <w:shd w:fill="auto" w:val="clear"/>
            <w:vAlign w:val="center"/>
          </w:tcPr>
          <w:p>
            <w:pPr>
              <w:pStyle w:val="TableContents"/>
              <w:spacing w:lineRule="auto" w:line="252" w:before="0" w:after="0"/>
              <w:ind w:left="0" w:right="0" w:hanging="0"/>
              <w:jc w:val="center"/>
              <w:rPr/>
            </w:pPr>
            <w:r>
              <w:rPr/>
              <w:t> </w:t>
            </w:r>
          </w:p>
        </w:tc>
        <w:tc>
          <w:tcPr>
            <w:tcW w:w="1230" w:type="dxa"/>
            <w:tcBorders/>
            <w:shd w:fill="auto" w:val="clear"/>
            <w:vAlign w:val="center"/>
          </w:tcPr>
          <w:p>
            <w:pPr>
              <w:pStyle w:val="TableContents"/>
              <w:spacing w:lineRule="auto" w:line="252" w:before="0" w:after="0"/>
              <w:ind w:left="0" w:right="0" w:hanging="0"/>
              <w:jc w:val="center"/>
              <w:rPr/>
            </w:pPr>
            <w:r>
              <w:rPr/>
              <w:t> </w:t>
            </w:r>
          </w:p>
        </w:tc>
        <w:tc>
          <w:tcPr>
            <w:tcW w:w="855" w:type="dxa"/>
            <w:tcBorders/>
            <w:shd w:fill="auto" w:val="clear"/>
            <w:vAlign w:val="center"/>
          </w:tcPr>
          <w:p>
            <w:pPr>
              <w:pStyle w:val="TableContents"/>
              <w:spacing w:lineRule="auto" w:line="252" w:before="0" w:after="0"/>
              <w:ind w:left="0" w:right="0" w:hanging="0"/>
              <w:jc w:val="center"/>
              <w:rPr/>
            </w:pPr>
            <w:r>
              <w:rPr/>
              <w:t> </w:t>
            </w:r>
          </w:p>
        </w:tc>
        <w:tc>
          <w:tcPr>
            <w:tcW w:w="4418"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Maryland</w:t>
            </w:r>
          </w:p>
        </w:tc>
      </w:tr>
      <w:tr>
        <w:trPr/>
        <w:tc>
          <w:tcPr>
            <w:tcW w:w="24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2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30"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5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4418"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CHESAPEAKE ALTERNATIVES,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P-17-00005</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Centreville, MD</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8/28/2023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Processor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CHESAPEAKE ALTERNATIVES,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D-17-00010</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Bethesda, MD</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11/20/2023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MARYLAND,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G-19-00001</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Centreville, MD</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6/27/2025</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Cultivator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MARYLAND,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D-17-00007</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Silver Spring, MD</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11/20/2023</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MESHOW,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D-18-00021</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Joppa, MD</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4/10/2024</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MARYLAND HEALTH &amp; WELLNESS, LLC</w:t>
            </w:r>
          </w:p>
        </w:tc>
        <w:tc>
          <w:tcPr>
            <w:tcW w:w="12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D-19-00006</w:t>
            </w:r>
          </w:p>
        </w:tc>
        <w:tc>
          <w:tcPr>
            <w:tcW w:w="1230"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Hagerstown, MD</w:t>
            </w:r>
          </w:p>
        </w:tc>
        <w:tc>
          <w:tcPr>
            <w:tcW w:w="85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5/21/2025</w:t>
            </w:r>
          </w:p>
        </w:tc>
        <w:tc>
          <w:tcPr>
            <w:tcW w:w="4418"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33"/>
        <w:gridCol w:w="1606"/>
        <w:gridCol w:w="1284"/>
        <w:gridCol w:w="897"/>
        <w:gridCol w:w="3985"/>
      </w:tblGrid>
      <w:tr>
        <w:trPr/>
        <w:tc>
          <w:tcPr>
            <w:tcW w:w="2433"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3985"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of the State of Massachusetts</w:t>
            </w:r>
          </w:p>
        </w:tc>
      </w:tr>
      <w:tr>
        <w:trPr/>
        <w:tc>
          <w:tcPr>
            <w:tcW w:w="2433"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60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97"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398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RISE HOLDINGS,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MC281674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Holyoke,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RISE HOLDINGS,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MP28453</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Holyoke,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RISE HOLDINGS,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RMD645</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Holyoke,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7/12/2022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Medical Cultivator, Processor and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RMD1465</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Clinton,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03/13/2023*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Medical Cultivator, Processor and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MC282178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Clinton,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6/19/2022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MP281752</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Clinton,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6/19/2022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RMD1586</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Clinton,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7/28/2022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Medical Cultivator, Processor and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MR282034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Chelsea,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12/4/2022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MR282048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Dracut,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12/4/2022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LIBERTY COMPASSION,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MR282207</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Maynard, MA</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2/10/2023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pPr>
            <w:r>
              <w:rPr/>
              <w:t> </w:t>
            </w:r>
          </w:p>
        </w:tc>
        <w:tc>
          <w:tcPr>
            <w:tcW w:w="1606" w:type="dxa"/>
            <w:tcBorders/>
            <w:shd w:fill="auto" w:val="clear"/>
            <w:vAlign w:val="center"/>
          </w:tcPr>
          <w:p>
            <w:pPr>
              <w:pStyle w:val="TableContents"/>
              <w:spacing w:lineRule="auto" w:line="252" w:before="0" w:after="0"/>
              <w:ind w:left="0" w:right="0" w:hanging="0"/>
              <w:jc w:val="left"/>
              <w:rPr/>
            </w:pPr>
            <w:r>
              <w:rPr/>
              <w:t> </w:t>
            </w:r>
          </w:p>
        </w:tc>
        <w:tc>
          <w:tcPr>
            <w:tcW w:w="1284"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left"/>
              <w:rPr/>
            </w:pPr>
            <w:r>
              <w:rPr/>
              <w:t> </w:t>
            </w:r>
          </w:p>
        </w:tc>
        <w:tc>
          <w:tcPr>
            <w:tcW w:w="3985"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Minnesota</w:t>
            </w:r>
          </w:p>
        </w:tc>
      </w:tr>
      <w:tr>
        <w:trPr/>
        <w:tc>
          <w:tcPr>
            <w:tcW w:w="2433"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60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97"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398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Mankato,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2</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Eagan,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3</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Coon Rapids,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St. Paul,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5</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Not Yet Determined</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6</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St. Cloud,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7</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Willmar,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LEAFLINE LABS,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Distric 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Hibbing, MN</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Minnesota Medical Cannabis Manufacturer Registration Agreement</w:t>
            </w:r>
          </w:p>
        </w:tc>
      </w:tr>
      <w:tr>
        <w:trPr/>
        <w:tc>
          <w:tcPr>
            <w:tcW w:w="2433" w:type="dxa"/>
            <w:tcBorders/>
            <w:shd w:fill="auto" w:val="clear"/>
            <w:vAlign w:val="center"/>
          </w:tcPr>
          <w:p>
            <w:pPr>
              <w:pStyle w:val="TableContents"/>
              <w:spacing w:lineRule="auto" w:line="252" w:before="0" w:after="0"/>
              <w:ind w:left="0" w:right="0" w:hanging="0"/>
              <w:jc w:val="left"/>
              <w:rPr/>
            </w:pPr>
            <w:r>
              <w:rPr/>
              <w:t> </w:t>
            </w:r>
          </w:p>
        </w:tc>
        <w:tc>
          <w:tcPr>
            <w:tcW w:w="1606" w:type="dxa"/>
            <w:tcBorders/>
            <w:shd w:fill="auto" w:val="clear"/>
            <w:vAlign w:val="center"/>
          </w:tcPr>
          <w:p>
            <w:pPr>
              <w:pStyle w:val="TableContents"/>
              <w:spacing w:lineRule="auto" w:line="252" w:before="0" w:after="0"/>
              <w:ind w:left="0" w:right="0" w:hanging="0"/>
              <w:jc w:val="left"/>
              <w:rPr/>
            </w:pPr>
            <w:r>
              <w:rPr/>
              <w:t> </w:t>
            </w:r>
          </w:p>
        </w:tc>
        <w:tc>
          <w:tcPr>
            <w:tcW w:w="1284"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left"/>
              <w:rPr/>
            </w:pPr>
            <w:r>
              <w:rPr/>
              <w:t> </w:t>
            </w:r>
          </w:p>
        </w:tc>
        <w:tc>
          <w:tcPr>
            <w:tcW w:w="3985"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Nevada</w:t>
            </w:r>
          </w:p>
        </w:tc>
      </w:tr>
      <w:tr>
        <w:trPr/>
        <w:tc>
          <w:tcPr>
            <w:tcW w:w="2433"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60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97"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398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NEVADA,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97028286992913304766</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12/31/2022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JG RETAIL SERVICES NV,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52125541619394980552</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Spanish Springs,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NEVADA,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18900369179730863251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JG RETAIL SERVICES NV,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45491515276399795916</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Spanish Springs,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NEVADA,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83887504703736981918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NEVADA,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17355802525954961447</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NEVADA,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88939271215332828859</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NEVADA,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69272354565432352821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CCLV MANUFACTURING CENTER,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14501073281263752947</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CCLV MANUFACTURING CENTER,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46723736766369616954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CCLV PRODUCTION,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41146840808916745728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CCLV PRODUCTION,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88867726382068964531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CULTIVATION,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36793887579714409224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CULTIVATION,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70155083229545863037</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Cultivator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CULTIVATION,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62340865056138997248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Distributor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PRODUCTION,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54896246263684448089</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PRODUCTION,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59239887350322215968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Processor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ASSOCIATES,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10197329605365016654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INTEGRAL ASSOCIATES,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06347213896566425206</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Marijuana Retail Store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HENDERSON,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31687553825305698491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Henderson,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HENDERSON,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19873661470522818141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Henderson,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Marijuana Retail Store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HENDERSON,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09271842370730937488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HENDERSON,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18482416987753786163</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2/5/2023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Conditional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HENDERSON,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48470950795921214873</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Sparks,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2/5/2023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Conditional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HENDERSON,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34299986630191194451</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Carson City,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2/5/2023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Conditional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TROPICANA,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54732391061781763853</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TROPICANA,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54135769938859220718</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Marijuana Retail Store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TROPICANA,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15464995890053145809</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11/30/2022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TROPICANA,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48202177934598005793</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Las Vegas,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2/5/2023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Conditional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TROPICANA,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26849340152215972256</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Reno,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11/19/2022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Conditional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ESSENCE TROPICANA,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43490264137335866974</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Henderson, NV</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2/5/2023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Adult Use Dispensary Conditional License</w:t>
            </w:r>
          </w:p>
        </w:tc>
      </w:tr>
      <w:tr>
        <w:trPr/>
        <w:tc>
          <w:tcPr>
            <w:tcW w:w="2433" w:type="dxa"/>
            <w:tcBorders/>
            <w:shd w:fill="auto" w:val="clear"/>
            <w:vAlign w:val="center"/>
          </w:tcPr>
          <w:p>
            <w:pPr>
              <w:pStyle w:val="TableContents"/>
              <w:spacing w:lineRule="auto" w:line="252" w:before="0" w:after="0"/>
              <w:ind w:left="0" w:right="0" w:hanging="0"/>
              <w:jc w:val="center"/>
              <w:rPr>
                <w:rFonts w:cs="Times New Roman"/>
                <w:bCs w:val="false"/>
                <w:szCs w:val="16"/>
              </w:rPr>
            </w:pPr>
            <w:r>
              <w:rPr>
                <w:rFonts w:cs="Times New Roman"/>
                <w:bCs w:val="false"/>
                <w:szCs w:val="16"/>
              </w:rPr>
              <w:t>﻿</w:t>
            </w:r>
          </w:p>
        </w:tc>
        <w:tc>
          <w:tcPr>
            <w:tcW w:w="1606" w:type="dxa"/>
            <w:tcBorders/>
            <w:shd w:fill="auto" w:val="clear"/>
            <w:vAlign w:val="center"/>
          </w:tcPr>
          <w:p>
            <w:pPr>
              <w:pStyle w:val="TableContents"/>
              <w:spacing w:lineRule="auto" w:line="252" w:before="0" w:after="0"/>
              <w:ind w:left="0" w:right="0" w:hanging="0"/>
              <w:jc w:val="center"/>
              <w:rPr/>
            </w:pPr>
            <w:r>
              <w:rPr/>
              <w:t> </w:t>
            </w:r>
          </w:p>
        </w:tc>
        <w:tc>
          <w:tcPr>
            <w:tcW w:w="1284" w:type="dxa"/>
            <w:tcBorders/>
            <w:shd w:fill="auto" w:val="clear"/>
            <w:vAlign w:val="center"/>
          </w:tcPr>
          <w:p>
            <w:pPr>
              <w:pStyle w:val="TableContents"/>
              <w:spacing w:lineRule="auto" w:line="252" w:before="0" w:after="0"/>
              <w:ind w:left="0" w:right="0" w:hanging="0"/>
              <w:jc w:val="center"/>
              <w:rPr/>
            </w:pPr>
            <w:r>
              <w:rPr/>
              <w:t> </w:t>
            </w:r>
          </w:p>
        </w:tc>
        <w:tc>
          <w:tcPr>
            <w:tcW w:w="897" w:type="dxa"/>
            <w:tcBorders/>
            <w:shd w:fill="auto" w:val="clear"/>
            <w:vAlign w:val="center"/>
          </w:tcPr>
          <w:p>
            <w:pPr>
              <w:pStyle w:val="TableContents"/>
              <w:spacing w:lineRule="auto" w:line="252" w:before="0" w:after="0"/>
              <w:ind w:left="0" w:right="0" w:hanging="0"/>
              <w:jc w:val="center"/>
              <w:rPr/>
            </w:pPr>
            <w:r>
              <w:rPr/>
              <w:t> </w:t>
            </w:r>
          </w:p>
        </w:tc>
        <w:tc>
          <w:tcPr>
            <w:tcW w:w="3985" w:type="dxa"/>
            <w:tcBorders/>
            <w:shd w:fill="auto" w:val="clear"/>
            <w:vAlign w:val="center"/>
          </w:tcPr>
          <w:p>
            <w:pPr>
              <w:pStyle w:val="TableContents"/>
              <w:spacing w:lineRule="auto" w:line="252" w:before="0" w:after="0"/>
              <w:ind w:left="0" w:right="0" w:hanging="0"/>
              <w:jc w:val="left"/>
              <w:rPr/>
            </w:pPr>
            <w:r>
              <w:rPr/>
              <w:t> </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New Jersey</w:t>
            </w:r>
          </w:p>
        </w:tc>
      </w:tr>
      <w:tr>
        <w:trPr/>
        <w:tc>
          <w:tcPr>
            <w:tcW w:w="2433"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60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97"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398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NEW JERSEY,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12112019</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Patterson, NJ</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12/31/2022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Cultivation, Processing, Dispensary (Medical)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NEW JERSEY,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12112019</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Paramus, NJ</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12/31/2022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Cultivation, Processing, Dispensary (Medical) Conditional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NEW JERSEY, LLC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12112019</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Bloomfield, NJ</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12/31/2022</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Cultivation, Processing, Dispensary (Medical) Conditional License</w:t>
            </w:r>
          </w:p>
        </w:tc>
      </w:tr>
      <w:tr>
        <w:trPr/>
        <w:tc>
          <w:tcPr>
            <w:tcW w:w="2433"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1606"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1284"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897"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3985" w:type="dxa"/>
            <w:tcBorders/>
            <w:shd w:fill="auto" w:val="clear"/>
            <w:vAlign w:val="center"/>
          </w:tcPr>
          <w:p>
            <w:pPr>
              <w:pStyle w:val="TableContents"/>
              <w:spacing w:lineRule="auto" w:line="252" w:before="0" w:after="0"/>
              <w:ind w:left="0" w:right="0" w:hanging="0"/>
              <w:jc w:val="left"/>
              <w:rPr>
                <w:rFonts w:cs="Times New Roman"/>
                <w:bCs w:val="false"/>
                <w:szCs w:val="14"/>
              </w:rPr>
            </w:pPr>
            <w:r>
              <w:rPr>
                <w:rFonts w:cs="Times New Roman"/>
                <w:bCs w:val="false"/>
                <w:szCs w:val="14"/>
              </w:rPr>
              <w:t>﻿</w:t>
            </w:r>
          </w:p>
        </w:tc>
      </w:tr>
      <w:tr>
        <w:trPr/>
        <w:tc>
          <w:tcPr>
            <w:tcW w:w="1020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New York</w:t>
            </w:r>
          </w:p>
        </w:tc>
      </w:tr>
      <w:tr>
        <w:trPr/>
        <w:tc>
          <w:tcPr>
            <w:tcW w:w="2433"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160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84"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897"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3985"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FIORELLO PHARMACEUTICALS,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MM0701M</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Glenville, NY</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Manufacturing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FIORELLO PHARMACEUTICALS,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MM0702D</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New York, NY</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FIORELLO PHARMACEUTICALS,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MM0703D</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Nassau County, NY</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Provisional 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FIORELLO PHARMACEUTICALS,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MM0704D</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Rochester, NY</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433"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FIORELLO PHARMACEUTICALS, INC.</w:t>
            </w:r>
          </w:p>
        </w:tc>
        <w:tc>
          <w:tcPr>
            <w:tcW w:w="160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MM0705D</w:t>
            </w:r>
          </w:p>
        </w:tc>
        <w:tc>
          <w:tcPr>
            <w:tcW w:w="1284"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Clifton Park, NY</w:t>
            </w:r>
          </w:p>
        </w:tc>
        <w:tc>
          <w:tcPr>
            <w:tcW w:w="897"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7/31/2023</w:t>
            </w:r>
          </w:p>
        </w:tc>
        <w:tc>
          <w:tcPr>
            <w:tcW w:w="3985"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tbl>
      <w:tblPr>
        <w:tblW w:w="8675" w:type="dxa"/>
        <w:jc w:val="left"/>
        <w:tblInd w:w="0" w:type="dxa"/>
        <w:tblCellMar>
          <w:top w:w="28" w:type="dxa"/>
          <w:left w:w="28" w:type="dxa"/>
          <w:bottom w:w="28" w:type="dxa"/>
          <w:right w:w="28" w:type="dxa"/>
        </w:tblCellMar>
      </w:tblPr>
      <w:tblGrid>
        <w:gridCol w:w="2971"/>
        <w:gridCol w:w="991"/>
        <w:gridCol w:w="1216"/>
        <w:gridCol w:w="901"/>
        <w:gridCol w:w="2596"/>
      </w:tblGrid>
      <w:tr>
        <w:trPr/>
        <w:tc>
          <w:tcPr>
            <w:tcW w:w="297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r>
      <w:tr>
        <w:trPr/>
        <w:tc>
          <w:tcPr>
            <w:tcW w:w="867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Ohio</w:t>
            </w:r>
          </w:p>
        </w:tc>
      </w:tr>
      <w:tr>
        <w:trPr/>
        <w:tc>
          <w:tcPr>
            <w:tcW w:w="297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99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1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90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259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MMD.0700015</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Toledo,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7/1/2022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MMD.0700016</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Lorain,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7/1/2022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MMD.0700026</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Cleveland,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7/1/2022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MMD.0700047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Lakewood,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7/1/2022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MMD.0700052</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Lakewood,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7/1/2022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License</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MMCPP00070</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Toledo,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5/18/2022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Processor License</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OHIO,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MMCPC00181</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Toledo, OH</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Provisional</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Provisional Medicinal Cultivator License</w:t>
            </w:r>
          </w:p>
        </w:tc>
      </w:tr>
      <w:tr>
        <w:trPr/>
        <w:tc>
          <w:tcPr>
            <w:tcW w:w="2971" w:type="dxa"/>
            <w:tcBorders/>
            <w:shd w:fill="auto" w:val="clear"/>
            <w:vAlign w:val="center"/>
          </w:tcPr>
          <w:p>
            <w:pPr>
              <w:pStyle w:val="TableContents"/>
              <w:spacing w:lineRule="auto" w:line="252" w:before="0" w:after="0"/>
              <w:ind w:left="0" w:right="0" w:hanging="0"/>
              <w:jc w:val="center"/>
              <w:rPr>
                <w:rFonts w:cs="Times New Roman"/>
                <w:bCs w:val="false"/>
                <w:szCs w:val="14"/>
              </w:rPr>
            </w:pPr>
            <w:r>
              <w:rPr>
                <w:rFonts w:cs="Times New Roman"/>
                <w:bCs w:val="false"/>
                <w:szCs w:val="14"/>
              </w:rPr>
              <w:t>﻿</w:t>
            </w:r>
          </w:p>
        </w:tc>
        <w:tc>
          <w:tcPr>
            <w:tcW w:w="991" w:type="dxa"/>
            <w:tcBorders/>
            <w:shd w:fill="auto" w:val="clear"/>
            <w:vAlign w:val="center"/>
          </w:tcPr>
          <w:p>
            <w:pPr>
              <w:pStyle w:val="TableContents"/>
              <w:spacing w:lineRule="auto" w:line="252" w:before="0" w:after="0"/>
              <w:ind w:left="0" w:right="0" w:hanging="0"/>
              <w:jc w:val="center"/>
              <w:rPr/>
            </w:pPr>
            <w:r>
              <w:rPr/>
              <w:t> </w:t>
            </w:r>
          </w:p>
        </w:tc>
        <w:tc>
          <w:tcPr>
            <w:tcW w:w="1216" w:type="dxa"/>
            <w:tcBorders/>
            <w:shd w:fill="auto" w:val="clear"/>
            <w:vAlign w:val="center"/>
          </w:tcPr>
          <w:p>
            <w:pPr>
              <w:pStyle w:val="TableContents"/>
              <w:spacing w:lineRule="auto" w:line="252" w:before="0" w:after="0"/>
              <w:ind w:left="0" w:right="0" w:hanging="0"/>
              <w:jc w:val="center"/>
              <w:rPr/>
            </w:pPr>
            <w:r>
              <w:rPr/>
              <w:t> </w:t>
            </w:r>
          </w:p>
        </w:tc>
        <w:tc>
          <w:tcPr>
            <w:tcW w:w="901" w:type="dxa"/>
            <w:tcBorders/>
            <w:shd w:fill="auto" w:val="clear"/>
            <w:vAlign w:val="center"/>
          </w:tcPr>
          <w:p>
            <w:pPr>
              <w:pStyle w:val="TableContents"/>
              <w:spacing w:lineRule="auto" w:line="252" w:before="0" w:after="0"/>
              <w:ind w:left="0" w:right="0" w:hanging="0"/>
              <w:jc w:val="center"/>
              <w:rPr/>
            </w:pPr>
            <w:r>
              <w:rPr/>
              <w:t> </w:t>
            </w:r>
          </w:p>
        </w:tc>
        <w:tc>
          <w:tcPr>
            <w:tcW w:w="2596" w:type="dxa"/>
            <w:tcBorders/>
            <w:shd w:fill="auto" w:val="clear"/>
            <w:vAlign w:val="center"/>
          </w:tcPr>
          <w:p>
            <w:pPr>
              <w:pStyle w:val="TableContents"/>
              <w:spacing w:lineRule="auto" w:line="252" w:before="0" w:after="0"/>
              <w:ind w:left="0" w:right="0" w:hanging="0"/>
              <w:jc w:val="left"/>
              <w:rPr/>
            </w:pPr>
            <w:r>
              <w:rPr/>
              <w:t> </w:t>
            </w:r>
          </w:p>
        </w:tc>
      </w:tr>
      <w:tr>
        <w:trPr/>
        <w:tc>
          <w:tcPr>
            <w:tcW w:w="867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Commonwealth of Pennsylvania</w:t>
            </w:r>
          </w:p>
        </w:tc>
      </w:tr>
      <w:tr>
        <w:trPr/>
        <w:tc>
          <w:tcPr>
            <w:tcW w:w="297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99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1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90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259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GP-4006-17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Danville,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6/20/2023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Grower/Processor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D-6002-17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Erie,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6/29/2023*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D-18-3019</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Mechanicsburg,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D-18-3019</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Chambersburg,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D18-3019</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Duncansville,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D18-1044</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Warminster,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D18-1044</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King of Prussia,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D18-5035</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Latrobe,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D18-5035</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Cranberry,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D18-6019</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Monroeville,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KW VENTURES HOLDINGS,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D-3025-17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Steelton,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6/29/2023*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KW VENTURES HOLDINGS,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D-3025-17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York,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6/29/2023*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KW VENTURES HOLDINGS,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D-3025-17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Carlisle,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6/29/2023*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D-6002-17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Hermitage,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6/29/2023*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D-6002-17</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New Castle,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6/29/2023*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D18-6019</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Erie, PA (Peach St.)</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GTI PENNSYLVANIA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D18-6019</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Meadville, PA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12/18/2022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center"/>
              <w:rPr/>
            </w:pPr>
            <w:r>
              <w:rPr/>
              <w:t> </w:t>
            </w:r>
          </w:p>
        </w:tc>
        <w:tc>
          <w:tcPr>
            <w:tcW w:w="991" w:type="dxa"/>
            <w:tcBorders/>
            <w:shd w:fill="auto" w:val="clear"/>
            <w:vAlign w:val="center"/>
          </w:tcPr>
          <w:p>
            <w:pPr>
              <w:pStyle w:val="TableContents"/>
              <w:spacing w:lineRule="auto" w:line="252" w:before="0" w:after="0"/>
              <w:ind w:left="0" w:right="0" w:hanging="0"/>
              <w:jc w:val="center"/>
              <w:rPr/>
            </w:pPr>
            <w:r>
              <w:rPr/>
              <w:t> </w:t>
            </w:r>
          </w:p>
        </w:tc>
        <w:tc>
          <w:tcPr>
            <w:tcW w:w="1216" w:type="dxa"/>
            <w:tcBorders/>
            <w:shd w:fill="auto" w:val="clear"/>
            <w:vAlign w:val="center"/>
          </w:tcPr>
          <w:p>
            <w:pPr>
              <w:pStyle w:val="TableContents"/>
              <w:spacing w:lineRule="auto" w:line="252" w:before="0" w:after="0"/>
              <w:ind w:left="0" w:right="0" w:hanging="0"/>
              <w:jc w:val="center"/>
              <w:rPr/>
            </w:pPr>
            <w:r>
              <w:rPr/>
              <w:t> </w:t>
            </w:r>
          </w:p>
        </w:tc>
        <w:tc>
          <w:tcPr>
            <w:tcW w:w="901" w:type="dxa"/>
            <w:tcBorders/>
            <w:shd w:fill="auto" w:val="clear"/>
            <w:vAlign w:val="center"/>
          </w:tcPr>
          <w:p>
            <w:pPr>
              <w:pStyle w:val="TableContents"/>
              <w:spacing w:lineRule="auto" w:line="252" w:before="0" w:after="0"/>
              <w:ind w:left="0" w:right="0" w:hanging="0"/>
              <w:jc w:val="center"/>
              <w:rPr/>
            </w:pPr>
            <w:r>
              <w:rPr/>
              <w:t> </w:t>
            </w:r>
          </w:p>
        </w:tc>
        <w:tc>
          <w:tcPr>
            <w:tcW w:w="2596" w:type="dxa"/>
            <w:tcBorders/>
            <w:shd w:fill="auto" w:val="clear"/>
            <w:vAlign w:val="center"/>
          </w:tcPr>
          <w:p>
            <w:pPr>
              <w:pStyle w:val="TableContents"/>
              <w:spacing w:lineRule="auto" w:line="252" w:before="0" w:after="0"/>
              <w:ind w:left="0" w:right="0" w:hanging="0"/>
              <w:jc w:val="left"/>
              <w:rPr/>
            </w:pPr>
            <w:r>
              <w:rPr/>
              <w:t> </w:t>
            </w:r>
          </w:p>
        </w:tc>
      </w:tr>
      <w:tr>
        <w:trPr/>
        <w:tc>
          <w:tcPr>
            <w:tcW w:w="867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Rhode Island</w:t>
            </w:r>
          </w:p>
        </w:tc>
      </w:tr>
      <w:tr>
        <w:trPr/>
        <w:tc>
          <w:tcPr>
            <w:tcW w:w="297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99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1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90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259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SUMMIT MEDICAL COMPASSION CENTER, INC.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CC # 003</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Warwick, RI</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10/14/2022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Dispensary (Medical)</w:t>
            </w:r>
          </w:p>
        </w:tc>
      </w:tr>
      <w:tr>
        <w:trPr/>
        <w:tc>
          <w:tcPr>
            <w:tcW w:w="2971" w:type="dxa"/>
            <w:tcBorders/>
            <w:shd w:fill="auto" w:val="clear"/>
            <w:vAlign w:val="center"/>
          </w:tcPr>
          <w:p>
            <w:pPr>
              <w:pStyle w:val="TableContents"/>
              <w:spacing w:lineRule="auto" w:line="252" w:before="0" w:after="0"/>
              <w:ind w:left="0" w:right="0" w:hanging="0"/>
              <w:jc w:val="center"/>
              <w:rPr/>
            </w:pPr>
            <w:r>
              <w:rPr/>
              <w:t> </w:t>
            </w:r>
          </w:p>
        </w:tc>
        <w:tc>
          <w:tcPr>
            <w:tcW w:w="991" w:type="dxa"/>
            <w:tcBorders/>
            <w:shd w:fill="auto" w:val="clear"/>
            <w:vAlign w:val="center"/>
          </w:tcPr>
          <w:p>
            <w:pPr>
              <w:pStyle w:val="TableContents"/>
              <w:spacing w:lineRule="auto" w:line="252" w:before="0" w:after="0"/>
              <w:ind w:left="0" w:right="0" w:hanging="0"/>
              <w:jc w:val="center"/>
              <w:rPr/>
            </w:pPr>
            <w:r>
              <w:rPr/>
              <w:t> </w:t>
            </w:r>
          </w:p>
        </w:tc>
        <w:tc>
          <w:tcPr>
            <w:tcW w:w="1216" w:type="dxa"/>
            <w:tcBorders/>
            <w:shd w:fill="auto" w:val="clear"/>
            <w:vAlign w:val="center"/>
          </w:tcPr>
          <w:p>
            <w:pPr>
              <w:pStyle w:val="TableContents"/>
              <w:spacing w:lineRule="auto" w:line="252" w:before="0" w:after="0"/>
              <w:ind w:left="0" w:right="0" w:hanging="0"/>
              <w:jc w:val="center"/>
              <w:rPr/>
            </w:pPr>
            <w:r>
              <w:rPr/>
              <w:t> </w:t>
            </w:r>
          </w:p>
        </w:tc>
        <w:tc>
          <w:tcPr>
            <w:tcW w:w="901" w:type="dxa"/>
            <w:tcBorders/>
            <w:shd w:fill="auto" w:val="clear"/>
            <w:vAlign w:val="center"/>
          </w:tcPr>
          <w:p>
            <w:pPr>
              <w:pStyle w:val="TableContents"/>
              <w:spacing w:lineRule="auto" w:line="252" w:before="0" w:after="0"/>
              <w:ind w:left="0" w:right="0" w:hanging="0"/>
              <w:jc w:val="center"/>
              <w:rPr/>
            </w:pPr>
            <w:r>
              <w:rPr/>
              <w:t> </w:t>
            </w:r>
          </w:p>
        </w:tc>
        <w:tc>
          <w:tcPr>
            <w:tcW w:w="2596" w:type="dxa"/>
            <w:tcBorders/>
            <w:shd w:fill="auto" w:val="clear"/>
            <w:vAlign w:val="center"/>
          </w:tcPr>
          <w:p>
            <w:pPr>
              <w:pStyle w:val="TableContents"/>
              <w:spacing w:lineRule="auto" w:line="252" w:before="0" w:after="0"/>
              <w:ind w:left="0" w:right="0" w:hanging="0"/>
              <w:jc w:val="left"/>
              <w:rPr/>
            </w:pPr>
            <w:r>
              <w:rPr/>
              <w:t> </w:t>
            </w:r>
          </w:p>
        </w:tc>
      </w:tr>
      <w:tr>
        <w:trPr/>
        <w:tc>
          <w:tcPr>
            <w:tcW w:w="8675" w:type="dxa"/>
            <w:gridSpan w:val="5"/>
            <w:tcBorders/>
            <w:shd w:fill="auto" w:val="clear"/>
            <w:vAlign w:val="center"/>
          </w:tcPr>
          <w:p>
            <w:pPr>
              <w:pStyle w:val="TableContents"/>
              <w:spacing w:lineRule="auto" w:line="252" w:before="0" w:after="0"/>
              <w:ind w:left="0" w:right="0" w:hanging="0"/>
              <w:jc w:val="left"/>
              <w:rPr>
                <w:rFonts w:ascii="Times New Roman" w:hAnsi="Times New Roman"/>
                <w:b w:val="false"/>
                <w:i/>
                <w:sz w:val="14"/>
              </w:rPr>
            </w:pPr>
            <w:r>
              <w:rPr>
                <w:rFonts w:ascii="Times New Roman" w:hAnsi="Times New Roman"/>
                <w:b w:val="false"/>
                <w:i/>
                <w:sz w:val="14"/>
              </w:rPr>
              <w:t>Licenses in the State of Virginia</w:t>
            </w:r>
          </w:p>
        </w:tc>
      </w:tr>
      <w:tr>
        <w:trPr/>
        <w:tc>
          <w:tcPr>
            <w:tcW w:w="297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Holding Entity</w:t>
            </w:r>
          </w:p>
        </w:tc>
        <w:tc>
          <w:tcPr>
            <w:tcW w:w="99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Permit/License</w:t>
            </w:r>
          </w:p>
        </w:tc>
        <w:tc>
          <w:tcPr>
            <w:tcW w:w="121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City</w:t>
            </w:r>
          </w:p>
        </w:tc>
        <w:tc>
          <w:tcPr>
            <w:tcW w:w="901"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Renewal Date</w:t>
            </w:r>
          </w:p>
        </w:tc>
        <w:tc>
          <w:tcPr>
            <w:tcW w:w="2596" w:type="dxa"/>
            <w:tcBorders/>
            <w:shd w:fill="auto" w:val="clear"/>
            <w:vAlign w:val="center"/>
          </w:tcPr>
          <w:p>
            <w:pPr>
              <w:pStyle w:val="TableContents"/>
              <w:spacing w:lineRule="auto" w:line="252" w:before="0" w:after="0"/>
              <w:ind w:left="0" w:right="0" w:hanging="0"/>
              <w:jc w:val="center"/>
              <w:rPr>
                <w:rFonts w:ascii="Times New Roman" w:hAnsi="Times New Roman"/>
                <w:b/>
                <w:sz w:val="14"/>
                <w:u w:val="single"/>
              </w:rPr>
            </w:pPr>
            <w:r>
              <w:rPr>
                <w:rFonts w:ascii="Times New Roman" w:hAnsi="Times New Roman"/>
                <w:b/>
                <w:sz w:val="14"/>
                <w:u w:val="single"/>
              </w:rPr>
              <w:t>Description</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DHARMA PHARMACEUTICALS,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240000001</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Abingdon, VA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1/31/2023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Pharmaceutical Processor Permit (Medical)</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DHARMA PHARMACEUTICALS,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240000001</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Salem, VA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7/31/2022</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DHARMA PHARMACEUTICALS,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240000001</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Abingdon, VA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1/31/2023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Medicinal Dispensary Permit</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DHARMA PHARMACEUTICALS,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247000005</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Christiansburg, VA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2/28/2023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Dispensary (Medical)</w:t>
            </w:r>
          </w:p>
        </w:tc>
      </w:tr>
      <w:tr>
        <w:trPr/>
        <w:tc>
          <w:tcPr>
            <w:tcW w:w="297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DHARMA PHARMACEUTICALS, LLC</w:t>
            </w:r>
          </w:p>
        </w:tc>
        <w:tc>
          <w:tcPr>
            <w:tcW w:w="99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247000006</w:t>
            </w:r>
          </w:p>
        </w:tc>
        <w:tc>
          <w:tcPr>
            <w:tcW w:w="121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Lynchburg, VA</w:t>
            </w:r>
          </w:p>
        </w:tc>
        <w:tc>
          <w:tcPr>
            <w:tcW w:w="901"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2/28/2023</w:t>
            </w:r>
          </w:p>
        </w:tc>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4"/>
              </w:rPr>
            </w:pPr>
            <w:r>
              <w:rPr>
                <w:rFonts w:ascii="Times New Roman" w:hAnsi="Times New Roman"/>
                <w:b w:val="false"/>
                <w:sz w:val="14"/>
              </w:rPr>
              <w:t>Dispensary (Medical)</w:t>
            </w:r>
          </w:p>
        </w:tc>
      </w:tr>
    </w:tbl>
    <w:p>
      <w:pPr>
        <w:pStyle w:val="TextBody"/>
        <w:spacing w:lineRule="auto" w:line="273" w:before="0" w:after="0"/>
        <w:jc w:val="left"/>
        <w:rPr/>
      </w:pPr>
      <w:r>
        <w:rPr/>
        <w:t> </w:t>
      </w:r>
    </w:p>
    <w:tbl>
      <w:tblPr>
        <w:tblW w:w="5582" w:type="dxa"/>
        <w:jc w:val="left"/>
        <w:tblInd w:w="0" w:type="dxa"/>
        <w:tblCellMar>
          <w:top w:w="28" w:type="dxa"/>
          <w:left w:w="28" w:type="dxa"/>
          <w:bottom w:w="28" w:type="dxa"/>
          <w:right w:w="28" w:type="dxa"/>
        </w:tblCellMar>
      </w:tblPr>
      <w:tblGrid>
        <w:gridCol w:w="226"/>
        <w:gridCol w:w="5356"/>
      </w:tblGrid>
      <w:tr>
        <w:trPr/>
        <w:tc>
          <w:tcPr>
            <w:tcW w:w="226" w:type="dxa"/>
            <w:tcBorders/>
            <w:shd w:fill="auto" w:val="clear"/>
            <w:vAlign w:val="center"/>
          </w:tcPr>
          <w:p>
            <w:pPr>
              <w:pStyle w:val="TableContents"/>
              <w:spacing w:before="0" w:after="283"/>
              <w:rPr>
                <w:sz w:val="4"/>
                <w:szCs w:val="4"/>
              </w:rPr>
            </w:pPr>
            <w:r>
              <w:rPr>
                <w:sz w:val="4"/>
                <w:szCs w:val="4"/>
              </w:rPr>
            </w:r>
          </w:p>
        </w:tc>
        <w:tc>
          <w:tcPr>
            <w:tcW w:w="5356"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Annual renewal pending to extend one year from date indicated.</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28" w:name="signatures"/>
      <w:bookmarkEnd w:id="28"/>
      <w:r>
        <w:rPr>
          <w:rFonts w:ascii="Times New Roman" w:hAnsi="Times New Roman"/>
          <w:b/>
          <w:sz w:val="20"/>
        </w:rPr>
        <w:t>SIGNATURES</w:t>
      </w:r>
      <w:r>
        <w:rPr>
          <w:rFonts w:ascii="Times New Roman" w:hAnsi="Times New Roman"/>
          <w:sz w:val="20"/>
        </w:rPr>
        <w:t xml:space="preserve"> </w:t>
      </w:r>
    </w:p>
    <w:p>
      <w:pPr>
        <w:pStyle w:val="TextBody"/>
        <w:spacing w:lineRule="auto" w:line="273" w:before="0" w:after="0"/>
        <w:jc w:val="left"/>
        <w:rPr/>
      </w:pPr>
      <w:r>
        <w:rPr/>
        <w:t> </w:t>
      </w:r>
    </w:p>
    <w:p>
      <w:pPr>
        <w:pStyle w:val="TextBody"/>
        <w:pBdr>
          <w:bottom w:val="single" w:sz="8" w:space="1" w:color="000000"/>
        </w:pBdr>
        <w:spacing w:lineRule="auto" w:line="273" w:before="0" w:after="0"/>
        <w:jc w:val="left"/>
        <w:rPr>
          <w:rFonts w:ascii="Times New Roman" w:hAnsi="Times New Roman"/>
          <w:b w:val="false"/>
          <w:sz w:val="20"/>
        </w:rPr>
      </w:pPr>
      <w:r>
        <w:rPr>
          <w:rFonts w:ascii="Times New Roman" w:hAnsi="Times New Roman"/>
          <w:b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GREEN THUMB INDUSTRIES INC.</w:t>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/s/Benjamin Kovler</w:t>
            </w:r>
          </w:p>
          <w:p>
            <w:pPr>
              <w:pStyle w:val="TableContents"/>
              <w:pBdr>
                <w:top w:val="single" w:sz="8" w:space="1" w:color="000000"/>
              </w:pBdr>
              <w:spacing w:lineRule="atLeast" w:line="141" w:before="2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 Benjamin Kovler</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Title: Chief Executive Officer</w:t>
            </w:r>
          </w:p>
        </w:tc>
      </w:tr>
    </w:tbl>
    <w:p>
      <w:pPr>
        <w:pStyle w:val="TextBody"/>
        <w:spacing w:lineRule="auto" w:line="273" w:before="240" w:after="0"/>
        <w:jc w:val="left"/>
        <w:rPr>
          <w:rFonts w:ascii="Times New Roman" w:hAnsi="Times New Roman"/>
          <w:b w:val="false"/>
          <w:sz w:val="20"/>
        </w:rPr>
      </w:pPr>
      <w:r>
        <w:rPr>
          <w:rFonts w:ascii="Times New Roman" w:hAnsi="Times New Roman"/>
          <w:b w:val="false"/>
          <w:sz w:val="20"/>
        </w:rPr>
        <w:t>Date: March 1, 2022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Pursuant to the requirements of the Securities Exchange Act of 1934, this report has been signed below by the following persons on behalf of the Registrant and in the capacity and on the dates indicated.</w:t>
      </w:r>
    </w:p>
    <w:p>
      <w:pPr>
        <w:pStyle w:val="TextBody"/>
        <w:spacing w:lineRule="auto" w:line="273" w:before="0" w:after="0"/>
        <w:jc w:val="left"/>
        <w:rPr/>
      </w:pPr>
      <w:r>
        <w:rPr/>
        <w:t> </w:t>
      </w:r>
    </w:p>
    <w:tbl>
      <w:tblPr>
        <w:tblW w:w="7855" w:type="dxa"/>
        <w:jc w:val="left"/>
        <w:tblInd w:w="0" w:type="dxa"/>
        <w:tblCellMar>
          <w:top w:w="28" w:type="dxa"/>
          <w:left w:w="28" w:type="dxa"/>
          <w:bottom w:w="28" w:type="dxa"/>
          <w:right w:w="28" w:type="dxa"/>
        </w:tblCellMar>
      </w:tblPr>
      <w:tblGrid>
        <w:gridCol w:w="1966"/>
        <w:gridCol w:w="146"/>
        <w:gridCol w:w="4261"/>
        <w:gridCol w:w="146"/>
        <w:gridCol w:w="1336"/>
      </w:tblGrid>
      <w:tr>
        <w:trPr/>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Name and Signature</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6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Title</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3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Date</w:t>
            </w:r>
          </w:p>
        </w:tc>
      </w:tr>
      <w:tr>
        <w:trPr/>
        <w:tc>
          <w:tcPr>
            <w:tcW w:w="19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4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8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/s/Benjamin Kovler</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Benjamin Kovler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Chairman of the Board and Chief Executive Officer</w:t>
            </w:r>
          </w:p>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b w:val="false"/>
                <w:i/>
                <w:sz w:val="20"/>
              </w:rPr>
              <w:t>Principal Executive Officer</w:t>
            </w: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785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/s/Anthony Georgiadis</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Anthony Georgiadis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 and Chief Financial Officer</w:t>
            </w:r>
          </w:p>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b w:val="false"/>
                <w:i/>
                <w:sz w:val="20"/>
              </w:rPr>
              <w:t>Principal Financial Officer</w:t>
            </w: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785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/s/Wendy Berger</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Wendy Berger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785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/s/William Gruver</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William Gruver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785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/s/Wes Moore</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Wes Moore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785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/s/Dorri McWhorter</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Dorri McWhorter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19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/s/Swati Mylavarapu</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Swati Mylavarapu</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19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1966" w:type="dxa"/>
            <w:tcBorders/>
            <w:shd w:fill="auto" w:val="clear"/>
            <w:tcMar>
              <w:top w:w="0" w:type="dxa"/>
              <w:left w:w="0" w:type="dxa"/>
              <w:bottom w:w="0" w:type="dxa"/>
              <w:right w:w="0" w:type="dxa"/>
            </w:tcMar>
            <w:vAlign w:val="center"/>
          </w:tcPr>
          <w:p>
            <w:pPr>
              <w:pStyle w:val="TableContents"/>
              <w:pBdr>
                <w:bottom w:val="single" w:sz="8" w:space="1" w:color="000000"/>
              </w:pBdr>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/s/Glen Senk</w:t>
            </w:r>
          </w:p>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Glen Senk</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March 1, 2022</w:t>
            </w:r>
          </w:p>
        </w:tc>
      </w:tr>
      <w:tr>
        <w:trPr/>
        <w:tc>
          <w:tcPr>
            <w:tcW w:w="19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19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2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bl>
    <w:p>
      <w:pPr>
        <w:pStyle w:val="TextBody"/>
        <w:spacing w:lineRule="auto" w:line="273" w:before="24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S-1</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bookmarkStart w:id="29" w:name="index_to_consolidated_financial_stmts"/>
      <w:bookmarkStart w:id="30" w:name="consolidated_financial_stmts_and_notes"/>
      <w:bookmarkEnd w:id="29"/>
      <w:bookmarkEnd w:id="30"/>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Consolidated Balance Sheets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As of December 31, 2021 and December 31, 2020</w:t>
      </w:r>
      <w:r>
        <w:rPr>
          <w:rFonts w:ascii="Times New Roman" w:hAnsi="Times New Roman"/>
          <w:sz w:val="20"/>
        </w:rPr>
        <w:t xml:space="preserve"> </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Share Amounts)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bookmarkStart w:id="31" w:name="balance_sheets"/>
      <w:bookmarkEnd w:id="31"/>
      <w:r>
        <w:rPr/>
        <w:t> </w:t>
      </w:r>
    </w:p>
    <w:tbl>
      <w:tblPr>
        <w:tblW w:w="9965" w:type="dxa"/>
        <w:jc w:val="left"/>
        <w:tblInd w:w="0" w:type="dxa"/>
        <w:tblCellMar>
          <w:top w:w="28" w:type="dxa"/>
          <w:left w:w="28" w:type="dxa"/>
          <w:bottom w:w="28" w:type="dxa"/>
          <w:right w:w="28" w:type="dxa"/>
        </w:tblCellMar>
      </w:tblPr>
      <w:tblGrid>
        <w:gridCol w:w="6706"/>
        <w:gridCol w:w="146"/>
        <w:gridCol w:w="210"/>
        <w:gridCol w:w="885"/>
        <w:gridCol w:w="166"/>
        <w:gridCol w:w="146"/>
        <w:gridCol w:w="210"/>
        <w:gridCol w:w="885"/>
        <w:gridCol w:w="611"/>
      </w:tblGrid>
      <w:tr>
        <w:trPr/>
        <w:tc>
          <w:tcPr>
            <w:tcW w:w="6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7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67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70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02"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706" w:type="dxa"/>
            <w:tcBorders/>
            <w:shd w:fill="auto" w:val="cle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230,420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83,758</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22,099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21,415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Inventories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95,471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69,543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Prepaid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11,175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6,445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5,065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2,783</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706"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364,230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183,944</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409,074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189,926</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Right of Use Assets,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176,327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140,383</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94,902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40,795</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Investment in Associate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30,337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12,670</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Intangible Assets,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675,491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406,242</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632,849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382,697</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Deposits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2,641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1,892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2,385,851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1,358,549</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LIABILITIES AND SHAREHOLDERS'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14,086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20,504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84,724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46,652</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Acquisition Consideration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31,732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Compensation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12,022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9,637</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Current Portion of Notes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342</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Current Portion of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9,221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3,862</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Contingent Consideration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50,284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22,150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Income Tax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1,527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16,142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706"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204,379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119,289</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Long-Term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Lease Liabilities, Net of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182,539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146,427</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Notes Payable, Net of Current Portion and Debt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239,151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98,713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Contingent Consideration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33,581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4,950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24,877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39,454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Deferred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81,846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35,558</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766,373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444,391</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COMMITMENTS AND CONTINGENCIES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SHARE 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Subordinate Voting Shares (Shares Authorized, Issued and Outstanding at December 31, 2021:</w:t>
              <w:br/>
              <w:t>   Unlimited, 201,768,312, and 201,768,312, respectively, at December 31, 2020:</w:t>
              <w:br/>
              <w:t>   Unlimited, 178,113,221, and 178,113,221,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17"/>
              </w:rPr>
              <w:t>Multiple Voting Shares (Shares Authorized, Issued and Outstanding at December 31, 2021:</w:t>
              <w:br/>
              <w:t>   Unlimited, 38,531</w:t>
            </w:r>
            <w:r>
              <w:rPr>
                <w:rFonts w:ascii="Times New Roman" w:hAnsi="Times New Roman"/>
                <w:sz w:val="20"/>
              </w:rPr>
              <w:t> </w:t>
            </w:r>
            <w:r>
              <w:rPr>
                <w:rFonts w:ascii="Times New Roman" w:hAnsi="Times New Roman"/>
                <w:b w:val="false"/>
                <w:sz w:val="17"/>
              </w:rPr>
              <w:t>and 38,531, respectively, at December 31, 2020:</w:t>
              <w:br/>
              <w:t>   Unlimited, 40,289</w:t>
            </w:r>
            <w:r>
              <w:rPr>
                <w:rFonts w:ascii="Times New Roman" w:hAnsi="Times New Roman"/>
                <w:sz w:val="20"/>
              </w:rPr>
              <w:t> </w:t>
            </w:r>
            <w:r>
              <w:rPr>
                <w:rFonts w:ascii="Times New Roman" w:hAnsi="Times New Roman"/>
                <w:b w:val="false"/>
                <w:sz w:val="17"/>
              </w:rPr>
              <w:t>and 40,289,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17"/>
              </w:rPr>
              <w:t>Super Voting Shares (Shares Authorized, Issued and Outstanding at December 31, 2021:</w:t>
              <w:br/>
              <w:t>   Unlimited, 285,031</w:t>
            </w:r>
            <w:r>
              <w:rPr>
                <w:rFonts w:ascii="Times New Roman" w:hAnsi="Times New Roman"/>
                <w:sz w:val="20"/>
              </w:rPr>
              <w:t> </w:t>
            </w:r>
            <w:r>
              <w:rPr>
                <w:rFonts w:ascii="Times New Roman" w:hAnsi="Times New Roman"/>
                <w:b w:val="false"/>
                <w:sz w:val="17"/>
              </w:rPr>
              <w:t>and 285,031, respectively, at December 31, 2020:</w:t>
              <w:br/>
              <w:t>   Unlimited, 312,031</w:t>
            </w:r>
            <w:r>
              <w:rPr>
                <w:rFonts w:ascii="Times New Roman" w:hAnsi="Times New Roman"/>
                <w:sz w:val="20"/>
              </w:rPr>
              <w:t> </w:t>
            </w:r>
            <w:r>
              <w:rPr>
                <w:rFonts w:ascii="Times New Roman" w:hAnsi="Times New Roman"/>
                <w:b w:val="false"/>
                <w:sz w:val="17"/>
              </w:rPr>
              <w:t>and 312,031,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Share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1,633,672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1,048,640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Contributed Surplus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21,245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4,893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Deferred Share Issuances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36,262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2,587</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7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(70,063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(145,499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706"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Equity of Green Thumb Industries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1,621,116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910,621</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706"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(1,638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3,537</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TOTAL SHAREHOLDERS'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1,619,478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914,158</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06"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TOTAL LIABILITIES AND SHAREHOLDERS'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2,385,851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1,358,549</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pBdr>
          <w:top w:val="single" w:sz="6" w:space="1" w:color="000000"/>
        </w:pBdr>
        <w:spacing w:lineRule="auto" w:line="273" w:before="0" w:after="0"/>
        <w:jc w:val="left"/>
        <w:rPr>
          <w:rFonts w:ascii="Times New Roman" w:hAnsi="Times New Roman"/>
          <w:sz w:val="20"/>
        </w:rPr>
      </w:pPr>
      <w:r>
        <w:rPr>
          <w:rFonts w:ascii="Times New Roman" w:hAnsi="Times New Roman"/>
          <w:b w:val="false"/>
          <w:sz w:val="20"/>
        </w:rPr>
        <w:t>The accompanying notes are an integral part of these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bookmarkStart w:id="32" w:name="statement_of_operations"/>
      <w:bookmarkEnd w:id="32"/>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Consolidated Statements of Operations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Years Ended December 31, 2021, 2020 and 2019</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Share and Per Share Amounts)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4137"/>
        <w:gridCol w:w="196"/>
        <w:gridCol w:w="1688"/>
        <w:gridCol w:w="196"/>
        <w:gridCol w:w="1688"/>
        <w:gridCol w:w="196"/>
        <w:gridCol w:w="2104"/>
      </w:tblGrid>
      <w:tr>
        <w:trPr/>
        <w:tc>
          <w:tcPr>
            <w:tcW w:w="41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r>
      <w:tr>
        <w:trPr/>
        <w:tc>
          <w:tcPr>
            <w:tcW w:w="4137"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872"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Years Ended December 31,</w:t>
            </w:r>
          </w:p>
        </w:tc>
      </w:tr>
      <w:tr>
        <w:trPr/>
        <w:tc>
          <w:tcPr>
            <w:tcW w:w="4137"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r>
      <w:tr>
        <w:trPr/>
        <w:tc>
          <w:tcPr>
            <w:tcW w:w="4137"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872"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Revenues, net of discounts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893,560</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556,573</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2104"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216,433</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Cost of Goods Sold, net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(401,631)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(252,404)</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(109,402)</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Gross Profit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491,929</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304,169</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107,031</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Expenses: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firstLine="200"/>
              <w:jc w:val="left"/>
              <w:rPr/>
            </w:pPr>
            <w:r>
              <w:rPr/>
              <w:t> </w:t>
            </w:r>
          </w:p>
        </w:tc>
      </w:tr>
      <w:tr>
        <w:trPr/>
        <w:tc>
          <w:tcPr>
            <w:tcW w:w="4137"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Selling, General, and Administrative</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277,087</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198,062</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right"/>
              <w:rPr>
                <w:rFonts w:ascii="Times New Roman" w:hAnsi="Times New Roman"/>
                <w:sz w:val="20"/>
              </w:rPr>
            </w:pPr>
            <w:r>
              <w:rPr>
                <w:rFonts w:ascii="Times New Roman" w:hAnsi="Times New Roman"/>
                <w:b w:val="false"/>
                <w:sz w:val="16"/>
              </w:rPr>
              <w:t>134,721</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400" w:right="0" w:hanging="0"/>
              <w:jc w:val="left"/>
              <w:rPr>
                <w:rFonts w:ascii="Times New Roman" w:hAnsi="Times New Roman"/>
                <w:b/>
                <w:sz w:val="16"/>
              </w:rPr>
            </w:pPr>
            <w:r>
              <w:rPr>
                <w:rFonts w:ascii="Times New Roman" w:hAnsi="Times New Roman"/>
                <w:b/>
                <w:sz w:val="16"/>
              </w:rPr>
              <w:t>Total Expenses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277,087</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198,062</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134,721</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Income From Operations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214,842</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106,107</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(27,690)</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Other Income (Expense):</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firstLine="200"/>
              <w:jc w:val="left"/>
              <w:rPr/>
            </w:pPr>
            <w:r>
              <w:rPr/>
              <w:t> </w:t>
            </w:r>
          </w:p>
        </w:tc>
      </w:tr>
      <w:tr>
        <w:trPr/>
        <w:tc>
          <w:tcPr>
            <w:tcW w:w="4137"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Other Income (Expense), net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10,677</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15,377</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firstLine="200"/>
              <w:jc w:val="right"/>
              <w:rPr/>
            </w:pPr>
            <w:r>
              <w:rPr/>
              <w:t>                </w:t>
            </w:r>
            <w:r>
              <w:rPr>
                <w:rFonts w:ascii="Times New Roman" w:hAnsi="Times New Roman"/>
                <w:b w:val="false"/>
                <w:sz w:val="16"/>
              </w:rPr>
              <w:t>(10,319)</w:t>
            </w:r>
          </w:p>
        </w:tc>
      </w:tr>
      <w:tr>
        <w:trPr/>
        <w:tc>
          <w:tcPr>
            <w:tcW w:w="4137"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Interest Income, net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1,432</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114</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firstLine="200"/>
              <w:jc w:val="right"/>
              <w:rPr>
                <w:rFonts w:ascii="Times New Roman" w:hAnsi="Times New Roman"/>
                <w:sz w:val="20"/>
              </w:rPr>
            </w:pPr>
            <w:r>
              <w:rPr>
                <w:rFonts w:ascii="Times New Roman" w:hAnsi="Times New Roman"/>
                <w:b w:val="false"/>
                <w:sz w:val="16"/>
              </w:rPr>
              <w:t>1,466</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200" w:right="0" w:hanging="0"/>
              <w:jc w:val="left"/>
              <w:rPr>
                <w:rFonts w:ascii="Times New Roman" w:hAnsi="Times New Roman"/>
                <w:b w:val="false"/>
                <w:sz w:val="16"/>
              </w:rPr>
            </w:pPr>
            <w:r>
              <w:rPr>
                <w:rFonts w:ascii="Times New Roman" w:hAnsi="Times New Roman"/>
                <w:b w:val="false"/>
                <w:sz w:val="16"/>
              </w:rPr>
              <w:t>Interest Expense, net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(21,976)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(18,667)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firstLine="400"/>
              <w:jc w:val="right"/>
              <w:rPr/>
            </w:pPr>
            <w:r>
              <w:rPr/>
              <w:t>                </w:t>
            </w:r>
            <w:r>
              <w:rPr>
                <w:rFonts w:ascii="Times New Roman" w:hAnsi="Times New Roman"/>
                <w:b w:val="false"/>
                <w:sz w:val="16"/>
              </w:rPr>
              <w:t>(13,659)</w:t>
            </w:r>
          </w:p>
        </w:tc>
      </w:tr>
      <w:tr>
        <w:trPr/>
        <w:tc>
          <w:tcPr>
            <w:tcW w:w="4137" w:type="dxa"/>
            <w:tcBorders/>
            <w:shd w:fill="auto" w:val="clear"/>
            <w:vAlign w:val="center"/>
          </w:tcPr>
          <w:p>
            <w:pPr>
              <w:pStyle w:val="TableContents"/>
              <w:spacing w:lineRule="auto" w:line="252" w:before="0" w:after="0"/>
              <w:ind w:left="400" w:right="0" w:hanging="0"/>
              <w:jc w:val="left"/>
              <w:rPr>
                <w:rFonts w:ascii="Times New Roman" w:hAnsi="Times New Roman"/>
                <w:b/>
                <w:sz w:val="16"/>
              </w:rPr>
            </w:pPr>
            <w:r>
              <w:rPr>
                <w:rFonts w:ascii="Times New Roman" w:hAnsi="Times New Roman"/>
                <w:b/>
                <w:sz w:val="16"/>
              </w:rPr>
              <w:t>Total Other Income (Expense)</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(9,867)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(3,176)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(22,512)</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Income (Loss) Before Provision for Income Taxes And Non-Controlling Interest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204,975</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102,931</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(50,202)</w:t>
            </w:r>
          </w:p>
        </w:tc>
      </w:tr>
      <w:tr>
        <w:trPr/>
        <w:tc>
          <w:tcPr>
            <w:tcW w:w="4137"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hanging="0"/>
              <w:jc w:val="left"/>
              <w:rPr/>
            </w:pPr>
            <w:r>
              <w:rPr/>
              <w:t> </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Provision For Income Taxes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124,612</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83,853</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9,344</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Net Income (Loss) Before Non-Controlling Interest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80,363</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19,078</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104"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16"/>
              </w:rPr>
              <w:t>(59,546)</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Net Income (Loss) Attributable to Non-Controlling Interest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4,927</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4,085</w:t>
            </w:r>
            <w:r>
              <w:rPr>
                <w:rFonts w:ascii="Times New Roman" w:hAnsi="Times New Roman"/>
                <w:sz w:val="20"/>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(430)</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Net Income (Loss) Attributable To Green Thumb Industries Inc.</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75,436</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14,993</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21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(59,116)</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Net Income (Loss) per share - basic</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0.34</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0.07</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21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(0.31)</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Net Income (Loss) per share - diluted</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0.33</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0.07</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21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(0.31)</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Weighted average number of shares outstanding - basic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223,192,326</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210,988,259</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190,602,400</w:t>
            </w:r>
            <w:r>
              <w:rPr>
                <w:rFonts w:ascii="Times New Roman" w:hAnsi="Times New Roman"/>
                <w:sz w:val="20"/>
              </w:rPr>
              <w:t xml:space="preserve"> </w:t>
            </w:r>
          </w:p>
        </w:tc>
      </w:tr>
      <w:tr>
        <w:trPr/>
        <w:tc>
          <w:tcPr>
            <w:tcW w:w="4137"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Weighted average number of shares outstanding - diluted</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226,758,882</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212,531,188</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190,602,400</w:t>
            </w:r>
            <w:r>
              <w:rPr>
                <w:rFonts w:ascii="Times New Roman" w:hAnsi="Times New Roman"/>
                <w:sz w:val="20"/>
              </w:rPr>
              <w:t xml:space="preserve"> </w:t>
            </w:r>
          </w:p>
        </w:tc>
      </w:tr>
    </w:tbl>
    <w:p>
      <w:pPr>
        <w:pStyle w:val="TextBody"/>
        <w:spacing w:lineRule="auto" w:line="273" w:before="0" w:after="0"/>
        <w:jc w:val="left"/>
        <w:rPr/>
      </w:pPr>
      <w:r>
        <w:rPr/>
        <w:t> </w:t>
      </w:r>
    </w:p>
    <w:p>
      <w:pPr>
        <w:pStyle w:val="TextBody"/>
        <w:pBdr>
          <w:top w:val="single" w:sz="6" w:space="1" w:color="000000"/>
        </w:pBdr>
        <w:spacing w:lineRule="auto" w:line="273" w:before="0" w:after="0"/>
        <w:jc w:val="left"/>
        <w:rPr>
          <w:rFonts w:ascii="Times New Roman" w:hAnsi="Times New Roman"/>
          <w:sz w:val="20"/>
        </w:rPr>
      </w:pPr>
      <w:r>
        <w:rPr>
          <w:rFonts w:ascii="Times New Roman" w:hAnsi="Times New Roman"/>
          <w:b w:val="false"/>
          <w:sz w:val="20"/>
        </w:rPr>
        <w:t>The accompanying notes are an integral part of these consolidated financial statements</w:t>
      </w:r>
      <w:r>
        <w:rPr>
          <w:rFonts w:ascii="Times New Roman" w:hAnsi="Times New Roman"/>
          <w:sz w:val="20"/>
        </w:rPr>
        <w:t xml:space="preserve"> </w:t>
      </w:r>
    </w:p>
    <w:p>
      <w:pPr>
        <w:pStyle w:val="TextBody"/>
        <w:spacing w:lineRule="auto" w:line="273" w:before="9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bookmarkStart w:id="33" w:name="statements_of_shareholders_equity"/>
      <w:bookmarkEnd w:id="33"/>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Consolidated Statements of Changes in Shareholders’ Equity</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Years Ended December 31, 2021, 2020 and 2019</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tbl>
      <w:tblPr>
        <w:tblW w:w="10606" w:type="dxa"/>
        <w:jc w:val="left"/>
        <w:tblInd w:w="0" w:type="dxa"/>
        <w:tblCellMar>
          <w:top w:w="28" w:type="dxa"/>
          <w:left w:w="28" w:type="dxa"/>
          <w:bottom w:w="28" w:type="dxa"/>
          <w:right w:w="28" w:type="dxa"/>
        </w:tblCellMar>
      </w:tblPr>
      <w:tblGrid>
        <w:gridCol w:w="1201"/>
        <w:gridCol w:w="146"/>
        <w:gridCol w:w="196"/>
        <w:gridCol w:w="826"/>
        <w:gridCol w:w="146"/>
        <w:gridCol w:w="146"/>
        <w:gridCol w:w="196"/>
        <w:gridCol w:w="661"/>
        <w:gridCol w:w="166"/>
        <w:gridCol w:w="146"/>
        <w:gridCol w:w="243"/>
        <w:gridCol w:w="823"/>
        <w:gridCol w:w="166"/>
        <w:gridCol w:w="146"/>
        <w:gridCol w:w="196"/>
        <w:gridCol w:w="661"/>
        <w:gridCol w:w="166"/>
        <w:gridCol w:w="146"/>
        <w:gridCol w:w="233"/>
        <w:gridCol w:w="893"/>
        <w:gridCol w:w="166"/>
        <w:gridCol w:w="146"/>
        <w:gridCol w:w="352"/>
        <w:gridCol w:w="1029"/>
        <w:gridCol w:w="166"/>
        <w:gridCol w:w="146"/>
        <w:gridCol w:w="196"/>
        <w:gridCol w:w="691"/>
        <w:gridCol w:w="21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Share</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Shares to </w:t>
              <w:br/>
              <w:t>Be Issued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Contributed</w:t>
              <w:br/>
              <w:t>Surplus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Deferred Share</w:t>
              <w:br/>
              <w:t>Issuance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Accumulated</w:t>
              <w:br/>
              <w:t>Earnings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Non-Controlling</w:t>
              <w:br/>
              <w:t>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January 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397,590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27,773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14,203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(100,878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342,185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 xml:space="preserve">Adoption of ASC 842, </w:t>
            </w:r>
            <w:r>
              <w:rPr>
                <w:rFonts w:ascii="Times New Roman" w:hAnsi="Times New Roman"/>
                <w:b w:val="false"/>
                <w:i/>
                <w:sz w:val="18"/>
              </w:rPr>
              <w:t>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(498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(498</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Noncontrolling interests adjustment for change in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22,461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(27,773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(1,129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5,312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(1,129</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Contributions from limited liability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1,650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shares under business combinations and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530,698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(23,698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507,000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share issuances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16,587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16,587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shares for redemption of 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29,889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(4,469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25,420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18,285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18,285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Shares issued in consideration of 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Exercise of broker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Shares withheld in lieu of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(125</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Distributions to limited liability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(7,516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(7,516</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(59,116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(59,546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980,638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3,961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16,587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(160,492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2,513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843,207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January 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980,638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3,961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16,587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(160,492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2,513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843,207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Noncontrolling interests adjustment for change in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Contributions from limited liability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 xml:space="preserve">Issuance of shares under business combinations and </w:t>
              <w:br/>
              <w:t>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27,223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(17,407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9,816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 xml:space="preserve">Contingent consideration, and other adjustments to </w:t>
              <w:br/>
              <w:t>   purchase accounting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22,886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22,886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deferred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Distribution of deferred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14,752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(14,752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Exercise of options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(1,179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1,640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19,337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19,337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Distributions to third party and limited liability</w:t>
              <w:br/>
              <w:t>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102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(2,789</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14,993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4,085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19,078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1,048,640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(145,499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3,537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914,158</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accompanying notes are an integral part of these consolidated financial statements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Consolidated Statements of Changes in Shareholders’ Equity</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Years Ended December 31, 2021, 2020 and 2019</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tbl>
      <w:tblPr>
        <w:tblW w:w="10435" w:type="dxa"/>
        <w:jc w:val="left"/>
        <w:tblInd w:w="0" w:type="dxa"/>
        <w:tblCellMar>
          <w:top w:w="28" w:type="dxa"/>
          <w:left w:w="28" w:type="dxa"/>
          <w:bottom w:w="28" w:type="dxa"/>
          <w:right w:w="28" w:type="dxa"/>
        </w:tblCellMar>
      </w:tblPr>
      <w:tblGrid>
        <w:gridCol w:w="1201"/>
        <w:gridCol w:w="146"/>
        <w:gridCol w:w="196"/>
        <w:gridCol w:w="826"/>
        <w:gridCol w:w="146"/>
        <w:gridCol w:w="146"/>
        <w:gridCol w:w="228"/>
        <w:gridCol w:w="403"/>
        <w:gridCol w:w="146"/>
        <w:gridCol w:w="146"/>
        <w:gridCol w:w="243"/>
        <w:gridCol w:w="823"/>
        <w:gridCol w:w="166"/>
        <w:gridCol w:w="146"/>
        <w:gridCol w:w="196"/>
        <w:gridCol w:w="601"/>
        <w:gridCol w:w="166"/>
        <w:gridCol w:w="146"/>
        <w:gridCol w:w="233"/>
        <w:gridCol w:w="893"/>
        <w:gridCol w:w="166"/>
        <w:gridCol w:w="146"/>
        <w:gridCol w:w="315"/>
        <w:gridCol w:w="1066"/>
        <w:gridCol w:w="166"/>
        <w:gridCol w:w="146"/>
        <w:gridCol w:w="196"/>
        <w:gridCol w:w="826"/>
        <w:gridCol w:w="21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Share</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Shares to </w:t>
              <w:br/>
              <w:t>Be 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Contributed</w:t>
              <w:br/>
              <w:t>Surplus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Deferred Share</w:t>
              <w:br/>
              <w:t>Issuance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Accumulated</w:t>
              <w:br/>
              <w:t>Earnings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Non-Controlling</w:t>
              <w:br/>
              <w:t>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January 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1,048,640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(145,499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6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914,158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shares for redemption of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4,070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(4,996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shares under business</w:t>
              <w:br/>
              <w:t>   combinations and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343,281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343,303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Shares issued as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23,818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9,654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33,472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deferred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37,565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37,565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Distribution of deferred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(3,890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Issuance of registered shares pursuant to</w:t>
              <w:br/>
              <w:t>   Form 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155,803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155,498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Exercise of options, RSUs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46,758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(32,498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14,260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Warrants and shares issued in association with notes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24,875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25,146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Shares issued for settlement of business dispute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7,135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19,600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19,600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Distributions to limited liability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 w:type="dxa"/>
            <w:tcBorders/>
            <w:shd w:fill="auto" w:val="clear"/>
            <w:vAlign w:val="center"/>
          </w:tcPr>
          <w:p>
            <w:pPr>
              <w:pStyle w:val="TableContents"/>
              <w:spacing w:lineRule="auto" w:line="252" w:before="0" w:after="0"/>
              <w:ind w:left="0" w:right="0" w:hanging="0"/>
              <w:jc w:val="left"/>
              <w:rPr/>
            </w:pPr>
            <w:r>
              <w:rPr/>
              <w:t> </w:t>
            </w:r>
          </w:p>
        </w:tc>
        <w:tc>
          <w:tcPr>
            <w:tcW w:w="89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(11,028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(11,028</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75,436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4,927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80,363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20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Balance,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1,633,672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4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21,245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36,262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(70,063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(1,638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1,619,478</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accompanying notes are an integral part of these consolidated financial statements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Consolidated Statements of Cash Flows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Years Ended December 31, 2021, 2020 and 2019</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073"/>
        <w:gridCol w:w="146"/>
        <w:gridCol w:w="196"/>
        <w:gridCol w:w="751"/>
        <w:gridCol w:w="166"/>
        <w:gridCol w:w="146"/>
        <w:gridCol w:w="196"/>
        <w:gridCol w:w="661"/>
        <w:gridCol w:w="166"/>
        <w:gridCol w:w="146"/>
        <w:gridCol w:w="196"/>
        <w:gridCol w:w="751"/>
        <w:gridCol w:w="611"/>
      </w:tblGrid>
      <w:tr>
        <w:trPr/>
        <w:tc>
          <w:tcPr>
            <w:tcW w:w="60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07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Year Ended December 31,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7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2019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7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(in thousands)</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73"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CASH FLOW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Net income (loss) attributable to Green Thumb Industries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75,436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14,993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(59,116</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Net income (loss) attributable to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4,927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4,085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(430</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Adjustments to reconcile net income (loss) to net cash provided by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68,458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52,506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31,482</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Amortization of operating lease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34,124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26,287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7,291</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Loss on extinguishment of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10,645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Loss on disposal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314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Impairment of long-lived fixed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4,744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(Earnings) loss from equity method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(1,799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(2,320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56</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Bad debt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488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367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Deferred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(4,763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(13,681</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19,600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19,337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18,285</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(Increase) decrease in fair value of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(6,377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(26,371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5,586</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Interest on contingent consideration payable and acquisition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2,965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1,235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3,909</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Decrease in fair value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(11,238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(9,877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(Decrease) increase in fair value of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(14,577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23,002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(4,160</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Shares issued for settlement of business dispute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7,135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Decrease in fair value of note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816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6,609</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Amortization of debt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7,235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5,159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5,178</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073"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(646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(14,252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(792</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Inventories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(16,439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(23,377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(19,929</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(4,863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(5,657</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Deposits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(749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(307</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(9,525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11,674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(1,398</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Accrued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10,165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18,684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10,367</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(28,597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(17,682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(6,488</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val="false"/>
                <w:sz w:val="17"/>
              </w:rPr>
            </w:pPr>
            <w:r>
              <w:rPr>
                <w:rFonts w:ascii="Times New Roman" w:hAnsi="Times New Roman"/>
                <w:b w:val="false"/>
                <w:sz w:val="17"/>
              </w:rPr>
              <w:t>Income tax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(14,615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8,540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5,048</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NET CASH PROVIDED BY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132,048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95,918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(18,014</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r>
      <w:tr>
        <w:trPr/>
        <w:tc>
          <w:tcPr>
            <w:tcW w:w="6073"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CASH FLOW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(187,850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(59,797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(88,557</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Proceeds from disposal of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11,799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20,326</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Purchase of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(79,050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(525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Proceeds from sale of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18,417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170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Repayment of note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3,000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Purchase of businesses, net of cash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(32,356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(8,921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(109,440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(280,730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(57,274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(174,671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r>
      <w:tr>
        <w:trPr/>
        <w:tc>
          <w:tcPr>
            <w:tcW w:w="6073"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CASH FLOW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Contributions from unconsolidated affiliates and limited liability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1,650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Distributions to third parties and limited liability company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(11,028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(2,789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(7,516</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Net proceeds from issuance of registered shares pursuant to Form 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155,498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Proceeds from exercise of options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14,260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540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Proceeds from issuance of notes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208,700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117,436</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Principal repayment of notes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(70,507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(304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(18,744</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Purchase of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(150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073"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Prepayment penalty and other costs associated with refinancing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(3,254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NET CASH PROVIDED BY (USED IN)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295,344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(1,553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93,366</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73"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NET INCREASE IN CASH AND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146,662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37,091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(99,319</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7"/>
              </w:rPr>
            </w:pPr>
            <w:r>
              <w:rPr>
                <w:rFonts w:ascii="Times New Roman" w:hAnsi="Times New Roman"/>
                <w:b w:val="false"/>
                <w:sz w:val="17"/>
              </w:rPr>
              <w:t>)</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CASH, CASH EQUIVALENTS AND RESTRICTED CASH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83,758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46,667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145,986</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073" w:type="dxa"/>
            <w:tcBorders/>
            <w:shd w:fill="auto" w:val="clear"/>
            <w:vAlign w:val="center"/>
          </w:tcPr>
          <w:p>
            <w:pPr>
              <w:pStyle w:val="TableContents"/>
              <w:spacing w:lineRule="auto" w:line="252" w:before="0" w:after="0"/>
              <w:ind w:left="400" w:right="0" w:hanging="0"/>
              <w:jc w:val="left"/>
              <w:rPr>
                <w:rFonts w:ascii="Times New Roman" w:hAnsi="Times New Roman"/>
                <w:b/>
                <w:sz w:val="17"/>
              </w:rPr>
            </w:pPr>
            <w:r>
              <w:rPr>
                <w:rFonts w:ascii="Times New Roman" w:hAnsi="Times New Roman"/>
                <w:b/>
                <w:sz w:val="17"/>
              </w:rPr>
              <w:t>CASH, CASH EQUIVALENTS AND RESTRICTED CASH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230,420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83,758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7"/>
              </w:rPr>
            </w:pPr>
            <w:r>
              <w:rPr>
                <w:rFonts w:ascii="Times New Roman" w:hAnsi="Times New Roman"/>
                <w:b/>
                <w:sz w:val="17"/>
              </w:rPr>
              <w:t>46,667</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7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20" w:after="0"/>
        <w:jc w:val="left"/>
        <w:rPr/>
      </w:pPr>
      <w:r>
        <w:rPr/>
        <w:t> </w:t>
      </w:r>
    </w:p>
    <w:p>
      <w:pPr>
        <w:pStyle w:val="TextBody"/>
        <w:pBdr>
          <w:top w:val="single" w:sz="6" w:space="1" w:color="000000"/>
        </w:pBdr>
        <w:spacing w:lineRule="auto" w:line="273" w:before="0" w:after="0"/>
        <w:jc w:val="left"/>
        <w:rPr>
          <w:rFonts w:ascii="Times New Roman" w:hAnsi="Times New Roman"/>
          <w:sz w:val="20"/>
        </w:rPr>
      </w:pPr>
      <w:r>
        <w:rPr>
          <w:rFonts w:ascii="Times New Roman" w:hAnsi="Times New Roman"/>
          <w:b w:val="false"/>
          <w:sz w:val="20"/>
        </w:rPr>
        <w:t>The accompanying notes are an integral part of these consolidated financial statements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F-5</w:t>
      </w:r>
    </w:p>
    <w:p>
      <w:pPr>
        <w:pStyle w:val="HorizontalLine"/>
        <w:rPr/>
      </w:pPr>
      <w:r>
        <w:rPr/>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Consolidated Statements of Cash Flows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Years Ended December 31, 2021, 2020 and 2019</w:t>
      </w:r>
    </w:p>
    <w:p>
      <w:pPr>
        <w:pStyle w:val="TextBody"/>
        <w:spacing w:lineRule="auto" w:line="273" w:before="0" w:after="0"/>
        <w:jc w:val="center"/>
        <w:rPr>
          <w:rFonts w:ascii="Times New Roman" w:hAnsi="Times New Roman"/>
          <w:sz w:val="20"/>
        </w:rPr>
      </w:pPr>
      <w:r>
        <w:rPr>
          <w:rFonts w:ascii="Times New Roman" w:hAnsi="Times New Roman"/>
          <w:b w:val="false"/>
          <w:i/>
          <w:sz w:val="20"/>
        </w:rPr>
        <w:t>(Amounts Expressed in Thousands of United States Dollars)</w:t>
      </w:r>
      <w:r>
        <w:rPr>
          <w:rFonts w:ascii="Times New Roman" w:hAnsi="Times New Roman"/>
          <w:sz w:val="20"/>
        </w:rPr>
        <w:t xml:space="preserve"> </w:t>
      </w:r>
    </w:p>
    <w:p>
      <w:pPr>
        <w:pStyle w:val="TextBody"/>
        <w:pBdr>
          <w:bottom w:val="single" w:sz="6" w:space="1" w:color="000000"/>
        </w:pBdr>
        <w:spacing w:lineRule="auto" w:line="273" w:before="0" w:after="0"/>
        <w:jc w:val="center"/>
        <w:rPr/>
      </w:pPr>
      <w:r>
        <w:rPr/>
        <w:t> </w:t>
      </w:r>
    </w:p>
    <w:p>
      <w:pPr>
        <w:pStyle w:val="TextBody"/>
        <w:spacing w:lineRule="auto" w:line="273" w:before="0" w:after="0"/>
        <w:jc w:val="center"/>
        <w:rPr/>
      </w:pPr>
      <w:r>
        <w:rPr/>
        <w:t> </w:t>
      </w:r>
    </w:p>
    <w:tbl>
      <w:tblPr>
        <w:tblW w:w="9123" w:type="dxa"/>
        <w:jc w:val="left"/>
        <w:tblInd w:w="0" w:type="dxa"/>
        <w:tblCellMar>
          <w:top w:w="28" w:type="dxa"/>
          <w:left w:w="28" w:type="dxa"/>
          <w:bottom w:w="28" w:type="dxa"/>
          <w:right w:w="28" w:type="dxa"/>
        </w:tblCellMar>
      </w:tblPr>
      <w:tblGrid>
        <w:gridCol w:w="5191"/>
        <w:gridCol w:w="146"/>
        <w:gridCol w:w="196"/>
        <w:gridCol w:w="751"/>
        <w:gridCol w:w="166"/>
        <w:gridCol w:w="146"/>
        <w:gridCol w:w="196"/>
        <w:gridCol w:w="661"/>
        <w:gridCol w:w="166"/>
        <w:gridCol w:w="146"/>
        <w:gridCol w:w="196"/>
        <w:gridCol w:w="751"/>
        <w:gridCol w:w="411"/>
      </w:tblGrid>
      <w:tr>
        <w:trPr/>
        <w:tc>
          <w:tcPr>
            <w:tcW w:w="5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1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Year Ended 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2019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7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7"/>
              </w:rPr>
            </w:pPr>
            <w:r>
              <w:rPr>
                <w:rFonts w:ascii="Times New Roman" w:hAnsi="Times New Roman"/>
                <w:b/>
                <w:sz w:val="17"/>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SUPPLEMENTAL DISCLOSURE OF CASH FLOW INFORMATION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Interest paid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15,311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12,762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5,019</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sz w:val="17"/>
              </w:rPr>
            </w:pPr>
            <w:r>
              <w:rPr>
                <w:rFonts w:ascii="Times New Roman" w:hAnsi="Times New Roman"/>
                <w:b/>
                <w:sz w:val="17"/>
              </w:rPr>
              <w:t>NONCASH INVESTING AND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Accrued capital expenditures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22,096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(2,029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14,950</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Noncash increase in right of 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(27,035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(79,085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(63,477</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Noncash increase in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27,035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79,085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63,975</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sz w:val="17"/>
              </w:rPr>
            </w:pPr>
            <w:r>
              <w:rPr>
                <w:rFonts w:ascii="Times New Roman" w:hAnsi="Times New Roman"/>
                <w:b w:val="false"/>
                <w:sz w:val="17"/>
              </w:rPr>
              <w:t xml:space="preserve">Net liability upon adoption of ASC 842, </w:t>
            </w:r>
            <w:r>
              <w:rPr>
                <w:rFonts w:ascii="Times New Roman" w:hAnsi="Times New Roman"/>
                <w:b w:val="false"/>
                <w:i/>
                <w:sz w:val="17"/>
              </w:rPr>
              <w:t>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(498</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Exercise of put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(1,129</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Warrant issuance associated with note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25,145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754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20,040</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Mortgages associated with properties purchased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6,830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3,607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Liability for purchase of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(5,350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(25,420</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Liability associated with acquisition agreement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2,000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Shares issued for purchase of 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4,070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Issuance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33,472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22,486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10,999</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Deferred share issuances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37,565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752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16,588</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Deferred share distributions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(3,890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(14,752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Issuance of shares under business combinations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343,303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4,619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495,738</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91"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Acquisitions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Inventories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9,489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13,747</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2,164</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Prepaid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531</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30,789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16,629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9,900</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Right of 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19,003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7,462</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Identifiable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314,457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6,182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377,164</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250,152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7,612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331,208</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Deposits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611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1,172</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Liabilities assumed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(13,692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(1,520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(9,729</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(19,003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(119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(7,462</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Notes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(5,627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Contingent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(98,500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(56,992</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Equity interests issued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(374,244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(5,097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(495,806</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Conversion of note receivable previously issued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(27,122</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Cash consideration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(32,092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(17,379</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7"/>
              </w:rPr>
            </w:pPr>
            <w:r>
              <w:rPr>
                <w:rFonts w:ascii="Times New Roman" w:hAnsi="Times New Roman"/>
                <w:b w:val="false"/>
                <w:sz w:val="17"/>
              </w:rPr>
              <w:t>Deferred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(51,051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720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(36,046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17"/>
              </w:rPr>
            </w:pPr>
            <w:r>
              <w:rPr>
                <w:rFonts w:ascii="Times New Roman" w:hAnsi="Times New Roman"/>
                <w:b w:val="false"/>
                <w:sz w:val="17"/>
              </w:rPr>
              <w:t>)</w:t>
            </w:r>
          </w:p>
        </w:tc>
      </w:tr>
      <w:tr>
        <w:trPr/>
        <w:tc>
          <w:tcPr>
            <w:tcW w:w="5191" w:type="dxa"/>
            <w:tcBorders/>
            <w:shd w:fill="auto" w:val="clear"/>
            <w:vAlign w:val="center"/>
          </w:tcPr>
          <w:p>
            <w:pPr>
              <w:pStyle w:val="TableContents"/>
              <w:spacing w:lineRule="auto" w:line="252" w:before="0" w:after="0"/>
              <w:ind w:left="10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32,356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8,920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7"/>
              </w:rPr>
            </w:pPr>
            <w:r>
              <w:rPr>
                <w:rFonts w:ascii="Times New Roman" w:hAnsi="Times New Roman"/>
                <w:b w:val="false"/>
                <w:sz w:val="17"/>
              </w:rPr>
              <w:t>109,441</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pBdr>
          <w:top w:val="single" w:sz="6" w:space="1" w:color="000000"/>
        </w:pBdr>
        <w:spacing w:lineRule="auto" w:line="273" w:before="0" w:after="0"/>
        <w:jc w:val="left"/>
        <w:rPr>
          <w:rFonts w:ascii="Times New Roman" w:hAnsi="Times New Roman"/>
          <w:b w:val="false"/>
          <w:sz w:val="20"/>
        </w:rPr>
      </w:pPr>
      <w:r>
        <w:rPr>
          <w:rFonts w:ascii="Times New Roman" w:hAnsi="Times New Roman"/>
          <w:b w:val="false"/>
          <w:sz w:val="20"/>
        </w:rPr>
        <w:t>The accompanying notes are an integral part of these consolidated financial statements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F-6</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0"/>
        </w:rPr>
      </w:pPr>
      <w:bookmarkStart w:id="34" w:name="notes_to_financial_statements"/>
      <w:bookmarkEnd w:id="34"/>
      <w:r>
        <w:rPr>
          <w:rFonts w:ascii="Times New Roman" w:hAnsi="Times New Roman"/>
          <w:b/>
          <w:sz w:val="20"/>
        </w:rPr>
        <w:t>1. NATURE OF OPERATIONS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Beboe, Dogwalkers, Doctor Solomon’s, Good Green, incredibles, and RYTHM, to third-party retail stores across the United States as well as to Green Thumb owned retail stores. The Company also owns and operates retail cannabis stores that include a rapidly growing national chain named Rise, which sell our products and third-party products. As of December 31, 2021, Green Thumb has revenue in fifteen markets (California, Colorado, Connecticut, Florida, Illinois, Maryland, Massachusetts, Nevada, New Jersey, New York, Ohio, Pennsylvania, Rhode Island, Virginia, and Minnesota), employs approximately 3,700 people and serves millions of patients and customers annually.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registered office is located at 250 Howe Street, 20</w:t>
      </w:r>
      <w:r>
        <w:rPr>
          <w:rFonts w:ascii="Times New Roman" w:hAnsi="Times New Roman"/>
          <w:b w:val="false"/>
          <w:sz w:val="13"/>
        </w:rPr>
        <w:t>th</w:t>
      </w:r>
      <w:r>
        <w:rPr>
          <w:rFonts w:ascii="Times New Roman" w:hAnsi="Times New Roman"/>
          <w:sz w:val="20"/>
        </w:rPr>
        <w:t xml:space="preserve"> </w:t>
      </w:r>
      <w:r>
        <w:rPr>
          <w:rFonts w:ascii="Times New Roman" w:hAnsi="Times New Roman"/>
          <w:b w:val="false"/>
          <w:sz w:val="20"/>
        </w:rPr>
        <w:t>Floor, Vancouver, British Columbia, V6C 3R8. The Company’s U.S. headquarters are at 325 W. Huron St., Suite 700, Chicago, IL 60654.</w:t>
      </w:r>
    </w:p>
    <w:p>
      <w:pPr>
        <w:pStyle w:val="TextBody"/>
        <w:spacing w:lineRule="auto" w:line="273" w:before="240" w:after="0"/>
        <w:jc w:val="left"/>
        <w:rPr>
          <w:rFonts w:ascii="Times New Roman" w:hAnsi="Times New Roman"/>
          <w:b/>
          <w:sz w:val="20"/>
        </w:rPr>
      </w:pPr>
      <w:r>
        <w:rPr>
          <w:rFonts w:ascii="Times New Roman" w:hAnsi="Times New Roman"/>
          <w:b/>
          <w:sz w:val="20"/>
        </w:rPr>
        <w:t>2. SIGNIFICANT ACCOUNTING POLICIES</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(a)</w:t>
      </w:r>
    </w:p>
    <w:p>
      <w:pPr>
        <w:pStyle w:val="TextBody"/>
        <w:spacing w:lineRule="auto" w:line="273" w:before="120" w:after="283"/>
        <w:jc w:val="left"/>
        <w:rPr>
          <w:rFonts w:ascii="Times New Roman" w:hAnsi="Times New Roman"/>
          <w:b/>
          <w:sz w:val="20"/>
        </w:rPr>
      </w:pPr>
      <w:r>
        <w:rPr>
          <w:rFonts w:ascii="Times New Roman" w:hAnsi="Times New Roman"/>
          <w:b/>
          <w:sz w:val="20"/>
        </w:rPr>
        <w:t>Basis of Preparation and Statement of Compliance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consolidated financial statements as of December 31, 2021, 2020 and 2019 (the “Consolidated Financial Statements</w:t>
      </w:r>
      <w:r>
        <w:rPr>
          <w:rFonts w:ascii="Times New Roman" w:hAnsi="Times New Roman"/>
          <w:sz w:val="20"/>
        </w:rPr>
        <w:t>”</w:t>
      </w:r>
      <w:r>
        <w:rPr>
          <w:rFonts w:ascii="Times New Roman" w:hAnsi="Times New Roman"/>
          <w:b w:val="false"/>
          <w:sz w:val="20"/>
        </w:rPr>
        <w:t>), have been prepared in accordance with accounting principles generally accepted in the United States of America (“GAAP</w:t>
      </w:r>
      <w:r>
        <w:rPr>
          <w:rFonts w:ascii="Times New Roman" w:hAnsi="Times New Roman"/>
          <w:sz w:val="20"/>
        </w:rPr>
        <w:t>”</w:t>
      </w:r>
      <w:r>
        <w:rPr>
          <w:rFonts w:ascii="Times New Roman" w:hAnsi="Times New Roman"/>
          <w:b w:val="false"/>
          <w:sz w:val="20"/>
        </w:rPr>
        <w: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preparation of the December 31, 2021 consolidated financial statements, the Company became aware of a classification error in relation to a contingent consideration arrangement requiring settlement in Subordinate Voting Shares of Green Thumb. The contingent considerations arrangement was associated with the Company’s 2019 acquisition of Integral Associates, LLC ("Integral") and was originally classified as a liability, whereas it should have been classified as equity in accordance with ASC 815 Derivatives and Hedging. The balance sheet only error resulted in an overstatement of current contingent liabilities and non-current contingent liabilities of $22,150</w:t>
      </w:r>
      <w:r>
        <w:rPr>
          <w:rFonts w:ascii="Times New Roman" w:hAnsi="Times New Roman"/>
          <w:sz w:val="20"/>
        </w:rPr>
        <w:t xml:space="preserve"> </w:t>
      </w:r>
      <w:r>
        <w:rPr>
          <w:rFonts w:ascii="Times New Roman" w:hAnsi="Times New Roman"/>
          <w:b w:val="false"/>
          <w:sz w:val="20"/>
        </w:rPr>
        <w:t>thousand and $4,950</w:t>
      </w:r>
      <w:r>
        <w:rPr>
          <w:rFonts w:ascii="Times New Roman" w:hAnsi="Times New Roman"/>
          <w:sz w:val="20"/>
        </w:rPr>
        <w:t xml:space="preserve"> </w:t>
      </w:r>
      <w:r>
        <w:rPr>
          <w:rFonts w:ascii="Times New Roman" w:hAnsi="Times New Roman"/>
          <w:b w:val="false"/>
          <w:sz w:val="20"/>
        </w:rPr>
        <w:t>thousand, respectively and a corresponding understatement of contributed surplus of $27,100</w:t>
      </w:r>
      <w:r>
        <w:rPr>
          <w:rFonts w:ascii="Times New Roman" w:hAnsi="Times New Roman"/>
          <w:sz w:val="20"/>
        </w:rPr>
        <w:t xml:space="preserve"> </w:t>
      </w:r>
      <w:r>
        <w:rPr>
          <w:rFonts w:ascii="Times New Roman" w:hAnsi="Times New Roman"/>
          <w:b w:val="false"/>
          <w:sz w:val="20"/>
        </w:rPr>
        <w:t>thousand for the year ended December 31, 2020 and an overstatement of current contingent liabilities of $32,182</w:t>
      </w:r>
      <w:r>
        <w:rPr>
          <w:rFonts w:ascii="Times New Roman" w:hAnsi="Times New Roman"/>
          <w:sz w:val="20"/>
        </w:rPr>
        <w:t xml:space="preserve"> </w:t>
      </w:r>
      <w:r>
        <w:rPr>
          <w:rFonts w:ascii="Times New Roman" w:hAnsi="Times New Roman"/>
          <w:b w:val="false"/>
          <w:sz w:val="20"/>
        </w:rPr>
        <w:t>thousand and a corresponding understatement of contributed surplus for the year ended December 31, 2019. The error was corrected with a reclassification of $27,100</w:t>
      </w:r>
      <w:r>
        <w:rPr>
          <w:rFonts w:ascii="Times New Roman" w:hAnsi="Times New Roman"/>
          <w:sz w:val="20"/>
        </w:rPr>
        <w:t xml:space="preserve"> </w:t>
      </w:r>
      <w:r>
        <w:rPr>
          <w:rFonts w:ascii="Times New Roman" w:hAnsi="Times New Roman"/>
          <w:b w:val="false"/>
          <w:sz w:val="20"/>
        </w:rPr>
        <w:t>thousand in the December 31, 2021 balance sheet and was not considered material to any prior period, including the Company's quarterly unaudited interim condensed consolidated financial statements.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 ended December 31, 2021, the Company issued 681,364</w:t>
      </w:r>
      <w:r>
        <w:rPr>
          <w:rFonts w:ascii="Times New Roman" w:hAnsi="Times New Roman"/>
          <w:sz w:val="20"/>
        </w:rPr>
        <w:t xml:space="preserve"> </w:t>
      </w:r>
      <w:r>
        <w:rPr>
          <w:rFonts w:ascii="Times New Roman" w:hAnsi="Times New Roman"/>
          <w:b w:val="false"/>
          <w:sz w:val="20"/>
        </w:rPr>
        <w:t>Subordinate Voting Shares to the former owners of Integral in connection with the awarding of two final retail dispensary licenses. The shares had a combined fair value $17,869 thousand, which was recorded in share capital on the consolidated balance sheet. As of December 31, 2021, the carrying value of the equity classified contingent consideration was $9,654</w:t>
      </w:r>
      <w:r>
        <w:rPr>
          <w:rFonts w:ascii="Times New Roman" w:hAnsi="Times New Roman"/>
          <w:sz w:val="20"/>
        </w:rPr>
        <w:t xml:space="preserve"> </w:t>
      </w:r>
      <w:r>
        <w:rPr>
          <w:rFonts w:ascii="Times New Roman" w:hAnsi="Times New Roman"/>
          <w:b w:val="false"/>
          <w:sz w:val="20"/>
        </w:rPr>
        <w:t>thousand.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Certain previously reported amounts have been reclassified between line items to conform to the current period presentation.</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(b)</w:t>
      </w:r>
    </w:p>
    <w:p>
      <w:pPr>
        <w:pStyle w:val="TextBody"/>
        <w:spacing w:lineRule="auto" w:line="273" w:before="120" w:after="283"/>
        <w:jc w:val="left"/>
        <w:rPr>
          <w:rFonts w:ascii="Times New Roman" w:hAnsi="Times New Roman"/>
          <w:b/>
          <w:sz w:val="20"/>
        </w:rPr>
      </w:pPr>
      <w:r>
        <w:rPr>
          <w:rFonts w:ascii="Times New Roman" w:hAnsi="Times New Roman"/>
          <w:b/>
          <w:sz w:val="20"/>
        </w:rPr>
        <w:t>Basis of Measurement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These consolidated financial statements have been prepared on the going concern basis, under the historical cost convention, except for certain financial instruments that are measured at fair value as described herein.</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(c)</w:t>
      </w:r>
    </w:p>
    <w:p>
      <w:pPr>
        <w:pStyle w:val="TextBody"/>
        <w:spacing w:lineRule="auto" w:line="273" w:before="120" w:after="283"/>
        <w:jc w:val="left"/>
        <w:rPr>
          <w:rFonts w:ascii="Times New Roman" w:hAnsi="Times New Roman"/>
          <w:b/>
          <w:sz w:val="20"/>
        </w:rPr>
      </w:pPr>
      <w:r>
        <w:rPr>
          <w:rFonts w:ascii="Times New Roman" w:hAnsi="Times New Roman"/>
          <w:b/>
          <w:sz w:val="20"/>
        </w:rPr>
        <w:t>Functional and Presentation Currency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functional currency, as determined by management, is the United States (“US</w:t>
      </w:r>
      <w:r>
        <w:rPr>
          <w:rFonts w:ascii="Times New Roman" w:hAnsi="Times New Roman"/>
          <w:sz w:val="20"/>
        </w:rPr>
        <w:t>”</w:t>
      </w:r>
      <w:r>
        <w:rPr>
          <w:rFonts w:ascii="Times New Roman" w:hAnsi="Times New Roman"/>
          <w:b w:val="false"/>
          <w:sz w:val="20"/>
        </w:rPr>
        <w:t>) dollar. These consolidated financial statements are presented in U.S. dollars.</w:t>
      </w:r>
    </w:p>
    <w:p>
      <w:pPr>
        <w:pStyle w:val="TextBody"/>
        <w:spacing w:lineRule="auto" w:line="273" w:before="120" w:after="0"/>
        <w:jc w:val="left"/>
        <w:rPr>
          <w:rFonts w:ascii="Times New Roman" w:hAnsi="Times New Roman"/>
          <w:b/>
          <w:sz w:val="20"/>
        </w:rPr>
      </w:pPr>
      <w:r>
        <w:rPr>
          <w:rFonts w:ascii="Times New Roman" w:hAnsi="Times New Roman"/>
          <w:b/>
          <w:sz w:val="20"/>
        </w:rPr>
        <w:t>(d)</w:t>
      </w:r>
    </w:p>
    <w:p>
      <w:pPr>
        <w:pStyle w:val="TextBody"/>
        <w:spacing w:lineRule="auto" w:line="273" w:before="120" w:after="283"/>
        <w:jc w:val="left"/>
        <w:rPr>
          <w:rFonts w:ascii="Times New Roman" w:hAnsi="Times New Roman"/>
          <w:b/>
          <w:sz w:val="20"/>
        </w:rPr>
      </w:pPr>
      <w:r>
        <w:rPr>
          <w:rFonts w:ascii="Times New Roman" w:hAnsi="Times New Roman"/>
          <w:b/>
          <w:sz w:val="20"/>
        </w:rPr>
        <w:t>Basis of Consolidation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consolidated financial statements for the years ended December 31, 2021, 2020 and 2019 include the accounts of the Company, its wholly-owned subsidiaries, its partially-owned subsidiaries, and those controlled by the Company by virtue of agreements, on a consolidated basis after elimination of intercompany transactions and balances.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F-7</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(d) Basis of Consolidation </w:t>
      </w:r>
      <w:r>
        <w:rPr>
          <w:rFonts w:ascii="Times New Roman" w:hAnsi="Times New Roman"/>
          <w:b w:val="false"/>
          <w:sz w:val="20"/>
        </w:rPr>
        <w:t>(Continued)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are the Company’s wholly owned subsidiaries that are included in these consolidated financial statements as of and for the years ended December 31, 2021 and 2020:</w:t>
      </w:r>
    </w:p>
    <w:p>
      <w:pPr>
        <w:pStyle w:val="TextBody"/>
        <w:spacing w:lineRule="auto" w:line="273" w:before="0" w:after="0"/>
        <w:jc w:val="left"/>
        <w:rPr/>
      </w:pPr>
      <w:r>
        <w:rPr/>
        <w:t> </w:t>
      </w:r>
    </w:p>
    <w:tbl>
      <w:tblPr>
        <w:tblW w:w="3811" w:type="dxa"/>
        <w:jc w:val="left"/>
        <w:tblInd w:w="0" w:type="dxa"/>
        <w:tblCellMar>
          <w:top w:w="28" w:type="dxa"/>
          <w:left w:w="28" w:type="dxa"/>
          <w:bottom w:w="28" w:type="dxa"/>
          <w:right w:w="28" w:type="dxa"/>
        </w:tblCellMar>
      </w:tblPr>
      <w:tblGrid>
        <w:gridCol w:w="1336"/>
        <w:gridCol w:w="146"/>
        <w:gridCol w:w="164"/>
        <w:gridCol w:w="962"/>
        <w:gridCol w:w="146"/>
        <w:gridCol w:w="146"/>
        <w:gridCol w:w="450"/>
        <w:gridCol w:w="461"/>
      </w:tblGrid>
      <w:tr>
        <w:trPr/>
        <w:tc>
          <w:tcPr>
            <w:tcW w:w="1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Subsidiaries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Jurisdiction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rFonts w:ascii="Times New Roman" w:hAnsi="Times New Roman"/>
                <w:b/>
                <w:sz w:val="20"/>
              </w:rPr>
            </w:pPr>
            <w:r>
              <w:rPr>
                <w:rFonts w:ascii="Times New Roman" w:hAnsi="Times New Roman"/>
                <w:b/>
                <w:sz w:val="20"/>
              </w:rPr>
              <w:t>Interest</w:t>
            </w:r>
          </w:p>
        </w:tc>
      </w:tr>
      <w:tr>
        <w:trPr/>
        <w:tc>
          <w:tcPr>
            <w:tcW w:w="133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GTI23,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9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461" w:type="dxa"/>
            <w:tcBorders/>
            <w:shd w:fill="auto" w:val="clear"/>
            <w:vAlign w:val="center"/>
          </w:tcPr>
          <w:p>
            <w:pPr>
              <w:pStyle w:val="TableContents"/>
              <w:spacing w:lineRule="auto" w:line="252" w:before="0" w:after="0"/>
              <w:ind w:left="0" w:right="0" w:firstLine="10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r>
      <w:tr>
        <w:trPr/>
        <w:tc>
          <w:tcPr>
            <w:tcW w:w="133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VCP23,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9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461" w:type="dxa"/>
            <w:tcBorders/>
            <w:shd w:fill="auto" w:val="clear"/>
            <w:vAlign w:val="center"/>
          </w:tcPr>
          <w:p>
            <w:pPr>
              <w:pStyle w:val="TableContents"/>
              <w:spacing w:lineRule="auto" w:line="252" w:before="0" w:after="0"/>
              <w:ind w:left="0" w:right="0" w:firstLine="10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r>
      <w:tr>
        <w:trPr/>
        <w:tc>
          <w:tcPr>
            <w:tcW w:w="133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Core,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 w:type="dxa"/>
            <w:tcBorders/>
            <w:shd w:fill="auto" w:val="clear"/>
            <w:vAlign w:val="center"/>
          </w:tcPr>
          <w:p>
            <w:pPr>
              <w:pStyle w:val="TableContents"/>
              <w:spacing w:lineRule="auto" w:line="252" w:before="0" w:after="0"/>
              <w:ind w:left="0" w:right="0" w:hanging="0"/>
              <w:jc w:val="left"/>
              <w:rPr/>
            </w:pPr>
            <w:r>
              <w:rPr/>
              <w:t> </w:t>
            </w:r>
          </w:p>
        </w:tc>
        <w:tc>
          <w:tcPr>
            <w:tcW w:w="96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46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F-8</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(d) Basis of Consolidation </w:t>
      </w:r>
      <w:r>
        <w:rPr>
          <w:rFonts w:ascii="Times New Roman" w:hAnsi="Times New Roman"/>
          <w:b w:val="false"/>
          <w:sz w:val="20"/>
        </w:rPr>
        <w:t>(Continued)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are VCP23, LLC’s and GTI Core, LLC’s wholly owned subsidiaries and entities over which the Company has control, that are included in these consolidated financial statements for the year ended December 31, 2021:</w:t>
      </w:r>
    </w:p>
    <w:p>
      <w:pPr>
        <w:pStyle w:val="TextBody"/>
        <w:spacing w:lineRule="auto" w:line="273" w:before="0" w:after="0"/>
        <w:jc w:val="left"/>
        <w:rPr/>
      </w:pPr>
      <w:r>
        <w:rPr/>
        <w:t> </w:t>
      </w:r>
    </w:p>
    <w:tbl>
      <w:tblPr>
        <w:tblW w:w="9203" w:type="dxa"/>
        <w:jc w:val="left"/>
        <w:tblInd w:w="0" w:type="dxa"/>
        <w:tblCellMar>
          <w:top w:w="28" w:type="dxa"/>
          <w:left w:w="28" w:type="dxa"/>
          <w:bottom w:w="28" w:type="dxa"/>
          <w:right w:w="28" w:type="dxa"/>
        </w:tblCellMar>
      </w:tblPr>
      <w:tblGrid>
        <w:gridCol w:w="3601"/>
        <w:gridCol w:w="146"/>
        <w:gridCol w:w="262"/>
        <w:gridCol w:w="759"/>
        <w:gridCol w:w="316"/>
        <w:gridCol w:w="146"/>
        <w:gridCol w:w="1276"/>
        <w:gridCol w:w="146"/>
        <w:gridCol w:w="2551"/>
      </w:tblGrid>
      <w:tr>
        <w:trPr/>
        <w:tc>
          <w:tcPr>
            <w:tcW w:w="3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r>
      <w:tr>
        <w:trPr/>
        <w:tc>
          <w:tcPr>
            <w:tcW w:w="3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Subsidiaries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Ownership</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Jurisdiction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rFonts w:ascii="Times New Roman" w:hAnsi="Times New Roman"/>
                <w:b/>
                <w:sz w:val="20"/>
              </w:rPr>
            </w:pPr>
            <w:r>
              <w:rPr>
                <w:rFonts w:ascii="Times New Roman" w:hAnsi="Times New Roman"/>
                <w:b/>
                <w:sz w:val="20"/>
              </w:rPr>
              <w:t>Purpose</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JB17,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Maryland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Management company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GTI-Clinic Illinois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Illinois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IL Disp,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Illinois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RISE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Massachusetts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Liberty Compassion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Massachusetts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Maryland,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Maryland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Ohio Investors 2017,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Ohio</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Holding Company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Ohio,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Ohio</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Nevada,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Nevada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Pennsylvania,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Pennsylvania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Florida,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Holding company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KSGNF,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GTI New Jersey,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New Jersey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KW Ventures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Pennsylvania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Chesapeake Alternatives,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Maryland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Meshow,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Maryland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Maryland Health and Wellness Center,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Maryland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Advanced Grow Labs,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Connecticut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Bluepoint Wellness of Westport,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Connecticut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Bluepoint Apothecary,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Connecticut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Southern CT Wellness and Healing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Connecticut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Integral Associates,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Nevada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Integral Associates CA,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California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Fiorello Pharmaceuticals,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New York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Dharma Pharmaceuticals,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Virginia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Summit Medical Compassion Center,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Rhode Island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LeafLine Industries,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Minnesota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License holder</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MC Brands,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Colorado</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Intellectual property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For Success Holding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California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Intellectual property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VCP IP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Intellectual property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Vision Management Services,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Management company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TWD18,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Investment company</w:t>
            </w:r>
          </w:p>
        </w:tc>
      </w:tr>
      <w:tr>
        <w:trPr/>
        <w:tc>
          <w:tcPr>
            <w:tcW w:w="36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VCP Real Estate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75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Real Estate holding company</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F-9</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(e)</w:t>
      </w:r>
    </w:p>
    <w:p>
      <w:pPr>
        <w:pStyle w:val="TextBody"/>
        <w:spacing w:lineRule="auto" w:line="273" w:before="120" w:after="283"/>
        <w:jc w:val="left"/>
        <w:rPr>
          <w:rFonts w:ascii="Times New Roman" w:hAnsi="Times New Roman"/>
          <w:b/>
          <w:sz w:val="20"/>
        </w:rPr>
      </w:pPr>
      <w:r>
        <w:rPr>
          <w:rFonts w:ascii="Times New Roman" w:hAnsi="Times New Roman"/>
          <w:b/>
          <w:sz w:val="20"/>
        </w:rPr>
        <w:t>Investment in Associates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(f)</w:t>
      </w:r>
    </w:p>
    <w:p>
      <w:pPr>
        <w:pStyle w:val="TextBody"/>
        <w:spacing w:lineRule="auto" w:line="273" w:before="120" w:after="283"/>
        <w:jc w:val="left"/>
        <w:rPr>
          <w:rFonts w:ascii="Times New Roman" w:hAnsi="Times New Roman"/>
          <w:b/>
          <w:sz w:val="20"/>
        </w:rPr>
      </w:pPr>
      <w:r>
        <w:rPr>
          <w:rFonts w:ascii="Times New Roman" w:hAnsi="Times New Roman"/>
          <w:b/>
          <w:sz w:val="20"/>
        </w:rPr>
        <w:t>Non-controlling Interests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Non-controlling interests (“NCI</w:t>
      </w:r>
      <w:r>
        <w:rPr>
          <w:rFonts w:ascii="Times New Roman" w:hAnsi="Times New Roman"/>
          <w:sz w:val="20"/>
        </w:rPr>
        <w:t>”</w:t>
      </w:r>
      <w:r>
        <w:rPr>
          <w:rFonts w:ascii="Times New Roman" w:hAnsi="Times New Roman"/>
          <w:b w:val="false"/>
          <w:sz w:val="20"/>
        </w:rPr>
        <w:t>)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(g)</w:t>
      </w:r>
    </w:p>
    <w:p>
      <w:pPr>
        <w:pStyle w:val="TextBody"/>
        <w:spacing w:lineRule="auto" w:line="273" w:before="120" w:after="283"/>
        <w:jc w:val="left"/>
        <w:rPr>
          <w:rFonts w:ascii="Times New Roman" w:hAnsi="Times New Roman"/>
          <w:b/>
          <w:sz w:val="20"/>
        </w:rPr>
      </w:pPr>
      <w:r>
        <w:rPr>
          <w:rFonts w:ascii="Times New Roman" w:hAnsi="Times New Roman"/>
          <w:b/>
          <w:sz w:val="20"/>
        </w:rPr>
        <w:t>Cash and Cash Equivalents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Cash and cash equivalents include cash deposits in financial institutions, other deposits that are readily convertible into cash, with original maturities of three months or less, and cash held at retail locations.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(h)</w:t>
      </w:r>
    </w:p>
    <w:p>
      <w:pPr>
        <w:pStyle w:val="TextBody"/>
        <w:spacing w:lineRule="auto" w:line="273" w:before="120" w:after="283"/>
        <w:jc w:val="left"/>
        <w:rPr>
          <w:rFonts w:ascii="Times New Roman" w:hAnsi="Times New Roman"/>
          <w:b/>
          <w:sz w:val="20"/>
        </w:rPr>
      </w:pPr>
      <w:r>
        <w:rPr>
          <w:rFonts w:ascii="Times New Roman" w:hAnsi="Times New Roman"/>
          <w:b/>
          <w:sz w:val="20"/>
        </w:rPr>
        <w:t>Accounts Receivable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2021 and 2020 the Company recorded approximately $643</w:t>
      </w:r>
      <w:r>
        <w:rPr>
          <w:rFonts w:ascii="Times New Roman" w:hAnsi="Times New Roman"/>
          <w:sz w:val="20"/>
        </w:rPr>
        <w:t xml:space="preserve"> </w:t>
      </w:r>
      <w:r>
        <w:rPr>
          <w:rFonts w:ascii="Times New Roman" w:hAnsi="Times New Roman"/>
          <w:b w:val="false"/>
          <w:sz w:val="20"/>
        </w:rPr>
        <w:t>thousand and $223</w:t>
      </w:r>
      <w:r>
        <w:rPr>
          <w:rFonts w:ascii="Times New Roman" w:hAnsi="Times New Roman"/>
          <w:sz w:val="20"/>
        </w:rPr>
        <w:t xml:space="preserve"> </w:t>
      </w:r>
      <w:r>
        <w:rPr>
          <w:rFonts w:ascii="Times New Roman" w:hAnsi="Times New Roman"/>
          <w:b w:val="false"/>
          <w:sz w:val="20"/>
        </w:rPr>
        <w:t>thousand, respectively, in allowance for doubtful accounts. During the years ended December 31, 2021, 2020 and 2019, the Company recorded bad debt expense of $488</w:t>
      </w:r>
      <w:r>
        <w:rPr>
          <w:rFonts w:ascii="Times New Roman" w:hAnsi="Times New Roman"/>
          <w:sz w:val="20"/>
        </w:rPr>
        <w:t xml:space="preserve"> </w:t>
      </w:r>
      <w:r>
        <w:rPr>
          <w:rFonts w:ascii="Times New Roman" w:hAnsi="Times New Roman"/>
          <w:b w:val="false"/>
          <w:sz w:val="20"/>
        </w:rPr>
        <w:t>thousand, $367</w:t>
      </w:r>
      <w:r>
        <w:rPr>
          <w:rFonts w:ascii="Times New Roman" w:hAnsi="Times New Roman"/>
          <w:sz w:val="20"/>
        </w:rPr>
        <w:t xml:space="preserve"> </w:t>
      </w:r>
      <w:r>
        <w:rPr>
          <w:rFonts w:ascii="Times New Roman" w:hAnsi="Times New Roman"/>
          <w:b w:val="false"/>
          <w:sz w:val="20"/>
        </w:rPr>
        <w:t>thousand and $162</w:t>
      </w:r>
      <w:r>
        <w:rPr>
          <w:rFonts w:ascii="Times New Roman" w:hAnsi="Times New Roman"/>
          <w:sz w:val="20"/>
        </w:rPr>
        <w:t xml:space="preserve"> </w:t>
      </w:r>
      <w:r>
        <w:rPr>
          <w:rFonts w:ascii="Times New Roman" w:hAnsi="Times New Roman"/>
          <w:b w:val="false"/>
          <w:sz w:val="20"/>
        </w:rPr>
        <w:t>thousand, respectively.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(i)</w:t>
      </w:r>
    </w:p>
    <w:p>
      <w:pPr>
        <w:pStyle w:val="TextBody"/>
        <w:spacing w:lineRule="auto" w:line="273" w:before="120" w:after="283"/>
        <w:jc w:val="left"/>
        <w:rPr>
          <w:rFonts w:ascii="Times New Roman" w:hAnsi="Times New Roman"/>
          <w:b/>
          <w:sz w:val="20"/>
        </w:rPr>
      </w:pPr>
      <w:r>
        <w:rPr>
          <w:rFonts w:ascii="Times New Roman" w:hAnsi="Times New Roman"/>
          <w:b/>
          <w:sz w:val="20"/>
        </w:rPr>
        <w:t>Inventories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Inventories of purchased finished goods and packing materials are initially valued at cost and subsequently at the lower of cost and net realizable value.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Costs incurred during the growing and production process are capitalized as incurred to the extent that cost is less than net realizable value. These costs include materials, labor and manufacturing overhead used in the growing and production processes.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F-10</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(j)</w:t>
      </w:r>
    </w:p>
    <w:p>
      <w:pPr>
        <w:pStyle w:val="TextBody"/>
        <w:spacing w:lineRule="auto" w:line="273" w:before="120" w:after="283"/>
        <w:jc w:val="left"/>
        <w:rPr>
          <w:rFonts w:ascii="Times New Roman" w:hAnsi="Times New Roman"/>
          <w:b/>
          <w:sz w:val="20"/>
        </w:rPr>
      </w:pPr>
      <w:r>
        <w:rPr>
          <w:rFonts w:ascii="Times New Roman" w:hAnsi="Times New Roman"/>
          <w:b/>
          <w:sz w:val="20"/>
        </w:rPr>
        <w:t>Property and Equipment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pStyle w:val="TextBody"/>
        <w:spacing w:lineRule="auto" w:line="273" w:before="0" w:after="0"/>
        <w:jc w:val="left"/>
        <w:rPr/>
      </w:pPr>
      <w:r>
        <w:rPr/>
        <w:t> </w:t>
      </w:r>
    </w:p>
    <w:tbl>
      <w:tblPr>
        <w:tblW w:w="5618" w:type="dxa"/>
        <w:jc w:val="left"/>
        <w:tblInd w:w="0" w:type="dxa"/>
        <w:tblCellMar>
          <w:top w:w="28" w:type="dxa"/>
          <w:left w:w="28" w:type="dxa"/>
          <w:bottom w:w="28" w:type="dxa"/>
          <w:right w:w="28" w:type="dxa"/>
        </w:tblCellMar>
      </w:tblPr>
      <w:tblGrid>
        <w:gridCol w:w="3226"/>
        <w:gridCol w:w="146"/>
        <w:gridCol w:w="2246"/>
      </w:tblGrid>
      <w:tr>
        <w:trPr/>
        <w:tc>
          <w:tcPr>
            <w:tcW w:w="3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Land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b w:val="false"/>
                <w:sz w:val="20"/>
              </w:rPr>
            </w:pPr>
            <w:r>
              <w:rPr>
                <w:rFonts w:ascii="Times New Roman" w:hAnsi="Times New Roman"/>
                <w:b w:val="false"/>
                <w:sz w:val="20"/>
              </w:rPr>
              <w:t>Not Depreciated</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Land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sz w:val="20"/>
              </w:rPr>
            </w:pPr>
            <w:r>
              <w:rPr>
                <w:rFonts w:ascii="Times New Roman" w:hAnsi="Times New Roman"/>
                <w:b w:val="false"/>
                <w:sz w:val="20"/>
              </w:rPr>
              <w:t>10</w:t>
            </w:r>
            <w:r>
              <w:rPr>
                <w:rFonts w:ascii="Times New Roman" w:hAnsi="Times New Roman"/>
                <w:sz w:val="20"/>
              </w:rPr>
              <w:t xml:space="preserve"> – </w:t>
            </w:r>
            <w:r>
              <w:rPr>
                <w:rFonts w:ascii="Times New Roman" w:hAnsi="Times New Roman"/>
                <w:b w:val="false"/>
                <w:sz w:val="20"/>
              </w:rPr>
              <w:t>30</w:t>
            </w:r>
            <w:r>
              <w:rPr>
                <w:rFonts w:ascii="Times New Roman" w:hAnsi="Times New Roman"/>
                <w:sz w:val="20"/>
              </w:rPr>
              <w:t> </w:t>
            </w:r>
            <w:r>
              <w:rPr>
                <w:rFonts w:ascii="Times New Roman" w:hAnsi="Times New Roman"/>
                <w:b w:val="false"/>
                <w:sz w:val="20"/>
              </w:rPr>
              <w:t>Years</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Buildings and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sz w:val="20"/>
              </w:rPr>
            </w:pPr>
            <w:r>
              <w:rPr>
                <w:rFonts w:ascii="Times New Roman" w:hAnsi="Times New Roman"/>
                <w:b w:val="false"/>
                <w:sz w:val="20"/>
              </w:rPr>
              <w:t>39</w:t>
            </w:r>
            <w:r>
              <w:rPr>
                <w:rFonts w:ascii="Times New Roman" w:hAnsi="Times New Roman"/>
                <w:sz w:val="20"/>
              </w:rPr>
              <w:t> </w:t>
            </w:r>
            <w:r>
              <w:rPr>
                <w:rFonts w:ascii="Times New Roman" w:hAnsi="Times New Roman"/>
                <w:b w:val="false"/>
                <w:sz w:val="20"/>
              </w:rPr>
              <w:t>Years</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sz w:val="20"/>
              </w:rPr>
            </w:pPr>
            <w:r>
              <w:rPr>
                <w:rFonts w:ascii="Times New Roman" w:hAnsi="Times New Roman"/>
                <w:b w:val="false"/>
                <w:sz w:val="20"/>
              </w:rPr>
              <w:t>5</w:t>
            </w:r>
            <w:r>
              <w:rPr>
                <w:rFonts w:ascii="Times New Roman" w:hAnsi="Times New Roman"/>
                <w:sz w:val="20"/>
              </w:rPr>
              <w:t xml:space="preserve"> – </w:t>
            </w:r>
            <w:r>
              <w:rPr>
                <w:rFonts w:ascii="Times New Roman" w:hAnsi="Times New Roman"/>
                <w:b w:val="false"/>
                <w:sz w:val="20"/>
              </w:rPr>
              <w:t>7</w:t>
            </w:r>
            <w:r>
              <w:rPr>
                <w:rFonts w:ascii="Times New Roman" w:hAnsi="Times New Roman"/>
                <w:sz w:val="20"/>
              </w:rPr>
              <w:t> </w:t>
            </w:r>
            <w:r>
              <w:rPr>
                <w:rFonts w:ascii="Times New Roman" w:hAnsi="Times New Roman"/>
                <w:b w:val="false"/>
                <w:sz w:val="20"/>
              </w:rPr>
              <w:t>Years</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Computer Equipment and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sz w:val="20"/>
              </w:rPr>
            </w:pPr>
            <w:r>
              <w:rPr>
                <w:rFonts w:ascii="Times New Roman" w:hAnsi="Times New Roman"/>
                <w:b w:val="false"/>
                <w:sz w:val="20"/>
              </w:rPr>
              <w:t>5</w:t>
            </w:r>
            <w:r>
              <w:rPr>
                <w:rFonts w:ascii="Times New Roman" w:hAnsi="Times New Roman"/>
                <w:sz w:val="20"/>
              </w:rPr>
              <w:t> </w:t>
            </w:r>
            <w:r>
              <w:rPr>
                <w:rFonts w:ascii="Times New Roman" w:hAnsi="Times New Roman"/>
                <w:b w:val="false"/>
                <w:sz w:val="20"/>
              </w:rPr>
              <w:t>Years</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b w:val="false"/>
                <w:sz w:val="20"/>
              </w:rPr>
            </w:pPr>
            <w:r>
              <w:rPr>
                <w:rFonts w:ascii="Times New Roman" w:hAnsi="Times New Roman"/>
                <w:b w:val="false"/>
                <w:sz w:val="20"/>
              </w:rPr>
              <w:t>Remaining Life of Lease</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Production and Processing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firstLine="100"/>
              <w:jc w:val="center"/>
              <w:rPr>
                <w:rFonts w:ascii="Times New Roman" w:hAnsi="Times New Roman"/>
                <w:sz w:val="20"/>
              </w:rPr>
            </w:pPr>
            <w:r>
              <w:rPr>
                <w:rFonts w:ascii="Times New Roman" w:hAnsi="Times New Roman"/>
                <w:b w:val="false"/>
                <w:sz w:val="20"/>
              </w:rPr>
              <w:t>5</w:t>
            </w:r>
            <w:r>
              <w:rPr>
                <w:rFonts w:ascii="Times New Roman" w:hAnsi="Times New Roman"/>
                <w:sz w:val="20"/>
              </w:rPr>
              <w:t xml:space="preserve"> – </w:t>
            </w:r>
            <w:r>
              <w:rPr>
                <w:rFonts w:ascii="Times New Roman" w:hAnsi="Times New Roman"/>
                <w:b w:val="false"/>
                <w:sz w:val="20"/>
              </w:rPr>
              <w:t>7</w:t>
            </w:r>
            <w:r>
              <w:rPr>
                <w:rFonts w:ascii="Times New Roman" w:hAnsi="Times New Roman"/>
                <w:sz w:val="20"/>
              </w:rPr>
              <w:t> </w:t>
            </w:r>
            <w:r>
              <w:rPr>
                <w:rFonts w:ascii="Times New Roman" w:hAnsi="Times New Roman"/>
                <w:b w:val="false"/>
                <w:sz w:val="20"/>
              </w:rPr>
              <w:t>Years</w:t>
            </w:r>
          </w:p>
        </w:tc>
      </w:tr>
      <w:tr>
        <w:trPr/>
        <w:tc>
          <w:tcPr>
            <w:tcW w:w="322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Assets Under Construction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Not Depreciated</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During the year ended December 31, 2021, the Company recorded an impairment charge of $4,744</w:t>
      </w:r>
      <w:r>
        <w:rPr>
          <w:rFonts w:ascii="Times New Roman" w:hAnsi="Times New Roman"/>
          <w:sz w:val="20"/>
        </w:rPr>
        <w:t xml:space="preserve"> </w:t>
      </w:r>
      <w:r>
        <w:rPr>
          <w:rFonts w:ascii="Times New Roman" w:hAnsi="Times New Roman"/>
          <w:b w:val="false"/>
          <w:sz w:val="20"/>
        </w:rPr>
        <w:t>thousand within Selling, General, and Administrative on the consolidated statement of operations. No</w:t>
      </w:r>
      <w:r>
        <w:rPr>
          <w:rFonts w:ascii="Times New Roman" w:hAnsi="Times New Roman"/>
          <w:sz w:val="20"/>
        </w:rPr>
        <w:t xml:space="preserve"> </w:t>
      </w:r>
      <w:r>
        <w:rPr>
          <w:rFonts w:ascii="Times New Roman" w:hAnsi="Times New Roman"/>
          <w:b w:val="false"/>
          <w:sz w:val="20"/>
        </w:rPr>
        <w:t>impairment charges were recorded during the years ended December 31, 2020 and 2019.</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(k)</w:t>
      </w:r>
    </w:p>
    <w:p>
      <w:pPr>
        <w:pStyle w:val="TextBody"/>
        <w:spacing w:lineRule="auto" w:line="273" w:before="120" w:after="283"/>
        <w:jc w:val="left"/>
        <w:rPr>
          <w:rFonts w:ascii="Times New Roman" w:hAnsi="Times New Roman"/>
          <w:b/>
          <w:sz w:val="20"/>
        </w:rPr>
      </w:pPr>
      <w:r>
        <w:rPr>
          <w:rFonts w:ascii="Times New Roman" w:hAnsi="Times New Roman"/>
          <w:b/>
          <w:sz w:val="20"/>
        </w:rPr>
        <w:t>Note Receivable and Investments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F-11</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(l)</w:t>
      </w:r>
    </w:p>
    <w:p>
      <w:pPr>
        <w:pStyle w:val="TextBody"/>
        <w:spacing w:lineRule="auto" w:line="273" w:before="120" w:after="283"/>
        <w:jc w:val="left"/>
        <w:rPr>
          <w:rFonts w:ascii="Times New Roman" w:hAnsi="Times New Roman"/>
          <w:b/>
          <w:sz w:val="20"/>
        </w:rPr>
      </w:pPr>
      <w:r>
        <w:rPr>
          <w:rFonts w:ascii="Times New Roman" w:hAnsi="Times New Roman"/>
          <w:b/>
          <w:sz w:val="20"/>
        </w:rPr>
        <w:t>Intangible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2021:</w:t>
      </w:r>
    </w:p>
    <w:p>
      <w:pPr>
        <w:pStyle w:val="TextBody"/>
        <w:spacing w:lineRule="auto" w:line="273" w:before="0" w:after="0"/>
        <w:jc w:val="left"/>
        <w:rPr/>
      </w:pPr>
      <w:r>
        <w:rPr/>
        <w:t> </w:t>
      </w:r>
    </w:p>
    <w:tbl>
      <w:tblPr>
        <w:tblW w:w="3683" w:type="dxa"/>
        <w:jc w:val="left"/>
        <w:tblInd w:w="0" w:type="dxa"/>
        <w:tblCellMar>
          <w:top w:w="28" w:type="dxa"/>
          <w:left w:w="28" w:type="dxa"/>
          <w:bottom w:w="28" w:type="dxa"/>
          <w:right w:w="28" w:type="dxa"/>
        </w:tblCellMar>
      </w:tblPr>
      <w:tblGrid>
        <w:gridCol w:w="2446"/>
        <w:gridCol w:w="146"/>
        <w:gridCol w:w="1091"/>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24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Licenses and Permits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1" w:type="dxa"/>
            <w:tcBorders/>
            <w:shd w:fill="auto" w:val="clear"/>
            <w:vAlign w:val="center"/>
          </w:tcPr>
          <w:p>
            <w:pPr>
              <w:pStyle w:val="TableContents"/>
              <w:spacing w:lineRule="auto" w:line="252" w:before="0" w:after="0"/>
              <w:ind w:left="0" w:right="0" w:firstLine="100"/>
              <w:jc w:val="center"/>
              <w:rPr>
                <w:rFonts w:ascii="Times New Roman" w:hAnsi="Times New Roman"/>
                <w:b w:val="false"/>
                <w:sz w:val="20"/>
              </w:rPr>
            </w:pPr>
            <w:r>
              <w:rPr>
                <w:rFonts w:ascii="Times New Roman" w:hAnsi="Times New Roman"/>
                <w:b w:val="false"/>
                <w:sz w:val="20"/>
              </w:rPr>
              <w:t>7-15 years</w:t>
            </w:r>
          </w:p>
        </w:tc>
      </w:tr>
      <w:tr>
        <w:trPr/>
        <w:tc>
          <w:tcPr>
            <w:tcW w:w="24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Tradenames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1" w:type="dxa"/>
            <w:tcBorders/>
            <w:shd w:fill="auto" w:val="clear"/>
            <w:vAlign w:val="center"/>
          </w:tcPr>
          <w:p>
            <w:pPr>
              <w:pStyle w:val="TableContents"/>
              <w:spacing w:lineRule="auto" w:line="252" w:before="0" w:after="0"/>
              <w:ind w:left="0" w:right="0" w:firstLine="100"/>
              <w:jc w:val="center"/>
              <w:rPr>
                <w:rFonts w:ascii="Times New Roman" w:hAnsi="Times New Roman"/>
                <w:b w:val="false"/>
                <w:sz w:val="20"/>
              </w:rPr>
            </w:pPr>
            <w:r>
              <w:rPr>
                <w:rFonts w:ascii="Times New Roman" w:hAnsi="Times New Roman"/>
                <w:b w:val="false"/>
                <w:sz w:val="20"/>
              </w:rPr>
              <w:t>3-15 years</w:t>
            </w:r>
          </w:p>
        </w:tc>
      </w:tr>
      <w:tr>
        <w:trPr/>
        <w:tc>
          <w:tcPr>
            <w:tcW w:w="24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Customer Relationships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1" w:type="dxa"/>
            <w:tcBorders/>
            <w:shd w:fill="auto" w:val="clear"/>
            <w:vAlign w:val="center"/>
          </w:tcPr>
          <w:p>
            <w:pPr>
              <w:pStyle w:val="TableContents"/>
              <w:spacing w:lineRule="auto" w:line="252" w:before="0" w:after="0"/>
              <w:ind w:left="0" w:right="0" w:firstLine="100"/>
              <w:jc w:val="center"/>
              <w:rPr>
                <w:rFonts w:ascii="Times New Roman" w:hAnsi="Times New Roman"/>
                <w:b w:val="false"/>
                <w:sz w:val="20"/>
              </w:rPr>
            </w:pPr>
            <w:r>
              <w:rPr>
                <w:rFonts w:ascii="Times New Roman" w:hAnsi="Times New Roman"/>
                <w:b w:val="false"/>
                <w:sz w:val="20"/>
              </w:rPr>
              <w:t>3-7 years</w:t>
            </w:r>
          </w:p>
        </w:tc>
      </w:tr>
      <w:tr>
        <w:trPr/>
        <w:tc>
          <w:tcPr>
            <w:tcW w:w="2446"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Non-competition Agreement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2-5 years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Intangible assets with finite lives are amortized over their estimated useful lives. The estimated useful lives, residual values and amortization methods are reviewed at each year end, and any changes in estimates are accounted for prospectively.</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(m)</w:t>
      </w:r>
    </w:p>
    <w:p>
      <w:pPr>
        <w:pStyle w:val="TextBody"/>
        <w:spacing w:lineRule="auto" w:line="273" w:before="120" w:after="283"/>
        <w:jc w:val="left"/>
        <w:rPr>
          <w:rFonts w:ascii="Times New Roman" w:hAnsi="Times New Roman"/>
          <w:b/>
          <w:sz w:val="20"/>
        </w:rPr>
      </w:pPr>
      <w:r>
        <w:rPr>
          <w:rFonts w:ascii="Times New Roman" w:hAnsi="Times New Roman"/>
          <w:b/>
          <w:sz w:val="20"/>
        </w:rPr>
        <w:t>Goodwill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Goodwill is not subject to amortization and is tested annually for impairment, or more frequently if events or changes in circumstances indicate that they might be impaired. The Company reviews indefinite-lived intangible assets, which includes goodwill, annually, as of September 30, for impairment or more frequently if events or circumstances indicate that the carrying value may not be recoverable. An impaired asset is written down to its estimated fair value based on the most recent information available.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applies the guidance in Financial Accounting Standards Board (“FASB”) Accounting Standards Update (“ASU”) 2011-08 “Intangibles-Goodwill and Other-Testing Goodwill for Impairment,” which provides entities with an option to perform a qualitative assessment (commonly 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years ended December 31, 2021 and 2020, the Company performed the Step Zero analysis for its goodwill impairment test. As a result of the Company’s Step Zero analysis, no further quantitative impairment test was deemed necessary. There were no</w:t>
      </w:r>
      <w:r>
        <w:rPr>
          <w:rFonts w:ascii="Times New Roman" w:hAnsi="Times New Roman"/>
          <w:sz w:val="20"/>
        </w:rPr>
        <w:t xml:space="preserve"> </w:t>
      </w:r>
      <w:r>
        <w:rPr>
          <w:rFonts w:ascii="Times New Roman" w:hAnsi="Times New Roman"/>
          <w:b w:val="false"/>
          <w:sz w:val="20"/>
        </w:rPr>
        <w:t>impairments of goodwill or intangible assets with indefinite lives for the years ended December 31, 2021, 2020, or 2019.</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(n)</w:t>
      </w:r>
    </w:p>
    <w:p>
      <w:pPr>
        <w:pStyle w:val="TextBody"/>
        <w:spacing w:lineRule="auto" w:line="273" w:before="120" w:after="283"/>
        <w:jc w:val="left"/>
        <w:rPr>
          <w:rFonts w:ascii="Times New Roman" w:hAnsi="Times New Roman"/>
          <w:b/>
          <w:sz w:val="20"/>
        </w:rPr>
      </w:pPr>
      <w:r>
        <w:rPr>
          <w:rFonts w:ascii="Times New Roman" w:hAnsi="Times New Roman"/>
          <w:b/>
          <w:sz w:val="20"/>
        </w:rPr>
        <w:t>Income Taxes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Deferred tax assets and liabilities are measured using the enacted taxes rates. The effect on deferred tax assets and liabilities of a change in tax law or tax rates is recognized in income in the period that enactment occurs. As discussed further in Note 12—Income Taxes, the Company is subject to the limitations of Internal Revenue Code of 1986, as amended ("IRC") Section 280E.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F-12</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(o)</w:t>
      </w:r>
    </w:p>
    <w:p>
      <w:pPr>
        <w:pStyle w:val="TextBody"/>
        <w:spacing w:lineRule="auto" w:line="273" w:before="120" w:after="283"/>
        <w:jc w:val="left"/>
        <w:rPr>
          <w:rFonts w:ascii="Times New Roman" w:hAnsi="Times New Roman"/>
          <w:b/>
          <w:sz w:val="20"/>
        </w:rPr>
      </w:pPr>
      <w:r>
        <w:rPr>
          <w:rFonts w:ascii="Times New Roman" w:hAnsi="Times New Roman"/>
          <w:b/>
          <w:sz w:val="20"/>
        </w:rPr>
        <w:t>Revenue Recognition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Revenue is recognized by the Company in accordance with ASU 2014-09, </w:t>
      </w:r>
      <w:r>
        <w:rPr>
          <w:rFonts w:ascii="Times New Roman" w:hAnsi="Times New Roman"/>
          <w:b w:val="false"/>
          <w:i/>
          <w:sz w:val="20"/>
        </w:rPr>
        <w:t>Revenue from Contracts with Customers (Topic 606).</w:t>
      </w:r>
      <w:r>
        <w:rPr>
          <w:rFonts w:ascii="Times New Roman" w:hAnsi="Times New Roman"/>
          <w:sz w:val="20"/>
        </w:rPr>
        <w:t xml:space="preserve"> </w:t>
      </w:r>
      <w:r>
        <w:rPr>
          <w:rFonts w:ascii="Times New Roman" w:hAnsi="Times New Roman"/>
          <w:b w:val="false"/>
          <w:sz w:val="20"/>
        </w:rPr>
        <w:t>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order to recognize revenue under ASU 2014-09, the Company applies the following five (5) steps:</w:t>
      </w:r>
    </w:p>
    <w:p>
      <w:pPr>
        <w:pStyle w:val="TextBody"/>
        <w:spacing w:lineRule="auto" w:line="273" w:before="0" w:after="0"/>
        <w:jc w:val="left"/>
        <w:rPr/>
      </w:pPr>
      <w:r>
        <w:rPr/>
        <w:t> </w:t>
      </w:r>
    </w:p>
    <w:tbl>
      <w:tblPr>
        <w:tblW w:w="5304" w:type="dxa"/>
        <w:jc w:val="left"/>
        <w:tblInd w:w="0" w:type="dxa"/>
        <w:tblCellMar>
          <w:top w:w="28" w:type="dxa"/>
          <w:left w:w="28" w:type="dxa"/>
          <w:bottom w:w="28" w:type="dxa"/>
          <w:right w:w="28" w:type="dxa"/>
        </w:tblCellMar>
      </w:tblPr>
      <w:tblGrid>
        <w:gridCol w:w="161"/>
        <w:gridCol w:w="256"/>
        <w:gridCol w:w="146"/>
        <w:gridCol w:w="47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Identify a customer along with a corresponding contract;</w:t>
            </w:r>
          </w:p>
        </w:tc>
      </w:tr>
    </w:tbl>
    <w:p>
      <w:pPr>
        <w:pStyle w:val="TextBody"/>
        <w:spacing w:lineRule="auto" w:line="273" w:before="0" w:after="0"/>
        <w:jc w:val="left"/>
        <w:rPr/>
      </w:pPr>
      <w:r>
        <w:rPr/>
        <w:t> </w:t>
      </w:r>
    </w:p>
    <w:tbl>
      <w:tblPr>
        <w:tblW w:w="9834" w:type="dxa"/>
        <w:jc w:val="left"/>
        <w:tblInd w:w="0" w:type="dxa"/>
        <w:tblCellMar>
          <w:top w:w="28" w:type="dxa"/>
          <w:left w:w="28" w:type="dxa"/>
          <w:bottom w:w="28" w:type="dxa"/>
          <w:right w:w="28" w:type="dxa"/>
        </w:tblCellMar>
      </w:tblPr>
      <w:tblGrid>
        <w:gridCol w:w="161"/>
        <w:gridCol w:w="256"/>
        <w:gridCol w:w="146"/>
        <w:gridCol w:w="92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Identify the performance obligation(s) in the contract to transfer goods or provide distinct services to a customer;</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Determine the transaction price the Company expects to be entitled to in exchange for transferring promised goods or services to a customer;</w:t>
            </w:r>
          </w:p>
        </w:tc>
      </w:tr>
    </w:tbl>
    <w:p>
      <w:pPr>
        <w:pStyle w:val="TextBody"/>
        <w:spacing w:lineRule="auto" w:line="273" w:before="0" w:after="0"/>
        <w:jc w:val="left"/>
        <w:rPr/>
      </w:pPr>
      <w:r>
        <w:rPr/>
        <w:t> </w:t>
      </w:r>
    </w:p>
    <w:tbl>
      <w:tblPr>
        <w:tblW w:w="7374" w:type="dxa"/>
        <w:jc w:val="left"/>
        <w:tblInd w:w="0" w:type="dxa"/>
        <w:tblCellMar>
          <w:top w:w="28" w:type="dxa"/>
          <w:left w:w="28" w:type="dxa"/>
          <w:bottom w:w="28" w:type="dxa"/>
          <w:right w:w="28" w:type="dxa"/>
        </w:tblCellMar>
      </w:tblPr>
      <w:tblGrid>
        <w:gridCol w:w="161"/>
        <w:gridCol w:w="256"/>
        <w:gridCol w:w="146"/>
        <w:gridCol w:w="681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8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Allocate the transaction price to the performance obligation(s) in the contract; and</w:t>
            </w:r>
          </w:p>
        </w:tc>
      </w:tr>
    </w:tbl>
    <w:p>
      <w:pPr>
        <w:pStyle w:val="TextBody"/>
        <w:spacing w:lineRule="auto" w:line="273" w:before="0" w:after="0"/>
        <w:jc w:val="left"/>
        <w:rPr/>
      </w:pPr>
      <w:r>
        <w:rPr/>
        <w:t> </w:t>
      </w:r>
    </w:p>
    <w:tbl>
      <w:tblPr>
        <w:tblW w:w="7494" w:type="dxa"/>
        <w:jc w:val="left"/>
        <w:tblInd w:w="0" w:type="dxa"/>
        <w:tblCellMar>
          <w:top w:w="28" w:type="dxa"/>
          <w:left w:w="28" w:type="dxa"/>
          <w:bottom w:w="28" w:type="dxa"/>
          <w:right w:w="28" w:type="dxa"/>
        </w:tblCellMar>
      </w:tblPr>
      <w:tblGrid>
        <w:gridCol w:w="161"/>
        <w:gridCol w:w="256"/>
        <w:gridCol w:w="146"/>
        <w:gridCol w:w="69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9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Recognize revenue when or as the Company satisfies the performance obligation(s).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2021, 2020 and 2019, sales discounts totaled $83,851</w:t>
      </w:r>
      <w:r>
        <w:rPr>
          <w:rFonts w:ascii="Times New Roman" w:hAnsi="Times New Roman"/>
          <w:sz w:val="20"/>
        </w:rPr>
        <w:t xml:space="preserve"> </w:t>
      </w:r>
      <w:r>
        <w:rPr>
          <w:rFonts w:ascii="Times New Roman" w:hAnsi="Times New Roman"/>
          <w:b w:val="false"/>
          <w:sz w:val="20"/>
        </w:rPr>
        <w:t>thousand, $48,442</w:t>
      </w:r>
      <w:r>
        <w:rPr>
          <w:rFonts w:ascii="Times New Roman" w:hAnsi="Times New Roman"/>
          <w:sz w:val="20"/>
        </w:rPr>
        <w:t xml:space="preserve"> </w:t>
      </w:r>
      <w:r>
        <w:rPr>
          <w:rFonts w:ascii="Times New Roman" w:hAnsi="Times New Roman"/>
          <w:b w:val="false"/>
          <w:sz w:val="20"/>
        </w:rPr>
        <w:t>thousand and $16,089</w:t>
      </w:r>
      <w:r>
        <w:rPr>
          <w:rFonts w:ascii="Times New Roman" w:hAnsi="Times New Roman"/>
          <w:sz w:val="20"/>
        </w:rPr>
        <w:t xml:space="preserve"> </w:t>
      </w:r>
      <w:r>
        <w:rPr>
          <w:rFonts w:ascii="Times New Roman" w:hAnsi="Times New Roman"/>
          <w:b w:val="false"/>
          <w:sz w:val="20"/>
        </w:rPr>
        <w:t>thousand, respectively.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Revenue is recognized upon the satisfaction of the performance obligation. The Company satisfies its performance obligation and transfers control upon delivery and acceptance by the customer.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some of its locations, the Company offers a loyalty reward program to its dispensary customers. A portion of the revenue generated in a sale must be allocated to the loyalty points earned. The amount allocated to the points earned is deferred until the loyalty points are redeemed or expire. As of December 31, 2021 and 2020, the loyalty liability totaled $3,986</w:t>
      </w:r>
      <w:r>
        <w:rPr>
          <w:rFonts w:ascii="Times New Roman" w:hAnsi="Times New Roman"/>
          <w:sz w:val="20"/>
        </w:rPr>
        <w:t xml:space="preserve"> </w:t>
      </w:r>
      <w:r>
        <w:rPr>
          <w:rFonts w:ascii="Times New Roman" w:hAnsi="Times New Roman"/>
          <w:b w:val="false"/>
          <w:sz w:val="20"/>
        </w:rPr>
        <w:t>thousand and $2,877</w:t>
      </w:r>
      <w:r>
        <w:rPr>
          <w:rFonts w:ascii="Times New Roman" w:hAnsi="Times New Roman"/>
          <w:sz w:val="20"/>
        </w:rPr>
        <w:t xml:space="preserve"> </w:t>
      </w:r>
      <w:r>
        <w:rPr>
          <w:rFonts w:ascii="Times New Roman" w:hAnsi="Times New Roman"/>
          <w:b w:val="false"/>
          <w:sz w:val="20"/>
        </w:rPr>
        <w:t>thousand, respectively, and is included in accrued liabilities on the consolidated balance sheets.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(p)</w:t>
      </w:r>
    </w:p>
    <w:p>
      <w:pPr>
        <w:pStyle w:val="TextBody"/>
        <w:spacing w:lineRule="auto" w:line="273" w:before="120" w:after="283"/>
        <w:jc w:val="left"/>
        <w:rPr>
          <w:rFonts w:ascii="Times New Roman" w:hAnsi="Times New Roman"/>
          <w:b/>
          <w:sz w:val="20"/>
        </w:rPr>
      </w:pPr>
      <w:r>
        <w:rPr>
          <w:rFonts w:ascii="Times New Roman" w:hAnsi="Times New Roman"/>
          <w:b/>
          <w:sz w:val="20"/>
        </w:rPr>
        <w:t>Stock-Based Payments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Equity settled stock-based payments under stock-based payments plans are ultimately recognized as an expense in profit or loss with a corresponding credit to contributed surplus, in equity.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F-13</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(q)</w:t>
      </w:r>
    </w:p>
    <w:p>
      <w:pPr>
        <w:pStyle w:val="TextBody"/>
        <w:spacing w:lineRule="auto" w:line="273" w:before="120" w:after="283"/>
        <w:jc w:val="left"/>
        <w:rPr>
          <w:rFonts w:ascii="Times New Roman" w:hAnsi="Times New Roman"/>
          <w:b/>
          <w:sz w:val="20"/>
        </w:rPr>
      </w:pPr>
      <w:r>
        <w:rPr>
          <w:rFonts w:ascii="Times New Roman" w:hAnsi="Times New Roman"/>
          <w:b/>
          <w:sz w:val="20"/>
        </w:rPr>
        <w:t>Fair Value of Financial Instruments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Level 1—Unadjusted quoted prices in active markets for identical assets or liabilities;</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Level 2—Inputs other than quoted prices that are observable for the asset or liability, either directly or indirectly; and</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Level 3—Inputs for the asset or liability that are not based on observable market data.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For further details, see Note 15—Fair Value Measurements.</w:t>
      </w:r>
    </w:p>
    <w:p>
      <w:pPr>
        <w:pStyle w:val="TextBody"/>
        <w:spacing w:lineRule="auto" w:line="273" w:before="120" w:after="0"/>
        <w:jc w:val="left"/>
        <w:rPr>
          <w:rFonts w:ascii="Times New Roman" w:hAnsi="Times New Roman"/>
          <w:b/>
          <w:sz w:val="20"/>
        </w:rPr>
      </w:pPr>
      <w:r>
        <w:rPr>
          <w:rFonts w:ascii="Times New Roman" w:hAnsi="Times New Roman"/>
          <w:b/>
          <w:sz w:val="20"/>
        </w:rPr>
        <w:t>(r)</w:t>
      </w:r>
    </w:p>
    <w:p>
      <w:pPr>
        <w:pStyle w:val="TextBody"/>
        <w:spacing w:lineRule="auto" w:line="273" w:before="120" w:after="283"/>
        <w:jc w:val="left"/>
        <w:rPr>
          <w:rFonts w:ascii="Times New Roman" w:hAnsi="Times New Roman"/>
          <w:b/>
          <w:sz w:val="20"/>
        </w:rPr>
      </w:pPr>
      <w:r>
        <w:rPr>
          <w:rFonts w:ascii="Times New Roman" w:hAnsi="Times New Roman"/>
          <w:b/>
          <w:sz w:val="20"/>
        </w:rPr>
        <w:t>Commitments and Contingencies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pStyle w:val="TextBody"/>
        <w:spacing w:lineRule="auto" w:line="273" w:before="120" w:after="0"/>
        <w:jc w:val="left"/>
        <w:rPr>
          <w:rFonts w:ascii="Times New Roman" w:hAnsi="Times New Roman"/>
          <w:b/>
          <w:sz w:val="20"/>
        </w:rPr>
      </w:pPr>
      <w:r>
        <w:rPr>
          <w:rFonts w:ascii="Times New Roman" w:hAnsi="Times New Roman"/>
          <w:b/>
          <w:sz w:val="20"/>
        </w:rPr>
        <w:t>(s)</w:t>
      </w:r>
    </w:p>
    <w:p>
      <w:pPr>
        <w:pStyle w:val="TextBody"/>
        <w:spacing w:lineRule="auto" w:line="273" w:before="120" w:after="283"/>
        <w:jc w:val="left"/>
        <w:rPr>
          <w:rFonts w:ascii="Times New Roman" w:hAnsi="Times New Roman"/>
          <w:b/>
          <w:sz w:val="20"/>
        </w:rPr>
      </w:pPr>
      <w:r>
        <w:rPr>
          <w:rFonts w:ascii="Times New Roman" w:hAnsi="Times New Roman"/>
          <w:b/>
          <w:sz w:val="20"/>
        </w:rPr>
        <w:t>Share Capital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w:t>
      </w:r>
      <w:r>
        <w:rPr>
          <w:rFonts w:ascii="Times New Roman" w:hAnsi="Times New Roman"/>
          <w:sz w:val="20"/>
        </w:rPr>
        <w:t>”</w:t>
      </w:r>
      <w:r>
        <w:rPr>
          <w:rFonts w:ascii="Times New Roman" w:hAnsi="Times New Roman"/>
          <w:b w:val="false"/>
          <w:sz w:val="20"/>
        </w:rPr>
        <w:t>) 740, Income Taxes.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F-14</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(t)</w:t>
      </w:r>
    </w:p>
    <w:p>
      <w:pPr>
        <w:pStyle w:val="TextBody"/>
        <w:spacing w:lineRule="auto" w:line="273" w:before="120" w:after="283"/>
        <w:jc w:val="left"/>
        <w:rPr>
          <w:rFonts w:ascii="Times New Roman" w:hAnsi="Times New Roman"/>
          <w:b/>
          <w:sz w:val="20"/>
        </w:rPr>
      </w:pPr>
      <w:r>
        <w:rPr>
          <w:rFonts w:ascii="Times New Roman" w:hAnsi="Times New Roman"/>
          <w:b/>
          <w:sz w:val="20"/>
        </w:rPr>
        <w:t>Earnings (Loss) per Share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Basic earnings (loss) per share is calculated using the treasury stock method, by dividing the net earnings (loss)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(loss)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stock options and warrants. As of December 31, 2021, the Company had 5,383,275</w:t>
      </w:r>
      <w:r>
        <w:rPr>
          <w:rFonts w:ascii="Times New Roman" w:hAnsi="Times New Roman"/>
          <w:sz w:val="20"/>
        </w:rPr>
        <w:t xml:space="preserve"> </w:t>
      </w:r>
      <w:r>
        <w:rPr>
          <w:rFonts w:ascii="Times New Roman" w:hAnsi="Times New Roman"/>
          <w:b w:val="false"/>
          <w:sz w:val="20"/>
        </w:rPr>
        <w:t>options, 376,127</w:t>
      </w:r>
      <w:r>
        <w:rPr>
          <w:rFonts w:ascii="Times New Roman" w:hAnsi="Times New Roman"/>
          <w:sz w:val="20"/>
        </w:rPr>
        <w:t xml:space="preserve"> </w:t>
      </w:r>
      <w:r>
        <w:rPr>
          <w:rFonts w:ascii="Times New Roman" w:hAnsi="Times New Roman"/>
          <w:b w:val="false"/>
          <w:sz w:val="20"/>
        </w:rPr>
        <w:t>RSUs and 3,835,278</w:t>
      </w:r>
      <w:r>
        <w:rPr>
          <w:rFonts w:ascii="Times New Roman" w:hAnsi="Times New Roman"/>
          <w:sz w:val="20"/>
        </w:rPr>
        <w:t xml:space="preserve"> </w:t>
      </w:r>
      <w:r>
        <w:rPr>
          <w:rFonts w:ascii="Times New Roman" w:hAnsi="Times New Roman"/>
          <w:b w:val="false"/>
          <w:sz w:val="20"/>
        </w:rPr>
        <w:t>warrants outstanding. As of December 31, 2020, the Company had 5,664,406</w:t>
      </w:r>
      <w:r>
        <w:rPr>
          <w:rFonts w:ascii="Times New Roman" w:hAnsi="Times New Roman"/>
          <w:sz w:val="20"/>
        </w:rPr>
        <w:t xml:space="preserve"> </w:t>
      </w:r>
      <w:r>
        <w:rPr>
          <w:rFonts w:ascii="Times New Roman" w:hAnsi="Times New Roman"/>
          <w:b w:val="false"/>
          <w:sz w:val="20"/>
        </w:rPr>
        <w:t>options, 689,340</w:t>
      </w:r>
      <w:r>
        <w:rPr>
          <w:rFonts w:ascii="Times New Roman" w:hAnsi="Times New Roman"/>
          <w:sz w:val="20"/>
        </w:rPr>
        <w:t xml:space="preserve"> </w:t>
      </w:r>
      <w:r>
        <w:rPr>
          <w:rFonts w:ascii="Times New Roman" w:hAnsi="Times New Roman"/>
          <w:b w:val="false"/>
          <w:sz w:val="20"/>
        </w:rPr>
        <w:t>RSUs and 2,520,794</w:t>
      </w:r>
      <w:r>
        <w:rPr>
          <w:rFonts w:ascii="Times New Roman" w:hAnsi="Times New Roman"/>
          <w:sz w:val="20"/>
        </w:rPr>
        <w:t xml:space="preserve"> </w:t>
      </w:r>
      <w:r>
        <w:rPr>
          <w:rFonts w:ascii="Times New Roman" w:hAnsi="Times New Roman"/>
          <w:b w:val="false"/>
          <w:sz w:val="20"/>
        </w:rPr>
        <w:t>warrants outstanding. As of December 31, 2019, the Company had 3,839,017</w:t>
      </w:r>
      <w:r>
        <w:rPr>
          <w:rFonts w:ascii="Times New Roman" w:hAnsi="Times New Roman"/>
          <w:sz w:val="20"/>
        </w:rPr>
        <w:t xml:space="preserve"> </w:t>
      </w:r>
      <w:r>
        <w:rPr>
          <w:rFonts w:ascii="Times New Roman" w:hAnsi="Times New Roman"/>
          <w:b w:val="false"/>
          <w:sz w:val="20"/>
        </w:rPr>
        <w:t>options, 1,399,762</w:t>
      </w:r>
      <w:r>
        <w:rPr>
          <w:rFonts w:ascii="Times New Roman" w:hAnsi="Times New Roman"/>
          <w:sz w:val="20"/>
        </w:rPr>
        <w:t xml:space="preserve"> </w:t>
      </w:r>
      <w:r>
        <w:rPr>
          <w:rFonts w:ascii="Times New Roman" w:hAnsi="Times New Roman"/>
          <w:b w:val="false"/>
          <w:sz w:val="20"/>
        </w:rPr>
        <w:t>RSUs and 2,406,811</w:t>
      </w:r>
      <w:r>
        <w:rPr>
          <w:rFonts w:ascii="Times New Roman" w:hAnsi="Times New Roman"/>
          <w:sz w:val="20"/>
        </w:rPr>
        <w:t xml:space="preserve"> </w:t>
      </w:r>
      <w:r>
        <w:rPr>
          <w:rFonts w:ascii="Times New Roman" w:hAnsi="Times New Roman"/>
          <w:b w:val="false"/>
          <w:sz w:val="20"/>
        </w:rPr>
        <w:t>warrants outstanding.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order to determine diluted earnings per share, it is assumed that any proceeds from the exercise of dilutive unvested RSUs,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year ended December 31, 2021, the computation of diluted earnings per share included 2,323,625</w:t>
      </w:r>
      <w:r>
        <w:rPr>
          <w:rFonts w:ascii="Times New Roman" w:hAnsi="Times New Roman"/>
          <w:sz w:val="20"/>
        </w:rPr>
        <w:t xml:space="preserve"> </w:t>
      </w:r>
      <w:r>
        <w:rPr>
          <w:rFonts w:ascii="Times New Roman" w:hAnsi="Times New Roman"/>
          <w:b w:val="false"/>
          <w:sz w:val="20"/>
        </w:rPr>
        <w:t>options, 200,732</w:t>
      </w:r>
      <w:r>
        <w:rPr>
          <w:rFonts w:ascii="Times New Roman" w:hAnsi="Times New Roman"/>
          <w:sz w:val="20"/>
        </w:rPr>
        <w:t xml:space="preserve"> </w:t>
      </w:r>
      <w:r>
        <w:rPr>
          <w:rFonts w:ascii="Times New Roman" w:hAnsi="Times New Roman"/>
          <w:b w:val="false"/>
          <w:sz w:val="20"/>
        </w:rPr>
        <w:t>RSUs and 1,042,199</w:t>
      </w:r>
      <w:r>
        <w:rPr>
          <w:rFonts w:ascii="Times New Roman" w:hAnsi="Times New Roman"/>
          <w:sz w:val="20"/>
        </w:rPr>
        <w:t xml:space="preserve"> </w:t>
      </w:r>
      <w:r>
        <w:rPr>
          <w:rFonts w:ascii="Times New Roman" w:hAnsi="Times New Roman"/>
          <w:b w:val="false"/>
          <w:sz w:val="20"/>
        </w:rPr>
        <w:t>warrants. For the year ended December 31, 2020, the computation of diluted earnings per share included 1,307,421</w:t>
      </w:r>
      <w:r>
        <w:rPr>
          <w:rFonts w:ascii="Times New Roman" w:hAnsi="Times New Roman"/>
          <w:sz w:val="20"/>
        </w:rPr>
        <w:t xml:space="preserve"> </w:t>
      </w:r>
      <w:r>
        <w:rPr>
          <w:rFonts w:ascii="Times New Roman" w:hAnsi="Times New Roman"/>
          <w:b w:val="false"/>
          <w:sz w:val="20"/>
        </w:rPr>
        <w:t>options, 134,254</w:t>
      </w:r>
      <w:r>
        <w:rPr>
          <w:rFonts w:ascii="Times New Roman" w:hAnsi="Times New Roman"/>
          <w:sz w:val="20"/>
        </w:rPr>
        <w:t xml:space="preserve"> </w:t>
      </w:r>
      <w:r>
        <w:rPr>
          <w:rFonts w:ascii="Times New Roman" w:hAnsi="Times New Roman"/>
          <w:b w:val="false"/>
          <w:sz w:val="20"/>
        </w:rPr>
        <w:t>RSUs and 101,254</w:t>
      </w:r>
      <w:r>
        <w:rPr>
          <w:rFonts w:ascii="Times New Roman" w:hAnsi="Times New Roman"/>
          <w:sz w:val="20"/>
        </w:rPr>
        <w:t xml:space="preserve"> </w:t>
      </w:r>
      <w:r>
        <w:rPr>
          <w:rFonts w:ascii="Times New Roman" w:hAnsi="Times New Roman"/>
          <w:b w:val="false"/>
          <w:sz w:val="20"/>
        </w:rPr>
        <w:t>warrants. No</w:t>
      </w:r>
      <w:r>
        <w:rPr>
          <w:rFonts w:ascii="Times New Roman" w:hAnsi="Times New Roman"/>
          <w:sz w:val="20"/>
        </w:rPr>
        <w:t xml:space="preserve"> </w:t>
      </w:r>
      <w:r>
        <w:rPr>
          <w:rFonts w:ascii="Times New Roman" w:hAnsi="Times New Roman"/>
          <w:b w:val="false"/>
          <w:sz w:val="20"/>
        </w:rPr>
        <w:t>potentially dilutive Common Share equivalents were included in the computation of diluted loss per share for the year ended December 31, 2019</w:t>
      </w:r>
      <w:r>
        <w:rPr>
          <w:rFonts w:ascii="Times New Roman" w:hAnsi="Times New Roman"/>
          <w:sz w:val="20"/>
        </w:rPr>
        <w:t xml:space="preserve"> </w:t>
      </w:r>
      <w:r>
        <w:rPr>
          <w:rFonts w:ascii="Times New Roman" w:hAnsi="Times New Roman"/>
          <w:b w:val="false"/>
          <w:sz w:val="20"/>
        </w:rPr>
        <w:t>because their impact was anti-dilutive.</w:t>
      </w:r>
      <w:r>
        <w:rPr>
          <w:rFonts w:ascii="Times New Roman" w:hAnsi="Times New Roman"/>
          <w:sz w:val="20"/>
        </w:rPr>
        <w:t xml:space="preserve"> </w:t>
      </w:r>
      <w:r>
        <w:rPr>
          <w:rFonts w:ascii="Times New Roman" w:hAnsi="Times New Roman"/>
          <w:b w:val="false"/>
          <w:sz w:val="20"/>
        </w:rPr>
        <w:t>For the years ended December 31, 2021 and 2020, the weighted average number of anti-dilutive stock options excluded from the computation of diluted earnings per share were 626,930</w:t>
      </w:r>
      <w:r>
        <w:rPr>
          <w:rFonts w:ascii="Times New Roman" w:hAnsi="Times New Roman"/>
          <w:sz w:val="20"/>
        </w:rPr>
        <w:t xml:space="preserve"> </w:t>
      </w:r>
      <w:r>
        <w:rPr>
          <w:rFonts w:ascii="Times New Roman" w:hAnsi="Times New Roman"/>
          <w:b w:val="false"/>
          <w:sz w:val="20"/>
        </w:rPr>
        <w:t>and 580,672, respectfully.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(u)</w:t>
      </w:r>
    </w:p>
    <w:p>
      <w:pPr>
        <w:pStyle w:val="TextBody"/>
        <w:spacing w:lineRule="auto" w:line="273" w:before="120" w:after="283"/>
        <w:jc w:val="left"/>
        <w:rPr>
          <w:rFonts w:ascii="Times New Roman" w:hAnsi="Times New Roman"/>
          <w:b/>
          <w:sz w:val="20"/>
        </w:rPr>
      </w:pPr>
      <w:r>
        <w:rPr>
          <w:rFonts w:ascii="Times New Roman" w:hAnsi="Times New Roman"/>
          <w:b/>
          <w:sz w:val="20"/>
        </w:rPr>
        <w:t>Business Combinations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(v)</w:t>
      </w:r>
    </w:p>
    <w:p>
      <w:pPr>
        <w:pStyle w:val="TextBody"/>
        <w:spacing w:lineRule="auto" w:line="273" w:before="120" w:after="283"/>
        <w:jc w:val="left"/>
        <w:rPr>
          <w:rFonts w:ascii="Times New Roman" w:hAnsi="Times New Roman"/>
          <w:b/>
          <w:sz w:val="20"/>
        </w:rPr>
      </w:pPr>
      <w:r>
        <w:rPr>
          <w:rFonts w:ascii="Times New Roman" w:hAnsi="Times New Roman"/>
          <w:b/>
          <w:sz w:val="20"/>
        </w:rPr>
        <w:t>Foreign Currency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Assets and liabilities denominated in currencies other than Green Thumb’s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income (loss) for the period. During the years ended December 31, 2021, 2020 and 2019, there were no significant transactions in currencies other than US Dollars.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F-15</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(w)</w:t>
      </w:r>
    </w:p>
    <w:p>
      <w:pPr>
        <w:pStyle w:val="TextBody"/>
        <w:spacing w:lineRule="auto" w:line="273" w:before="120" w:after="283"/>
        <w:jc w:val="left"/>
        <w:rPr>
          <w:rFonts w:ascii="Times New Roman" w:hAnsi="Times New Roman"/>
          <w:b/>
          <w:sz w:val="20"/>
        </w:rPr>
      </w:pPr>
      <w:r>
        <w:rPr>
          <w:rFonts w:ascii="Times New Roman" w:hAnsi="Times New Roman"/>
          <w:b/>
          <w:sz w:val="20"/>
        </w:rPr>
        <w:t>Impairment of Other Long-Lived Assets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 ended December 31, 2021, the Company recorded an impairment charge associated with long-lived fixed assets of $4,744</w:t>
      </w:r>
      <w:r>
        <w:rPr>
          <w:rFonts w:ascii="Times New Roman" w:hAnsi="Times New Roman"/>
          <w:sz w:val="20"/>
        </w:rPr>
        <w:t xml:space="preserve"> </w:t>
      </w:r>
      <w:r>
        <w:rPr>
          <w:rFonts w:ascii="Times New Roman" w:hAnsi="Times New Roman"/>
          <w:b w:val="false"/>
          <w:sz w:val="20"/>
        </w:rPr>
        <w:t>thousand within selling, general, and administrative expenses on the consolidated statement of operations. No such impairment charges were recorded during the years ended December 31, 2020 or 2019.</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(x)</w:t>
      </w:r>
    </w:p>
    <w:p>
      <w:pPr>
        <w:pStyle w:val="TextBody"/>
        <w:spacing w:lineRule="auto" w:line="273" w:before="120" w:after="283"/>
        <w:jc w:val="left"/>
        <w:rPr>
          <w:rFonts w:ascii="Times New Roman" w:hAnsi="Times New Roman"/>
          <w:b/>
          <w:sz w:val="20"/>
        </w:rPr>
      </w:pPr>
      <w:r>
        <w:rPr>
          <w:rFonts w:ascii="Times New Roman" w:hAnsi="Times New Roman"/>
          <w:b/>
          <w:sz w:val="20"/>
        </w:rPr>
        <w:t>Significant Accounting Judgments, Estimates and Assumptions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Significant judgments, estimates and assumptions that have the most significant effect on the amounts recognized in the consolidated financial statements are described below.</w:t>
      </w:r>
    </w:p>
    <w:p>
      <w:pPr>
        <w:pStyle w:val="TextBody"/>
        <w:spacing w:lineRule="auto" w:line="273" w:before="0" w:after="0"/>
        <w:jc w:val="left"/>
        <w:rPr/>
      </w:pPr>
      <w:r>
        <w:rPr/>
        <w:t> </w:t>
      </w:r>
    </w:p>
    <w:tbl>
      <w:tblPr>
        <w:tblW w:w="9643" w:type="dxa"/>
        <w:jc w:val="left"/>
        <w:tblInd w:w="0" w:type="dxa"/>
        <w:tblCellMar>
          <w:top w:w="28" w:type="dxa"/>
          <w:left w:w="28" w:type="dxa"/>
          <w:bottom w:w="28" w:type="dxa"/>
          <w:right w:w="28" w:type="dxa"/>
        </w:tblCellMar>
      </w:tblPr>
      <w:tblGrid>
        <w:gridCol w:w="161"/>
        <w:gridCol w:w="286"/>
        <w:gridCol w:w="9196"/>
      </w:tblGrid>
      <w:tr>
        <w:trPr/>
        <w:tc>
          <w:tcPr>
            <w:tcW w:w="16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1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w:t>
            </w:r>
          </w:p>
        </w:tc>
        <w:tc>
          <w:tcPr>
            <w:tcW w:w="91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Estimated Useful Lives and Amortization of Intangible Assets (Also see Note 6—Intangible Asset and Goodwill)</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Amortization of intangible assets is recorded on a straight-line basis over their estimated useful lives, which do not exceed the contractual period, if any.</w:t>
      </w:r>
    </w:p>
    <w:p>
      <w:pPr>
        <w:pStyle w:val="TextBody"/>
        <w:spacing w:lineRule="auto" w:line="273" w:before="0" w:after="0"/>
        <w:jc w:val="left"/>
        <w:rPr/>
      </w:pPr>
      <w:r>
        <w:rPr/>
        <w:t> </w:t>
      </w:r>
    </w:p>
    <w:tbl>
      <w:tblPr>
        <w:tblW w:w="2563" w:type="dxa"/>
        <w:jc w:val="left"/>
        <w:tblInd w:w="0" w:type="dxa"/>
        <w:tblCellMar>
          <w:top w:w="28" w:type="dxa"/>
          <w:left w:w="28" w:type="dxa"/>
          <w:bottom w:w="28" w:type="dxa"/>
          <w:right w:w="28" w:type="dxa"/>
        </w:tblCellMar>
      </w:tblPr>
      <w:tblGrid>
        <w:gridCol w:w="161"/>
        <w:gridCol w:w="346"/>
        <w:gridCol w:w="2056"/>
      </w:tblGrid>
      <w:tr>
        <w:trPr/>
        <w:tc>
          <w:tcPr>
            <w:tcW w:w="16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(ii)</w:t>
            </w:r>
          </w:p>
        </w:tc>
        <w:tc>
          <w:tcPr>
            <w:tcW w:w="20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Business Combinations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5 —Acquisitions for details.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F-16</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(x) Significant Accounting Judgments, Estimates and Assumptions </w:t>
      </w:r>
      <w:r>
        <w:rPr>
          <w:rFonts w:ascii="Times New Roman" w:hAnsi="Times New Roman"/>
          <w:b w:val="false"/>
          <w:sz w:val="20"/>
        </w:rPr>
        <w:t>(Continued)</w:t>
      </w:r>
    </w:p>
    <w:p>
      <w:pPr>
        <w:pStyle w:val="TextBody"/>
        <w:spacing w:lineRule="auto" w:line="273" w:before="0" w:after="0"/>
        <w:jc w:val="left"/>
        <w:rPr/>
      </w:pPr>
      <w:r>
        <w:rPr/>
        <w:t> </w:t>
      </w:r>
    </w:p>
    <w:tbl>
      <w:tblPr>
        <w:tblW w:w="1633" w:type="dxa"/>
        <w:jc w:val="left"/>
        <w:tblInd w:w="0" w:type="dxa"/>
        <w:tblCellMar>
          <w:top w:w="28" w:type="dxa"/>
          <w:left w:w="28" w:type="dxa"/>
          <w:bottom w:w="28" w:type="dxa"/>
          <w:right w:w="28" w:type="dxa"/>
        </w:tblCellMar>
      </w:tblPr>
      <w:tblGrid>
        <w:gridCol w:w="161"/>
        <w:gridCol w:w="406"/>
        <w:gridCol w:w="1066"/>
      </w:tblGrid>
      <w:tr>
        <w:trPr/>
        <w:tc>
          <w:tcPr>
            <w:tcW w:w="1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(iii)</w:t>
            </w:r>
          </w:p>
        </w:tc>
        <w:tc>
          <w:tcPr>
            <w:tcW w:w="10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Inventories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pStyle w:val="TextBody"/>
        <w:spacing w:lineRule="auto" w:line="273" w:before="0" w:after="0"/>
        <w:jc w:val="left"/>
        <w:rPr/>
      </w:pPr>
      <w:r>
        <w:rPr/>
        <w:t> </w:t>
      </w:r>
    </w:p>
    <w:tbl>
      <w:tblPr>
        <w:tblW w:w="3283" w:type="dxa"/>
        <w:jc w:val="left"/>
        <w:tblInd w:w="0" w:type="dxa"/>
        <w:tblCellMar>
          <w:top w:w="28" w:type="dxa"/>
          <w:left w:w="28" w:type="dxa"/>
          <w:bottom w:w="28" w:type="dxa"/>
          <w:right w:w="28" w:type="dxa"/>
        </w:tblCellMar>
      </w:tblPr>
      <w:tblGrid>
        <w:gridCol w:w="161"/>
        <w:gridCol w:w="376"/>
        <w:gridCol w:w="2746"/>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(iv)</w:t>
            </w:r>
          </w:p>
        </w:tc>
        <w:tc>
          <w:tcPr>
            <w:tcW w:w="27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Investments in Private Holdings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pStyle w:val="TextBody"/>
        <w:spacing w:lineRule="auto" w:line="273" w:before="0" w:after="0"/>
        <w:jc w:val="left"/>
        <w:rPr/>
      </w:pPr>
      <w:r>
        <w:rPr/>
        <w:t> </w:t>
      </w:r>
    </w:p>
    <w:tbl>
      <w:tblPr>
        <w:tblW w:w="2368" w:type="dxa"/>
        <w:jc w:val="left"/>
        <w:tblInd w:w="0" w:type="dxa"/>
        <w:tblCellMar>
          <w:top w:w="28" w:type="dxa"/>
          <w:left w:w="28" w:type="dxa"/>
          <w:bottom w:w="28" w:type="dxa"/>
          <w:right w:w="28" w:type="dxa"/>
        </w:tblCellMar>
      </w:tblPr>
      <w:tblGrid>
        <w:gridCol w:w="161"/>
        <w:gridCol w:w="316"/>
        <w:gridCol w:w="1891"/>
      </w:tblGrid>
      <w:tr>
        <w:trPr/>
        <w:tc>
          <w:tcPr>
            <w:tcW w:w="1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(v)</w:t>
            </w:r>
          </w:p>
        </w:tc>
        <w:tc>
          <w:tcPr>
            <w:tcW w:w="18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Goodwill Impairment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Goodwill is tested for impairment annually and whenever events or changes in circumstances indicate that the carrying amount of goodwill has been impaired. As described in Notes 2(l) and 2(m), the Company applies the guidance in ASU 2011-08 “Intangibles-Goodwill and Other-Testing Goodwill for Impairment,” which provides entities with an option to perform a qualitative assessment (commonly referred to as “Step Zero”</w:t>
      </w:r>
      <w:r>
        <w:rPr>
          <w:rFonts w:ascii="Times New Roman" w:hAnsi="Times New Roman"/>
          <w:b/>
          <w:sz w:val="20"/>
        </w:rPr>
        <w:t>)</w:t>
      </w:r>
      <w:r>
        <w:rPr>
          <w:rFonts w:ascii="Times New Roman" w:hAnsi="Times New Roman"/>
          <w:sz w:val="20"/>
        </w:rPr>
        <w:t xml:space="preserve"> </w:t>
      </w:r>
      <w:r>
        <w:rPr>
          <w:rFonts w:ascii="Times New Roman" w:hAnsi="Times New Roman"/>
          <w:b w:val="false"/>
          <w:sz w:val="20"/>
        </w:rPr>
        <w:t>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years ended December 31, 2021 and 2020, the Company performed the Step Zero analysis for its goodwill impairment test. As a result of the Company’s Step Zero analysis, no further quantitative impairment test was deemed necessary. There were no impairments of goodwill or intangible assets with indefinite lives for the years ended December 31, 2021, 2020 or 2019.</w:t>
      </w:r>
      <w:r>
        <w:rPr>
          <w:rFonts w:ascii="Times New Roman" w:hAnsi="Times New Roman"/>
          <w:sz w:val="20"/>
        </w:rPr>
        <w:t xml:space="preserve"> </w:t>
      </w:r>
    </w:p>
    <w:p>
      <w:pPr>
        <w:pStyle w:val="TextBody"/>
        <w:spacing w:lineRule="auto" w:line="273" w:before="0" w:after="0"/>
        <w:jc w:val="left"/>
        <w:rPr/>
      </w:pPr>
      <w:r>
        <w:rPr/>
        <w:t> </w:t>
      </w:r>
    </w:p>
    <w:tbl>
      <w:tblPr>
        <w:tblW w:w="3433" w:type="dxa"/>
        <w:jc w:val="left"/>
        <w:tblInd w:w="0" w:type="dxa"/>
        <w:tblCellMar>
          <w:top w:w="28" w:type="dxa"/>
          <w:left w:w="28" w:type="dxa"/>
          <w:bottom w:w="28" w:type="dxa"/>
          <w:right w:w="28" w:type="dxa"/>
        </w:tblCellMar>
      </w:tblPr>
      <w:tblGrid>
        <w:gridCol w:w="161"/>
        <w:gridCol w:w="376"/>
        <w:gridCol w:w="2896"/>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(vi)</w:t>
            </w:r>
          </w:p>
        </w:tc>
        <w:tc>
          <w:tcPr>
            <w:tcW w:w="28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Determination of Reporting Units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assets are aggregated into two reportable segments (Retail and Consumer Packaged Goods which is commonly referred to as "CPG"). For the purposes of testing goodwill, Green Thumb has identified a total of 30</w:t>
      </w:r>
      <w:r>
        <w:rPr>
          <w:rFonts w:ascii="Times New Roman" w:hAnsi="Times New Roman"/>
          <w:sz w:val="20"/>
        </w:rPr>
        <w:t xml:space="preserve"> </w:t>
      </w:r>
      <w:r>
        <w:rPr>
          <w:rFonts w:ascii="Times New Roman" w:hAnsi="Times New Roman"/>
          <w:b w:val="false"/>
          <w:sz w:val="20"/>
        </w:rPr>
        <w:t>reporting units. The Company analyzed it’s reporting units by first reviewing the operating segments based on the geographic areas in which Green Thumb conducts business (or each market). The markets were then further divided into reporting units based on the market operations (Retail and CPG) which were primarily determined based on the licenses each market holds. The following represent the reporting units to which Green Thumb has assigned or allocated goodwill to as of December 31, 2021: California CPG, Connecticut Retail and CPG, Florida Retail and CPG, Illinois Retail, Massachusetts Retail and CPG, Minnesota Retail and CPG, Nevada Retail and CPG, New York Retail and CPG, Rhode Island Retail and CPG and Virginia Retail and CPG.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F-17</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(x) Significant Accounting Judgments, Estimates and Assumptions </w:t>
      </w:r>
      <w:r>
        <w:rPr>
          <w:rFonts w:ascii="Times New Roman" w:hAnsi="Times New Roman"/>
          <w:b w:val="false"/>
          <w:sz w:val="20"/>
        </w:rPr>
        <w:t>(Continued)</w:t>
      </w:r>
    </w:p>
    <w:p>
      <w:pPr>
        <w:pStyle w:val="TextBody"/>
        <w:spacing w:lineRule="auto" w:line="273" w:before="0" w:after="0"/>
        <w:jc w:val="left"/>
        <w:rPr/>
      </w:pPr>
      <w:r>
        <w:rPr/>
        <w:t> </w:t>
      </w:r>
    </w:p>
    <w:tbl>
      <w:tblPr>
        <w:tblW w:w="1933" w:type="dxa"/>
        <w:jc w:val="left"/>
        <w:tblInd w:w="0" w:type="dxa"/>
        <w:tblCellMar>
          <w:top w:w="28" w:type="dxa"/>
          <w:left w:w="28" w:type="dxa"/>
          <w:bottom w:w="28" w:type="dxa"/>
          <w:right w:w="28" w:type="dxa"/>
        </w:tblCellMar>
      </w:tblPr>
      <w:tblGrid>
        <w:gridCol w:w="161"/>
        <w:gridCol w:w="436"/>
        <w:gridCol w:w="1336"/>
      </w:tblGrid>
      <w:tr>
        <w:trPr/>
        <w:tc>
          <w:tcPr>
            <w:tcW w:w="16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(vii)</w:t>
            </w:r>
          </w:p>
        </w:tc>
        <w:tc>
          <w:tcPr>
            <w:tcW w:w="13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Consolidation</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pStyle w:val="TextBody"/>
        <w:spacing w:lineRule="auto" w:line="273" w:before="0" w:after="0"/>
        <w:jc w:val="left"/>
        <w:rPr/>
      </w:pPr>
      <w:r>
        <w:rPr/>
        <w:t> </w:t>
      </w:r>
    </w:p>
    <w:tbl>
      <w:tblPr>
        <w:tblW w:w="3913" w:type="dxa"/>
        <w:jc w:val="left"/>
        <w:tblInd w:w="0" w:type="dxa"/>
        <w:tblCellMar>
          <w:top w:w="28" w:type="dxa"/>
          <w:left w:w="28" w:type="dxa"/>
          <w:bottom w:w="28" w:type="dxa"/>
          <w:right w:w="28" w:type="dxa"/>
        </w:tblCellMar>
      </w:tblPr>
      <w:tblGrid>
        <w:gridCol w:w="161"/>
        <w:gridCol w:w="496"/>
        <w:gridCol w:w="3256"/>
      </w:tblGrid>
      <w:tr>
        <w:trPr/>
        <w:tc>
          <w:tcPr>
            <w:tcW w:w="16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(viii)</w:t>
            </w:r>
          </w:p>
        </w:tc>
        <w:tc>
          <w:tcPr>
            <w:tcW w:w="3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Allowance for Uncollectible Accounts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pStyle w:val="TextBody"/>
        <w:spacing w:lineRule="auto" w:line="273" w:before="0" w:after="0"/>
        <w:jc w:val="left"/>
        <w:rPr/>
      </w:pPr>
      <w:r>
        <w:rPr/>
        <w:t> </w:t>
      </w:r>
    </w:p>
    <w:tbl>
      <w:tblPr>
        <w:tblW w:w="2518" w:type="dxa"/>
        <w:jc w:val="left"/>
        <w:tblInd w:w="0" w:type="dxa"/>
        <w:tblCellMar>
          <w:top w:w="28" w:type="dxa"/>
          <w:left w:w="28" w:type="dxa"/>
          <w:bottom w:w="28" w:type="dxa"/>
          <w:right w:w="28" w:type="dxa"/>
        </w:tblCellMar>
      </w:tblPr>
      <w:tblGrid>
        <w:gridCol w:w="161"/>
        <w:gridCol w:w="376"/>
        <w:gridCol w:w="1981"/>
      </w:tblGrid>
      <w:tr>
        <w:trPr/>
        <w:tc>
          <w:tcPr>
            <w:tcW w:w="16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(ix)</w:t>
            </w:r>
          </w:p>
        </w:tc>
        <w:tc>
          <w:tcPr>
            <w:tcW w:w="19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Stock-Based Payments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pStyle w:val="TextBody"/>
        <w:spacing w:lineRule="auto" w:line="273" w:before="0" w:after="0"/>
        <w:jc w:val="left"/>
        <w:rPr/>
      </w:pPr>
      <w:r>
        <w:rPr/>
        <w:t> </w:t>
      </w:r>
    </w:p>
    <w:tbl>
      <w:tblPr>
        <w:tblW w:w="3568" w:type="dxa"/>
        <w:jc w:val="left"/>
        <w:tblInd w:w="0" w:type="dxa"/>
        <w:tblCellMar>
          <w:top w:w="28" w:type="dxa"/>
          <w:left w:w="28" w:type="dxa"/>
          <w:bottom w:w="28" w:type="dxa"/>
          <w:right w:w="28" w:type="dxa"/>
        </w:tblCellMar>
      </w:tblPr>
      <w:tblGrid>
        <w:gridCol w:w="161"/>
        <w:gridCol w:w="316"/>
        <w:gridCol w:w="3091"/>
      </w:tblGrid>
      <w:tr>
        <w:trPr/>
        <w:tc>
          <w:tcPr>
            <w:tcW w:w="1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0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(x)</w:t>
            </w:r>
          </w:p>
        </w:tc>
        <w:tc>
          <w:tcPr>
            <w:tcW w:w="30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Fair Value of Financial Instruments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F-18</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2. SIGNIFICANT ACCOUNTING POLICIES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(y)</w:t>
      </w:r>
    </w:p>
    <w:p>
      <w:pPr>
        <w:pStyle w:val="TextBody"/>
        <w:spacing w:lineRule="auto" w:line="273" w:before="120" w:after="283"/>
        <w:jc w:val="left"/>
        <w:rPr>
          <w:rFonts w:ascii="Times New Roman" w:hAnsi="Times New Roman"/>
          <w:b/>
          <w:sz w:val="20"/>
        </w:rPr>
      </w:pPr>
      <w:r>
        <w:rPr>
          <w:rFonts w:ascii="Times New Roman" w:hAnsi="Times New Roman"/>
          <w:b/>
          <w:sz w:val="20"/>
        </w:rPr>
        <w:t>New and Revised Standards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 December 2019, the FASB issued ASU 2019-12, Income Taxes (Topic 740) - Simplifying the Accounting for Income Taxes, which is intended to simplify various aspects related to accounting for income taxes (“ASU 2019-12”). ASU 2019-12 removes certain exceptions to the general principles in Topic 740 and also clarifies and amends existing guidance to improve consistent application. The Company adopted ASU 2019-12 on January 1, 2021. The adoption of the standard did not have a material impact on the Company’s consolidated financial statements.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(ii)</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The Company adopted ASU 2020-01 on January 1, 2021. The adoption of the standard did not have a material impact on the Company’s consolidated financial statements.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(iii)</w:t>
      </w:r>
    </w:p>
    <w:p>
      <w:pPr>
        <w:pStyle w:val="TextBody"/>
        <w:spacing w:lineRule="auto" w:line="273" w:before="120" w:after="283"/>
        <w:jc w:val="left"/>
        <w:rPr/>
      </w:pPr>
      <w:r>
        <w:rPr>
          <w:rFonts w:ascii="Times New Roman" w:hAnsi="Times New Roman"/>
          <w:b w:val="false"/>
          <w:sz w:val="20"/>
        </w:rPr>
        <w:t>On August 5, 2020, the FASB issued ASU No.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We do not expect the adoption of this guidance will have a material impact on the Company’s consolidated financial statements.</w:t>
      </w:r>
      <w:r>
        <w:rPr/>
        <w:t xml:space="preserve">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(z)</w:t>
      </w:r>
    </w:p>
    <w:p>
      <w:pPr>
        <w:pStyle w:val="TextBody"/>
        <w:spacing w:lineRule="auto" w:line="273" w:before="120" w:after="283"/>
        <w:jc w:val="left"/>
        <w:rPr>
          <w:rFonts w:ascii="Times New Roman" w:hAnsi="Times New Roman"/>
          <w:b/>
          <w:sz w:val="20"/>
        </w:rPr>
      </w:pPr>
      <w:r>
        <w:rPr>
          <w:rFonts w:ascii="Times New Roman" w:hAnsi="Times New Roman"/>
          <w:b/>
          <w:sz w:val="20"/>
        </w:rPr>
        <w:t>Coronavirus Pandemic</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March 2020, the World Health Organization categorized coronavirus disease 2019 (together with its variants, “COVID-19”) as a global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Company’s consolidated financial statements presented herein reflect estimates and assumptions made by management that affect the reported amounts of assets and liabilities and disclosure of contingent assets and liabilities at the date of the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2021, it remains uncertain of how the future spread of COVID-19 and applicable vaccine mandates or public health measures may impact the Company’s business operations for reasons including the potential quarantine of the Company’s employees or those of its supply chain partners.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3. INVENTORIES</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inventories include the following at December 31, 2021 and December 31, 2020:</w:t>
      </w:r>
      <w:r>
        <w:rPr>
          <w:rFonts w:ascii="Times New Roman" w:hAnsi="Times New Roman"/>
          <w:sz w:val="20"/>
        </w:rPr>
        <w:t xml:space="preserve"> </w:t>
      </w:r>
    </w:p>
    <w:p>
      <w:pPr>
        <w:pStyle w:val="TextBody"/>
        <w:spacing w:lineRule="auto" w:line="273" w:before="0" w:after="0"/>
        <w:jc w:val="left"/>
        <w:rPr/>
      </w:pPr>
      <w:r>
        <w:rPr/>
        <w:t> </w:t>
      </w:r>
    </w:p>
    <w:tbl>
      <w:tblPr>
        <w:tblW w:w="8315" w:type="dxa"/>
        <w:jc w:val="left"/>
        <w:tblInd w:w="0" w:type="dxa"/>
        <w:tblCellMar>
          <w:top w:w="28" w:type="dxa"/>
          <w:left w:w="28" w:type="dxa"/>
          <w:bottom w:w="28" w:type="dxa"/>
          <w:right w:w="28" w:type="dxa"/>
        </w:tblCellMar>
      </w:tblPr>
      <w:tblGrid>
        <w:gridCol w:w="2296"/>
        <w:gridCol w:w="196"/>
        <w:gridCol w:w="2551"/>
        <w:gridCol w:w="196"/>
        <w:gridCol w:w="3076"/>
      </w:tblGrid>
      <w:tr>
        <w:trPr/>
        <w:tc>
          <w:tcPr>
            <w:tcW w:w="22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0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r>
      <w:tr>
        <w:trPr/>
        <w:tc>
          <w:tcPr>
            <w:tcW w:w="2296" w:type="dxa"/>
            <w:tcBorders/>
            <w:shd w:fill="auto" w:val="clear"/>
            <w:vAlign w:val="center"/>
          </w:tcPr>
          <w:p>
            <w:pPr>
              <w:pStyle w:val="TableContents"/>
              <w:spacing w:lineRule="auto" w:line="252" w:before="0" w:after="0"/>
              <w:ind w:left="0" w:right="0" w:hanging="0"/>
              <w:jc w:val="left"/>
              <w:rPr/>
            </w:pPr>
            <w:r>
              <w:rPr/>
              <w:t> </w:t>
            </w:r>
          </w:p>
        </w:tc>
        <w:tc>
          <w:tcPr>
            <w:tcW w:w="6019" w:type="dxa"/>
            <w:gridSpan w:val="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r>
      <w:tr>
        <w:trPr/>
        <w:tc>
          <w:tcPr>
            <w:tcW w:w="22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Raw Material</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25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5,278</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307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6,373</w:t>
            </w:r>
            <w:r>
              <w:rPr>
                <w:rFonts w:ascii="Times New Roman" w:hAnsi="Times New Roman"/>
                <w:sz w:val="20"/>
              </w:rPr>
              <w:t xml:space="preserve"> </w:t>
            </w:r>
          </w:p>
        </w:tc>
      </w:tr>
      <w:tr>
        <w:trPr/>
        <w:tc>
          <w:tcPr>
            <w:tcW w:w="22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Packaging and Miscellaneous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8,622</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07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8,592</w:t>
            </w:r>
            <w:r>
              <w:rPr>
                <w:rFonts w:ascii="Times New Roman" w:hAnsi="Times New Roman"/>
                <w:sz w:val="20"/>
              </w:rPr>
              <w:t xml:space="preserve"> </w:t>
            </w:r>
          </w:p>
        </w:tc>
      </w:tr>
      <w:tr>
        <w:trPr/>
        <w:tc>
          <w:tcPr>
            <w:tcW w:w="22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Work in Process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42,403</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07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25,489</w:t>
            </w:r>
            <w:r>
              <w:rPr>
                <w:rFonts w:ascii="Times New Roman" w:hAnsi="Times New Roman"/>
                <w:sz w:val="20"/>
              </w:rPr>
              <w:t xml:space="preserve"> </w:t>
            </w:r>
          </w:p>
        </w:tc>
      </w:tr>
      <w:tr>
        <w:trPr/>
        <w:tc>
          <w:tcPr>
            <w:tcW w:w="22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Finished Goods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5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41,069</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07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30,821</w:t>
            </w:r>
            <w:r>
              <w:rPr>
                <w:rFonts w:ascii="Times New Roman" w:hAnsi="Times New Roman"/>
                <w:sz w:val="20"/>
              </w:rPr>
              <w:t xml:space="preserve"> </w:t>
            </w:r>
          </w:p>
        </w:tc>
      </w:tr>
      <w:tr>
        <w:trPr/>
        <w:tc>
          <w:tcPr>
            <w:tcW w:w="22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Reserve for Obsolete Inventory</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5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(1,901)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0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(1,732)</w:t>
            </w:r>
          </w:p>
        </w:tc>
      </w:tr>
      <w:tr>
        <w:trPr/>
        <w:tc>
          <w:tcPr>
            <w:tcW w:w="22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 Inventories</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25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6"/>
              </w:rPr>
              <w:t>95,471</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30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6"/>
              </w:rPr>
              <w:t>69,543</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F-19</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00" w:after="0"/>
        <w:jc w:val="left"/>
        <w:rPr>
          <w:rFonts w:ascii="Times New Roman" w:hAnsi="Times New Roman"/>
          <w:b/>
          <w:sz w:val="20"/>
        </w:rPr>
      </w:pPr>
      <w:r>
        <w:rPr>
          <w:rFonts w:ascii="Times New Roman" w:hAnsi="Times New Roman"/>
          <w:b/>
          <w:sz w:val="20"/>
        </w:rPr>
        <w:t>4. PROPERTY AND EQUIPMENT</w:t>
      </w:r>
    </w:p>
    <w:p>
      <w:pPr>
        <w:pStyle w:val="TextBody"/>
        <w:spacing w:lineRule="auto" w:line="273" w:before="0" w:after="0"/>
        <w:jc w:val="left"/>
        <w:rPr/>
      </w:pPr>
      <w:r>
        <w:rPr/>
        <w:t> </w:t>
      </w:r>
    </w:p>
    <w:p>
      <w:pPr>
        <w:pStyle w:val="TextBody"/>
        <w:pBdr>
          <w:top w:val="single" w:sz="8" w:space="1" w:color="000000"/>
        </w:pBdr>
        <w:spacing w:lineRule="atLeast" w:line="141"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At December 31, 2021 and December 31, 2020, property and equipment consisted of the following:</w:t>
      </w:r>
      <w:r>
        <w:rPr>
          <w:rFonts w:ascii="Times New Roman" w:hAnsi="Times New Roman"/>
          <w:sz w:val="20"/>
        </w:rPr>
        <w:t xml:space="preserve"> </w:t>
      </w:r>
    </w:p>
    <w:p>
      <w:pPr>
        <w:pStyle w:val="TextBody"/>
        <w:spacing w:lineRule="auto" w:line="273" w:before="0" w:after="0"/>
        <w:jc w:val="left"/>
        <w:rPr/>
      </w:pPr>
      <w:r>
        <w:rPr/>
        <w:t> </w:t>
      </w:r>
    </w:p>
    <w:tbl>
      <w:tblPr>
        <w:tblW w:w="6706" w:type="dxa"/>
        <w:jc w:val="left"/>
        <w:tblInd w:w="0" w:type="dxa"/>
        <w:tblCellMar>
          <w:top w:w="28" w:type="dxa"/>
          <w:left w:w="28" w:type="dxa"/>
          <w:bottom w:w="28" w:type="dxa"/>
          <w:right w:w="28" w:type="dxa"/>
        </w:tblCellMar>
      </w:tblPr>
      <w:tblGrid>
        <w:gridCol w:w="2761"/>
        <w:gridCol w:w="196"/>
        <w:gridCol w:w="1681"/>
        <w:gridCol w:w="146"/>
        <w:gridCol w:w="196"/>
        <w:gridCol w:w="1726"/>
      </w:tblGrid>
      <w:tr>
        <w:trPr/>
        <w:tc>
          <w:tcPr>
            <w:tcW w:w="27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2020</w:t>
            </w:r>
          </w:p>
        </w:tc>
      </w:tr>
      <w:tr>
        <w:trPr/>
        <w:tc>
          <w:tcPr>
            <w:tcW w:w="2761" w:type="dxa"/>
            <w:tcBorders/>
            <w:shd w:fill="auto" w:val="clear"/>
            <w:vAlign w:val="center"/>
          </w:tcPr>
          <w:p>
            <w:pPr>
              <w:pStyle w:val="TableContents"/>
              <w:spacing w:lineRule="auto" w:line="252" w:before="0" w:after="0"/>
              <w:ind w:left="0" w:right="0" w:hanging="0"/>
              <w:jc w:val="left"/>
              <w:rPr/>
            </w:pPr>
            <w:r>
              <w:rPr/>
              <w:t> </w:t>
            </w:r>
          </w:p>
        </w:tc>
        <w:tc>
          <w:tcPr>
            <w:tcW w:w="394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Buildings and Improvements</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6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101,283</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72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51,557</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Equipment, Computers and Furniture</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6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83,281</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72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49,097</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Leasehold Improvements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6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114,303</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72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88,607</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Land Improvements</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6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607</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726" w:type="dxa"/>
            <w:tcBorders/>
            <w:shd w:fill="auto" w:val="clear"/>
            <w:vAlign w:val="center"/>
          </w:tcPr>
          <w:p>
            <w:pPr>
              <w:pStyle w:val="TableContents"/>
              <w:spacing w:lineRule="auto" w:line="252" w:before="0" w:after="0"/>
              <w:ind w:left="0" w:right="0" w:hanging="0"/>
              <w:jc w:val="right"/>
              <w:rPr/>
            </w:pPr>
            <w:r>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Capitalized Interest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6,523</w:t>
            </w:r>
            <w:r>
              <w:rPr>
                <w:rFonts w:ascii="Times New Roman" w:hAnsi="Times New Roman"/>
                <w:sz w:val="20"/>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7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2,989</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 Property and Equipment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6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305,997</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72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192,250</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Less: Accumulated Depreciation</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8"/>
              </w:rPr>
              <w:t>(45,198)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7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8"/>
              </w:rPr>
              <w:t>(24,193)</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Property and Equipment, net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260,799</w:t>
            </w:r>
            <w:r>
              <w:rPr>
                <w:rFonts w:ascii="Times New Roman" w:hAnsi="Times New Roman"/>
                <w:sz w:val="20"/>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7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168,057</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Land</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68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20,258</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72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2,879</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Assets Under Construction</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128,017</w:t>
            </w:r>
            <w:r>
              <w:rPr>
                <w:rFonts w:ascii="Times New Roman" w:hAnsi="Times New Roman"/>
                <w:sz w:val="20"/>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7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18,990</w:t>
            </w:r>
            <w:r>
              <w:rPr>
                <w:rFonts w:ascii="Times New Roman" w:hAnsi="Times New Roman"/>
                <w:sz w:val="20"/>
              </w:rPr>
              <w:t xml:space="preserve"> </w:t>
            </w:r>
          </w:p>
        </w:tc>
      </w:tr>
      <w:tr>
        <w:trPr/>
        <w:tc>
          <w:tcPr>
            <w:tcW w:w="276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Property and equipment, net</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6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409,074</w:t>
            </w:r>
            <w:r>
              <w:rPr>
                <w:rFonts w:ascii="Times New Roman" w:hAnsi="Times New Roman"/>
                <w:sz w:val="20"/>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w:t>
            </w:r>
          </w:p>
        </w:tc>
        <w:tc>
          <w:tcPr>
            <w:tcW w:w="17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189,926</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Assets under construction represent construction in progress related to both cultivation and dispensary facilities not yet completed or otherwise not ready for use.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Depreciation expense for the years ended December 31, 2021, 2020 and 2019 totaled $23,250</w:t>
      </w:r>
      <w:r>
        <w:rPr>
          <w:rFonts w:ascii="Times New Roman" w:hAnsi="Times New Roman"/>
          <w:sz w:val="20"/>
        </w:rPr>
        <w:t xml:space="preserve"> </w:t>
      </w:r>
      <w:r>
        <w:rPr>
          <w:rFonts w:ascii="Times New Roman" w:hAnsi="Times New Roman"/>
          <w:b w:val="false"/>
          <w:sz w:val="20"/>
        </w:rPr>
        <w:t>thousand, $15,479</w:t>
      </w:r>
      <w:r>
        <w:rPr>
          <w:rFonts w:ascii="Times New Roman" w:hAnsi="Times New Roman"/>
          <w:sz w:val="20"/>
        </w:rPr>
        <w:t xml:space="preserve"> </w:t>
      </w:r>
      <w:r>
        <w:rPr>
          <w:rFonts w:ascii="Times New Roman" w:hAnsi="Times New Roman"/>
          <w:b w:val="false"/>
          <w:sz w:val="20"/>
        </w:rPr>
        <w:t>thousand and $6,828</w:t>
      </w:r>
      <w:r>
        <w:rPr>
          <w:rFonts w:ascii="Times New Roman" w:hAnsi="Times New Roman"/>
          <w:sz w:val="20"/>
        </w:rPr>
        <w:t xml:space="preserve"> </w:t>
      </w:r>
      <w:r>
        <w:rPr>
          <w:rFonts w:ascii="Times New Roman" w:hAnsi="Times New Roman"/>
          <w:b w:val="false"/>
          <w:sz w:val="20"/>
        </w:rPr>
        <w:t>thousand, respectively of which $14,301</w:t>
      </w:r>
      <w:r>
        <w:rPr>
          <w:rFonts w:ascii="Times New Roman" w:hAnsi="Times New Roman"/>
          <w:sz w:val="20"/>
        </w:rPr>
        <w:t xml:space="preserve"> </w:t>
      </w:r>
      <w:r>
        <w:rPr>
          <w:rFonts w:ascii="Times New Roman" w:hAnsi="Times New Roman"/>
          <w:b w:val="false"/>
          <w:sz w:val="20"/>
        </w:rPr>
        <w:t>thousand, $8,283</w:t>
      </w:r>
      <w:r>
        <w:rPr>
          <w:rFonts w:ascii="Times New Roman" w:hAnsi="Times New Roman"/>
          <w:sz w:val="20"/>
        </w:rPr>
        <w:t xml:space="preserve"> </w:t>
      </w:r>
      <w:r>
        <w:rPr>
          <w:rFonts w:ascii="Times New Roman" w:hAnsi="Times New Roman"/>
          <w:b w:val="false"/>
          <w:sz w:val="20"/>
        </w:rPr>
        <w:t>thousand and $4,247</w:t>
      </w:r>
      <w:r>
        <w:rPr>
          <w:rFonts w:ascii="Times New Roman" w:hAnsi="Times New Roman"/>
          <w:sz w:val="20"/>
        </w:rPr>
        <w:t xml:space="preserve"> </w:t>
      </w:r>
      <w:r>
        <w:rPr>
          <w:rFonts w:ascii="Times New Roman" w:hAnsi="Times New Roman"/>
          <w:b w:val="false"/>
          <w:sz w:val="20"/>
        </w:rPr>
        <w:t>thousand, respectively, is included in cost of goods sold.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March 6, 2020, the Company closed a sale and lease back transaction to sell its Oglesby, Illinois cultivation and processing facility to Innovative Industrial Properties (“IIP”). Under the long-term agreement, the Company leased back the facility and continues to operate and manage it. As a result of the sale, the Company disposed of $775</w:t>
      </w:r>
      <w:r>
        <w:rPr>
          <w:rFonts w:ascii="Times New Roman" w:hAnsi="Times New Roman"/>
          <w:sz w:val="20"/>
        </w:rPr>
        <w:t xml:space="preserve"> </w:t>
      </w:r>
      <w:r>
        <w:rPr>
          <w:rFonts w:ascii="Times New Roman" w:hAnsi="Times New Roman"/>
          <w:b w:val="false"/>
          <w:sz w:val="20"/>
        </w:rPr>
        <w:t>thousand of land, $4,507</w:t>
      </w:r>
      <w:r>
        <w:rPr>
          <w:rFonts w:ascii="Times New Roman" w:hAnsi="Times New Roman"/>
          <w:sz w:val="20"/>
        </w:rPr>
        <w:t xml:space="preserve"> </w:t>
      </w:r>
      <w:r>
        <w:rPr>
          <w:rFonts w:ascii="Times New Roman" w:hAnsi="Times New Roman"/>
          <w:b w:val="false"/>
          <w:sz w:val="20"/>
        </w:rPr>
        <w:t>thousand of buildings and improvements and $3,814</w:t>
      </w:r>
      <w:r>
        <w:rPr>
          <w:rFonts w:ascii="Times New Roman" w:hAnsi="Times New Roman"/>
          <w:sz w:val="20"/>
        </w:rPr>
        <w:t xml:space="preserve"> </w:t>
      </w:r>
      <w:r>
        <w:rPr>
          <w:rFonts w:ascii="Times New Roman" w:hAnsi="Times New Roman"/>
          <w:b w:val="false"/>
          <w:sz w:val="20"/>
        </w:rPr>
        <w:t>thousand of construction in progress. The Company recognized a gain on the sale of Oglesby facility of $239</w:t>
      </w:r>
      <w:r>
        <w:rPr>
          <w:rFonts w:ascii="Times New Roman" w:hAnsi="Times New Roman"/>
          <w:sz w:val="20"/>
        </w:rPr>
        <w:t xml:space="preserve"> </w:t>
      </w:r>
      <w:r>
        <w:rPr>
          <w:rFonts w:ascii="Times New Roman" w:hAnsi="Times New Roman"/>
          <w:b w:val="false"/>
          <w:sz w:val="20"/>
        </w:rPr>
        <w:t>thousand which was recorded within other income (expense) within the consolidated statement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January 31, 2020, the Company closed a sale and lease back transaction to sell its Toledo, Ohio processing facility to IIP. Under the long-term agreement, the Company leased back the facility and continues to operate and manage it. As a result of the sale, the Company disposed of $205</w:t>
      </w:r>
      <w:r>
        <w:rPr>
          <w:rFonts w:ascii="Times New Roman" w:hAnsi="Times New Roman"/>
          <w:sz w:val="20"/>
        </w:rPr>
        <w:t xml:space="preserve"> </w:t>
      </w:r>
      <w:r>
        <w:rPr>
          <w:rFonts w:ascii="Times New Roman" w:hAnsi="Times New Roman"/>
          <w:b w:val="false"/>
          <w:sz w:val="20"/>
        </w:rPr>
        <w:t>thousand of land and $2,695</w:t>
      </w:r>
      <w:r>
        <w:rPr>
          <w:rFonts w:ascii="Times New Roman" w:hAnsi="Times New Roman"/>
          <w:sz w:val="20"/>
        </w:rPr>
        <w:t xml:space="preserve"> </w:t>
      </w:r>
      <w:r>
        <w:rPr>
          <w:rFonts w:ascii="Times New Roman" w:hAnsi="Times New Roman"/>
          <w:b w:val="false"/>
          <w:sz w:val="20"/>
        </w:rPr>
        <w:t>thousand of construction in progress. There was no</w:t>
      </w:r>
      <w:r>
        <w:rPr>
          <w:rFonts w:ascii="Times New Roman" w:hAnsi="Times New Roman"/>
          <w:sz w:val="20"/>
        </w:rPr>
        <w:t xml:space="preserve"> </w:t>
      </w:r>
      <w:r>
        <w:rPr>
          <w:rFonts w:ascii="Times New Roman" w:hAnsi="Times New Roman"/>
          <w:b w:val="false"/>
          <w:sz w:val="20"/>
        </w:rPr>
        <w:t>gain or loss on the sale.</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F-20</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pBdr>
          <w:bottom w:val="single" w:sz="6" w:space="1" w:color="000000"/>
        </w:pBdr>
        <w:spacing w:lineRule="auto" w:line="273" w:before="40" w:after="0"/>
        <w:jc w:val="both"/>
        <w:rPr>
          <w:rFonts w:ascii="Times New Roman" w:hAnsi="Times New Roman"/>
          <w:sz w:val="20"/>
        </w:rPr>
      </w:pPr>
      <w:r>
        <w:rPr>
          <w:rFonts w:ascii="Times New Roman" w:hAnsi="Times New Roman"/>
          <w:b/>
          <w:sz w:val="20"/>
        </w:rPr>
        <w:t>5. ACQUISITIONS</w:t>
      </w:r>
      <w:r>
        <w:rPr>
          <w:rFonts w:ascii="Times New Roman" w:hAnsi="Times New Roman"/>
          <w:sz w:val="20"/>
        </w:rPr>
        <w:t xml:space="preserve"> </w:t>
      </w:r>
    </w:p>
    <w:p>
      <w:pPr>
        <w:pStyle w:val="TextBody"/>
        <w:spacing w:lineRule="auto" w:line="273" w:before="20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0"/>
        </w:rPr>
        <w:t xml:space="preserve">The Company has determined that the below acquisitions are business combinations under ASC 805, </w:t>
      </w:r>
      <w:r>
        <w:rPr>
          <w:rFonts w:ascii="Times New Roman" w:hAnsi="Times New Roman"/>
          <w:b w:val="false"/>
          <w:i/>
          <w:sz w:val="20"/>
        </w:rPr>
        <w:t>Business Combinations.</w:t>
      </w:r>
      <w:r>
        <w:rPr>
          <w:rFonts w:ascii="Times New Roman" w:hAnsi="Times New Roman"/>
          <w:sz w:val="20"/>
        </w:rPr>
        <w:t xml:space="preserve"> </w:t>
      </w:r>
      <w:r>
        <w:rPr>
          <w:rFonts w:ascii="Times New Roman" w:hAnsi="Times New Roman"/>
          <w:b w:val="false"/>
          <w:sz w:val="20"/>
        </w:rPr>
        <w:t>They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pStyle w:val="TextBody"/>
        <w:spacing w:lineRule="auto" w:line="273" w:before="0" w:after="0"/>
        <w:jc w:val="both"/>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w:t>
      </w:r>
    </w:p>
    <w:p>
      <w:pPr>
        <w:pStyle w:val="TextBody"/>
        <w:spacing w:lineRule="auto" w:line="273"/>
        <w:jc w:val="left"/>
        <w:rPr>
          <w:rFonts w:ascii="Times New Roman" w:hAnsi="Times New Roman"/>
          <w:b/>
          <w:sz w:val="20"/>
        </w:rPr>
      </w:pPr>
      <w:r>
        <w:rPr>
          <w:rFonts w:ascii="Times New Roman" w:hAnsi="Times New Roman"/>
          <w:b/>
          <w:sz w:val="20"/>
        </w:rPr>
        <w:t>2021 Business Acquisitions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The Company completed preliminary allocations of the purchase price of the assets acquired and liabilities assumed for LeafLine Industries, LLC ("LeafLine"), Summit Medical Compassion Center, Inc., GreenStar Herbals Inc. ("GreenStar") and MDHWC Management Corp. The preliminary valuations were based on management’s estimates and assumptions which are subject to change within the purchase price allocation period (generally one year from the acquisition date). Other Acquisitions consist of Liberty Compassion Inc., GreenStar and MDHWC Management Corp. The details of the transactions are discussed below. The primary areas of the purchase price allocation that are not yet finalized relate to the valuation of the tangible and intangible assets acquired and the residual goodwill. The following table summarizes the initial accounting estimates:</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2138"/>
        <w:gridCol w:w="217"/>
        <w:gridCol w:w="768"/>
        <w:gridCol w:w="166"/>
        <w:gridCol w:w="146"/>
        <w:gridCol w:w="392"/>
        <w:gridCol w:w="1391"/>
        <w:gridCol w:w="166"/>
        <w:gridCol w:w="146"/>
        <w:gridCol w:w="679"/>
        <w:gridCol w:w="2403"/>
        <w:gridCol w:w="166"/>
        <w:gridCol w:w="146"/>
        <w:gridCol w:w="235"/>
        <w:gridCol w:w="831"/>
        <w:gridCol w:w="215"/>
      </w:tblGrid>
      <w:tr>
        <w:trPr/>
        <w:tc>
          <w:tcPr>
            <w:tcW w:w="21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4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138" w:type="dxa"/>
            <w:tcBorders/>
            <w:shd w:fill="auto" w:val="clear"/>
            <w:vAlign w:val="center"/>
          </w:tcPr>
          <w:p>
            <w:pPr>
              <w:pStyle w:val="TableContents"/>
              <w:spacing w:lineRule="auto" w:line="252" w:before="0" w:after="0"/>
              <w:ind w:left="0" w:right="0" w:hanging="0"/>
              <w:jc w:val="left"/>
              <w:rPr/>
            </w:pPr>
            <w:r>
              <w:rPr/>
              <w:t> </w:t>
            </w:r>
          </w:p>
        </w:tc>
        <w:tc>
          <w:tcPr>
            <w:tcW w:w="9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LeafLine </w:t>
              <w:br/>
              <w:t xml:space="preserve">Industries, </w:t>
              <w:br/>
              <w:t>LLC</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8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 xml:space="preserve">Dharma </w:t>
              <w:br/>
              <w:t>Pharmaceuticals, LLC</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0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Summit Medical Compassion Center, Inc.</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Other</w:t>
              <w:br/>
              <w:t>Acquisitions</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38" w:type="dxa"/>
            <w:tcBorders/>
            <w:shd w:fill="auto" w:val="clear"/>
            <w:vAlign w:val="center"/>
          </w:tcPr>
          <w:p>
            <w:pPr>
              <w:pStyle w:val="TableContents"/>
              <w:spacing w:lineRule="auto" w:line="252" w:before="0" w:after="0"/>
              <w:ind w:left="0" w:right="0" w:hanging="0"/>
              <w:jc w:val="left"/>
              <w:rPr/>
            </w:pPr>
            <w:r>
              <w:rPr/>
              <w:t> </w:t>
            </w:r>
          </w:p>
        </w:tc>
        <w:tc>
          <w:tcPr>
            <w:tcW w:w="785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(in thousands)</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w:t>
            </w:r>
          </w:p>
        </w:tc>
        <w:tc>
          <w:tcPr>
            <w:tcW w:w="21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959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754</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Inventory</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4,073</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Accounts receivable</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486</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Prepaid expenses</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235</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Property and equipment, net</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14,525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11,038</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Right-of-use asset, net</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13,980</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Deposits and other assets</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584</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Intangible assets, net:</w:t>
            </w:r>
          </w:p>
        </w:tc>
        <w:tc>
          <w:tcPr>
            <w:tcW w:w="98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3"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08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shd w:fill="auto" w:val="clear"/>
            <w:vAlign w:val="center"/>
          </w:tcPr>
          <w:p>
            <w:pPr>
              <w:pStyle w:val="TableContents"/>
              <w:spacing w:lineRule="auto" w:line="252" w:before="0" w:after="0"/>
              <w:ind w:left="0" w:right="0" w:hanging="0"/>
              <w:jc w:val="center"/>
              <w:rPr/>
            </w:pPr>
            <w:r>
              <w:rPr/>
              <w:t> </w:t>
            </w:r>
          </w:p>
        </w:tc>
        <w:tc>
          <w:tcPr>
            <w:tcW w:w="215" w:type="dxa"/>
            <w:tcBorders/>
            <w:shd w:fill="auto" w:val="clear"/>
            <w:vAlign w:val="center"/>
          </w:tcPr>
          <w:p>
            <w:pPr>
              <w:pStyle w:val="TableContents"/>
              <w:spacing w:lineRule="auto" w:line="252" w:before="0" w:after="0"/>
              <w:ind w:left="0" w:right="0" w:hanging="0"/>
              <w:jc w:val="center"/>
              <w:rPr/>
            </w:pPr>
            <w:r>
              <w:rPr/>
              <w:t> </w:t>
            </w:r>
          </w:p>
        </w:tc>
      </w:tr>
      <w:tr>
        <w:trPr/>
        <w:tc>
          <w:tcPr>
            <w:tcW w:w="2138"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18"/>
              </w:rPr>
              <w:t>Licenses and permits</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88,000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87,000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57,000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79,784</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Liabilities assumed</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(2,121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(4,407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(7,007</w:t>
            </w:r>
          </w:p>
        </w:tc>
        <w:tc>
          <w:tcPr>
            <w:tcW w:w="2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Lease liabilities</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(4,219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(13,980</w:t>
            </w:r>
          </w:p>
        </w:tc>
        <w:tc>
          <w:tcPr>
            <w:tcW w:w="2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Notes payable</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(5,627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pPr>
            <w:r>
              <w:rPr/>
              <w:t>—</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income tax liabilities</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(23,490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(14,939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(21,185</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138" w:type="dxa"/>
            <w:tcBorders/>
            <w:shd w:fill="auto" w:val="clear"/>
            <w:vAlign w:val="center"/>
          </w:tcPr>
          <w:p>
            <w:pPr>
              <w:pStyle w:val="TableContents"/>
              <w:spacing w:lineRule="auto" w:line="252" w:before="0" w:after="0"/>
              <w:ind w:left="0" w:right="0" w:hanging="0"/>
              <w:jc w:val="left"/>
              <w:rPr/>
            </w:pPr>
            <w:r>
              <w:rPr/>
              <w:t> </w:t>
            </w:r>
          </w:p>
        </w:tc>
        <w:tc>
          <w:tcPr>
            <w:tcW w:w="985"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83"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8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shd w:fill="auto" w:val="clear"/>
            <w:vAlign w:val="center"/>
          </w:tcPr>
          <w:p>
            <w:pPr>
              <w:pStyle w:val="TableContents"/>
              <w:spacing w:lineRule="auto" w:line="252" w:before="0" w:after="0"/>
              <w:ind w:left="0" w:right="0" w:hanging="0"/>
              <w:jc w:val="left"/>
              <w:rPr/>
            </w:pPr>
            <w:r>
              <w:rPr/>
              <w:t> </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identifiable net assets</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99,678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66,327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44,043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68,762</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Goodwill (non-tax deductible)</w:t>
            </w:r>
          </w:p>
        </w:tc>
        <w:tc>
          <w:tcPr>
            <w:tcW w:w="217" w:type="dxa"/>
            <w:tcBorders/>
            <w:shd w:fill="auto" w:val="clear"/>
            <w:vAlign w:val="center"/>
          </w:tcPr>
          <w:p>
            <w:pPr>
              <w:pStyle w:val="TableContents"/>
              <w:spacing w:lineRule="auto" w:line="252" w:before="0" w:after="0"/>
              <w:ind w:left="0" w:right="0" w:hanging="0"/>
              <w:jc w:val="left"/>
              <w:rPr/>
            </w:pPr>
            <w:r>
              <w:rPr/>
              <w:t> </w:t>
            </w:r>
          </w:p>
        </w:tc>
        <w:tc>
          <w:tcPr>
            <w:tcW w:w="76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shd w:fill="auto" w:val="clear"/>
            <w:vAlign w:val="center"/>
          </w:tcPr>
          <w:p>
            <w:pPr>
              <w:pStyle w:val="TableContents"/>
              <w:spacing w:lineRule="auto" w:line="252" w:before="0" w:after="0"/>
              <w:ind w:left="0" w:right="0" w:hanging="0"/>
              <w:jc w:val="left"/>
              <w:rPr/>
            </w:pPr>
            <w:r>
              <w:rPr/>
              <w:t> </w:t>
            </w:r>
          </w:p>
        </w:tc>
        <w:tc>
          <w:tcPr>
            <w:tcW w:w="13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76,145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shd w:fill="auto" w:val="clear"/>
            <w:vAlign w:val="center"/>
          </w:tcPr>
          <w:p>
            <w:pPr>
              <w:pStyle w:val="TableContents"/>
              <w:spacing w:lineRule="auto" w:line="252" w:before="0" w:after="0"/>
              <w:ind w:left="0" w:right="0" w:hanging="0"/>
              <w:jc w:val="left"/>
              <w:rPr/>
            </w:pPr>
            <w:r>
              <w:rPr/>
              <w:t> </w:t>
            </w:r>
          </w:p>
        </w:tc>
        <w:tc>
          <w:tcPr>
            <w:tcW w:w="240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65,231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5" w:type="dxa"/>
            <w:tcBorders/>
            <w:shd w:fill="auto" w:val="clear"/>
            <w:vAlign w:val="center"/>
          </w:tcPr>
          <w:p>
            <w:pPr>
              <w:pStyle w:val="TableContents"/>
              <w:spacing w:lineRule="auto" w:line="252" w:before="0" w:after="0"/>
              <w:ind w:left="0" w:right="0" w:hanging="0"/>
              <w:jc w:val="left"/>
              <w:rPr/>
            </w:pPr>
            <w:r>
              <w:rPr/>
              <w:t> </w:t>
            </w:r>
          </w:p>
        </w:tc>
        <w:tc>
          <w:tcPr>
            <w:tcW w:w="83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63,127</w:t>
            </w:r>
          </w:p>
        </w:tc>
        <w:tc>
          <w:tcPr>
            <w:tcW w:w="215" w:type="dxa"/>
            <w:tcBorders/>
            <w:shd w:fill="auto" w:val="cle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Goodwill (tax deductible)</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56,886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13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assets</w:t>
            </w:r>
          </w:p>
        </w:tc>
        <w:tc>
          <w:tcPr>
            <w:tcW w:w="2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156,564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142,472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24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109,274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8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131,889</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part of the initial purchase accounting for each of the above acquisitions, the Company recorded intangible assets of $311,784</w:t>
      </w:r>
      <w:r>
        <w:rPr>
          <w:rFonts w:ascii="Times New Roman" w:hAnsi="Times New Roman"/>
          <w:sz w:val="20"/>
        </w:rPr>
        <w:t xml:space="preserve"> </w:t>
      </w:r>
      <w:r>
        <w:rPr>
          <w:rFonts w:ascii="Times New Roman" w:hAnsi="Times New Roman"/>
          <w:b w:val="false"/>
          <w:sz w:val="20"/>
        </w:rPr>
        <w:t>thousand all of which was associated with licenses and permits that allow for the processing, cultivation and retail sale of cannabis. The weighted-average amortization period for the licenses intangibles was 15 years. Acquisition related expenses incurred during the year ended December 31, 2021</w:t>
      </w:r>
      <w:r>
        <w:rPr>
          <w:rFonts w:ascii="Times New Roman" w:hAnsi="Times New Roman"/>
          <w:sz w:val="20"/>
        </w:rPr>
        <w:t xml:space="preserve"> </w:t>
      </w:r>
      <w:r>
        <w:rPr>
          <w:rFonts w:ascii="Times New Roman" w:hAnsi="Times New Roman"/>
          <w:b w:val="false"/>
          <w:sz w:val="20"/>
        </w:rPr>
        <w:t>were approximately $2,036</w:t>
      </w:r>
      <w:r>
        <w:rPr>
          <w:rFonts w:ascii="Times New Roman" w:hAnsi="Times New Roman"/>
          <w:sz w:val="20"/>
        </w:rPr>
        <w:t xml:space="preserve"> </w:t>
      </w:r>
      <w:r>
        <w:rPr>
          <w:rFonts w:ascii="Times New Roman" w:hAnsi="Times New Roman"/>
          <w:b w:val="false"/>
          <w:sz w:val="20"/>
        </w:rPr>
        <w:t>thousand and were recorded within selling, general and administrative expenses.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(i) Acquisition of Liberty Compassion Inc.</w:t>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0"/>
        </w:rPr>
        <w:t>On June 1, 2021, the Company acquired 100% of the ownership interests of Liberty Compassion Inc. ("Liberty"), a Massachusetts-based medical cannabis cultivator and retailer, for the purposes of expanding the Company's operational capacity in the Massachusetts market. The acquisition was an all stock transaction whereby consideration was satisfied through the issuance of 2,146,565</w:t>
      </w:r>
      <w:r>
        <w:rPr>
          <w:rFonts w:ascii="Times New Roman" w:hAnsi="Times New Roman"/>
          <w:sz w:val="20"/>
        </w:rPr>
        <w:t xml:space="preserve"> </w:t>
      </w:r>
      <w:r>
        <w:rPr>
          <w:rFonts w:ascii="Times New Roman" w:hAnsi="Times New Roman"/>
          <w:b w:val="false"/>
          <w:sz w:val="20"/>
        </w:rPr>
        <w:t>Subordinate Voting Shares (including 259,765</w:t>
      </w:r>
      <w:r>
        <w:rPr>
          <w:rFonts w:ascii="Times New Roman" w:hAnsi="Times New Roman"/>
          <w:sz w:val="20"/>
        </w:rPr>
        <w:t xml:space="preserve"> </w:t>
      </w:r>
      <w:r>
        <w:rPr>
          <w:rFonts w:ascii="Times New Roman" w:hAnsi="Times New Roman"/>
          <w:b w:val="false"/>
          <w:sz w:val="20"/>
        </w:rPr>
        <w:t>deferred shares) valued at approximately $64,585</w:t>
      </w:r>
      <w:r>
        <w:rPr>
          <w:rFonts w:ascii="Times New Roman" w:hAnsi="Times New Roman"/>
          <w:sz w:val="20"/>
        </w:rPr>
        <w:t xml:space="preserve"> </w:t>
      </w:r>
      <w:r>
        <w:rPr>
          <w:rFonts w:ascii="Times New Roman" w:hAnsi="Times New Roman"/>
          <w:b w:val="false"/>
          <w:sz w:val="20"/>
        </w:rPr>
        <w:t>thousand. The fair value of the securities was based upon the closing price of Green Thumb's Subordinate Voting Shares as traded on the Canadian Securities Exchange ("CSE") on the date of the transaction.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F-21</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pBdr>
          <w:bottom w:val="single" w:sz="6" w:space="1" w:color="000000"/>
        </w:pBdr>
        <w:spacing w:lineRule="auto" w:line="273" w:before="40" w:after="0"/>
        <w:jc w:val="both"/>
        <w:rPr>
          <w:rFonts w:ascii="Times New Roman" w:hAnsi="Times New Roman"/>
          <w:sz w:val="20"/>
        </w:rPr>
      </w:pPr>
      <w:r>
        <w:rPr>
          <w:rFonts w:ascii="Times New Roman" w:hAnsi="Times New Roman"/>
          <w:b/>
          <w:sz w:val="20"/>
        </w:rPr>
        <w:t xml:space="preserve">5. ACQUISITIONS </w:t>
      </w:r>
      <w:r>
        <w:rPr>
          <w:rFonts w:ascii="Times New Roman" w:hAnsi="Times New Roman"/>
          <w:b w:val="false"/>
          <w:i/>
          <w:sz w:val="20"/>
        </w:rPr>
        <w:t>(Continued)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w:t>
      </w:r>
    </w:p>
    <w:p>
      <w:pPr>
        <w:pStyle w:val="TextBody"/>
        <w:spacing w:lineRule="auto" w:line="273"/>
        <w:jc w:val="left"/>
        <w:rPr>
          <w:rFonts w:ascii="Times New Roman" w:hAnsi="Times New Roman"/>
          <w:b/>
          <w:sz w:val="20"/>
        </w:rPr>
      </w:pPr>
      <w:r>
        <w:rPr>
          <w:rFonts w:ascii="Times New Roman" w:hAnsi="Times New Roman"/>
          <w:b/>
          <w:sz w:val="20"/>
        </w:rPr>
        <w:t>2021 Business Acquisitions (Continued)</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sz w:val="20"/>
        </w:rPr>
      </w:pPr>
      <w:r>
        <w:rPr>
          <w:rFonts w:ascii="Times New Roman" w:hAnsi="Times New Roman"/>
          <w:b/>
          <w:sz w:val="20"/>
        </w:rPr>
        <w:t>(ii) Acquisition of Dharma Pharmaceuticals, LLC</w:t>
      </w:r>
    </w:p>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July 1, 2021</w:t>
      </w:r>
      <w:r>
        <w:rPr>
          <w:rFonts w:ascii="Times New Roman" w:hAnsi="Times New Roman"/>
          <w:sz w:val="20"/>
        </w:rPr>
        <w:t xml:space="preserve"> </w:t>
      </w:r>
      <w:r>
        <w:rPr>
          <w:rFonts w:ascii="Times New Roman" w:hAnsi="Times New Roman"/>
          <w:b w:val="false"/>
          <w:sz w:val="20"/>
        </w:rPr>
        <w:t>Green Thumb acquired 100% of Dharma Pharmaceuticals, LLC (“Dharma”), a Virginia-based medical cannabis cultivator, processor and retailer, for the purpose of expanding Green Thumb's national presence. Green Thumb exchanged $15,175</w:t>
      </w:r>
      <w:r>
        <w:rPr>
          <w:rFonts w:ascii="Times New Roman" w:hAnsi="Times New Roman"/>
          <w:sz w:val="20"/>
        </w:rPr>
        <w:t xml:space="preserve"> </w:t>
      </w:r>
      <w:r>
        <w:rPr>
          <w:rFonts w:ascii="Times New Roman" w:hAnsi="Times New Roman"/>
          <w:b w:val="false"/>
          <w:sz w:val="20"/>
        </w:rPr>
        <w:t>thousand in cash and issued 2,298,779</w:t>
      </w:r>
      <w:r>
        <w:rPr>
          <w:rFonts w:ascii="Times New Roman" w:hAnsi="Times New Roman"/>
          <w:sz w:val="20"/>
        </w:rPr>
        <w:t xml:space="preserve"> </w:t>
      </w:r>
      <w:r>
        <w:rPr>
          <w:rFonts w:ascii="Times New Roman" w:hAnsi="Times New Roman"/>
          <w:b w:val="false"/>
          <w:sz w:val="20"/>
        </w:rPr>
        <w:t>Subordinate Voting Shares (including 229,878</w:t>
      </w:r>
      <w:r>
        <w:rPr>
          <w:rFonts w:ascii="Times New Roman" w:hAnsi="Times New Roman"/>
          <w:sz w:val="20"/>
        </w:rPr>
        <w:t xml:space="preserve"> </w:t>
      </w:r>
      <w:r>
        <w:rPr>
          <w:rFonts w:ascii="Times New Roman" w:hAnsi="Times New Roman"/>
          <w:b w:val="false"/>
          <w:sz w:val="20"/>
        </w:rPr>
        <w:t>deferred shares) valued at approximately $75,897</w:t>
      </w:r>
      <w:r>
        <w:rPr>
          <w:rFonts w:ascii="Times New Roman" w:hAnsi="Times New Roman"/>
          <w:sz w:val="20"/>
        </w:rPr>
        <w:t xml:space="preserve"> </w:t>
      </w:r>
      <w:r>
        <w:rPr>
          <w:rFonts w:ascii="Times New Roman" w:hAnsi="Times New Roman"/>
          <w:b w:val="false"/>
          <w:sz w:val="20"/>
        </w:rPr>
        <w:t>thousand, based on the fair value of the securities as traded on the CSE on the date of the transaction. The purchase agreement included additional consideration of up to $65,000</w:t>
      </w:r>
      <w:r>
        <w:rPr>
          <w:rFonts w:ascii="Times New Roman" w:hAnsi="Times New Roman"/>
          <w:sz w:val="20"/>
        </w:rPr>
        <w:t xml:space="preserve"> </w:t>
      </w:r>
      <w:r>
        <w:rPr>
          <w:rFonts w:ascii="Times New Roman" w:hAnsi="Times New Roman"/>
          <w:b w:val="false"/>
          <w:sz w:val="20"/>
        </w:rPr>
        <w:t>thousand in shares of Green Thumb depending upon the successful opening of up to five retail dispensaries in the Virginia area within the first three years following the signing of the purchase agreement and the legal sale of adult use cannabis in a retail dispensary by January 1, 2025.</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August 16, 2021, the Company issued 199,993</w:t>
      </w:r>
      <w:r>
        <w:rPr>
          <w:rFonts w:ascii="Times New Roman" w:hAnsi="Times New Roman"/>
          <w:sz w:val="20"/>
        </w:rPr>
        <w:t xml:space="preserve"> </w:t>
      </w:r>
      <w:r>
        <w:rPr>
          <w:rFonts w:ascii="Times New Roman" w:hAnsi="Times New Roman"/>
          <w:b w:val="false"/>
          <w:sz w:val="20"/>
        </w:rPr>
        <w:t>Subordinate Voting Shares to the former owners of Dharma in connection with the successful opening of one retail dispensary in Virginia. The shares had a fair value of $5,949</w:t>
      </w:r>
      <w:r>
        <w:rPr>
          <w:rFonts w:ascii="Times New Roman" w:hAnsi="Times New Roman"/>
          <w:sz w:val="20"/>
        </w:rPr>
        <w:t xml:space="preserve"> </w:t>
      </w:r>
      <w:r>
        <w:rPr>
          <w:rFonts w:ascii="Times New Roman" w:hAnsi="Times New Roman"/>
          <w:b w:val="false"/>
          <w:sz w:val="20"/>
        </w:rPr>
        <w:t>thousand at the date of issuance. As of December 31, 2021, the estimated value of the contingent consideration associated with the acquisition of Dharma, which was valued based on a probability weighting of the potential payments, was $48,665</w:t>
      </w:r>
      <w:r>
        <w:rPr>
          <w:rFonts w:ascii="Times New Roman" w:hAnsi="Times New Roman"/>
          <w:sz w:val="20"/>
        </w:rPr>
        <w:t xml:space="preserve"> </w:t>
      </w:r>
      <w:r>
        <w:rPr>
          <w:rFonts w:ascii="Times New Roman" w:hAnsi="Times New Roman"/>
          <w:b w:val="false"/>
          <w:sz w:val="20"/>
        </w:rPr>
        <w:t>thousand of which $20,884</w:t>
      </w:r>
      <w:r>
        <w:rPr>
          <w:rFonts w:ascii="Times New Roman" w:hAnsi="Times New Roman"/>
          <w:sz w:val="20"/>
        </w:rPr>
        <w:t xml:space="preserve"> </w:t>
      </w:r>
      <w:r>
        <w:rPr>
          <w:rFonts w:ascii="Times New Roman" w:hAnsi="Times New Roman"/>
          <w:b w:val="false"/>
          <w:sz w:val="20"/>
        </w:rPr>
        <w:t>thousand was included as a current liability on the Company's consolidated balance sheets.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sz w:val="20"/>
        </w:rPr>
      </w:pPr>
      <w:r>
        <w:rPr>
          <w:rFonts w:ascii="Times New Roman" w:hAnsi="Times New Roman"/>
          <w:b/>
          <w:sz w:val="20"/>
        </w:rPr>
        <w:t>(iii) Acquisition of Mobley Pain Management and Wellness Center LLC and Canwell Processing LLC</w:t>
      </w:r>
    </w:p>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August 1, 2021, the Company acquired Mobley Pain Management and Wellness Center LLC and Canwell Processing LLC (collectively referred to as "Summit"), both of which have contractual interests in Summit Medical Compassion Center, Inc. a non-profit entity with vertically integrated cannabis operations in Rhode Island for the purpose of expanding Green Thumb's national presence. Green Thumb exchanged 2,387,807</w:t>
      </w:r>
      <w:r>
        <w:rPr>
          <w:rFonts w:ascii="Times New Roman" w:hAnsi="Times New Roman"/>
          <w:sz w:val="20"/>
        </w:rPr>
        <w:t xml:space="preserve"> </w:t>
      </w:r>
      <w:r>
        <w:rPr>
          <w:rFonts w:ascii="Times New Roman" w:hAnsi="Times New Roman"/>
          <w:b w:val="false"/>
          <w:sz w:val="20"/>
        </w:rPr>
        <w:t>Subordinate Voting Shares (including 303,599</w:t>
      </w:r>
      <w:r>
        <w:rPr>
          <w:rFonts w:ascii="Times New Roman" w:hAnsi="Times New Roman"/>
          <w:sz w:val="20"/>
        </w:rPr>
        <w:t xml:space="preserve"> </w:t>
      </w:r>
      <w:r>
        <w:rPr>
          <w:rFonts w:ascii="Times New Roman" w:hAnsi="Times New Roman"/>
          <w:b w:val="false"/>
          <w:sz w:val="20"/>
        </w:rPr>
        <w:t>deferred shares) valued at approximately $69,874</w:t>
      </w:r>
      <w:r>
        <w:rPr>
          <w:rFonts w:ascii="Times New Roman" w:hAnsi="Times New Roman"/>
          <w:sz w:val="20"/>
        </w:rPr>
        <w:t xml:space="preserve"> </w:t>
      </w:r>
      <w:r>
        <w:rPr>
          <w:rFonts w:ascii="Times New Roman" w:hAnsi="Times New Roman"/>
          <w:b w:val="false"/>
          <w:sz w:val="20"/>
        </w:rPr>
        <w:t>thousand based on the fair value of the securities as traded on the CSE on the date of the transaction. The purchase agreement included additional consideration of up to 2,500,000</w:t>
      </w:r>
      <w:r>
        <w:rPr>
          <w:rFonts w:ascii="Times New Roman" w:hAnsi="Times New Roman"/>
          <w:sz w:val="20"/>
        </w:rPr>
        <w:t xml:space="preserve"> </w:t>
      </w:r>
      <w:r>
        <w:rPr>
          <w:rFonts w:ascii="Times New Roman" w:hAnsi="Times New Roman"/>
          <w:b w:val="false"/>
          <w:sz w:val="20"/>
        </w:rPr>
        <w:t>Subordinate Voting Shares of Green Thumb depending upon the achievement of certain earnings targets over the twelve-month period following the close of the transaction. The estimated value of the contingent consideration associated with the acquisition of Summit was remeasured as of December 31, 2021 based on a probability weighting of the potential payments. The remeasurement resulted in a $10,000</w:t>
      </w:r>
      <w:r>
        <w:rPr>
          <w:rFonts w:ascii="Times New Roman" w:hAnsi="Times New Roman"/>
          <w:sz w:val="20"/>
        </w:rPr>
        <w:t xml:space="preserve"> </w:t>
      </w:r>
      <w:r>
        <w:rPr>
          <w:rFonts w:ascii="Times New Roman" w:hAnsi="Times New Roman"/>
          <w:b w:val="false"/>
          <w:sz w:val="20"/>
        </w:rPr>
        <w:t>thousand fair value adjustment which was recorded within selling, general, and administrative expenses as of the period then ended. As of December 31, 2021, the balance of the contingent consideration was $29,400</w:t>
      </w:r>
      <w:r>
        <w:rPr>
          <w:rFonts w:ascii="Times New Roman" w:hAnsi="Times New Roman"/>
          <w:sz w:val="20"/>
        </w:rPr>
        <w:t xml:space="preserve"> </w:t>
      </w:r>
      <w:r>
        <w:rPr>
          <w:rFonts w:ascii="Times New Roman" w:hAnsi="Times New Roman"/>
          <w:b w:val="false"/>
          <w:sz w:val="20"/>
        </w:rPr>
        <w:t>thousand, all of which was included as a current liability on the Company's consolidated balance sheets.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sz w:val="20"/>
        </w:rPr>
      </w:pPr>
      <w:r>
        <w:rPr>
          <w:rFonts w:ascii="Times New Roman" w:hAnsi="Times New Roman"/>
          <w:b/>
          <w:sz w:val="20"/>
        </w:rPr>
        <w:t>(iv) Acquisition of GreenStar Herbals Inc.</w:t>
      </w:r>
    </w:p>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September 1, 2021, the Company acquired GreenStar, a Massachusetts-based adult-use cannabis retailer, for the purpose of expanding the Company's operational capacity in the Massachusetts market. Green Thumb exchanged $5,228</w:t>
      </w:r>
      <w:r>
        <w:rPr>
          <w:rFonts w:ascii="Times New Roman" w:hAnsi="Times New Roman"/>
          <w:sz w:val="20"/>
        </w:rPr>
        <w:t xml:space="preserve"> </w:t>
      </w:r>
      <w:r>
        <w:rPr>
          <w:rFonts w:ascii="Times New Roman" w:hAnsi="Times New Roman"/>
          <w:b w:val="false"/>
          <w:sz w:val="20"/>
        </w:rPr>
        <w:t>in cash and issued 1,344,216</w:t>
      </w:r>
      <w:r>
        <w:rPr>
          <w:rFonts w:ascii="Times New Roman" w:hAnsi="Times New Roman"/>
          <w:sz w:val="20"/>
        </w:rPr>
        <w:t xml:space="preserve"> </w:t>
      </w:r>
      <w:r>
        <w:rPr>
          <w:rFonts w:ascii="Times New Roman" w:hAnsi="Times New Roman"/>
          <w:b w:val="false"/>
          <w:sz w:val="20"/>
        </w:rPr>
        <w:t>Subordinate Voting Shares (including 161,306</w:t>
      </w:r>
      <w:r>
        <w:rPr>
          <w:rFonts w:ascii="Times New Roman" w:hAnsi="Times New Roman"/>
          <w:sz w:val="20"/>
        </w:rPr>
        <w:t xml:space="preserve"> </w:t>
      </w:r>
      <w:r>
        <w:rPr>
          <w:rFonts w:ascii="Times New Roman" w:hAnsi="Times New Roman"/>
          <w:b w:val="false"/>
          <w:sz w:val="20"/>
        </w:rPr>
        <w:t>deferred shares) valued at approximately $39,681</w:t>
      </w:r>
      <w:r>
        <w:rPr>
          <w:rFonts w:ascii="Times New Roman" w:hAnsi="Times New Roman"/>
          <w:sz w:val="20"/>
        </w:rPr>
        <w:t xml:space="preserve"> </w:t>
      </w:r>
      <w:r>
        <w:rPr>
          <w:rFonts w:ascii="Times New Roman" w:hAnsi="Times New Roman"/>
          <w:b w:val="false"/>
          <w:sz w:val="20"/>
        </w:rPr>
        <w:t>thousand in consideration for the ownership interests. The fair value of the securities was based upon the closing price of Green Thumb's Subordinate Voting Shares as traded on the CSE on the date of the transaction. The purchase agreement included additional consideration of up to 663,810</w:t>
      </w:r>
      <w:r>
        <w:rPr>
          <w:rFonts w:ascii="Times New Roman" w:hAnsi="Times New Roman"/>
          <w:sz w:val="20"/>
        </w:rPr>
        <w:t xml:space="preserve"> </w:t>
      </w:r>
      <w:r>
        <w:rPr>
          <w:rFonts w:ascii="Times New Roman" w:hAnsi="Times New Roman"/>
          <w:b w:val="false"/>
          <w:sz w:val="20"/>
        </w:rPr>
        <w:t>Subordinate Voting Shares of Green Thumb depending upon the achievement of certain revenue metrics of GreenStar over the twenty-four-month period following the close of the transaction. The estimated value of the contingent consideration associated with the acquisition of GreenStar was remeasured as of December 31, 2021 based on a probability weighting of the potential payments. The remeasurement resulted in a $1,900</w:t>
      </w:r>
      <w:r>
        <w:rPr>
          <w:rFonts w:ascii="Times New Roman" w:hAnsi="Times New Roman"/>
          <w:sz w:val="20"/>
        </w:rPr>
        <w:t xml:space="preserve"> </w:t>
      </w:r>
      <w:r>
        <w:rPr>
          <w:rFonts w:ascii="Times New Roman" w:hAnsi="Times New Roman"/>
          <w:b w:val="false"/>
          <w:sz w:val="20"/>
        </w:rPr>
        <w:t>thousand fair value adjustment which was recorded within selling, general, and administrative expenses as of the period then ended. As of December 31, 2021, the balance of the contingent consideration was $5,800</w:t>
      </w:r>
      <w:r>
        <w:rPr>
          <w:rFonts w:ascii="Times New Roman" w:hAnsi="Times New Roman"/>
          <w:sz w:val="20"/>
        </w:rPr>
        <w:t xml:space="preserve"> </w:t>
      </w:r>
      <w:r>
        <w:rPr>
          <w:rFonts w:ascii="Times New Roman" w:hAnsi="Times New Roman"/>
          <w:b w:val="false"/>
          <w:sz w:val="20"/>
        </w:rPr>
        <w:t>thousand, all of which was included as a non-current liability on the Company's consolidated balance sheets.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F-22</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pBdr>
          <w:bottom w:val="single" w:sz="6" w:space="1" w:color="000000"/>
        </w:pBdr>
        <w:spacing w:lineRule="auto" w:line="273" w:before="40" w:after="0"/>
        <w:jc w:val="both"/>
        <w:rPr>
          <w:rFonts w:ascii="Times New Roman" w:hAnsi="Times New Roman"/>
          <w:sz w:val="20"/>
        </w:rPr>
      </w:pPr>
      <w:r>
        <w:rPr>
          <w:rFonts w:ascii="Times New Roman" w:hAnsi="Times New Roman"/>
          <w:b/>
          <w:sz w:val="20"/>
        </w:rPr>
        <w:t xml:space="preserve">5. ACQUISITIONS </w:t>
      </w:r>
      <w:r>
        <w:rPr>
          <w:rFonts w:ascii="Times New Roman" w:hAnsi="Times New Roman"/>
          <w:b w:val="false"/>
          <w:i/>
          <w:sz w:val="20"/>
        </w:rPr>
        <w:t>(Continued)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w:t>
      </w:r>
    </w:p>
    <w:p>
      <w:pPr>
        <w:pStyle w:val="TextBody"/>
        <w:spacing w:lineRule="auto" w:line="273"/>
        <w:jc w:val="left"/>
        <w:rPr>
          <w:rFonts w:ascii="Times New Roman" w:hAnsi="Times New Roman"/>
          <w:b/>
          <w:sz w:val="20"/>
        </w:rPr>
      </w:pPr>
      <w:r>
        <w:rPr>
          <w:rFonts w:ascii="Times New Roman" w:hAnsi="Times New Roman"/>
          <w:b/>
          <w:sz w:val="20"/>
        </w:rPr>
        <w:t>2021 Business Acquisitions (Continued)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(v) Acquisition of MDHWC Management Corp.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November 1, 2021, the Company acquired 100% of the ownership interest in MDHWC Management Corp., which holds contractual interests in Maryland Health and Wellness Center, Inc., a Maryland-based medical dispensary (collectively referred to as “MDHWC”), for the purpose of expanding the Company's operational capacity in the Maryland market. The Company paid approximately $8,320</w:t>
      </w:r>
      <w:r>
        <w:rPr>
          <w:rFonts w:ascii="Times New Roman" w:hAnsi="Times New Roman"/>
          <w:sz w:val="20"/>
        </w:rPr>
        <w:t xml:space="preserve"> </w:t>
      </w:r>
      <w:r>
        <w:rPr>
          <w:rFonts w:ascii="Times New Roman" w:hAnsi="Times New Roman"/>
          <w:b w:val="false"/>
          <w:sz w:val="20"/>
        </w:rPr>
        <w:t>thousand in cash and issued 309,157</w:t>
      </w:r>
      <w:r>
        <w:rPr>
          <w:rFonts w:ascii="Times New Roman" w:hAnsi="Times New Roman"/>
          <w:sz w:val="20"/>
        </w:rPr>
        <w:t xml:space="preserve"> </w:t>
      </w:r>
      <w:r>
        <w:rPr>
          <w:rFonts w:ascii="Times New Roman" w:hAnsi="Times New Roman"/>
          <w:b w:val="false"/>
          <w:sz w:val="20"/>
        </w:rPr>
        <w:t>Subordinate Voting Shares of Green Thumb (including 61,832</w:t>
      </w:r>
      <w:r>
        <w:rPr>
          <w:rFonts w:ascii="Times New Roman" w:hAnsi="Times New Roman"/>
          <w:sz w:val="20"/>
        </w:rPr>
        <w:t xml:space="preserve"> </w:t>
      </w:r>
      <w:r>
        <w:rPr>
          <w:rFonts w:ascii="Times New Roman" w:hAnsi="Times New Roman"/>
          <w:b w:val="false"/>
          <w:sz w:val="20"/>
        </w:rPr>
        <w:t>deferred shares) valued at $6,375</w:t>
      </w:r>
      <w:r>
        <w:rPr>
          <w:rFonts w:ascii="Times New Roman" w:hAnsi="Times New Roman"/>
          <w:sz w:val="20"/>
        </w:rPr>
        <w:t xml:space="preserve"> </w:t>
      </w:r>
      <w:r>
        <w:rPr>
          <w:rFonts w:ascii="Times New Roman" w:hAnsi="Times New Roman"/>
          <w:b w:val="false"/>
          <w:sz w:val="20"/>
        </w:rPr>
        <w:t>thousand in consideration for the ownership interest. The fair value of the securities was based upon the closing price of Green Thumb's Subordinate Voting Shares as traded on the CSE on the date of the transaction.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(vi) Acquisition of LeafLine Industries, LLC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December 30, 2021, the Company acquired 100% of the ownership interest in LeafLine, a Minnesota-based medical cannabis cultivator, processor and retailer for the purposes of expanding Green Thumb's national presence. The Company paid $38,731</w:t>
      </w:r>
      <w:r>
        <w:rPr>
          <w:rFonts w:ascii="Times New Roman" w:hAnsi="Times New Roman"/>
          <w:sz w:val="20"/>
        </w:rPr>
        <w:t xml:space="preserve"> </w:t>
      </w:r>
      <w:r>
        <w:rPr>
          <w:rFonts w:ascii="Times New Roman" w:hAnsi="Times New Roman"/>
          <w:b w:val="false"/>
          <w:sz w:val="20"/>
        </w:rPr>
        <w:t>thousand in cash and 5,513,942</w:t>
      </w:r>
      <w:r>
        <w:rPr>
          <w:rFonts w:ascii="Times New Roman" w:hAnsi="Times New Roman"/>
          <w:sz w:val="20"/>
        </w:rPr>
        <w:t xml:space="preserve"> </w:t>
      </w:r>
      <w:r>
        <w:rPr>
          <w:rFonts w:ascii="Times New Roman" w:hAnsi="Times New Roman"/>
          <w:b w:val="false"/>
          <w:sz w:val="20"/>
        </w:rPr>
        <w:t>Subordinate Voting Shares of Green Thumb (including 386,002</w:t>
      </w:r>
      <w:r>
        <w:rPr>
          <w:rFonts w:ascii="Times New Roman" w:hAnsi="Times New Roman"/>
          <w:sz w:val="20"/>
        </w:rPr>
        <w:t xml:space="preserve"> </w:t>
      </w:r>
      <w:r>
        <w:rPr>
          <w:rFonts w:ascii="Times New Roman" w:hAnsi="Times New Roman"/>
          <w:b w:val="false"/>
          <w:sz w:val="20"/>
        </w:rPr>
        <w:t>deferred shares) valued at $117,833</w:t>
      </w:r>
      <w:r>
        <w:rPr>
          <w:rFonts w:ascii="Times New Roman" w:hAnsi="Times New Roman"/>
          <w:sz w:val="20"/>
        </w:rPr>
        <w:t xml:space="preserve"> </w:t>
      </w:r>
      <w:r>
        <w:rPr>
          <w:rFonts w:ascii="Times New Roman" w:hAnsi="Times New Roman"/>
          <w:b w:val="false"/>
          <w:sz w:val="20"/>
        </w:rPr>
        <w:t>thousand in consideration for the ownership interest. The fair value of the Company's Subordinate Voting Shares was based on their closing price as traded on the CSE on their date of issuance, which was the date of the transaction. As of December 31, 2021, $32,092</w:t>
      </w:r>
      <w:r>
        <w:rPr>
          <w:rFonts w:ascii="Times New Roman" w:hAnsi="Times New Roman"/>
          <w:sz w:val="20"/>
        </w:rPr>
        <w:t xml:space="preserve"> </w:t>
      </w:r>
      <w:r>
        <w:rPr>
          <w:rFonts w:ascii="Times New Roman" w:hAnsi="Times New Roman"/>
          <w:b w:val="false"/>
          <w:sz w:val="20"/>
        </w:rPr>
        <w:t>thousand in cash had not been remitted to the former owners of LeafLine and thus, was treated as a current liability on the Company's consolidated balance sheets. The cash was received by the former owners of LeafLine on January 3, 2022.</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 2020 Business Acquisitions</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sz w:val="20"/>
        </w:rPr>
        <w:t>(i) Acquisition of Southern CT Wellness and Healing</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20"/>
        </w:rPr>
        <w:t>On December 18, 2020, the Company acquired 100% of the ownership interests of a Connecticut-based dispensary for the purposes of expanding the Company's operational capacity in the Connecticut market. The total consideration paid was approximately $14,368</w:t>
      </w:r>
      <w:r>
        <w:rPr>
          <w:rFonts w:ascii="Times New Roman" w:hAnsi="Times New Roman"/>
          <w:sz w:val="20"/>
        </w:rPr>
        <w:t xml:space="preserve"> </w:t>
      </w:r>
      <w:r>
        <w:rPr>
          <w:rFonts w:ascii="Times New Roman" w:hAnsi="Times New Roman"/>
          <w:b w:val="false"/>
          <w:sz w:val="20"/>
        </w:rPr>
        <w:t>thousand which included cash of approximately $8,997</w:t>
      </w:r>
      <w:r>
        <w:rPr>
          <w:rFonts w:ascii="Times New Roman" w:hAnsi="Times New Roman"/>
          <w:sz w:val="20"/>
        </w:rPr>
        <w:t xml:space="preserve"> </w:t>
      </w:r>
      <w:r>
        <w:rPr>
          <w:rFonts w:ascii="Times New Roman" w:hAnsi="Times New Roman"/>
          <w:b w:val="false"/>
          <w:sz w:val="20"/>
        </w:rPr>
        <w:t>thousand and 230,031</w:t>
      </w:r>
      <w:r>
        <w:rPr>
          <w:rFonts w:ascii="Times New Roman" w:hAnsi="Times New Roman"/>
          <w:sz w:val="20"/>
        </w:rPr>
        <w:t xml:space="preserve"> </w:t>
      </w:r>
      <w:r>
        <w:rPr>
          <w:rFonts w:ascii="Times New Roman" w:hAnsi="Times New Roman"/>
          <w:b w:val="false"/>
          <w:sz w:val="20"/>
        </w:rPr>
        <w:t>Subordinate Voting Shares valued at approximately $5,371</w:t>
      </w:r>
      <w:r>
        <w:rPr>
          <w:rFonts w:ascii="Times New Roman" w:hAnsi="Times New Roman"/>
          <w:sz w:val="20"/>
        </w:rPr>
        <w:t xml:space="preserve"> </w:t>
      </w:r>
      <w:r>
        <w:rPr>
          <w:rFonts w:ascii="Times New Roman" w:hAnsi="Times New Roman"/>
          <w:b w:val="false"/>
          <w:sz w:val="20"/>
        </w:rPr>
        <w:t>thousand based on the fair value of the securities on the date of issuance, which was the closing price of Green Thumb’s Subordinate Voting Shares as traded on the CSE on the date of the transaction. The assets acquired and liabilities assumed as part of the acquisition were not material.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F-23</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6. INTANGIBLE ASSETS AND GOODWILL</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i/>
          <w:sz w:val="20"/>
        </w:rPr>
        <w:t>(a) Intangible Assets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At December 31, 2021 and December 31, 2020, intangible assets consisted of the following:</w:t>
      </w:r>
      <w:r>
        <w:rPr>
          <w:rFonts w:ascii="Times New Roman" w:hAnsi="Times New Roman"/>
          <w:sz w:val="20"/>
        </w:rPr>
        <w:t xml:space="preserve"> </w:t>
      </w:r>
    </w:p>
    <w:p>
      <w:pPr>
        <w:pStyle w:val="TextBody"/>
        <w:spacing w:lineRule="auto" w:line="273" w:before="240" w:after="0"/>
        <w:jc w:val="left"/>
        <w:rPr/>
      </w:pPr>
      <w:r>
        <w:rPr/>
        <w:t> </w:t>
      </w:r>
    </w:p>
    <w:tbl>
      <w:tblPr>
        <w:tblW w:w="10205" w:type="dxa"/>
        <w:jc w:val="left"/>
        <w:tblInd w:w="0" w:type="dxa"/>
        <w:tblCellMar>
          <w:top w:w="28" w:type="dxa"/>
          <w:left w:w="28" w:type="dxa"/>
          <w:bottom w:w="28" w:type="dxa"/>
          <w:right w:w="28" w:type="dxa"/>
        </w:tblCellMar>
      </w:tblPr>
      <w:tblGrid>
        <w:gridCol w:w="685"/>
        <w:gridCol w:w="549"/>
        <w:gridCol w:w="369"/>
        <w:gridCol w:w="253"/>
        <w:gridCol w:w="895"/>
        <w:gridCol w:w="146"/>
        <w:gridCol w:w="146"/>
        <w:gridCol w:w="295"/>
        <w:gridCol w:w="1047"/>
        <w:gridCol w:w="146"/>
        <w:gridCol w:w="146"/>
        <w:gridCol w:w="216"/>
        <w:gridCol w:w="765"/>
        <w:gridCol w:w="146"/>
        <w:gridCol w:w="146"/>
        <w:gridCol w:w="253"/>
        <w:gridCol w:w="895"/>
        <w:gridCol w:w="146"/>
        <w:gridCol w:w="146"/>
        <w:gridCol w:w="329"/>
        <w:gridCol w:w="1014"/>
        <w:gridCol w:w="146"/>
        <w:gridCol w:w="146"/>
        <w:gridCol w:w="216"/>
        <w:gridCol w:w="765"/>
        <w:gridCol w:w="199"/>
      </w:tblGrid>
      <w:tr>
        <w:trPr/>
        <w:tc>
          <w:tcPr>
            <w:tcW w:w="68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lineRule="auto" w:line="252" w:before="0" w:after="0"/>
              <w:ind w:left="0" w:right="0" w:hanging="0"/>
              <w:jc w:val="left"/>
              <w:rPr/>
            </w:pPr>
            <w:r>
              <w:rPr/>
              <w:t> </w:t>
            </w:r>
          </w:p>
        </w:tc>
        <w:tc>
          <w:tcPr>
            <w:tcW w:w="549"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405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56"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603" w:type="dxa"/>
            <w:gridSpan w:val="3"/>
            <w:tcBorders/>
            <w:shd w:fill="auto" w:val="clear"/>
            <w:vAlign w:val="center"/>
          </w:tcPr>
          <w:p>
            <w:pPr>
              <w:pStyle w:val="TableContents"/>
              <w:spacing w:lineRule="auto" w:line="252" w:before="0" w:after="0"/>
              <w:ind w:left="0" w:right="0" w:hanging="0"/>
              <w:jc w:val="left"/>
              <w:rPr/>
            </w:pPr>
            <w:r>
              <w:rPr/>
              <w:t> </w:t>
            </w:r>
          </w:p>
        </w:tc>
        <w:tc>
          <w:tcPr>
            <w:tcW w:w="114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 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Net Book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4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 Amortization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Net Book Value</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85" w:type="dxa"/>
            <w:tcBorders/>
            <w:shd w:fill="auto" w:val="clear"/>
            <w:vAlign w:val="center"/>
          </w:tcPr>
          <w:p>
            <w:pPr>
              <w:pStyle w:val="TableContents"/>
              <w:spacing w:lineRule="auto" w:line="252" w:before="0" w:after="0"/>
              <w:ind w:left="0" w:right="0" w:hanging="0"/>
              <w:jc w:val="left"/>
              <w:rPr/>
            </w:pPr>
            <w:r>
              <w:rPr/>
              <w:t> </w:t>
            </w:r>
          </w:p>
        </w:tc>
        <w:tc>
          <w:tcPr>
            <w:tcW w:w="549"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405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56"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603"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Licenses and Permits</w:t>
            </w:r>
          </w:p>
        </w:tc>
        <w:tc>
          <w:tcPr>
            <w:tcW w:w="25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655,900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69,812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6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586,088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9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343,136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41,994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6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301,142</w:t>
            </w:r>
          </w:p>
        </w:tc>
        <w:tc>
          <w:tcPr>
            <w:tcW w:w="199" w:type="dxa"/>
            <w:tcBorders/>
            <w:shd w:fill="auto" w:val="clear"/>
            <w:vAlign w:val="center"/>
          </w:tcPr>
          <w:p>
            <w:pPr>
              <w:pStyle w:val="TableContents"/>
              <w:spacing w:lineRule="auto" w:line="252" w:before="0" w:after="0"/>
              <w:ind w:left="0" w:right="0" w:hanging="0"/>
              <w:jc w:val="left"/>
              <w:rPr/>
            </w:pPr>
            <w:r>
              <w:rPr/>
              <w:t> </w:t>
            </w:r>
          </w:p>
        </w:tc>
      </w:tr>
      <w:tr>
        <w:trPr/>
        <w:tc>
          <w:tcPr>
            <w:tcW w:w="1603"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Trademarks</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89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98,936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10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25,096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76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73,840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89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99,296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9"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13,455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76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85,841</w:t>
            </w:r>
          </w:p>
        </w:tc>
        <w:tc>
          <w:tcPr>
            <w:tcW w:w="199" w:type="dxa"/>
            <w:tcBorders/>
            <w:shd w:fill="auto" w:val="clear"/>
            <w:vAlign w:val="center"/>
          </w:tcPr>
          <w:p>
            <w:pPr>
              <w:pStyle w:val="TableContents"/>
              <w:spacing w:lineRule="auto" w:line="252" w:before="0" w:after="0"/>
              <w:ind w:left="0" w:right="0" w:hanging="0"/>
              <w:jc w:val="left"/>
              <w:rPr/>
            </w:pPr>
            <w:r>
              <w:rPr/>
              <w:t> </w:t>
            </w:r>
          </w:p>
        </w:tc>
      </w:tr>
      <w:tr>
        <w:trPr/>
        <w:tc>
          <w:tcPr>
            <w:tcW w:w="1603"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Customer Relationships</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89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5" w:type="dxa"/>
            <w:tcBorders/>
            <w:shd w:fill="auto" w:val="clear"/>
            <w:vAlign w:val="center"/>
          </w:tcPr>
          <w:p>
            <w:pPr>
              <w:pStyle w:val="TableContents"/>
              <w:spacing w:lineRule="auto" w:line="252" w:before="0" w:after="0"/>
              <w:ind w:left="0" w:right="0" w:hanging="0"/>
              <w:jc w:val="left"/>
              <w:rPr/>
            </w:pPr>
            <w:r>
              <w:rPr/>
              <w:t> </w:t>
            </w:r>
          </w:p>
        </w:tc>
        <w:tc>
          <w:tcPr>
            <w:tcW w:w="10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76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14,494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89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25,258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9" w:type="dxa"/>
            <w:tcBorders/>
            <w:shd w:fill="auto" w:val="clear"/>
            <w:vAlign w:val="center"/>
          </w:tcPr>
          <w:p>
            <w:pPr>
              <w:pStyle w:val="TableContents"/>
              <w:spacing w:lineRule="auto" w:line="252" w:before="0" w:after="0"/>
              <w:ind w:left="0" w:right="0" w:hanging="0"/>
              <w:jc w:val="left"/>
              <w:rPr/>
            </w:pPr>
            <w:r>
              <w:rPr/>
              <w:t> </w:t>
            </w:r>
          </w:p>
        </w:tc>
        <w:tc>
          <w:tcPr>
            <w:tcW w:w="10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76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17,675</w:t>
            </w:r>
          </w:p>
        </w:tc>
        <w:tc>
          <w:tcPr>
            <w:tcW w:w="199" w:type="dxa"/>
            <w:tcBorders/>
            <w:shd w:fill="auto" w:val="clear"/>
            <w:vAlign w:val="center"/>
          </w:tcPr>
          <w:p>
            <w:pPr>
              <w:pStyle w:val="TableContents"/>
              <w:spacing w:lineRule="auto" w:line="252" w:before="0" w:after="0"/>
              <w:ind w:left="0" w:right="0" w:hanging="0"/>
              <w:jc w:val="left"/>
              <w:rPr/>
            </w:pPr>
            <w:r>
              <w:rPr/>
              <w:t> </w:t>
            </w:r>
          </w:p>
        </w:tc>
      </w:tr>
      <w:tr>
        <w:trPr/>
        <w:tc>
          <w:tcPr>
            <w:tcW w:w="1603"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Non-Competition Agreements</w:t>
            </w:r>
          </w:p>
        </w:tc>
        <w:tc>
          <w:tcPr>
            <w:tcW w:w="2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2,565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1,496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2,585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1,584</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603"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 Intangible Assets</w:t>
            </w:r>
          </w:p>
        </w:tc>
        <w:tc>
          <w:tcPr>
            <w:tcW w:w="2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8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781,839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0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106,348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7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675,491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8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470,275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0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64,033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7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406,242</w:t>
            </w:r>
          </w:p>
        </w:tc>
        <w:tc>
          <w:tcPr>
            <w:tcW w:w="1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recorded amortization expense for the years ended December 31, 2021, 2020 and 2019</w:t>
      </w:r>
      <w:r>
        <w:rPr>
          <w:rFonts w:ascii="Times New Roman" w:hAnsi="Times New Roman"/>
          <w:sz w:val="20"/>
        </w:rPr>
        <w:t xml:space="preserve"> </w:t>
      </w:r>
      <w:r>
        <w:rPr>
          <w:rFonts w:ascii="Times New Roman" w:hAnsi="Times New Roman"/>
          <w:b w:val="false"/>
          <w:sz w:val="20"/>
        </w:rPr>
        <w:t>of $45,208</w:t>
      </w:r>
      <w:r>
        <w:rPr>
          <w:rFonts w:ascii="Times New Roman" w:hAnsi="Times New Roman"/>
          <w:sz w:val="20"/>
        </w:rPr>
        <w:t xml:space="preserve"> </w:t>
      </w:r>
      <w:r>
        <w:rPr>
          <w:rFonts w:ascii="Times New Roman" w:hAnsi="Times New Roman"/>
          <w:b w:val="false"/>
          <w:sz w:val="20"/>
        </w:rPr>
        <w:t>thousand, $37,027</w:t>
      </w:r>
      <w:r>
        <w:rPr>
          <w:rFonts w:ascii="Times New Roman" w:hAnsi="Times New Roman"/>
          <w:sz w:val="20"/>
        </w:rPr>
        <w:t xml:space="preserve"> </w:t>
      </w:r>
      <w:r>
        <w:rPr>
          <w:rFonts w:ascii="Times New Roman" w:hAnsi="Times New Roman"/>
          <w:b w:val="false"/>
          <w:sz w:val="20"/>
        </w:rPr>
        <w:t>thousand</w:t>
      </w:r>
      <w:r>
        <w:rPr>
          <w:rFonts w:ascii="Times New Roman" w:hAnsi="Times New Roman"/>
          <w:sz w:val="20"/>
        </w:rPr>
        <w:t xml:space="preserve"> </w:t>
      </w:r>
      <w:r>
        <w:rPr>
          <w:rFonts w:ascii="Times New Roman" w:hAnsi="Times New Roman"/>
          <w:b w:val="false"/>
          <w:sz w:val="20"/>
        </w:rPr>
        <w:t>and $24,466</w:t>
      </w:r>
      <w:r>
        <w:rPr>
          <w:rFonts w:ascii="Times New Roman" w:hAnsi="Times New Roman"/>
          <w:sz w:val="20"/>
        </w:rPr>
        <w:t xml:space="preserve"> </w:t>
      </w:r>
      <w:r>
        <w:rPr>
          <w:rFonts w:ascii="Times New Roman" w:hAnsi="Times New Roman"/>
          <w:b w:val="false"/>
          <w:sz w:val="20"/>
        </w:rPr>
        <w:t>thousand, respectively.</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outlines the estimated annual amortization expense related to intangible assets as of December 31, 2021:</w:t>
      </w:r>
      <w:r>
        <w:rPr>
          <w:rFonts w:ascii="Times New Roman" w:hAnsi="Times New Roman"/>
          <w:sz w:val="20"/>
        </w:rPr>
        <w:t xml:space="preserve"> </w:t>
      </w:r>
    </w:p>
    <w:p>
      <w:pPr>
        <w:pStyle w:val="TextBody"/>
        <w:spacing w:lineRule="auto" w:line="273" w:before="0" w:after="0"/>
        <w:jc w:val="left"/>
        <w:rPr/>
      </w:pPr>
      <w:r>
        <w:rPr/>
        <w:t> </w:t>
      </w:r>
    </w:p>
    <w:tbl>
      <w:tblPr>
        <w:tblW w:w="3385" w:type="dxa"/>
        <w:jc w:val="left"/>
        <w:tblInd w:w="0" w:type="dxa"/>
        <w:tblCellMar>
          <w:top w:w="28" w:type="dxa"/>
          <w:left w:w="28" w:type="dxa"/>
          <w:bottom w:w="28" w:type="dxa"/>
          <w:right w:w="28" w:type="dxa"/>
        </w:tblCellMar>
      </w:tblPr>
      <w:tblGrid>
        <w:gridCol w:w="733"/>
        <w:gridCol w:w="667"/>
        <w:gridCol w:w="669"/>
        <w:gridCol w:w="247"/>
        <w:gridCol w:w="878"/>
        <w:gridCol w:w="191"/>
      </w:tblGrid>
      <w:tr>
        <w:trPr/>
        <w:tc>
          <w:tcPr>
            <w:tcW w:w="73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Estimated </w:t>
              <w:br/>
              <w:t>Amortization</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Year Ending December 31,</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2022</w:t>
            </w:r>
          </w:p>
        </w:tc>
        <w:tc>
          <w:tcPr>
            <w:tcW w:w="24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7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59,448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2023</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59,445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2024</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58,864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2025</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58,766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2026</w:t>
            </w:r>
          </w:p>
        </w:tc>
        <w:tc>
          <w:tcPr>
            <w:tcW w:w="247" w:type="dxa"/>
            <w:tcBorders/>
            <w:shd w:fill="auto" w:val="clear"/>
            <w:vAlign w:val="center"/>
          </w:tcPr>
          <w:p>
            <w:pPr>
              <w:pStyle w:val="TableContents"/>
              <w:spacing w:lineRule="auto" w:line="252" w:before="0" w:after="0"/>
              <w:ind w:left="0" w:right="0" w:hanging="0"/>
              <w:jc w:val="left"/>
              <w:rPr/>
            </w:pPr>
            <w:r>
              <w:rPr/>
              <w:t> </w:t>
            </w:r>
          </w:p>
        </w:tc>
        <w:tc>
          <w:tcPr>
            <w:tcW w:w="87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50,754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69"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2027 and Thereafter</w:t>
            </w:r>
          </w:p>
        </w:tc>
        <w:tc>
          <w:tcPr>
            <w:tcW w:w="24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388,214</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33" w:type="dxa"/>
            <w:tcBorders/>
            <w:shd w:fill="auto" w:val="clear"/>
            <w:vAlign w:val="center"/>
          </w:tcPr>
          <w:p>
            <w:pPr>
              <w:pStyle w:val="TableContents"/>
              <w:spacing w:lineRule="auto" w:line="252" w:before="0" w:after="0"/>
              <w:ind w:left="0" w:right="0" w:hanging="0"/>
              <w:jc w:val="left"/>
              <w:rPr/>
            </w:pPr>
            <w:r>
              <w:rPr/>
              <w:t> </w:t>
            </w:r>
          </w:p>
        </w:tc>
        <w:tc>
          <w:tcPr>
            <w:tcW w:w="667" w:type="dxa"/>
            <w:tcBorders/>
            <w:shd w:fill="auto" w:val="clear"/>
            <w:vAlign w:val="center"/>
          </w:tcPr>
          <w:p>
            <w:pPr>
              <w:pStyle w:val="TableContents"/>
              <w:spacing w:lineRule="auto" w:line="252" w:before="0" w:after="0"/>
              <w:ind w:left="0" w:right="0" w:hanging="0"/>
              <w:jc w:val="left"/>
              <w:rPr/>
            </w:pPr>
            <w:r>
              <w:rPr/>
              <w:t> </w:t>
            </w:r>
          </w:p>
        </w:tc>
        <w:tc>
          <w:tcPr>
            <w:tcW w:w="669" w:type="dxa"/>
            <w:tcBorders/>
            <w:shd w:fill="auto" w:val="clear"/>
            <w:vAlign w:val="center"/>
          </w:tcPr>
          <w:p>
            <w:pPr>
              <w:pStyle w:val="TableContents"/>
              <w:spacing w:lineRule="auto" w:line="252"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87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675,491</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the weighted average amortization period remaining for intangible assets was 12.69</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F-24</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6. INTANGIBLE ASSETS AND GOODWILL </w:t>
      </w:r>
      <w:r>
        <w:rPr>
          <w:rFonts w:ascii="Times New Roman" w:hAnsi="Times New Roman"/>
          <w:b w:val="false"/>
          <w:i/>
          <w:sz w:val="20"/>
        </w:rPr>
        <w:t>(Continued)</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(b) Goodwill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At December 31, 2021 the balances of goodwill, by segment, consisted of the following:</w:t>
      </w:r>
      <w:r>
        <w:rPr>
          <w:rFonts w:ascii="Times New Roman" w:hAnsi="Times New Roman"/>
          <w:sz w:val="20"/>
        </w:rPr>
        <w:t xml:space="preserve"> </w:t>
      </w:r>
    </w:p>
    <w:p>
      <w:pPr>
        <w:pStyle w:val="TextBody"/>
        <w:spacing w:lineRule="auto" w:line="273" w:before="120" w:after="0"/>
        <w:jc w:val="left"/>
        <w:rPr/>
      </w:pPr>
      <w:r>
        <w:rPr/>
        <w:t> </w:t>
      </w:r>
    </w:p>
    <w:tbl>
      <w:tblPr>
        <w:tblW w:w="8977" w:type="dxa"/>
        <w:jc w:val="left"/>
        <w:tblInd w:w="0" w:type="dxa"/>
        <w:tblCellMar>
          <w:top w:w="28" w:type="dxa"/>
          <w:left w:w="28" w:type="dxa"/>
          <w:bottom w:w="28" w:type="dxa"/>
          <w:right w:w="28" w:type="dxa"/>
        </w:tblCellMar>
      </w:tblPr>
      <w:tblGrid>
        <w:gridCol w:w="4036"/>
        <w:gridCol w:w="146"/>
        <w:gridCol w:w="196"/>
        <w:gridCol w:w="146"/>
        <w:gridCol w:w="691"/>
        <w:gridCol w:w="166"/>
        <w:gridCol w:w="196"/>
        <w:gridCol w:w="349"/>
        <w:gridCol w:w="1661"/>
        <w:gridCol w:w="146"/>
        <w:gridCol w:w="196"/>
        <w:gridCol w:w="146"/>
        <w:gridCol w:w="691"/>
        <w:gridCol w:w="21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Retail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0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Consumer Package Goods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388"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As of January 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130,680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349" w:type="dxa"/>
            <w:tcBorders/>
            <w:shd w:fill="auto" w:val="clear"/>
            <w:vAlign w:val="center"/>
          </w:tcPr>
          <w:p>
            <w:pPr>
              <w:pStyle w:val="TableContents"/>
              <w:spacing w:lineRule="auto" w:line="252" w:before="0" w:after="0"/>
              <w:ind w:left="0" w:right="0" w:hanging="0"/>
              <w:jc w:val="left"/>
              <w:rPr/>
            </w:pPr>
            <w:r>
              <w:rPr/>
              <w:t> </w:t>
            </w:r>
          </w:p>
        </w:tc>
        <w:tc>
          <w:tcPr>
            <w:tcW w:w="1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382,697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Acquisition of Dharma Pharmaceuticals,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37,100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49" w:type="dxa"/>
            <w:tcBorders/>
            <w:shd w:fill="auto" w:val="clear"/>
            <w:vAlign w:val="center"/>
          </w:tcPr>
          <w:p>
            <w:pPr>
              <w:pStyle w:val="TableContents"/>
              <w:spacing w:lineRule="auto" w:line="252" w:before="0" w:after="0"/>
              <w:ind w:left="0" w:right="0" w:hanging="0"/>
              <w:jc w:val="left"/>
              <w:rPr/>
            </w:pPr>
            <w:r>
              <w:rPr/>
              <w:t> </w:t>
            </w:r>
          </w:p>
        </w:tc>
        <w:tc>
          <w:tcPr>
            <w:tcW w:w="1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39,045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76,145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Acquisition of Summit Medical Compassion Center,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45,725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49" w:type="dxa"/>
            <w:tcBorders/>
            <w:shd w:fill="auto" w:val="clear"/>
            <w:vAlign w:val="center"/>
          </w:tcPr>
          <w:p>
            <w:pPr>
              <w:pStyle w:val="TableContents"/>
              <w:spacing w:lineRule="auto" w:line="252" w:before="0" w:after="0"/>
              <w:ind w:left="0" w:right="0" w:hanging="0"/>
              <w:jc w:val="left"/>
              <w:rPr/>
            </w:pPr>
            <w:r>
              <w:rPr/>
              <w:t> </w:t>
            </w:r>
          </w:p>
        </w:tc>
        <w:tc>
          <w:tcPr>
            <w:tcW w:w="1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19,506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65,231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Acquisition of LeafLine Industries,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33,558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49" w:type="dxa"/>
            <w:tcBorders/>
            <w:shd w:fill="auto" w:val="clear"/>
            <w:vAlign w:val="center"/>
          </w:tcPr>
          <w:p>
            <w:pPr>
              <w:pStyle w:val="TableContents"/>
              <w:spacing w:lineRule="auto" w:line="252" w:before="0" w:after="0"/>
              <w:ind w:left="0" w:right="0" w:hanging="0"/>
              <w:jc w:val="left"/>
              <w:rPr/>
            </w:pPr>
            <w:r>
              <w:rPr/>
              <w:t> </w:t>
            </w:r>
          </w:p>
        </w:tc>
        <w:tc>
          <w:tcPr>
            <w:tcW w:w="1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23,328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56,886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03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Other Acquisitions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38,985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349" w:type="dxa"/>
            <w:tcBorders/>
            <w:shd w:fill="auto" w:val="clear"/>
            <w:vAlign w:val="center"/>
          </w:tcPr>
          <w:p>
            <w:pPr>
              <w:pStyle w:val="TableContents"/>
              <w:spacing w:lineRule="auto" w:line="252" w:before="0" w:after="0"/>
              <w:ind w:left="0" w:right="0" w:hanging="0"/>
              <w:jc w:val="left"/>
              <w:rPr/>
            </w:pPr>
            <w:r>
              <w:rPr/>
              <w:t> </w:t>
            </w:r>
          </w:p>
        </w:tc>
        <w:tc>
          <w:tcPr>
            <w:tcW w:w="1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24,142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63,127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378" w:type="dxa"/>
            <w:gridSpan w:val="3"/>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Adjustments to Purchase Price Allocations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(11,237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0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(11,237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03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274,811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358,038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632,849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 ended December 31, 2021, the Company made immaterial adjustments to the purchase price allocations associated with previously acquired entities that resulted in a reduction to goodwill and deferred tax liabilities and an increase to intangible assets.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At December 31, 2020 the balances of goodwill, by segment, consisted of the following:</w:t>
      </w:r>
      <w:r>
        <w:rPr>
          <w:rFonts w:ascii="Times New Roman" w:hAnsi="Times New Roman"/>
          <w:sz w:val="20"/>
        </w:rPr>
        <w:t xml:space="preserve"> </w:t>
      </w:r>
    </w:p>
    <w:p>
      <w:pPr>
        <w:pStyle w:val="TextBody"/>
        <w:spacing w:lineRule="auto" w:line="273" w:before="0" w:after="0"/>
        <w:jc w:val="left"/>
        <w:rPr/>
      </w:pPr>
      <w:r>
        <w:rPr/>
        <w:t> </w:t>
      </w:r>
    </w:p>
    <w:tbl>
      <w:tblPr>
        <w:tblW w:w="8512" w:type="dxa"/>
        <w:jc w:val="left"/>
        <w:tblInd w:w="0" w:type="dxa"/>
        <w:tblCellMar>
          <w:top w:w="28" w:type="dxa"/>
          <w:left w:w="28" w:type="dxa"/>
          <w:bottom w:w="28" w:type="dxa"/>
          <w:right w:w="28" w:type="dxa"/>
        </w:tblCellMar>
      </w:tblPr>
      <w:tblGrid>
        <w:gridCol w:w="3571"/>
        <w:gridCol w:w="146"/>
        <w:gridCol w:w="196"/>
        <w:gridCol w:w="146"/>
        <w:gridCol w:w="691"/>
        <w:gridCol w:w="146"/>
        <w:gridCol w:w="196"/>
        <w:gridCol w:w="349"/>
        <w:gridCol w:w="1661"/>
        <w:gridCol w:w="166"/>
        <w:gridCol w:w="196"/>
        <w:gridCol w:w="146"/>
        <w:gridCol w:w="691"/>
        <w:gridCol w:w="211"/>
      </w:tblGrid>
      <w:tr>
        <w:trPr/>
        <w:tc>
          <w:tcPr>
            <w:tcW w:w="3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Retail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0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Consumer Package Goods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4388"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As at January 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119,874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349" w:type="dxa"/>
            <w:tcBorders/>
            <w:shd w:fill="auto" w:val="clear"/>
            <w:vAlign w:val="center"/>
          </w:tcPr>
          <w:p>
            <w:pPr>
              <w:pStyle w:val="TableContents"/>
              <w:spacing w:lineRule="auto" w:line="252" w:before="0" w:after="0"/>
              <w:ind w:left="0" w:right="0" w:hanging="0"/>
              <w:jc w:val="left"/>
              <w:rPr/>
            </w:pPr>
            <w:r>
              <w:rPr/>
              <w:t> </w:t>
            </w:r>
          </w:p>
        </w:tc>
        <w:tc>
          <w:tcPr>
            <w:tcW w:w="1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255,211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375,085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Acquisition of Southern CT Wellness and Healing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9,616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2010" w:type="dxa"/>
            <w:gridSpan w:val="2"/>
            <w:tcBorders/>
            <w:shd w:fill="auto" w:val="clear"/>
            <w:vAlign w:val="center"/>
          </w:tcPr>
          <w:p>
            <w:pPr>
              <w:pStyle w:val="TableContents"/>
              <w:spacing w:lineRule="auto" w:line="252" w:before="0" w:after="0"/>
              <w:ind w:left="0" w:right="0" w:hanging="0"/>
              <w:jc w:val="right"/>
              <w:rPr/>
            </w:pPr>
            <w:r>
              <w:rPr/>
              <w:t xml:space="preserve">—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9,616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Adjustments to Purchase Price Allocations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(3,194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(2,004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As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130,680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252,017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382,697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F-25</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7. INVESTMENTS</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As of December 31, 2021 and December 31, 2020, the Company held various equity interests in privately held cannabis companies as well as investments in various notes receivables that had a combined fair value of $94,902</w:t>
      </w:r>
      <w:r>
        <w:rPr>
          <w:rFonts w:ascii="Times New Roman" w:hAnsi="Times New Roman"/>
          <w:sz w:val="20"/>
        </w:rPr>
        <w:t xml:space="preserve"> </w:t>
      </w:r>
      <w:r>
        <w:rPr>
          <w:rFonts w:ascii="Times New Roman" w:hAnsi="Times New Roman"/>
          <w:b w:val="false"/>
          <w:sz w:val="20"/>
        </w:rPr>
        <w:t>thousand and $40,795</w:t>
      </w:r>
      <w:r>
        <w:rPr>
          <w:rFonts w:ascii="Times New Roman" w:hAnsi="Times New Roman"/>
          <w:sz w:val="20"/>
        </w:rPr>
        <w:t xml:space="preserve"> </w:t>
      </w:r>
      <w:r>
        <w:rPr>
          <w:rFonts w:ascii="Times New Roman" w:hAnsi="Times New Roman"/>
          <w:b w:val="false"/>
          <w:sz w:val="20"/>
        </w:rPr>
        <w:t>thousand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summarizes the change in the Company’s investments during the years ended December 31, 2021 and 2020:</w:t>
      </w:r>
      <w:r>
        <w:rPr>
          <w:rFonts w:ascii="Times New Roman" w:hAnsi="Times New Roman"/>
          <w:sz w:val="20"/>
        </w:rPr>
        <w:t xml:space="preserve"> </w:t>
      </w:r>
    </w:p>
    <w:p>
      <w:pPr>
        <w:pStyle w:val="TextBody"/>
        <w:spacing w:lineRule="auto" w:line="273" w:before="0" w:after="0"/>
        <w:jc w:val="left"/>
        <w:rPr/>
      </w:pPr>
      <w:r>
        <w:rPr/>
        <w:t> </w:t>
      </w:r>
    </w:p>
    <w:tbl>
      <w:tblPr>
        <w:tblW w:w="6270" w:type="dxa"/>
        <w:jc w:val="left"/>
        <w:tblInd w:w="0" w:type="dxa"/>
        <w:tblCellMar>
          <w:top w:w="28" w:type="dxa"/>
          <w:left w:w="28" w:type="dxa"/>
          <w:bottom w:w="28" w:type="dxa"/>
          <w:right w:w="28" w:type="dxa"/>
        </w:tblCellMar>
      </w:tblPr>
      <w:tblGrid>
        <w:gridCol w:w="981"/>
        <w:gridCol w:w="894"/>
        <w:gridCol w:w="211"/>
        <w:gridCol w:w="285"/>
        <w:gridCol w:w="1440"/>
        <w:gridCol w:w="166"/>
        <w:gridCol w:w="146"/>
        <w:gridCol w:w="211"/>
        <w:gridCol w:w="305"/>
        <w:gridCol w:w="1420"/>
        <w:gridCol w:w="211"/>
      </w:tblGrid>
      <w:tr>
        <w:trPr/>
        <w:tc>
          <w:tcPr>
            <w:tcW w:w="98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875" w:type="dxa"/>
            <w:gridSpan w:val="2"/>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December 31, 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981" w:type="dxa"/>
            <w:tcBorders/>
            <w:shd w:fill="auto" w:val="clear"/>
            <w:vAlign w:val="center"/>
          </w:tcPr>
          <w:p>
            <w:pPr>
              <w:pStyle w:val="TableContents"/>
              <w:spacing w:lineRule="auto" w:line="252" w:before="0" w:after="0"/>
              <w:ind w:left="0" w:right="0" w:hanging="0"/>
              <w:jc w:val="left"/>
              <w:rPr/>
            </w:pPr>
            <w:r>
              <w:rPr/>
              <w:t> </w:t>
            </w:r>
          </w:p>
        </w:tc>
        <w:tc>
          <w:tcPr>
            <w:tcW w:w="894" w:type="dxa"/>
            <w:tcBorders/>
            <w:shd w:fill="auto" w:val="clear"/>
            <w:vAlign w:val="center"/>
          </w:tcPr>
          <w:p>
            <w:pPr>
              <w:pStyle w:val="TableContents"/>
              <w:spacing w:lineRule="auto" w:line="252" w:before="0" w:after="0"/>
              <w:ind w:left="0" w:right="0" w:hanging="0"/>
              <w:jc w:val="left"/>
              <w:rPr/>
            </w:pPr>
            <w:r>
              <w:rPr/>
              <w:t> </w:t>
            </w:r>
          </w:p>
        </w:tc>
        <w:tc>
          <w:tcPr>
            <w:tcW w:w="4184"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75"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Beginning</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14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40,795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305" w:type="dxa"/>
            <w:tcBorders/>
            <w:shd w:fill="auto" w:val="clear"/>
            <w:vAlign w:val="center"/>
          </w:tcPr>
          <w:p>
            <w:pPr>
              <w:pStyle w:val="TableContents"/>
              <w:spacing w:lineRule="auto" w:line="252" w:before="0" w:after="0"/>
              <w:ind w:left="0" w:right="0" w:hanging="0"/>
              <w:jc w:val="left"/>
              <w:rPr/>
            </w:pPr>
            <w:r>
              <w:rPr/>
              <w:t> </w:t>
            </w:r>
          </w:p>
        </w:tc>
        <w:tc>
          <w:tcPr>
            <w:tcW w:w="14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14,069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875"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Additions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14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83,689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305" w:type="dxa"/>
            <w:tcBorders/>
            <w:shd w:fill="auto" w:val="clear"/>
            <w:vAlign w:val="center"/>
          </w:tcPr>
          <w:p>
            <w:pPr>
              <w:pStyle w:val="TableContents"/>
              <w:spacing w:lineRule="auto" w:line="252" w:before="0" w:after="0"/>
              <w:ind w:left="0" w:right="0" w:hanging="0"/>
              <w:jc w:val="left"/>
              <w:rPr/>
            </w:pPr>
            <w:r>
              <w:rPr/>
              <w:t> </w:t>
            </w:r>
          </w:p>
        </w:tc>
        <w:tc>
          <w:tcPr>
            <w:tcW w:w="14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875"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Disposals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14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(18,417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305" w:type="dxa"/>
            <w:tcBorders/>
            <w:shd w:fill="auto" w:val="clear"/>
            <w:vAlign w:val="center"/>
          </w:tcPr>
          <w:p>
            <w:pPr>
              <w:pStyle w:val="TableContents"/>
              <w:spacing w:lineRule="auto" w:line="252" w:before="0" w:after="0"/>
              <w:ind w:left="0" w:right="0" w:hanging="0"/>
              <w:jc w:val="left"/>
              <w:rPr/>
            </w:pPr>
            <w:r>
              <w:rPr/>
              <w:t> </w:t>
            </w:r>
          </w:p>
        </w:tc>
        <w:tc>
          <w:tcPr>
            <w:tcW w:w="14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(170</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75"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Fair value adjustment</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144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6,377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305" w:type="dxa"/>
            <w:tcBorders/>
            <w:shd w:fill="auto" w:val="clear"/>
            <w:vAlign w:val="center"/>
          </w:tcPr>
          <w:p>
            <w:pPr>
              <w:pStyle w:val="TableContents"/>
              <w:spacing w:lineRule="auto" w:line="252" w:before="0" w:after="0"/>
              <w:ind w:left="0" w:right="0" w:hanging="0"/>
              <w:jc w:val="left"/>
              <w:rPr/>
            </w:pPr>
            <w:r>
              <w:rPr/>
              <w:t> </w:t>
            </w:r>
          </w:p>
        </w:tc>
        <w:tc>
          <w:tcPr>
            <w:tcW w:w="14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26,371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1875"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Transfers out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75" w:type="dxa"/>
            <w:gridSpan w:val="2"/>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Ending</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94,902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40,795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the year ended December 31, 2021, the Company recorded net fair value gains of $6,377, of which $5,955</w:t>
      </w:r>
      <w:r>
        <w:rPr>
          <w:rFonts w:ascii="Times New Roman" w:hAnsi="Times New Roman"/>
          <w:sz w:val="20"/>
        </w:rPr>
        <w:t xml:space="preserve"> </w:t>
      </w:r>
      <w:r>
        <w:rPr>
          <w:rFonts w:ascii="Times New Roman" w:hAnsi="Times New Roman"/>
          <w:b w:val="false"/>
          <w:sz w:val="20"/>
        </w:rPr>
        <w:t>thousand relates to equity investments and was recorded within other income (expense) and $422</w:t>
      </w:r>
      <w:r>
        <w:rPr>
          <w:rFonts w:ascii="Times New Roman" w:hAnsi="Times New Roman"/>
          <w:sz w:val="20"/>
        </w:rPr>
        <w:t xml:space="preserve"> </w:t>
      </w:r>
      <w:r>
        <w:rPr>
          <w:rFonts w:ascii="Times New Roman" w:hAnsi="Times New Roman"/>
          <w:b w:val="false"/>
          <w:sz w:val="20"/>
        </w:rPr>
        <w:t>thousand relates to various note receivable investments and was recorded to interest income on the consolidated statement of operations. For the years ended December 31, 2020 and 2019, the Company recorded net fair value gains of $26,371</w:t>
      </w:r>
      <w:r>
        <w:rPr>
          <w:rFonts w:ascii="Times New Roman" w:hAnsi="Times New Roman"/>
          <w:sz w:val="20"/>
        </w:rPr>
        <w:t xml:space="preserve"> </w:t>
      </w:r>
      <w:r>
        <w:rPr>
          <w:rFonts w:ascii="Times New Roman" w:hAnsi="Times New Roman"/>
          <w:b w:val="false"/>
          <w:sz w:val="20"/>
        </w:rPr>
        <w:t>thousand and $(4,061)</w:t>
      </w:r>
      <w:r>
        <w:rPr>
          <w:rFonts w:ascii="Times New Roman" w:hAnsi="Times New Roman"/>
          <w:sz w:val="20"/>
        </w:rPr>
        <w:t xml:space="preserve"> </w:t>
      </w:r>
      <w:r>
        <w:rPr>
          <w:rFonts w:ascii="Times New Roman" w:hAnsi="Times New Roman"/>
          <w:b w:val="false"/>
          <w:sz w:val="20"/>
        </w:rPr>
        <w:t>thousand, respectively, within other income (expense) on the consolidated statement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 Equity Investments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the years ended December 31, 2021</w:t>
      </w:r>
      <w:r>
        <w:rPr>
          <w:rFonts w:ascii="Times New Roman" w:hAnsi="Times New Roman"/>
          <w:sz w:val="20"/>
        </w:rPr>
        <w:t xml:space="preserve"> </w:t>
      </w:r>
      <w:r>
        <w:rPr>
          <w:rFonts w:ascii="Times New Roman" w:hAnsi="Times New Roman"/>
          <w:b w:val="false"/>
          <w:sz w:val="20"/>
        </w:rPr>
        <w:t>and 2020, the Company held equity investments in publicly traded entities which have readily determinable fair values, which are classified as Level 1 investments, of $20,583</w:t>
      </w:r>
      <w:r>
        <w:rPr>
          <w:rFonts w:ascii="Times New Roman" w:hAnsi="Times New Roman"/>
          <w:sz w:val="20"/>
        </w:rPr>
        <w:t xml:space="preserve"> </w:t>
      </w:r>
      <w:r>
        <w:rPr>
          <w:rFonts w:ascii="Times New Roman" w:hAnsi="Times New Roman"/>
          <w:b w:val="false"/>
          <w:sz w:val="20"/>
        </w:rPr>
        <w:t>thousand and $924</w:t>
      </w:r>
      <w:r>
        <w:rPr>
          <w:rFonts w:ascii="Times New Roman" w:hAnsi="Times New Roman"/>
          <w:sz w:val="20"/>
        </w:rPr>
        <w:t xml:space="preserve"> </w:t>
      </w:r>
      <w:r>
        <w:rPr>
          <w:rFonts w:ascii="Times New Roman" w:hAnsi="Times New Roman"/>
          <w:b w:val="false"/>
          <w:sz w:val="20"/>
        </w:rPr>
        <w:t>thousand, respectively. During the years ended December 31, 2021 and 2020, the Company received proceeds from the sale of such investments of $18,417</w:t>
      </w:r>
      <w:r>
        <w:rPr>
          <w:rFonts w:ascii="Times New Roman" w:hAnsi="Times New Roman"/>
          <w:sz w:val="20"/>
        </w:rPr>
        <w:t xml:space="preserve"> </w:t>
      </w:r>
      <w:r>
        <w:rPr>
          <w:rFonts w:ascii="Times New Roman" w:hAnsi="Times New Roman"/>
          <w:b w:val="false"/>
          <w:sz w:val="20"/>
        </w:rPr>
        <w:t>thousand and $170</w:t>
      </w:r>
      <w:r>
        <w:rPr>
          <w:rFonts w:ascii="Times New Roman" w:hAnsi="Times New Roman"/>
          <w:sz w:val="20"/>
        </w:rPr>
        <w:t xml:space="preserve"> </w:t>
      </w:r>
      <w:r>
        <w:rPr>
          <w:rFonts w:ascii="Times New Roman" w:hAnsi="Times New Roman"/>
          <w:b w:val="false"/>
          <w:sz w:val="20"/>
        </w:rPr>
        <w:t>thousand, respectively. The Company recorded net gains on the change in fair value of such investments of $828</w:t>
      </w:r>
      <w:r>
        <w:rPr>
          <w:rFonts w:ascii="Times New Roman" w:hAnsi="Times New Roman"/>
          <w:sz w:val="20"/>
        </w:rPr>
        <w:t xml:space="preserve"> </w:t>
      </w:r>
      <w:r>
        <w:rPr>
          <w:rFonts w:ascii="Times New Roman" w:hAnsi="Times New Roman"/>
          <w:b w:val="false"/>
          <w:sz w:val="20"/>
        </w:rPr>
        <w:t>thousand and $423</w:t>
      </w:r>
      <w:r>
        <w:rPr>
          <w:rFonts w:ascii="Times New Roman" w:hAnsi="Times New Roman"/>
          <w:sz w:val="20"/>
        </w:rPr>
        <w:t xml:space="preserve"> </w:t>
      </w:r>
      <w:r>
        <w:rPr>
          <w:rFonts w:ascii="Times New Roman" w:hAnsi="Times New Roman"/>
          <w:b w:val="false"/>
          <w:sz w:val="20"/>
        </w:rPr>
        <w:t>thousand during the years ended December 31, 2021 and 2020, respectively, within other income (expense) on the consolidated statement of operations. There were no</w:t>
      </w:r>
      <w:r>
        <w:rPr>
          <w:rFonts w:ascii="Times New Roman" w:hAnsi="Times New Roman"/>
          <w:sz w:val="20"/>
        </w:rPr>
        <w:t xml:space="preserve"> </w:t>
      </w:r>
      <w:r>
        <w:rPr>
          <w:rFonts w:ascii="Times New Roman" w:hAnsi="Times New Roman"/>
          <w:b w:val="false"/>
          <w:sz w:val="20"/>
        </w:rPr>
        <w:t>gains (losses) on the change in fair value of such investments during the year ended December 31, 2019. These investments are classified as trading securities on the Company's consolidated balance sheet.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For the years ended December 31, 2021 and 2020, the Company held equity investments in privately held entities that did not have readily determinable fair values, which are classified as Level 3 investments, of $33,066</w:t>
      </w:r>
      <w:r>
        <w:rPr>
          <w:rFonts w:ascii="Times New Roman" w:hAnsi="Times New Roman"/>
          <w:sz w:val="20"/>
        </w:rPr>
        <w:t xml:space="preserve"> </w:t>
      </w:r>
      <w:r>
        <w:rPr>
          <w:rFonts w:ascii="Times New Roman" w:hAnsi="Times New Roman"/>
          <w:b w:val="false"/>
          <w:sz w:val="20"/>
        </w:rPr>
        <w:t>thousand and $39,871</w:t>
      </w:r>
      <w:r>
        <w:rPr>
          <w:rFonts w:ascii="Times New Roman" w:hAnsi="Times New Roman"/>
          <w:sz w:val="20"/>
        </w:rPr>
        <w:t xml:space="preserve"> </w:t>
      </w:r>
      <w:r>
        <w:rPr>
          <w:rFonts w:ascii="Times New Roman" w:hAnsi="Times New Roman"/>
          <w:b w:val="false"/>
          <w:sz w:val="20"/>
        </w:rPr>
        <w:t>thousand, respectively. There were no sales of these investments during the years ended December 31, 2021 and 2020. The Company recorded net gains (losses) on the change in fair value of such investments of $5,127</w:t>
      </w:r>
      <w:r>
        <w:rPr>
          <w:rFonts w:ascii="Times New Roman" w:hAnsi="Times New Roman"/>
          <w:sz w:val="20"/>
        </w:rPr>
        <w:t xml:space="preserve"> </w:t>
      </w:r>
      <w:r>
        <w:rPr>
          <w:rFonts w:ascii="Times New Roman" w:hAnsi="Times New Roman"/>
          <w:b w:val="false"/>
          <w:sz w:val="20"/>
        </w:rPr>
        <w:t>thousand, $25,948</w:t>
      </w:r>
      <w:r>
        <w:rPr>
          <w:rFonts w:ascii="Times New Roman" w:hAnsi="Times New Roman"/>
          <w:sz w:val="20"/>
        </w:rPr>
        <w:t xml:space="preserve"> </w:t>
      </w:r>
      <w:r>
        <w:rPr>
          <w:rFonts w:ascii="Times New Roman" w:hAnsi="Times New Roman"/>
          <w:b w:val="false"/>
          <w:sz w:val="20"/>
        </w:rPr>
        <w:t>thousand and $(4,061)</w:t>
      </w:r>
      <w:r>
        <w:rPr>
          <w:rFonts w:ascii="Times New Roman" w:hAnsi="Times New Roman"/>
          <w:sz w:val="20"/>
        </w:rPr>
        <w:t xml:space="preserve"> </w:t>
      </w:r>
      <w:r>
        <w:rPr>
          <w:rFonts w:ascii="Times New Roman" w:hAnsi="Times New Roman"/>
          <w:b w:val="false"/>
          <w:sz w:val="20"/>
        </w:rPr>
        <w:t>thousand, respectively, within other income (expense) on the consolidated statement of operations. These investments are classified as trading securities on the Company's consolidated balance sheet.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Note 15 - Fair Value Measurements for additional details.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 ended December 31, 2021, the Company transferred $17,542</w:t>
      </w:r>
      <w:r>
        <w:rPr>
          <w:rFonts w:ascii="Times New Roman" w:hAnsi="Times New Roman"/>
          <w:sz w:val="20"/>
        </w:rPr>
        <w:t xml:space="preserve"> </w:t>
      </w:r>
      <w:r>
        <w:rPr>
          <w:rFonts w:ascii="Times New Roman" w:hAnsi="Times New Roman"/>
          <w:b w:val="false"/>
          <w:sz w:val="20"/>
        </w:rPr>
        <w:t>thousand of its investment in a privately held entity without readily determinable fair value to investment in associate based on the Company's ownership percentage and its ability to exert significant influence over the entity. As a result of the change, the Company began accounting for the investment as an equity method investment. Equity income (loss) recorded during the year ended December 31, 2021 was not material to the Company. No</w:t>
      </w:r>
      <w:r>
        <w:rPr>
          <w:rFonts w:ascii="Times New Roman" w:hAnsi="Times New Roman"/>
          <w:sz w:val="20"/>
        </w:rPr>
        <w:t xml:space="preserve"> </w:t>
      </w:r>
      <w:r>
        <w:rPr>
          <w:rFonts w:ascii="Times New Roman" w:hAnsi="Times New Roman"/>
          <w:b w:val="false"/>
          <w:sz w:val="20"/>
        </w:rPr>
        <w:t>such transfers occurred during the year ended December 31, 2020.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Unrealized gains and (losses) recognized on equity investments held during the years ended December 31, 2021, 2020 and 2019 were $6,377</w:t>
      </w:r>
      <w:r>
        <w:rPr>
          <w:rFonts w:ascii="Times New Roman" w:hAnsi="Times New Roman"/>
          <w:sz w:val="20"/>
        </w:rPr>
        <w:t xml:space="preserve"> </w:t>
      </w:r>
      <w:r>
        <w:rPr>
          <w:rFonts w:ascii="Times New Roman" w:hAnsi="Times New Roman"/>
          <w:b w:val="false"/>
          <w:sz w:val="20"/>
        </w:rPr>
        <w:t>thousand, $26,371</w:t>
      </w:r>
      <w:r>
        <w:rPr>
          <w:rFonts w:ascii="Times New Roman" w:hAnsi="Times New Roman"/>
          <w:sz w:val="20"/>
        </w:rPr>
        <w:t xml:space="preserve"> </w:t>
      </w:r>
      <w:r>
        <w:rPr>
          <w:rFonts w:ascii="Times New Roman" w:hAnsi="Times New Roman"/>
          <w:b w:val="false"/>
          <w:sz w:val="20"/>
        </w:rPr>
        <w:t>thousand, and ($4,061) thousand, respectively.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F-26</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7. INVESTMENTS </w:t>
      </w:r>
      <w:r>
        <w:rPr>
          <w:rFonts w:ascii="Times New Roman" w:hAnsi="Times New Roman"/>
          <w:b w:val="false"/>
          <w:i/>
          <w:sz w:val="20"/>
        </w:rPr>
        <w:t>(Continued)</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 Note Receivable Instruments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 ended December 31, 2021, the Company made multiple investments in various note receivable instruments, including note receivable instruments with conversion features.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the Company held note receivable instruments, which were classified as a Level 1 investment as they represent public debt of a publicly traded entity, and had a fair value of $23,534</w:t>
      </w:r>
      <w:r>
        <w:rPr>
          <w:rFonts w:ascii="Times New Roman" w:hAnsi="Times New Roman"/>
          <w:sz w:val="20"/>
        </w:rPr>
        <w:t xml:space="preserve"> </w:t>
      </w:r>
      <w:r>
        <w:rPr>
          <w:rFonts w:ascii="Times New Roman" w:hAnsi="Times New Roman"/>
          <w:b w:val="false"/>
          <w:sz w:val="20"/>
        </w:rPr>
        <w:t>thousand. The note receivable instruments had a stated interest rate of 13% and a maturity date of April 29, 2025. These notes did not contain conversion features and are currently classified as held-to-maturity securities on the Company's consolidated balance sheet.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the Company held note receivable instruments which were classified as Level 3 investments as they represent loans provided to privately held entities that do not have readily determinable fair values. The note receivable instruments had a combined fair value of $17,719</w:t>
      </w:r>
      <w:r>
        <w:rPr>
          <w:rFonts w:ascii="Times New Roman" w:hAnsi="Times New Roman"/>
          <w:sz w:val="20"/>
        </w:rPr>
        <w:t xml:space="preserve"> </w:t>
      </w:r>
      <w:r>
        <w:rPr>
          <w:rFonts w:ascii="Times New Roman" w:hAnsi="Times New Roman"/>
          <w:b w:val="false"/>
          <w:sz w:val="20"/>
        </w:rPr>
        <w:t>thousand, with stated interest ranging between 0.91% - 10% and terms between 15 months</w:t>
      </w:r>
      <w:r>
        <w:rPr>
          <w:rFonts w:ascii="Times New Roman" w:hAnsi="Times New Roman"/>
          <w:sz w:val="20"/>
        </w:rPr>
        <w:t xml:space="preserve"> </w:t>
      </w:r>
      <w:r>
        <w:rPr>
          <w:rFonts w:ascii="Times New Roman" w:hAnsi="Times New Roman"/>
          <w:b w:val="false"/>
          <w:sz w:val="20"/>
        </w:rPr>
        <w:t>to three years. The combined fair value amounts include the initial investment cost and combined contractual accrued interest of $422</w:t>
      </w:r>
      <w:r>
        <w:rPr>
          <w:rFonts w:ascii="Times New Roman" w:hAnsi="Times New Roman"/>
          <w:sz w:val="20"/>
        </w:rPr>
        <w:t xml:space="preserve"> </w:t>
      </w:r>
      <w:r>
        <w:rPr>
          <w:rFonts w:ascii="Times New Roman" w:hAnsi="Times New Roman"/>
          <w:b w:val="false"/>
          <w:sz w:val="20"/>
        </w:rPr>
        <w:t>thousand. These note are classified as trading securities on the Company's consolidated balance sheet.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2020, the Company did not own any Level 1 or Level 3 investments in such note receivable instruments.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See Note 15 - Fair Value Measurements for additional details.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F-27</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8. LEASES</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(a) Operating Leases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has operating leases for certain Rise, and other retail dispensaries as well as many of the Company’s processing and cultivation facilities located throughout the US and operating leases for corporate office space in Illinois and Minnesota. Operating lease right-of-use assets and operating lease liabilities are recognized based on the present value of future minimum lease payments over the lease term at commencement date.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accounts for real estate leases and the related fixed non-lease components together as a single component.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2021, 2020 and 2019 the company recorded operating lease expense of $34,124</w:t>
      </w:r>
      <w:r>
        <w:rPr>
          <w:rFonts w:ascii="Times New Roman" w:hAnsi="Times New Roman"/>
          <w:sz w:val="20"/>
        </w:rPr>
        <w:t xml:space="preserve"> </w:t>
      </w:r>
      <w:r>
        <w:rPr>
          <w:rFonts w:ascii="Times New Roman" w:hAnsi="Times New Roman"/>
          <w:b w:val="false"/>
          <w:sz w:val="20"/>
        </w:rPr>
        <w:t>thousand, $26,287</w:t>
      </w:r>
      <w:r>
        <w:rPr>
          <w:rFonts w:ascii="Times New Roman" w:hAnsi="Times New Roman"/>
          <w:sz w:val="20"/>
        </w:rPr>
        <w:t xml:space="preserve"> </w:t>
      </w:r>
      <w:r>
        <w:rPr>
          <w:rFonts w:ascii="Times New Roman" w:hAnsi="Times New Roman"/>
          <w:b w:val="false"/>
          <w:sz w:val="20"/>
        </w:rPr>
        <w:t>thousand and $7,291</w:t>
      </w:r>
      <w:r>
        <w:rPr>
          <w:rFonts w:ascii="Times New Roman" w:hAnsi="Times New Roman"/>
          <w:sz w:val="20"/>
        </w:rPr>
        <w:t xml:space="preserve"> </w:t>
      </w:r>
      <w:r>
        <w:rPr>
          <w:rFonts w:ascii="Times New Roman" w:hAnsi="Times New Roman"/>
          <w:b w:val="false"/>
          <w:sz w:val="20"/>
        </w:rPr>
        <w:t>thousand, respectively.</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 xml:space="preserve">Other information related to operating leases as of December 31, 2021 and December 31, 2020 were as follows: </w:t>
      </w:r>
    </w:p>
    <w:p>
      <w:pPr>
        <w:pStyle w:val="TextBody"/>
        <w:spacing w:lineRule="auto" w:line="273" w:before="120" w:after="0"/>
        <w:jc w:val="left"/>
        <w:rPr/>
      </w:pPr>
      <w:r>
        <w:rPr/>
        <w:t> </w:t>
      </w:r>
    </w:p>
    <w:tbl>
      <w:tblPr>
        <w:tblW w:w="6861" w:type="dxa"/>
        <w:jc w:val="left"/>
        <w:tblInd w:w="0" w:type="dxa"/>
        <w:tblCellMar>
          <w:top w:w="28" w:type="dxa"/>
          <w:left w:w="28" w:type="dxa"/>
          <w:bottom w:w="28" w:type="dxa"/>
          <w:right w:w="28" w:type="dxa"/>
        </w:tblCellMar>
      </w:tblPr>
      <w:tblGrid>
        <w:gridCol w:w="3376"/>
        <w:gridCol w:w="146"/>
        <w:gridCol w:w="1501"/>
        <w:gridCol w:w="146"/>
        <w:gridCol w:w="146"/>
        <w:gridCol w:w="1546"/>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remaining lease term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 xml:space="preserve">11.82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12.10</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13.60%</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4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13.70%</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Maturities of lease liabilities for operating leases as of December 31, 2021 were as follows:</w:t>
      </w:r>
      <w:r>
        <w:rPr>
          <w:rFonts w:ascii="Times New Roman" w:hAnsi="Times New Roman"/>
          <w:sz w:val="20"/>
        </w:rPr>
        <w:t xml:space="preserve"> </w:t>
      </w:r>
    </w:p>
    <w:p>
      <w:pPr>
        <w:pStyle w:val="TextBody"/>
        <w:spacing w:lineRule="auto" w:line="273" w:before="0" w:after="0"/>
        <w:jc w:val="left"/>
        <w:rPr/>
      </w:pPr>
      <w:r>
        <w:rPr/>
        <w:t> </w:t>
      </w:r>
    </w:p>
    <w:tbl>
      <w:tblPr>
        <w:tblW w:w="6851" w:type="dxa"/>
        <w:jc w:val="left"/>
        <w:tblInd w:w="0" w:type="dxa"/>
        <w:tblCellMar>
          <w:top w:w="28" w:type="dxa"/>
          <w:left w:w="28" w:type="dxa"/>
          <w:bottom w:w="28" w:type="dxa"/>
          <w:right w:w="28" w:type="dxa"/>
        </w:tblCellMar>
      </w:tblPr>
      <w:tblGrid>
        <w:gridCol w:w="2431"/>
        <w:gridCol w:w="196"/>
        <w:gridCol w:w="158"/>
        <w:gridCol w:w="817"/>
        <w:gridCol w:w="166"/>
        <w:gridCol w:w="146"/>
        <w:gridCol w:w="196"/>
        <w:gridCol w:w="220"/>
        <w:gridCol w:w="905"/>
        <w:gridCol w:w="166"/>
        <w:gridCol w:w="146"/>
        <w:gridCol w:w="196"/>
        <w:gridCol w:w="146"/>
        <w:gridCol w:w="751"/>
        <w:gridCol w:w="211"/>
      </w:tblGrid>
      <w:tr>
        <w:trPr/>
        <w:tc>
          <w:tcPr>
            <w:tcW w:w="24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013" w:type="dxa"/>
            <w:gridSpan w:val="1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Maturities of Lease Liability</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Year Ending December 31,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Third Party</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Related Party</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31" w:type="dxa"/>
            <w:tcBorders/>
            <w:shd w:fill="auto" w:val="clear"/>
            <w:vAlign w:val="center"/>
          </w:tcPr>
          <w:p>
            <w:pPr>
              <w:pStyle w:val="TableContents"/>
              <w:spacing w:lineRule="auto" w:line="252" w:before="0" w:after="0"/>
              <w:ind w:left="0" w:right="0" w:hanging="0"/>
              <w:jc w:val="left"/>
              <w:rPr/>
            </w:pPr>
            <w:r>
              <w:rPr/>
              <w:t> </w:t>
            </w:r>
          </w:p>
        </w:tc>
        <w:tc>
          <w:tcPr>
            <w:tcW w:w="4209" w:type="dxa"/>
            <w:gridSpan w:val="1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2022</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1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33,200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34,319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2023</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1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33,006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34,150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2024</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1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32,384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33,411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2025</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1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29,967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948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30,915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2026</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17"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27,999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220" w:type="dxa"/>
            <w:tcBorders/>
            <w:shd w:fill="auto" w:val="clear"/>
            <w:vAlign w:val="center"/>
          </w:tcPr>
          <w:p>
            <w:pPr>
              <w:pStyle w:val="TableContents"/>
              <w:spacing w:lineRule="auto" w:line="252" w:before="0" w:after="0"/>
              <w:ind w:left="0" w:right="0" w:hanging="0"/>
              <w:jc w:val="left"/>
              <w:rPr/>
            </w:pPr>
            <w:r>
              <w:rPr/>
              <w:t> </w:t>
            </w:r>
          </w:p>
        </w:tc>
        <w:tc>
          <w:tcPr>
            <w:tcW w:w="905"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970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28,969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2027 and Thereafter</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270,492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7,066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277,558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Total Lease Payments</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427,048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12,274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439,322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Less: Interest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(241,867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(5,695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(247,562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Present Value of Lease Liability</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185,181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2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6,579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6"/>
              </w:rPr>
            </w:pPr>
            <w:r>
              <w:rPr>
                <w:rFonts w:ascii="Times New Roman" w:hAnsi="Times New Roman"/>
                <w:b/>
                <w:sz w:val="16"/>
              </w:rPr>
              <w:t>191,760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F-28</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8. LEASES </w:t>
      </w:r>
      <w:r>
        <w:rPr>
          <w:rFonts w:ascii="Times New Roman" w:hAnsi="Times New Roman"/>
          <w:b w:val="false"/>
          <w:i/>
          <w:sz w:val="20"/>
        </w:rPr>
        <w:t>(Continued)</w:t>
      </w:r>
    </w:p>
    <w:p>
      <w:pPr>
        <w:pStyle w:val="TextBody"/>
        <w:spacing w:lineRule="auto" w:line="273" w:before="0" w:after="0"/>
        <w:jc w:val="left"/>
        <w:rPr/>
      </w:pPr>
      <w:r>
        <w:rPr/>
        <w:t> </w:t>
      </w:r>
    </w:p>
    <w:p>
      <w:pPr>
        <w:pStyle w:val="TextBody"/>
        <w:pBdr>
          <w:top w:val="single" w:sz="6" w:space="1" w:color="000000"/>
        </w:pBdr>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(b) Related Party Operating Leases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Wendy Berger, a director of the Company, is a principal of WBS Equities, LLC, which is the Manager of Mosaic Real Estate, LLC, which owns the facilities leased by the Company. Additionally, Mosaic Real Estate, LLC is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The terms of these leases range from 7 years</w:t>
      </w:r>
      <w:r>
        <w:rPr>
          <w:rFonts w:ascii="Times New Roman" w:hAnsi="Times New Roman"/>
          <w:sz w:val="20"/>
        </w:rPr>
        <w:t xml:space="preserve"> </w:t>
      </w:r>
      <w:r>
        <w:rPr>
          <w:rFonts w:ascii="Times New Roman" w:hAnsi="Times New Roman"/>
          <w:b w:val="false"/>
          <w:sz w:val="20"/>
        </w:rPr>
        <w:t>to 15 years. For the years ended December 31, 2021, 2020 and 2019, the Company recorded lease expense of $1,185</w:t>
      </w:r>
      <w:r>
        <w:rPr>
          <w:rFonts w:ascii="Times New Roman" w:hAnsi="Times New Roman"/>
          <w:sz w:val="20"/>
        </w:rPr>
        <w:t xml:space="preserve"> </w:t>
      </w:r>
      <w:r>
        <w:rPr>
          <w:rFonts w:ascii="Times New Roman" w:hAnsi="Times New Roman"/>
          <w:b w:val="false"/>
          <w:sz w:val="20"/>
        </w:rPr>
        <w:t>thousand, $1,500</w:t>
      </w:r>
      <w:r>
        <w:rPr>
          <w:rFonts w:ascii="Times New Roman" w:hAnsi="Times New Roman"/>
          <w:sz w:val="20"/>
        </w:rPr>
        <w:t xml:space="preserve"> </w:t>
      </w:r>
      <w:r>
        <w:rPr>
          <w:rFonts w:ascii="Times New Roman" w:hAnsi="Times New Roman"/>
          <w:b w:val="false"/>
          <w:sz w:val="20"/>
        </w:rPr>
        <w:t>thousand and $1,210</w:t>
      </w:r>
      <w:r>
        <w:rPr>
          <w:rFonts w:ascii="Times New Roman" w:hAnsi="Times New Roman"/>
          <w:sz w:val="20"/>
        </w:rPr>
        <w:t xml:space="preserve"> </w:t>
      </w:r>
      <w:r>
        <w:rPr>
          <w:rFonts w:ascii="Times New Roman" w:hAnsi="Times New Roman"/>
          <w:b w:val="false"/>
          <w:sz w:val="20"/>
        </w:rPr>
        <w:t>thousand respectively, associated with these leasing arrangements.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(c) Sales Lease Back Transactions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(i)</w:t>
      </w:r>
      <w:r>
        <w:rPr>
          <w:rFonts w:ascii="Times New Roman" w:hAnsi="Times New Roman"/>
          <w:sz w:val="20"/>
        </w:rPr>
        <w:t xml:space="preserve"> </w:t>
      </w:r>
      <w:r>
        <w:rPr>
          <w:rFonts w:ascii="Times New Roman" w:hAnsi="Times New Roman"/>
          <w:b w:val="false"/>
          <w:sz w:val="20"/>
        </w:rPr>
        <w:t>Toledo, Ohio Cultivation and Processing Facility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sz w:val="20"/>
        </w:rPr>
        <w:t>On January 31, 2020, the Company closed on a sale and lease back transaction to sell its Toledo, Ohio processing facility to IIP. Under a long-term agreement, the Company has leased back the facility and continues to operate and manage it. The purchase price for the property was $2,900</w:t>
      </w:r>
      <w:r>
        <w:rPr>
          <w:rFonts w:ascii="Times New Roman" w:hAnsi="Times New Roman"/>
          <w:sz w:val="20"/>
        </w:rPr>
        <w:t xml:space="preserve"> </w:t>
      </w:r>
      <w:r>
        <w:rPr>
          <w:rFonts w:ascii="Times New Roman" w:hAnsi="Times New Roman"/>
          <w:b w:val="false"/>
          <w:sz w:val="20"/>
        </w:rPr>
        <w:t>thousand, excluding transaction costs.</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sz w:val="20"/>
        </w:rPr>
        <w:t>On October 1, 2020, the Company and IIP agreed to amend the lease on the Toledo, Ohio processing facility. Under the amendment, IIP provided an additional $25,000</w:t>
      </w:r>
      <w:r>
        <w:rPr>
          <w:rFonts w:ascii="Times New Roman" w:hAnsi="Times New Roman"/>
          <w:sz w:val="20"/>
        </w:rPr>
        <w:t xml:space="preserve"> </w:t>
      </w:r>
      <w:r>
        <w:rPr>
          <w:rFonts w:ascii="Times New Roman" w:hAnsi="Times New Roman"/>
          <w:b w:val="false"/>
          <w:sz w:val="20"/>
        </w:rPr>
        <w:t>thousand in funding to be used for the construction of a cannabis cultivation facility. The amended lease has a term of 20 years</w:t>
      </w:r>
      <w:r>
        <w:rPr>
          <w:rFonts w:ascii="Times New Roman" w:hAnsi="Times New Roman"/>
          <w:sz w:val="20"/>
        </w:rPr>
        <w:t xml:space="preserve"> </w:t>
      </w:r>
      <w:r>
        <w:rPr>
          <w:rFonts w:ascii="Times New Roman" w:hAnsi="Times New Roman"/>
          <w:b w:val="false"/>
          <w:sz w:val="20"/>
        </w:rPr>
        <w:t>and was recorded as an operating lease which resulted in a right of use asset and related lease liability of $28,134</w:t>
      </w:r>
      <w:r>
        <w:rPr>
          <w:rFonts w:ascii="Times New Roman" w:hAnsi="Times New Roman"/>
          <w:sz w:val="20"/>
        </w:rPr>
        <w:t xml:space="preserve"> </w:t>
      </w:r>
      <w:r>
        <w:rPr>
          <w:rFonts w:ascii="Times New Roman" w:hAnsi="Times New Roman"/>
          <w:b w:val="false"/>
          <w:sz w:val="20"/>
        </w:rPr>
        <w:t>thousand.</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i/>
          <w:sz w:val="20"/>
        </w:rPr>
        <w:t>(ii)</w:t>
      </w:r>
      <w:r>
        <w:rPr>
          <w:rFonts w:ascii="Times New Roman" w:hAnsi="Times New Roman"/>
          <w:sz w:val="20"/>
        </w:rPr>
        <w:t xml:space="preserve"> </w:t>
      </w:r>
      <w:r>
        <w:rPr>
          <w:rFonts w:ascii="Times New Roman" w:hAnsi="Times New Roman"/>
          <w:b w:val="false"/>
          <w:sz w:val="20"/>
        </w:rPr>
        <w:t>Oglesby Cultivation and Processing Facility</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sz w:val="20"/>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w:t>
      </w:r>
      <w:r>
        <w:rPr>
          <w:rFonts w:ascii="Times New Roman" w:hAnsi="Times New Roman"/>
          <w:sz w:val="20"/>
        </w:rPr>
        <w:t xml:space="preserve"> </w:t>
      </w:r>
      <w:r>
        <w:rPr>
          <w:rFonts w:ascii="Times New Roman" w:hAnsi="Times New Roman"/>
          <w:b w:val="false"/>
          <w:sz w:val="20"/>
        </w:rPr>
        <w:t>thousand, excluding transaction costs. As of December 31, 2021 the Company has made certain improvements to the property that has significantly enhanced production capacity, for which IIP has reimbursed $41,000. The lease has a term of 16 years</w:t>
      </w:r>
      <w:r>
        <w:rPr>
          <w:rFonts w:ascii="Times New Roman" w:hAnsi="Times New Roman"/>
          <w:sz w:val="20"/>
        </w:rPr>
        <w:t xml:space="preserve"> </w:t>
      </w:r>
      <w:r>
        <w:rPr>
          <w:rFonts w:ascii="Times New Roman" w:hAnsi="Times New Roman"/>
          <w:b w:val="false"/>
          <w:sz w:val="20"/>
        </w:rPr>
        <w:t>and was recorded as an operating lease which resulted in a right of use asset and related lease liability of $42,236</w:t>
      </w:r>
      <w:r>
        <w:rPr>
          <w:rFonts w:ascii="Times New Roman" w:hAnsi="Times New Roman"/>
          <w:sz w:val="20"/>
        </w:rPr>
        <w:t xml:space="preserve"> </w:t>
      </w:r>
      <w:r>
        <w:rPr>
          <w:rFonts w:ascii="Times New Roman" w:hAnsi="Times New Roman"/>
          <w:b w:val="false"/>
          <w:sz w:val="20"/>
        </w:rPr>
        <w:t>thousand.</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F-29</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9. NOTES PAYABLE</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At December 31, 2021 and December 31, 2020, notes payable consisted of the following:</w:t>
      </w:r>
      <w:r>
        <w:rPr>
          <w:rFonts w:ascii="Times New Roman" w:hAnsi="Times New Roman"/>
          <w:sz w:val="20"/>
        </w:rPr>
        <w:t xml:space="preserve"> </w:t>
      </w:r>
    </w:p>
    <w:p>
      <w:pPr>
        <w:pStyle w:val="TextBody"/>
        <w:spacing w:lineRule="auto" w:line="273" w:before="0" w:after="0"/>
        <w:jc w:val="left"/>
        <w:rPr/>
      </w:pPr>
      <w:r>
        <w:rPr/>
        <w:t> </w:t>
      </w:r>
    </w:p>
    <w:tbl>
      <w:tblPr>
        <w:tblW w:w="7291" w:type="dxa"/>
        <w:jc w:val="left"/>
        <w:tblInd w:w="0" w:type="dxa"/>
        <w:tblCellMar>
          <w:top w:w="28" w:type="dxa"/>
          <w:left w:w="28" w:type="dxa"/>
          <w:bottom w:w="28" w:type="dxa"/>
          <w:right w:w="28" w:type="dxa"/>
        </w:tblCellMar>
      </w:tblPr>
      <w:tblGrid>
        <w:gridCol w:w="3196"/>
        <w:gridCol w:w="196"/>
        <w:gridCol w:w="1756"/>
        <w:gridCol w:w="146"/>
        <w:gridCol w:w="196"/>
        <w:gridCol w:w="1801"/>
      </w:tblGrid>
      <w:tr>
        <w:trPr/>
        <w:tc>
          <w:tcPr>
            <w:tcW w:w="3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center"/>
          </w:tcPr>
          <w:p>
            <w:pPr>
              <w:pStyle w:val="TableContents"/>
              <w:spacing w:lineRule="auto" w:line="252" w:before="0" w:after="0"/>
              <w:ind w:left="0" w:right="0" w:hanging="0"/>
              <w:jc w:val="left"/>
              <w:rPr/>
            </w:pPr>
            <w:r>
              <w:rPr/>
              <w:t> </w:t>
            </w:r>
          </w:p>
        </w:tc>
        <w:tc>
          <w:tcPr>
            <w:tcW w:w="19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r>
      <w:tr>
        <w:trPr/>
        <w:tc>
          <w:tcPr>
            <w:tcW w:w="3196" w:type="dxa"/>
            <w:tcBorders/>
            <w:shd w:fill="auto" w:val="clear"/>
            <w:vAlign w:val="center"/>
          </w:tcPr>
          <w:p>
            <w:pPr>
              <w:pStyle w:val="TableContents"/>
              <w:spacing w:lineRule="auto" w:line="252" w:before="0" w:after="0"/>
              <w:ind w:left="0" w:right="0" w:hanging="0"/>
              <w:jc w:val="left"/>
              <w:rPr/>
            </w:pPr>
            <w:r>
              <w:rPr/>
              <w:t> </w:t>
            </w:r>
          </w:p>
        </w:tc>
        <w:tc>
          <w:tcPr>
            <w:tcW w:w="409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 xml:space="preserve">Charitable Contributions </w:t>
            </w:r>
            <w:r>
              <w:rPr>
                <w:rFonts w:ascii="Times New Roman" w:hAnsi="Times New Roman"/>
                <w:b w:val="false"/>
                <w:sz w:val="11"/>
              </w:rPr>
              <w:t>1</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1,238</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80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718</w:t>
            </w:r>
            <w:r>
              <w:rPr>
                <w:rFonts w:ascii="Times New Roman" w:hAnsi="Times New Roman"/>
                <w:sz w:val="20"/>
              </w:rPr>
              <w:t xml:space="preserve"> </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Private placement debt dated May 22, 2019</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pPr>
            <w:r>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80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94,955</w:t>
            </w:r>
            <w:r>
              <w:rPr>
                <w:rFonts w:ascii="Times New Roman" w:hAnsi="Times New Roman"/>
                <w:sz w:val="20"/>
              </w:rPr>
              <w:t xml:space="preserve"> </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Private placement debt dated April 30, 2021</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228,690</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801" w:type="dxa"/>
            <w:tcBorders/>
            <w:shd w:fill="auto" w:val="clear"/>
            <w:vAlign w:val="center"/>
          </w:tcPr>
          <w:p>
            <w:pPr>
              <w:pStyle w:val="TableContents"/>
              <w:spacing w:lineRule="auto" w:line="252" w:before="0" w:after="0"/>
              <w:ind w:left="0" w:right="0" w:hanging="0"/>
              <w:jc w:val="right"/>
              <w:rPr/>
            </w:pPr>
            <w:r>
              <w:rPr/>
              <w:t xml:space="preserve">— </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val="false"/>
                <w:sz w:val="16"/>
              </w:rPr>
              <w:t>Mortgage notes</w:t>
            </w:r>
            <w:r>
              <w:rPr>
                <w:rFonts w:ascii="Times New Roman" w:hAnsi="Times New Roman"/>
                <w:sz w:val="16"/>
              </w:rPr>
              <w:t> </w:t>
            </w:r>
            <w:r>
              <w:rPr>
                <w:rFonts w:ascii="Times New Roman" w:hAnsi="Times New Roman"/>
                <w:b w:val="false"/>
                <w:sz w:val="11"/>
              </w:rPr>
              <w:t>2</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10,006</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80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3,382</w:t>
            </w:r>
            <w:r>
              <w:rPr>
                <w:rFonts w:ascii="Times New Roman" w:hAnsi="Times New Roman"/>
                <w:sz w:val="20"/>
              </w:rPr>
              <w:t xml:space="preserve"> </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Total notes payable</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239,934</w:t>
            </w:r>
            <w:r>
              <w:rPr>
                <w:rFonts w:ascii="Times New Roman" w:hAnsi="Times New Roman"/>
                <w:sz w:val="20"/>
              </w:rPr>
              <w:t xml:space="preserve"> </w:t>
            </w:r>
          </w:p>
        </w:tc>
        <w:tc>
          <w:tcPr>
            <w:tcW w:w="14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801"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6"/>
              </w:rPr>
              <w:t>99,055</w:t>
            </w:r>
            <w:r>
              <w:rPr>
                <w:rFonts w:ascii="Times New Roman" w:hAnsi="Times New Roman"/>
                <w:sz w:val="20"/>
              </w:rPr>
              <w:t xml:space="preserve"> </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Less: current portion of notes payable</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(783)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6"/>
              </w:rPr>
              <w:t>(342)</w:t>
            </w:r>
          </w:p>
        </w:tc>
      </w:tr>
      <w:tr>
        <w:trPr/>
        <w:tc>
          <w:tcPr>
            <w:tcW w:w="31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Notes payable, net of current portion</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6"/>
              </w:rPr>
              <w:t>239,151</w:t>
            </w:r>
            <w:r>
              <w:rPr>
                <w:rFonts w:ascii="Times New Roman" w:hAnsi="Times New Roman"/>
                <w:sz w:val="20"/>
              </w:rPr>
              <w:t xml:space="preserve">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t>
            </w:r>
          </w:p>
        </w:tc>
        <w:tc>
          <w:tcPr>
            <w:tcW w:w="1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6"/>
              </w:rPr>
              <w:t>98,713</w:t>
            </w:r>
            <w:r>
              <w:rPr>
                <w:rFonts w:ascii="Times New Roman" w:hAnsi="Times New Roman"/>
                <w:sz w:val="20"/>
              </w:rPr>
              <w:t xml:space="preserve"> </w:t>
            </w:r>
          </w:p>
        </w:tc>
      </w:tr>
    </w:tbl>
    <w:p>
      <w:pPr>
        <w:pStyle w:val="TextBody"/>
        <w:spacing w:lineRule="auto" w:line="273" w:before="0" w:after="0"/>
        <w:jc w:val="left"/>
        <w:rPr>
          <w:rFonts w:ascii="Times New Roman" w:hAnsi="Times New Roman"/>
          <w:b w:val="false"/>
          <w:sz w:val="12"/>
        </w:rPr>
      </w:pPr>
      <w:r>
        <w:rPr>
          <w:rFonts w:ascii="Times New Roman" w:hAnsi="Times New Roman"/>
          <w:b w:val="false"/>
          <w:sz w:val="12"/>
        </w:rPr>
        <w:t>____________________</w:t>
      </w:r>
    </w:p>
    <w:p>
      <w:pPr>
        <w:pStyle w:val="TextBody"/>
        <w:spacing w:lineRule="auto" w:line="273" w:before="0" w:after="0"/>
        <w:jc w:val="left"/>
        <w:rPr>
          <w:rFonts w:ascii="Times New Roman" w:hAnsi="Times New Roman"/>
          <w:sz w:val="20"/>
        </w:rPr>
      </w:pPr>
      <w:r>
        <w:rPr>
          <w:rFonts w:ascii="Times New Roman" w:hAnsi="Times New Roman"/>
          <w:b/>
          <w:sz w:val="12"/>
        </w:rPr>
        <w:t>1</w:t>
      </w:r>
      <w:r>
        <w:rPr>
          <w:rFonts w:ascii="Times New Roman" w:hAnsi="Times New Roman"/>
          <w:sz w:val="20"/>
        </w:rPr>
        <w:t xml:space="preserve"> </w:t>
      </w:r>
      <w:r>
        <w:rPr>
          <w:rFonts w:ascii="Times New Roman" w:hAnsi="Times New Roman"/>
          <w:b w:val="false"/>
          <w:sz w:val="18"/>
        </w:rPr>
        <w:t>In connection with acquisitions completed in 2017 and 2019, the Company is required to make quarterly charitable contributions of $50</w:t>
      </w:r>
      <w:r>
        <w:rPr>
          <w:rFonts w:ascii="Times New Roman" w:hAnsi="Times New Roman"/>
          <w:sz w:val="20"/>
        </w:rPr>
        <w:t xml:space="preserve"> </w:t>
      </w:r>
      <w:r>
        <w:rPr>
          <w:rFonts w:ascii="Times New Roman" w:hAnsi="Times New Roman"/>
          <w:b w:val="false"/>
          <w:sz w:val="18"/>
        </w:rPr>
        <w:t>thousand through October 2024</w:t>
      </w:r>
      <w:r>
        <w:rPr>
          <w:rFonts w:ascii="Times New Roman" w:hAnsi="Times New Roman"/>
          <w:sz w:val="20"/>
        </w:rPr>
        <w:t xml:space="preserve"> </w:t>
      </w:r>
      <w:r>
        <w:rPr>
          <w:rFonts w:ascii="Times New Roman" w:hAnsi="Times New Roman"/>
          <w:b w:val="false"/>
          <w:sz w:val="18"/>
        </w:rPr>
        <w:t>and $200</w:t>
      </w:r>
      <w:r>
        <w:rPr>
          <w:rFonts w:ascii="Times New Roman" w:hAnsi="Times New Roman"/>
          <w:sz w:val="20"/>
        </w:rPr>
        <w:t xml:space="preserve"> </w:t>
      </w:r>
      <w:r>
        <w:rPr>
          <w:rFonts w:ascii="Times New Roman" w:hAnsi="Times New Roman"/>
          <w:b w:val="false"/>
          <w:sz w:val="18"/>
        </w:rPr>
        <w:t>thousand per year through May 2024, respectively. The net present value of these required payments has been recorded as a liability with interest rates ranging between 2.17%</w:t>
      </w:r>
      <w:r>
        <w:rPr>
          <w:rFonts w:ascii="Times New Roman" w:hAnsi="Times New Roman"/>
          <w:sz w:val="20"/>
        </w:rPr>
        <w:t xml:space="preserve"> </w:t>
      </w:r>
      <w:r>
        <w:rPr>
          <w:rFonts w:ascii="Times New Roman" w:hAnsi="Times New Roman"/>
          <w:b w:val="false"/>
          <w:sz w:val="18"/>
        </w:rPr>
        <w:t>- 7.00%.</w:t>
      </w:r>
    </w:p>
    <w:p>
      <w:pPr>
        <w:pStyle w:val="TextBody"/>
        <w:spacing w:lineRule="auto" w:line="273" w:before="0" w:after="0"/>
        <w:jc w:val="left"/>
        <w:rPr>
          <w:rFonts w:ascii="Times New Roman" w:hAnsi="Times New Roman"/>
          <w:sz w:val="20"/>
        </w:rPr>
      </w:pPr>
      <w:r>
        <w:rPr>
          <w:rFonts w:ascii="Times New Roman" w:hAnsi="Times New Roman"/>
          <w:b/>
          <w:sz w:val="12"/>
        </w:rPr>
        <w:t>2</w:t>
      </w:r>
      <w:r>
        <w:rPr>
          <w:rFonts w:ascii="Times New Roman" w:hAnsi="Times New Roman"/>
          <w:sz w:val="20"/>
        </w:rPr>
        <w:t xml:space="preserve"> </w:t>
      </w:r>
      <w:r>
        <w:rPr>
          <w:rFonts w:ascii="Times New Roman" w:hAnsi="Times New Roman"/>
          <w:b w:val="false"/>
          <w:sz w:val="18"/>
        </w:rPr>
        <w:t>Mortgage notes, in the original amount of $10,437</w:t>
      </w:r>
      <w:r>
        <w:rPr>
          <w:rFonts w:ascii="Times New Roman" w:hAnsi="Times New Roman"/>
          <w:sz w:val="20"/>
        </w:rPr>
        <w:t xml:space="preserve"> </w:t>
      </w:r>
      <w:r>
        <w:rPr>
          <w:rFonts w:ascii="Times New Roman" w:hAnsi="Times New Roman"/>
          <w:b w:val="false"/>
          <w:sz w:val="18"/>
        </w:rPr>
        <w:t>thousand and $3,607</w:t>
      </w:r>
      <w:r>
        <w:rPr>
          <w:rFonts w:ascii="Times New Roman" w:hAnsi="Times New Roman"/>
          <w:sz w:val="20"/>
        </w:rPr>
        <w:t xml:space="preserve"> </w:t>
      </w:r>
      <w:r>
        <w:rPr>
          <w:rFonts w:ascii="Times New Roman" w:hAnsi="Times New Roman"/>
          <w:b w:val="false"/>
          <w:sz w:val="18"/>
        </w:rPr>
        <w:t>thousand were issued by the Company in connection with various operating properties during the years ended December 31, 2021 and 2020, respectively. These mortgage notes mature between August 20, 2025 and August 1, 2041</w:t>
      </w:r>
      <w:r>
        <w:rPr>
          <w:rFonts w:ascii="Times New Roman" w:hAnsi="Times New Roman"/>
          <w:sz w:val="20"/>
        </w:rPr>
        <w:t xml:space="preserve"> </w:t>
      </w:r>
      <w:r>
        <w:rPr>
          <w:rFonts w:ascii="Times New Roman" w:hAnsi="Times New Roman"/>
          <w:b w:val="false"/>
          <w:sz w:val="18"/>
        </w:rPr>
        <w:t>and were issued at a discount, the carrying value of which was $162</w:t>
      </w:r>
      <w:r>
        <w:rPr>
          <w:rFonts w:ascii="Times New Roman" w:hAnsi="Times New Roman"/>
          <w:sz w:val="20"/>
        </w:rPr>
        <w:t xml:space="preserve"> </w:t>
      </w:r>
      <w:r>
        <w:rPr>
          <w:rFonts w:ascii="Times New Roman" w:hAnsi="Times New Roman"/>
          <w:b w:val="false"/>
          <w:sz w:val="18"/>
        </w:rPr>
        <w:t>thousand and $174</w:t>
      </w:r>
      <w:r>
        <w:rPr>
          <w:rFonts w:ascii="Times New Roman" w:hAnsi="Times New Roman"/>
          <w:sz w:val="20"/>
        </w:rPr>
        <w:t xml:space="preserve"> </w:t>
      </w:r>
      <w:r>
        <w:rPr>
          <w:rFonts w:ascii="Times New Roman" w:hAnsi="Times New Roman"/>
          <w:b w:val="false"/>
          <w:sz w:val="18"/>
        </w:rPr>
        <w:t>thousand, and are presented net of principal payments of $269</w:t>
      </w:r>
      <w:r>
        <w:rPr>
          <w:rFonts w:ascii="Times New Roman" w:hAnsi="Times New Roman"/>
          <w:sz w:val="20"/>
        </w:rPr>
        <w:t xml:space="preserve"> </w:t>
      </w:r>
      <w:r>
        <w:rPr>
          <w:rFonts w:ascii="Times New Roman" w:hAnsi="Times New Roman"/>
          <w:b w:val="false"/>
          <w:sz w:val="18"/>
        </w:rPr>
        <w:t>thousand and $51</w:t>
      </w:r>
      <w:r>
        <w:rPr>
          <w:rFonts w:ascii="Times New Roman" w:hAnsi="Times New Roman"/>
          <w:sz w:val="20"/>
        </w:rPr>
        <w:t xml:space="preserve"> </w:t>
      </w:r>
      <w:r>
        <w:rPr>
          <w:rFonts w:ascii="Times New Roman" w:hAnsi="Times New Roman"/>
          <w:b w:val="false"/>
          <w:sz w:val="18"/>
        </w:rPr>
        <w:t>thousand as of December 31, 2021 and December 31, 2020, respectively.</w:t>
      </w:r>
    </w:p>
    <w:p>
      <w:pPr>
        <w:pStyle w:val="TextBody"/>
        <w:spacing w:lineRule="auto" w:line="273" w:before="120" w:after="0"/>
        <w:jc w:val="left"/>
        <w:rPr>
          <w:rFonts w:ascii="Times New Roman" w:hAnsi="Times New Roman"/>
          <w:b/>
          <w:sz w:val="20"/>
        </w:rPr>
      </w:pPr>
      <w:r>
        <w:rPr>
          <w:rFonts w:ascii="Times New Roman" w:hAnsi="Times New Roman"/>
          <w:b/>
          <w:sz w:val="20"/>
        </w:rPr>
        <w:t>(a)</w:t>
      </w:r>
    </w:p>
    <w:p>
      <w:pPr>
        <w:pStyle w:val="TextBody"/>
        <w:spacing w:lineRule="auto" w:line="273" w:before="120" w:after="283"/>
        <w:jc w:val="left"/>
        <w:rPr>
          <w:rFonts w:ascii="Times New Roman" w:hAnsi="Times New Roman"/>
          <w:b/>
          <w:sz w:val="20"/>
        </w:rPr>
      </w:pPr>
      <w:r>
        <w:rPr>
          <w:rFonts w:ascii="Times New Roman" w:hAnsi="Times New Roman"/>
          <w:b/>
          <w:sz w:val="20"/>
        </w:rPr>
        <w:t>April 30, 2021 Private Placement Financing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April 30, 2021, the Company closed a $249,934</w:t>
      </w:r>
      <w:r>
        <w:rPr>
          <w:rFonts w:ascii="Times New Roman" w:hAnsi="Times New Roman"/>
          <w:sz w:val="20"/>
        </w:rPr>
        <w:t xml:space="preserve"> </w:t>
      </w:r>
      <w:r>
        <w:rPr>
          <w:rFonts w:ascii="Times New Roman" w:hAnsi="Times New Roman"/>
          <w:b w:val="false"/>
          <w:sz w:val="20"/>
        </w:rPr>
        <w:t>thousand Senior Secured non-brokered private placement financing through the issuance of senior secured notes (the “April 30, 2021 Notes”). The Company used the proceeds to retire the Company’s existing $105,466</w:t>
      </w:r>
      <w:r>
        <w:rPr>
          <w:rFonts w:ascii="Times New Roman" w:hAnsi="Times New Roman"/>
          <w:sz w:val="20"/>
        </w:rPr>
        <w:t xml:space="preserve"> </w:t>
      </w:r>
      <w:r>
        <w:rPr>
          <w:rFonts w:ascii="Times New Roman" w:hAnsi="Times New Roman"/>
          <w:b w:val="false"/>
          <w:sz w:val="20"/>
        </w:rPr>
        <w:t>thousand, senior secured notes due May 22, 2023</w:t>
      </w:r>
      <w:r>
        <w:rPr>
          <w:rFonts w:ascii="Times New Roman" w:hAnsi="Times New Roman"/>
          <w:sz w:val="20"/>
        </w:rPr>
        <w:t xml:space="preserve"> </w:t>
      </w:r>
      <w:r>
        <w:rPr>
          <w:rFonts w:ascii="Times New Roman" w:hAnsi="Times New Roman"/>
          <w:b w:val="false"/>
          <w:sz w:val="20"/>
        </w:rPr>
        <w:t>(the "May 22, 2019 Notes") and the remaining proceeds for general working capital purposes as well as various growth initiatives. The April 30, 2021 Notes have a maturity date of April 30, 2024 and bear interest from the date of issue of 7.00%</w:t>
      </w:r>
      <w:r>
        <w:rPr>
          <w:rFonts w:ascii="Times New Roman" w:hAnsi="Times New Roman"/>
          <w:sz w:val="20"/>
        </w:rPr>
        <w:t xml:space="preserve"> </w:t>
      </w:r>
      <w:r>
        <w:rPr>
          <w:rFonts w:ascii="Times New Roman" w:hAnsi="Times New Roman"/>
          <w:b w:val="false"/>
          <w:sz w:val="20"/>
        </w:rPr>
        <w:t>per annum, payable quarterly, with an option, at the discretion of the Company, to extend for an additional 12 months.</w:t>
      </w:r>
      <w:r>
        <w:rPr>
          <w:rFonts w:ascii="Times New Roman" w:hAnsi="Times New Roman"/>
          <w:sz w:val="20"/>
        </w:rPr>
        <w:t xml:space="preserve"> </w:t>
      </w:r>
      <w:r>
        <w:rPr>
          <w:rFonts w:ascii="Times New Roman" w:hAnsi="Times New Roman"/>
          <w:b w:val="false"/>
          <w:sz w:val="20"/>
        </w:rPr>
        <w:t>The financing permitted the Company to borrow an additional $33,266</w:t>
      </w:r>
      <w:r>
        <w:rPr>
          <w:rFonts w:ascii="Times New Roman" w:hAnsi="Times New Roman"/>
          <w:sz w:val="20"/>
        </w:rPr>
        <w:t xml:space="preserve"> </w:t>
      </w:r>
      <w:r>
        <w:rPr>
          <w:rFonts w:ascii="Times New Roman" w:hAnsi="Times New Roman"/>
          <w:b w:val="false"/>
          <w:sz w:val="20"/>
        </w:rPr>
        <w:t>thousand over the next twelve months following the closure of the private placement. The purchasers of the April 30, 2021 Notes also received 1,459,044</w:t>
      </w:r>
      <w:r>
        <w:rPr>
          <w:rFonts w:ascii="Times New Roman" w:hAnsi="Times New Roman"/>
          <w:sz w:val="20"/>
        </w:rPr>
        <w:t xml:space="preserve"> </w:t>
      </w:r>
      <w:r>
        <w:rPr>
          <w:rFonts w:ascii="Times New Roman" w:hAnsi="Times New Roman"/>
          <w:b w:val="false"/>
          <w:sz w:val="20"/>
        </w:rPr>
        <w:t>warrants (the “Warrants”) which allow the holder to purchase one Subordinate Voting Share at an exercise price of $32.68</w:t>
      </w:r>
      <w:r>
        <w:rPr>
          <w:rFonts w:ascii="Times New Roman" w:hAnsi="Times New Roman"/>
          <w:sz w:val="20"/>
        </w:rPr>
        <w:t xml:space="preserve"> </w:t>
      </w:r>
      <w:r>
        <w:rPr>
          <w:rFonts w:ascii="Times New Roman" w:hAnsi="Times New Roman"/>
          <w:b w:val="false"/>
          <w:sz w:val="20"/>
        </w:rPr>
        <w:t>per share, for a period of 60 months from the date of issue.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refinancing of the May 22, 2019 Notes involved multiple lenders who were considered members of a loan syndicate. In determining whether the refinancing of the May 22, 2019 Notes should be accounted for as a debt extinguishment or a debt modification, the Company considered whether, prior to and following the refinancing, creditors remained the same or changed, and whether the changes in debt terms were substantial. A change in the terms of the May 22, 2019 Notes was considered to be substantial if the present value of the remaining cash flows under the April 30, 2021 Notes were at least 10% different from the present value of the remaining cash flows under the May 22, 2019 Notes (commonly referred to as the “10% Test”). The Company performed a separate 10% Test for each individual lender participating in the loan syndication. Of the 30 lenders who participated in the original financing of the May 22, 2019 Notes, 18 were accounted for as a debt extinguishment, while 12 were treated as a modification. Additionally, 9 new lenders joined the loan syndicate.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October 15, 2021, the Company amended its existing Notes Purchase Agreement, for the purposes of borrowing an additional $33,200</w:t>
      </w:r>
      <w:r>
        <w:rPr>
          <w:rFonts w:ascii="Times New Roman" w:hAnsi="Times New Roman"/>
          <w:sz w:val="20"/>
        </w:rPr>
        <w:t xml:space="preserve"> </w:t>
      </w:r>
      <w:r>
        <w:rPr>
          <w:rFonts w:ascii="Times New Roman" w:hAnsi="Times New Roman"/>
          <w:b w:val="false"/>
          <w:sz w:val="20"/>
        </w:rPr>
        <w:t>thousand, as permitted under the April 30, 2021 Second Amendment to the Notes Purchase Agreement dated April 30, 2021. The additional borrowings have terms consistent with the April 30, 2021 Notes and increase the total amount borrowed to $249,934</w:t>
      </w:r>
      <w:r>
        <w:rPr>
          <w:rFonts w:ascii="Times New Roman" w:hAnsi="Times New Roman"/>
          <w:sz w:val="20"/>
        </w:rPr>
        <w:t xml:space="preserve"> </w:t>
      </w:r>
      <w:r>
        <w:rPr>
          <w:rFonts w:ascii="Times New Roman" w:hAnsi="Times New Roman"/>
          <w:b w:val="false"/>
          <w:sz w:val="20"/>
        </w:rPr>
        <w:t>thousand. The Company intends to use the additional proceeds for general working capital purposes as well as various growth initiatives. The purchasers of the Amended Notes received an additional 243,303</w:t>
      </w:r>
      <w:r>
        <w:rPr>
          <w:rFonts w:ascii="Times New Roman" w:hAnsi="Times New Roman"/>
          <w:sz w:val="20"/>
        </w:rPr>
        <w:t xml:space="preserve"> </w:t>
      </w:r>
      <w:r>
        <w:rPr>
          <w:rFonts w:ascii="Times New Roman" w:hAnsi="Times New Roman"/>
          <w:b w:val="false"/>
          <w:sz w:val="20"/>
        </w:rPr>
        <w:t>warrants which allow the holder to purchase one Subordinate Voting Share at an exercise price of $30.02</w:t>
      </w:r>
      <w:r>
        <w:rPr>
          <w:rFonts w:ascii="Times New Roman" w:hAnsi="Times New Roman"/>
          <w:sz w:val="20"/>
        </w:rPr>
        <w:t xml:space="preserve"> </w:t>
      </w:r>
      <w:r>
        <w:rPr>
          <w:rFonts w:ascii="Times New Roman" w:hAnsi="Times New Roman"/>
          <w:b w:val="false"/>
          <w:sz w:val="20"/>
        </w:rPr>
        <w:t>per share, for a period of 60 months from the date of issue.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Second Amendment to the Notes Purchase Agreement dated April 30, 2021 includes certain covenants which require the Company to maintain (on a daily basis) unrestricted cash and cash equivalents in an amount greater than or equal to the amount of interest scheduled to become due in the next 365-days and to not permit the ratio of net debt to stockholders’ equity to exceed 0.6</w:t>
      </w:r>
      <w:r>
        <w:rPr>
          <w:rFonts w:ascii="Times New Roman" w:hAnsi="Times New Roman"/>
          <w:sz w:val="20"/>
        </w:rPr>
        <w:t xml:space="preserve"> </w:t>
      </w:r>
      <w:r>
        <w:rPr>
          <w:rFonts w:ascii="Times New Roman" w:hAnsi="Times New Roman"/>
          <w:b w:val="false"/>
          <w:sz w:val="20"/>
        </w:rPr>
        <w:t>to 1.0</w:t>
      </w:r>
      <w:r>
        <w:rPr>
          <w:rFonts w:ascii="Times New Roman" w:hAnsi="Times New Roman"/>
          <w:sz w:val="20"/>
        </w:rPr>
        <w:t xml:space="preserve"> </w:t>
      </w:r>
      <w:r>
        <w:rPr>
          <w:rFonts w:ascii="Times New Roman" w:hAnsi="Times New Roman"/>
          <w:b w:val="false"/>
          <w:sz w:val="20"/>
        </w:rPr>
        <w:t>as of the last day of any quarter. In addition, the Company is required to maintain a debt to EBITDA ratio of 4.5</w:t>
      </w:r>
      <w:r>
        <w:rPr>
          <w:rFonts w:ascii="Times New Roman" w:hAnsi="Times New Roman"/>
          <w:sz w:val="20"/>
        </w:rPr>
        <w:t xml:space="preserve"> </w:t>
      </w:r>
      <w:r>
        <w:rPr>
          <w:rFonts w:ascii="Times New Roman" w:hAnsi="Times New Roman"/>
          <w:b w:val="false"/>
          <w:sz w:val="20"/>
        </w:rPr>
        <w:t>to 1.0</w:t>
      </w:r>
      <w:r>
        <w:rPr>
          <w:rFonts w:ascii="Times New Roman" w:hAnsi="Times New Roman"/>
          <w:sz w:val="20"/>
        </w:rPr>
        <w:t xml:space="preserve"> </w:t>
      </w:r>
      <w:r>
        <w:rPr>
          <w:rFonts w:ascii="Times New Roman" w:hAnsi="Times New Roman"/>
          <w:b w:val="false"/>
          <w:sz w:val="20"/>
        </w:rPr>
        <w:t>as of the last day of each quarter. As of December 31, 2021 and 2020, the Company was in compliance with all covenants.</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F-30</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9. NOTES PAYABLE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(b)</w:t>
      </w:r>
    </w:p>
    <w:p>
      <w:pPr>
        <w:pStyle w:val="TextBody"/>
        <w:spacing w:lineRule="auto" w:line="273" w:before="120" w:after="283"/>
        <w:jc w:val="left"/>
        <w:rPr>
          <w:rFonts w:ascii="Times New Roman" w:hAnsi="Times New Roman"/>
          <w:b/>
          <w:sz w:val="20"/>
        </w:rPr>
      </w:pPr>
      <w:r>
        <w:rPr>
          <w:rFonts w:ascii="Times New Roman" w:hAnsi="Times New Roman"/>
          <w:b/>
          <w:sz w:val="20"/>
        </w:rPr>
        <w:t>Related Parties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 portion of the April 30, 2021 Notes are held by related parties as well as unrelated third-party lenders at a percentage of approximately 1% and 99%, respectively. The related parties consist of Benjamin Kovler, the Chief Executive Officer and a director of the Company (held through KP Capital, LLC and Outsiders Capital, LLC); Andrew Grossman, the Executive Vice President of Capital Markets of the Company (held through AG Funding Group, LLC); Anthony Georgiadis, the Chief Financial Officer and a director of the Corporation (held through Three One Four Holdings, LLC); and Anthony Georgiadis and William Gruver, a director of the Corporation (held through ABG, LLC).</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10. WARRANTS</w:t>
      </w:r>
      <w:r>
        <w:rPr>
          <w:rFonts w:ascii="Times New Roman" w:hAnsi="Times New Roman"/>
          <w:sz w:val="20"/>
        </w:rPr>
        <w:t xml:space="preserve"> </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As part of the Company’s private placement financing, as well as other financing arrangements, the Company issued warrants to related parties, as well as unrelated third parties, which allow the holders to purchase Subordinate Voting Shares at an exercise price determined at the time of issuance.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summarizes the number of warrants outstanding as of December 31, 2021 and December 31, 2020:</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097"/>
        <w:gridCol w:w="146"/>
        <w:gridCol w:w="158"/>
        <w:gridCol w:w="898"/>
        <w:gridCol w:w="166"/>
        <w:gridCol w:w="255"/>
        <w:gridCol w:w="260"/>
        <w:gridCol w:w="918"/>
        <w:gridCol w:w="146"/>
        <w:gridCol w:w="146"/>
        <w:gridCol w:w="373"/>
        <w:gridCol w:w="1082"/>
        <w:gridCol w:w="146"/>
        <w:gridCol w:w="146"/>
        <w:gridCol w:w="158"/>
        <w:gridCol w:w="898"/>
        <w:gridCol w:w="146"/>
        <w:gridCol w:w="146"/>
        <w:gridCol w:w="265"/>
        <w:gridCol w:w="936"/>
        <w:gridCol w:w="146"/>
        <w:gridCol w:w="146"/>
        <w:gridCol w:w="315"/>
        <w:gridCol w:w="913"/>
        <w:gridCol w:w="199"/>
      </w:tblGrid>
      <w:tr>
        <w:trPr/>
        <w:tc>
          <w:tcPr>
            <w:tcW w:w="10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09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402"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Liability Classified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069"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Equity Classified</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09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55" w:type="dxa"/>
            <w:tcBorders/>
            <w:shd w:fill="auto" w:val="clear"/>
            <w:vAlign w:val="center"/>
          </w:tcPr>
          <w:p>
            <w:pPr>
              <w:pStyle w:val="TableContents"/>
              <w:spacing w:lineRule="auto" w:line="252" w:before="0" w:after="0"/>
              <w:ind w:left="0" w:right="0" w:hanging="0"/>
              <w:jc w:val="center"/>
              <w:rPr/>
            </w:pPr>
            <w:r>
              <w:rPr/>
              <w:t> </w:t>
            </w:r>
          </w:p>
        </w:tc>
        <w:tc>
          <w:tcPr>
            <w:tcW w:w="117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Average Exercise Price (C$)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Average Remaining Contractual Life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Number of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Average Exercise Price (USD)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2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Average</w:t>
              <w:br/>
              <w:t>Remaining Contractual Life</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09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as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2,485,794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9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3" w:type="dxa"/>
            <w:tcBorders/>
            <w:shd w:fill="auto" w:val="clear"/>
            <w:vAlign w:val="center"/>
          </w:tcPr>
          <w:p>
            <w:pPr>
              <w:pStyle w:val="TableContents"/>
              <w:spacing w:lineRule="auto" w:line="252" w:before="0" w:after="0"/>
              <w:ind w:left="0" w:right="0" w:hanging="0"/>
              <w:jc w:val="left"/>
              <w:rPr/>
            </w:pPr>
            <w:r>
              <w:rPr/>
              <w:t> </w:t>
            </w:r>
          </w:p>
        </w:tc>
        <w:tc>
          <w:tcPr>
            <w:tcW w:w="108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5.00</w:t>
            </w:r>
          </w:p>
        </w:tc>
        <w:tc>
          <w:tcPr>
            <w:tcW w:w="199" w:type="dxa"/>
            <w:tcBorders/>
            <w:shd w:fill="auto" w:val="clear"/>
            <w:vAlign w:val="center"/>
          </w:tcPr>
          <w:p>
            <w:pPr>
              <w:pStyle w:val="TableContents"/>
              <w:spacing w:lineRule="auto" w:line="252" w:before="0" w:after="0"/>
              <w:ind w:left="0" w:right="0" w:hanging="0"/>
              <w:jc w:val="left"/>
              <w:rPr/>
            </w:pPr>
            <w:r>
              <w:rPr/>
              <w:t> </w:t>
            </w:r>
          </w:p>
        </w:tc>
      </w:tr>
      <w:tr>
        <w:trPr/>
        <w:tc>
          <w:tcPr>
            <w:tcW w:w="109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Warrants Issued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91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3" w:type="dxa"/>
            <w:tcBorders/>
            <w:shd w:fill="auto" w:val="clear"/>
            <w:vAlign w:val="center"/>
          </w:tcPr>
          <w:p>
            <w:pPr>
              <w:pStyle w:val="TableContents"/>
              <w:spacing w:lineRule="auto" w:line="252" w:before="0" w:after="0"/>
              <w:ind w:left="0" w:right="0" w:hanging="0"/>
              <w:jc w:val="left"/>
              <w:rPr/>
            </w:pPr>
            <w:r>
              <w:rPr/>
              <w:t> </w:t>
            </w:r>
          </w:p>
        </w:tc>
        <w:tc>
          <w:tcPr>
            <w:tcW w:w="108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1,702,347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5.00</w:t>
            </w:r>
          </w:p>
        </w:tc>
        <w:tc>
          <w:tcPr>
            <w:tcW w:w="199" w:type="dxa"/>
            <w:tcBorders/>
            <w:shd w:fill="auto" w:val="clear"/>
            <w:vAlign w:val="center"/>
          </w:tcPr>
          <w:p>
            <w:pPr>
              <w:pStyle w:val="TableContents"/>
              <w:spacing w:lineRule="auto" w:line="252" w:before="0" w:after="0"/>
              <w:ind w:left="0" w:right="0" w:hanging="0"/>
              <w:jc w:val="left"/>
              <w:rPr/>
            </w:pPr>
            <w:r>
              <w:rPr/>
              <w:t> </w:t>
            </w:r>
          </w:p>
        </w:tc>
      </w:tr>
      <w:tr>
        <w:trPr/>
        <w:tc>
          <w:tcPr>
            <w:tcW w:w="109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Warrants 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(278,381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9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3" w:type="dxa"/>
            <w:tcBorders/>
            <w:shd w:fill="auto" w:val="clear"/>
            <w:vAlign w:val="center"/>
          </w:tcPr>
          <w:p>
            <w:pPr>
              <w:pStyle w:val="TableContents"/>
              <w:spacing w:lineRule="auto" w:line="252" w:before="0" w:after="0"/>
              <w:ind w:left="0" w:right="0" w:hanging="0"/>
              <w:jc w:val="left"/>
              <w:rPr/>
            </w:pPr>
            <w:r>
              <w:rPr/>
              <w:t> </w:t>
            </w:r>
          </w:p>
        </w:tc>
        <w:tc>
          <w:tcPr>
            <w:tcW w:w="1082"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8"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913" w:type="dxa"/>
            <w:tcBorders/>
            <w:shd w:fill="auto" w:val="clear"/>
            <w:vAlign w:val="center"/>
          </w:tcPr>
          <w:p>
            <w:pPr>
              <w:pStyle w:val="TableContents"/>
              <w:spacing w:lineRule="auto" w:line="252" w:before="0" w:after="0"/>
              <w:ind w:left="0" w:right="0" w:hanging="0"/>
              <w:jc w:val="right"/>
              <w:rPr/>
            </w:pPr>
            <w:r>
              <w:rPr/>
              <w:t>—</w:t>
            </w:r>
          </w:p>
        </w:tc>
        <w:tc>
          <w:tcPr>
            <w:tcW w:w="199" w:type="dxa"/>
            <w:tcBorders/>
            <w:shd w:fill="auto" w:val="clear"/>
            <w:vAlign w:val="center"/>
          </w:tcPr>
          <w:p>
            <w:pPr>
              <w:pStyle w:val="TableContents"/>
              <w:spacing w:lineRule="auto" w:line="252" w:before="0" w:after="0"/>
              <w:ind w:left="0" w:right="0" w:hanging="0"/>
              <w:jc w:val="left"/>
              <w:rPr/>
            </w:pPr>
            <w:r>
              <w:rPr/>
              <w:t> </w:t>
            </w:r>
          </w:p>
        </w:tc>
      </w:tr>
      <w:tr>
        <w:trPr/>
        <w:tc>
          <w:tcPr>
            <w:tcW w:w="109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Warrants Expired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(109,482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255"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09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as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2,097,931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5"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18.26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2.42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1,737,347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31.83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4.38</w:t>
            </w:r>
          </w:p>
        </w:tc>
        <w:tc>
          <w:tcPr>
            <w:tcW w:w="1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(a)</w:t>
      </w:r>
    </w:p>
    <w:p>
      <w:pPr>
        <w:pStyle w:val="TextBody"/>
        <w:spacing w:lineRule="auto" w:line="273"/>
        <w:jc w:val="left"/>
        <w:rPr>
          <w:rFonts w:ascii="Times New Roman" w:hAnsi="Times New Roman"/>
          <w:b/>
          <w:sz w:val="20"/>
        </w:rPr>
      </w:pPr>
      <w:r>
        <w:rPr>
          <w:rFonts w:ascii="Times New Roman" w:hAnsi="Times New Roman"/>
          <w:b/>
          <w:sz w:val="20"/>
        </w:rPr>
        <w:t xml:space="preserve">Liability Classified Warrants Outstanding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the fair value of the liability classified warrants at December 31, 2021 and December 31, 2020:</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489"/>
        <w:gridCol w:w="146"/>
        <w:gridCol w:w="912"/>
        <w:gridCol w:w="146"/>
        <w:gridCol w:w="258"/>
        <w:gridCol w:w="1468"/>
        <w:gridCol w:w="146"/>
        <w:gridCol w:w="146"/>
        <w:gridCol w:w="348"/>
        <w:gridCol w:w="1071"/>
        <w:gridCol w:w="146"/>
        <w:gridCol w:w="146"/>
        <w:gridCol w:w="348"/>
        <w:gridCol w:w="1071"/>
        <w:gridCol w:w="146"/>
        <w:gridCol w:w="146"/>
        <w:gridCol w:w="196"/>
        <w:gridCol w:w="661"/>
        <w:gridCol w:w="215"/>
      </w:tblGrid>
      <w:tr>
        <w:trPr/>
        <w:tc>
          <w:tcPr>
            <w:tcW w:w="24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489"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79"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Fair Value</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i/>
                <w:sz w:val="18"/>
              </w:rPr>
            </w:pPr>
            <w:r>
              <w:rPr>
                <w:rFonts w:ascii="Times New Roman" w:hAnsi="Times New Roman"/>
                <w:b/>
                <w:i/>
                <w:sz w:val="18"/>
              </w:rPr>
              <w:t>Warrant Liability</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Strike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Warrants 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Change</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89"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2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79"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8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Bridge Financing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C$22.90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8" w:type="dxa"/>
            <w:tcBorders/>
            <w:shd w:fill="auto" w:val="clear"/>
            <w:vAlign w:val="center"/>
          </w:tcPr>
          <w:p>
            <w:pPr>
              <w:pStyle w:val="TableContents"/>
              <w:spacing w:lineRule="auto" w:line="252" w:before="0" w:after="0"/>
              <w:ind w:left="0" w:right="0" w:hanging="0"/>
              <w:jc w:val="left"/>
              <w:rPr/>
            </w:pPr>
            <w:r>
              <w:rPr/>
              <w:t> </w:t>
            </w:r>
          </w:p>
        </w:tc>
        <w:tc>
          <w:tcPr>
            <w:tcW w:w="14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100,723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(1,869</w:t>
            </w:r>
          </w:p>
        </w:tc>
        <w:tc>
          <w:tcPr>
            <w:tcW w:w="2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8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Private Placement Financing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C$19.39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8" w:type="dxa"/>
            <w:tcBorders/>
            <w:shd w:fill="auto" w:val="clear"/>
            <w:vAlign w:val="center"/>
          </w:tcPr>
          <w:p>
            <w:pPr>
              <w:pStyle w:val="TableContents"/>
              <w:spacing w:lineRule="auto" w:line="252" w:before="0" w:after="0"/>
              <w:ind w:left="0" w:right="0" w:hanging="0"/>
              <w:jc w:val="left"/>
              <w:rPr/>
            </w:pPr>
            <w:r>
              <w:rPr/>
              <w:t> </w:t>
            </w:r>
          </w:p>
        </w:tc>
        <w:tc>
          <w:tcPr>
            <w:tcW w:w="14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1,606,533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shd w:fill="auto" w:val="clear"/>
            <w:vAlign w:val="center"/>
          </w:tcPr>
          <w:p>
            <w:pPr>
              <w:pStyle w:val="TableContents"/>
              <w:spacing w:lineRule="auto" w:line="252" w:before="0" w:after="0"/>
              <w:ind w:left="0" w:right="0" w:hanging="0"/>
              <w:jc w:val="left"/>
              <w:rPr/>
            </w:pPr>
            <w:r>
              <w:rPr/>
              <w:t> </w:t>
            </w:r>
          </w:p>
        </w:tc>
        <w:tc>
          <w:tcPr>
            <w:tcW w:w="10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18,527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shd w:fill="auto" w:val="clear"/>
            <w:vAlign w:val="center"/>
          </w:tcPr>
          <w:p>
            <w:pPr>
              <w:pStyle w:val="TableContents"/>
              <w:spacing w:lineRule="auto" w:line="252" w:before="0" w:after="0"/>
              <w:ind w:left="0" w:right="0" w:hanging="0"/>
              <w:jc w:val="left"/>
              <w:rPr/>
            </w:pPr>
            <w:r>
              <w:rPr/>
              <w:t> </w:t>
            </w:r>
          </w:p>
        </w:tc>
        <w:tc>
          <w:tcPr>
            <w:tcW w:w="10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28,757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(10,230</w:t>
            </w:r>
          </w:p>
        </w:tc>
        <w:tc>
          <w:tcPr>
            <w:tcW w:w="2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8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Modification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C$12.04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8" w:type="dxa"/>
            <w:tcBorders/>
            <w:shd w:fill="auto" w:val="clear"/>
            <w:vAlign w:val="center"/>
          </w:tcPr>
          <w:p>
            <w:pPr>
              <w:pStyle w:val="TableContents"/>
              <w:spacing w:lineRule="auto" w:line="252" w:before="0" w:after="0"/>
              <w:ind w:left="0" w:right="0" w:hanging="0"/>
              <w:jc w:val="left"/>
              <w:rPr/>
            </w:pPr>
            <w:r>
              <w:rPr/>
              <w:t> </w:t>
            </w:r>
          </w:p>
        </w:tc>
        <w:tc>
          <w:tcPr>
            <w:tcW w:w="146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316,947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shd w:fill="auto" w:val="clear"/>
            <w:vAlign w:val="center"/>
          </w:tcPr>
          <w:p>
            <w:pPr>
              <w:pStyle w:val="TableContents"/>
              <w:spacing w:lineRule="auto" w:line="252" w:before="0" w:after="0"/>
              <w:ind w:left="0" w:right="0" w:hanging="0"/>
              <w:jc w:val="left"/>
              <w:rPr/>
            </w:pPr>
            <w:r>
              <w:rPr/>
              <w:t> </w:t>
            </w:r>
          </w:p>
        </w:tc>
        <w:tc>
          <w:tcPr>
            <w:tcW w:w="10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4,603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shd w:fill="auto" w:val="clear"/>
            <w:vAlign w:val="center"/>
          </w:tcPr>
          <w:p>
            <w:pPr>
              <w:pStyle w:val="TableContents"/>
              <w:spacing w:lineRule="auto" w:line="252" w:before="0" w:after="0"/>
              <w:ind w:left="0" w:right="0" w:hanging="0"/>
              <w:jc w:val="left"/>
              <w:rPr/>
            </w:pPr>
            <w:r>
              <w:rPr/>
              <w:t> </w:t>
            </w:r>
          </w:p>
        </w:tc>
        <w:tc>
          <w:tcPr>
            <w:tcW w:w="10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(2,027</w:t>
            </w:r>
          </w:p>
        </w:tc>
        <w:tc>
          <w:tcPr>
            <w:tcW w:w="2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Additional Modification 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C$14.03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73,728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1,071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(451</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89"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2,097,931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0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24,877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0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39,454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(14,577</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years ended December 31, 2021, 2020 and 2019, the Company recorded a gain of $14,577</w:t>
      </w:r>
      <w:r>
        <w:rPr>
          <w:rFonts w:ascii="Times New Roman" w:hAnsi="Times New Roman"/>
          <w:sz w:val="20"/>
        </w:rPr>
        <w:t xml:space="preserve"> </w:t>
      </w:r>
      <w:r>
        <w:rPr>
          <w:rFonts w:ascii="Times New Roman" w:hAnsi="Times New Roman"/>
          <w:b w:val="false"/>
          <w:sz w:val="20"/>
        </w:rPr>
        <w:t>thousand, and losses of $23,002</w:t>
      </w:r>
      <w:r>
        <w:rPr>
          <w:rFonts w:ascii="Times New Roman" w:hAnsi="Times New Roman"/>
          <w:sz w:val="20"/>
        </w:rPr>
        <w:t xml:space="preserve"> </w:t>
      </w:r>
      <w:r>
        <w:rPr>
          <w:rFonts w:ascii="Times New Roman" w:hAnsi="Times New Roman"/>
          <w:b w:val="false"/>
          <w:sz w:val="20"/>
        </w:rPr>
        <w:t>thousand and $4,160</w:t>
      </w:r>
      <w:r>
        <w:rPr>
          <w:rFonts w:ascii="Times New Roman" w:hAnsi="Times New Roman"/>
          <w:sz w:val="20"/>
        </w:rPr>
        <w:t xml:space="preserve"> </w:t>
      </w:r>
      <w:r>
        <w:rPr>
          <w:rFonts w:ascii="Times New Roman" w:hAnsi="Times New Roman"/>
          <w:b w:val="false"/>
          <w:sz w:val="20"/>
        </w:rPr>
        <w:t>thousand</w:t>
      </w:r>
      <w:r>
        <w:rPr>
          <w:rFonts w:ascii="Times New Roman" w:hAnsi="Times New Roman"/>
          <w:sz w:val="20"/>
        </w:rPr>
        <w:t xml:space="preserve"> </w:t>
      </w:r>
      <w:r>
        <w:rPr>
          <w:rFonts w:ascii="Times New Roman" w:hAnsi="Times New Roman"/>
          <w:b w:val="false"/>
          <w:sz w:val="20"/>
        </w:rPr>
        <w:t>respectively, on the change in the fair value of the warrant liability within other income (expense) on the consolidated statements of operations.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following table summarizes the significant assumptions used in determining the fair value of the warrant liability as of each reporting date (see Note 15 - Fair Value Measurements for additional details):</w:t>
      </w:r>
      <w:r>
        <w:rPr>
          <w:rFonts w:ascii="Times New Roman" w:hAnsi="Times New Roman"/>
          <w:sz w:val="20"/>
        </w:rPr>
        <w:t xml:space="preserve"> </w:t>
      </w:r>
    </w:p>
    <w:p>
      <w:pPr>
        <w:pStyle w:val="TextBody"/>
        <w:spacing w:lineRule="auto" w:line="273" w:before="0" w:after="0"/>
        <w:jc w:val="left"/>
        <w:rPr/>
      </w:pPr>
      <w:r>
        <w:rPr/>
        <w:t> </w:t>
      </w:r>
    </w:p>
    <w:tbl>
      <w:tblPr>
        <w:tblW w:w="5365" w:type="dxa"/>
        <w:jc w:val="left"/>
        <w:tblInd w:w="0" w:type="dxa"/>
        <w:tblCellMar>
          <w:top w:w="28" w:type="dxa"/>
          <w:left w:w="28" w:type="dxa"/>
          <w:bottom w:w="28" w:type="dxa"/>
          <w:right w:w="28" w:type="dxa"/>
        </w:tblCellMar>
      </w:tblPr>
      <w:tblGrid>
        <w:gridCol w:w="1936"/>
        <w:gridCol w:w="146"/>
        <w:gridCol w:w="1546"/>
        <w:gridCol w:w="146"/>
        <w:gridCol w:w="1591"/>
      </w:tblGrid>
      <w:tr>
        <w:trPr/>
        <w:tc>
          <w:tcPr>
            <w:tcW w:w="1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i/>
                <w:sz w:val="18"/>
              </w:rPr>
            </w:pPr>
            <w:r>
              <w:rPr>
                <w:rFonts w:ascii="Times New Roman" w:hAnsi="Times New Roman"/>
                <w:b/>
                <w:i/>
                <w:sz w:val="18"/>
              </w:rPr>
              <w:t>Significant Assumptions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2020</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59.95% - 74.04%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72.19% - 79.10%</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Remaining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0.78</w:t>
            </w:r>
            <w:r>
              <w:rPr>
                <w:rFonts w:ascii="Times New Roman" w:hAnsi="Times New Roman"/>
                <w:sz w:val="20"/>
              </w:rPr>
              <w:t> </w:t>
            </w:r>
            <w:r>
              <w:rPr>
                <w:rFonts w:ascii="Times New Roman" w:hAnsi="Times New Roman"/>
                <w:b w:val="false"/>
                <w:sz w:val="18"/>
              </w:rPr>
              <w:t>- 3.39</w:t>
            </w:r>
            <w:r>
              <w:rPr>
                <w:rFonts w:ascii="Times New Roman" w:hAnsi="Times New Roman"/>
                <w:sz w:val="20"/>
              </w:rPr>
              <w:t> </w:t>
            </w:r>
            <w:r>
              <w:rPr>
                <w:rFonts w:ascii="Times New Roman" w:hAnsi="Times New Roman"/>
                <w:b w:val="false"/>
                <w:sz w:val="18"/>
              </w:rPr>
              <w:t>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1.78</w:t>
            </w:r>
            <w:r>
              <w:rPr>
                <w:rFonts w:ascii="Times New Roman" w:hAnsi="Times New Roman"/>
                <w:sz w:val="20"/>
              </w:rPr>
              <w:t> </w:t>
            </w:r>
            <w:r>
              <w:rPr>
                <w:rFonts w:ascii="Times New Roman" w:hAnsi="Times New Roman"/>
                <w:b w:val="false"/>
                <w:sz w:val="18"/>
              </w:rPr>
              <w:t>- 4.39</w:t>
            </w:r>
            <w:r>
              <w:rPr>
                <w:rFonts w:ascii="Times New Roman" w:hAnsi="Times New Roman"/>
                <w:sz w:val="20"/>
              </w:rPr>
              <w:t> </w:t>
            </w:r>
            <w:r>
              <w:rPr>
                <w:rFonts w:ascii="Times New Roman" w:hAnsi="Times New Roman"/>
                <w:b w:val="false"/>
                <w:sz w:val="18"/>
              </w:rPr>
              <w:t>years</w:t>
            </w:r>
          </w:p>
        </w:tc>
      </w:tr>
      <w:tr>
        <w:trPr/>
        <w:tc>
          <w:tcPr>
            <w:tcW w:w="19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Risk Free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0.91% - 1.06%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0.20% - 0.28%</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F-31</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10. WARRANTS</w:t>
      </w:r>
      <w:r>
        <w:rPr>
          <w:rFonts w:ascii="Times New Roman" w:hAnsi="Times New Roman"/>
          <w:sz w:val="20"/>
        </w:rPr>
        <w:t xml:space="preserve">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w:t>
      </w:r>
    </w:p>
    <w:p>
      <w:pPr>
        <w:pStyle w:val="TextBody"/>
        <w:spacing w:lineRule="auto" w:line="273"/>
        <w:jc w:val="left"/>
        <w:rPr>
          <w:rFonts w:ascii="Times New Roman" w:hAnsi="Times New Roman"/>
          <w:b/>
          <w:sz w:val="20"/>
        </w:rPr>
      </w:pPr>
      <w:r>
        <w:rPr>
          <w:rFonts w:ascii="Times New Roman" w:hAnsi="Times New Roman"/>
          <w:b/>
          <w:sz w:val="20"/>
        </w:rPr>
        <w:t xml:space="preserve">Equity Classified Warrants Outstanding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the fair value of the equity classified warrants at December 31, 2021 and December 31, 2020:</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406"/>
        <w:gridCol w:w="146"/>
        <w:gridCol w:w="262"/>
        <w:gridCol w:w="684"/>
        <w:gridCol w:w="146"/>
        <w:gridCol w:w="146"/>
        <w:gridCol w:w="262"/>
        <w:gridCol w:w="1490"/>
        <w:gridCol w:w="146"/>
        <w:gridCol w:w="146"/>
        <w:gridCol w:w="353"/>
        <w:gridCol w:w="1087"/>
        <w:gridCol w:w="146"/>
        <w:gridCol w:w="146"/>
        <w:gridCol w:w="318"/>
        <w:gridCol w:w="1125"/>
        <w:gridCol w:w="196"/>
      </w:tblGrid>
      <w:tr>
        <w:trPr/>
        <w:tc>
          <w:tcPr>
            <w:tcW w:w="3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34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7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Fair Value</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i/>
                <w:sz w:val="18"/>
              </w:rPr>
            </w:pPr>
            <w:r>
              <w:rPr>
                <w:rFonts w:ascii="Times New Roman" w:hAnsi="Times New Roman"/>
                <w:b/>
                <w:i/>
                <w:sz w:val="18"/>
              </w:rPr>
              <w:t>Warrants Included in Contributed Surplus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Strike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Warrants 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 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0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7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Mortgage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1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3"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8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2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181,272</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Private Placement Refinance Warrants April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pPr>
            <w:r>
              <w:rPr/>
              <w:t> </w:t>
            </w:r>
          </w:p>
        </w:tc>
        <w:tc>
          <w:tcPr>
            <w:tcW w:w="149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1,459,044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3" w:type="dxa"/>
            <w:tcBorders/>
            <w:shd w:fill="auto" w:val="clear"/>
            <w:vAlign w:val="center"/>
          </w:tcPr>
          <w:p>
            <w:pPr>
              <w:pStyle w:val="TableContents"/>
              <w:spacing w:lineRule="auto" w:line="252" w:before="0" w:after="0"/>
              <w:ind w:left="0" w:right="0" w:hanging="0"/>
              <w:jc w:val="left"/>
              <w:rPr/>
            </w:pPr>
            <w:r>
              <w:rPr/>
              <w:t> </w:t>
            </w:r>
          </w:p>
        </w:tc>
        <w:tc>
          <w:tcPr>
            <w:tcW w:w="108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22,259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8" w:type="dxa"/>
            <w:tcBorders/>
            <w:shd w:fill="auto" w:val="clear"/>
            <w:vAlign w:val="center"/>
          </w:tcPr>
          <w:p>
            <w:pPr>
              <w:pStyle w:val="TableContents"/>
              <w:spacing w:lineRule="auto" w:line="252" w:before="0" w:after="0"/>
              <w:ind w:left="0" w:right="0" w:hanging="0"/>
              <w:jc w:val="left"/>
              <w:rPr/>
            </w:pPr>
            <w:r>
              <w:rPr/>
              <w:t> </w:t>
            </w:r>
          </w:p>
        </w:tc>
        <w:tc>
          <w:tcPr>
            <w:tcW w:w="1125"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Private Placement Refinance Warrants October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243,303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0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2,616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0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1,737,347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0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25,056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w:t>
            </w:r>
          </w:p>
        </w:tc>
        <w:tc>
          <w:tcPr>
            <w:tcW w:w="11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18"/>
              </w:rPr>
            </w:pPr>
            <w:r>
              <w:rPr>
                <w:rFonts w:ascii="Times New Roman" w:hAnsi="Times New Roman"/>
                <w:b/>
                <w:sz w:val="18"/>
              </w:rPr>
              <w:t>181,272</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equity warrants were valued as of the date of issuance using a Black Scholes Option Pricing model. The following table summarizes the significant assumptions used in determining the fair value of the warrants as of each respective issuance date:</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80"/>
        <w:gridCol w:w="146"/>
        <w:gridCol w:w="2839"/>
        <w:gridCol w:w="146"/>
        <w:gridCol w:w="2839"/>
        <w:gridCol w:w="146"/>
        <w:gridCol w:w="2309"/>
      </w:tblGrid>
      <w:tr>
        <w:trPr/>
        <w:tc>
          <w:tcPr>
            <w:tcW w:w="17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r>
      <w:tr>
        <w:trPr/>
        <w:tc>
          <w:tcPr>
            <w:tcW w:w="17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i/>
                <w:sz w:val="18"/>
              </w:rPr>
            </w:pPr>
            <w:r>
              <w:rPr>
                <w:rFonts w:ascii="Times New Roman" w:hAnsi="Times New Roman"/>
                <w:b/>
                <w:i/>
                <w:sz w:val="18"/>
              </w:rPr>
              <w:t>Significant Assumptions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Private Placement Refinancing 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Private Placement Refinancing 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30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Dispensary Mortgage Warrants</w:t>
            </w:r>
          </w:p>
        </w:tc>
      </w:tr>
      <w:tr>
        <w:trPr/>
        <w:tc>
          <w:tcPr>
            <w:tcW w:w="178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Date of Issuance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October 15,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April 30, 2021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09"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June 5, 2020</w:t>
            </w:r>
          </w:p>
        </w:tc>
      </w:tr>
      <w:tr>
        <w:trPr/>
        <w:tc>
          <w:tcPr>
            <w:tcW w:w="178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Volatility</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0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80%</w:t>
            </w:r>
          </w:p>
        </w:tc>
      </w:tr>
      <w:tr>
        <w:trPr/>
        <w:tc>
          <w:tcPr>
            <w:tcW w:w="178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Estimated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4 years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4</w:t>
            </w:r>
            <w:r>
              <w:rPr>
                <w:rFonts w:ascii="Times New Roman" w:hAnsi="Times New Roman"/>
                <w:sz w:val="20"/>
              </w:rPr>
              <w:t> </w:t>
            </w:r>
            <w:r>
              <w:rPr>
                <w:rFonts w:ascii="Times New Roman" w:hAnsi="Times New Roman"/>
                <w:b w:val="false"/>
                <w:sz w:val="20"/>
              </w:rPr>
              <w:t>years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0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 years</w:t>
            </w:r>
          </w:p>
        </w:tc>
      </w:tr>
      <w:tr>
        <w:trPr/>
        <w:tc>
          <w:tcPr>
            <w:tcW w:w="178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 Free Rate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83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0.74%</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09"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0.37%</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F-32</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b/>
          <w:sz w:val="20"/>
        </w:rPr>
      </w:pPr>
      <w:r>
        <w:rPr>
          <w:rFonts w:ascii="Times New Roman" w:hAnsi="Times New Roman"/>
          <w:b/>
          <w:sz w:val="20"/>
        </w:rPr>
        <w:t>11. SHARE CAPITAL</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hAnsi="Times New Roman"/>
          <w:b w:val="false"/>
          <w:i/>
          <w:sz w:val="20"/>
        </w:rPr>
        <w:t>Income Taxes</w:t>
      </w:r>
      <w:r>
        <w:rPr>
          <w:rFonts w:ascii="Times New Roman" w:hAnsi="Times New Roman"/>
          <w:b w:val="false"/>
          <w:sz w:val="20"/>
        </w:rPr>
        <w:t>.</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(a)</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Authorized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the following classes of share capital, with each class having no par value:</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(i)</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Subordinate Voting Shares </w:t>
      </w:r>
    </w:p>
    <w:p>
      <w:pPr>
        <w:pStyle w:val="TextBody"/>
        <w:spacing w:lineRule="auto" w:line="273" w:before="120" w:after="0"/>
        <w:jc w:val="left"/>
        <w:rPr>
          <w:rFonts w:ascii="Times New Roman" w:hAnsi="Times New Roman"/>
          <w:sz w:val="20"/>
        </w:rPr>
      </w:pPr>
      <w:r>
        <w:rPr>
          <w:rFonts w:ascii="Times New Roman" w:hAnsi="Times New Roman"/>
          <w:b w:val="false"/>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year ended December 31, 2021, the shareholders of the Company converted 1,758</w:t>
      </w:r>
      <w:r>
        <w:rPr>
          <w:rFonts w:ascii="Times New Roman" w:hAnsi="Times New Roman"/>
          <w:sz w:val="20"/>
        </w:rPr>
        <w:t xml:space="preserve"> </w:t>
      </w:r>
      <w:r>
        <w:rPr>
          <w:rFonts w:ascii="Times New Roman" w:hAnsi="Times New Roman"/>
          <w:b w:val="false"/>
          <w:sz w:val="20"/>
        </w:rPr>
        <w:t>Multiple Voting Shares into 175,800</w:t>
      </w:r>
      <w:r>
        <w:rPr>
          <w:rFonts w:ascii="Times New Roman" w:hAnsi="Times New Roman"/>
          <w:sz w:val="20"/>
        </w:rPr>
        <w:t xml:space="preserve"> </w:t>
      </w:r>
      <w:r>
        <w:rPr>
          <w:rFonts w:ascii="Times New Roman" w:hAnsi="Times New Roman"/>
          <w:b w:val="false"/>
          <w:sz w:val="20"/>
        </w:rPr>
        <w:t>Subordinate Voting Shares and 27,000</w:t>
      </w:r>
      <w:r>
        <w:rPr>
          <w:rFonts w:ascii="Times New Roman" w:hAnsi="Times New Roman"/>
          <w:sz w:val="20"/>
        </w:rPr>
        <w:t xml:space="preserve"> </w:t>
      </w:r>
      <w:r>
        <w:rPr>
          <w:rFonts w:ascii="Times New Roman" w:hAnsi="Times New Roman"/>
          <w:b w:val="false"/>
          <w:sz w:val="20"/>
        </w:rPr>
        <w:t>Super Voting Shares into 2,700,000</w:t>
      </w:r>
      <w:r>
        <w:rPr>
          <w:rFonts w:ascii="Times New Roman" w:hAnsi="Times New Roman"/>
          <w:sz w:val="20"/>
        </w:rPr>
        <w:t xml:space="preserve"> </w:t>
      </w:r>
      <w:r>
        <w:rPr>
          <w:rFonts w:ascii="Times New Roman" w:hAnsi="Times New Roman"/>
          <w:b w:val="false"/>
          <w:sz w:val="20"/>
        </w:rPr>
        <w:t>Subordinate Voting Shares.</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(ii)</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Multiple Voting Shares </w:t>
      </w:r>
    </w:p>
    <w:p>
      <w:pPr>
        <w:pStyle w:val="TextBody"/>
        <w:spacing w:lineRule="auto" w:line="273" w:before="120" w:after="0"/>
        <w:jc w:val="left"/>
        <w:rPr>
          <w:rFonts w:ascii="Times New Roman" w:hAnsi="Times New Roman"/>
          <w:sz w:val="20"/>
        </w:rPr>
      </w:pPr>
      <w:r>
        <w:rPr>
          <w:rFonts w:ascii="Times New Roman" w:hAnsi="Times New Roman"/>
          <w:b w:val="false"/>
          <w:sz w:val="20"/>
        </w:rPr>
        <w:t>Each Multiple Voting Share is entitled to 100</w:t>
      </w:r>
      <w:r>
        <w:rPr>
          <w:rFonts w:ascii="Times New Roman" w:hAnsi="Times New Roman"/>
          <w:sz w:val="20"/>
        </w:rPr>
        <w:t xml:space="preserve"> </w:t>
      </w:r>
      <w:r>
        <w:rPr>
          <w:rFonts w:ascii="Times New Roman" w:hAnsi="Times New Roman"/>
          <w:b w:val="false"/>
          <w:sz w:val="20"/>
        </w:rPr>
        <w:t>votes per share at shareholder meetings of the Company and is exchangeable for 100 Subordinate Voting Shares. At December 31, 2021, the Company had 38,531</w:t>
      </w:r>
      <w:r>
        <w:rPr>
          <w:rFonts w:ascii="Times New Roman" w:hAnsi="Times New Roman"/>
          <w:sz w:val="20"/>
        </w:rPr>
        <w:t xml:space="preserve"> </w:t>
      </w:r>
      <w:r>
        <w:rPr>
          <w:rFonts w:ascii="Times New Roman" w:hAnsi="Times New Roman"/>
          <w:b w:val="false"/>
          <w:sz w:val="20"/>
        </w:rPr>
        <w:t>issued and outstanding Multiple Voting Shares, which convert into 3,853,100</w:t>
      </w:r>
      <w:r>
        <w:rPr>
          <w:rFonts w:ascii="Times New Roman" w:hAnsi="Times New Roman"/>
          <w:sz w:val="20"/>
        </w:rPr>
        <w:t xml:space="preserve"> </w:t>
      </w:r>
      <w:r>
        <w:rPr>
          <w:rFonts w:ascii="Times New Roman" w:hAnsi="Times New Roman"/>
          <w:b w:val="false"/>
          <w:sz w:val="20"/>
        </w:rPr>
        <w:t>Subordinate Voting Shares. The Company is authorized to issue an unlimited number of Multiple Voting Shares. During the year ended December 31, 2021, the shareholders of the Company converted 1,758</w:t>
      </w:r>
      <w:r>
        <w:rPr>
          <w:rFonts w:ascii="Times New Roman" w:hAnsi="Times New Roman"/>
          <w:sz w:val="20"/>
        </w:rPr>
        <w:t xml:space="preserve"> </w:t>
      </w:r>
      <w:r>
        <w:rPr>
          <w:rFonts w:ascii="Times New Roman" w:hAnsi="Times New Roman"/>
          <w:b w:val="false"/>
          <w:sz w:val="20"/>
        </w:rPr>
        <w:t>Multiple Voting Shares into 175,800</w:t>
      </w:r>
      <w:r>
        <w:rPr>
          <w:rFonts w:ascii="Times New Roman" w:hAnsi="Times New Roman"/>
          <w:sz w:val="20"/>
        </w:rPr>
        <w:t xml:space="preserve"> </w:t>
      </w:r>
      <w:r>
        <w:rPr>
          <w:rFonts w:ascii="Times New Roman" w:hAnsi="Times New Roman"/>
          <w:b w:val="false"/>
          <w:sz w:val="20"/>
        </w:rPr>
        <w:t>Subordinate Voting Shares.</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(iii)</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Super Voting Shares </w:t>
      </w:r>
    </w:p>
    <w:p>
      <w:pPr>
        <w:pStyle w:val="TextBody"/>
        <w:spacing w:lineRule="auto" w:line="273" w:before="120" w:after="0"/>
        <w:jc w:val="left"/>
        <w:rPr>
          <w:rFonts w:ascii="Times New Roman" w:hAnsi="Times New Roman"/>
          <w:sz w:val="20"/>
        </w:rPr>
      </w:pPr>
      <w:r>
        <w:rPr>
          <w:rFonts w:ascii="Times New Roman" w:hAnsi="Times New Roman"/>
          <w:b w:val="false"/>
          <w:sz w:val="20"/>
        </w:rPr>
        <w:t>Each Super Voting Share is entitled to 1,000</w:t>
      </w:r>
      <w:r>
        <w:rPr>
          <w:rFonts w:ascii="Times New Roman" w:hAnsi="Times New Roman"/>
          <w:sz w:val="20"/>
        </w:rPr>
        <w:t xml:space="preserve"> </w:t>
      </w:r>
      <w:r>
        <w:rPr>
          <w:rFonts w:ascii="Times New Roman" w:hAnsi="Times New Roman"/>
          <w:b w:val="false"/>
          <w:sz w:val="20"/>
        </w:rPr>
        <w:t>votes per share at shareholder meetings of the Company and is exchangeable for 100 Subordinate Voting Shares or one Multiple Voting Share. At December 31, 2021, the Company had 285,031</w:t>
      </w:r>
      <w:r>
        <w:rPr>
          <w:rFonts w:ascii="Times New Roman" w:hAnsi="Times New Roman"/>
          <w:sz w:val="20"/>
        </w:rPr>
        <w:t xml:space="preserve"> </w:t>
      </w:r>
      <w:r>
        <w:rPr>
          <w:rFonts w:ascii="Times New Roman" w:hAnsi="Times New Roman"/>
          <w:b w:val="false"/>
          <w:sz w:val="20"/>
        </w:rPr>
        <w:t>issued and outstanding Super Voting Shares which convert into 28,503,100</w:t>
      </w:r>
      <w:r>
        <w:rPr>
          <w:rFonts w:ascii="Times New Roman" w:hAnsi="Times New Roman"/>
          <w:sz w:val="20"/>
        </w:rPr>
        <w:t xml:space="preserve"> </w:t>
      </w:r>
      <w:r>
        <w:rPr>
          <w:rFonts w:ascii="Times New Roman" w:hAnsi="Times New Roman"/>
          <w:b w:val="false"/>
          <w:sz w:val="20"/>
        </w:rPr>
        <w:t>Subordinate Voting Shares. The Company is authorized to issue an unlimited number of Super Voting Shares. During the year ended December 31, 2021, the shareholders of the Company converted 27,000</w:t>
      </w:r>
      <w:r>
        <w:rPr>
          <w:rFonts w:ascii="Times New Roman" w:hAnsi="Times New Roman"/>
          <w:sz w:val="20"/>
        </w:rPr>
        <w:t xml:space="preserve"> </w:t>
      </w:r>
      <w:r>
        <w:rPr>
          <w:rFonts w:ascii="Times New Roman" w:hAnsi="Times New Roman"/>
          <w:b w:val="false"/>
          <w:sz w:val="20"/>
        </w:rPr>
        <w:t>Super Voting Shares into 2,700,000</w:t>
      </w:r>
      <w:r>
        <w:rPr>
          <w:rFonts w:ascii="Times New Roman" w:hAnsi="Times New Roman"/>
          <w:sz w:val="20"/>
        </w:rPr>
        <w:t xml:space="preserve"> </w:t>
      </w:r>
      <w:r>
        <w:rPr>
          <w:rFonts w:ascii="Times New Roman" w:hAnsi="Times New Roman"/>
          <w:b w:val="false"/>
          <w:sz w:val="20"/>
        </w:rPr>
        <w:t>Subordinate Voting Shares.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F-33</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11. SHARE CAPITAL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(b)</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Issued and Outstanding </w:t>
      </w:r>
    </w:p>
    <w:p>
      <w:pPr>
        <w:pStyle w:val="TextBody"/>
        <w:spacing w:lineRule="auto" w:line="273" w:before="120" w:after="0"/>
        <w:jc w:val="left"/>
        <w:rPr>
          <w:rFonts w:ascii="Times New Roman" w:hAnsi="Times New Roman"/>
          <w:sz w:val="20"/>
        </w:rPr>
      </w:pPr>
      <w:r>
        <w:rPr>
          <w:rFonts w:ascii="Times New Roman" w:hAnsi="Times New Roman"/>
          <w:b w:val="false"/>
          <w:sz w:val="20"/>
        </w:rPr>
        <w:t>A reconciliation of the beginning and ending amounts of the issued and outstanding shares by class is as follows:</w:t>
      </w:r>
      <w:r>
        <w:rPr>
          <w:rFonts w:ascii="Times New Roman" w:hAnsi="Times New Roman"/>
          <w:sz w:val="20"/>
        </w:rPr>
        <w:t xml:space="preserve"> </w:t>
      </w:r>
    </w:p>
    <w:p>
      <w:pPr>
        <w:pStyle w:val="TextBody"/>
        <w:spacing w:lineRule="auto" w:line="273" w:before="120" w:after="0"/>
        <w:jc w:val="left"/>
        <w:rPr/>
      </w:pPr>
      <w:r>
        <w:rPr/>
        <w:t> </w:t>
      </w:r>
    </w:p>
    <w:tbl>
      <w:tblPr>
        <w:tblW w:w="9488" w:type="dxa"/>
        <w:jc w:val="left"/>
        <w:tblInd w:w="0" w:type="dxa"/>
        <w:tblCellMar>
          <w:top w:w="28" w:type="dxa"/>
          <w:left w:w="28" w:type="dxa"/>
          <w:bottom w:w="28" w:type="dxa"/>
          <w:right w:w="28" w:type="dxa"/>
        </w:tblCellMar>
      </w:tblPr>
      <w:tblGrid>
        <w:gridCol w:w="5326"/>
        <w:gridCol w:w="146"/>
        <w:gridCol w:w="146"/>
        <w:gridCol w:w="1141"/>
        <w:gridCol w:w="146"/>
        <w:gridCol w:w="146"/>
        <w:gridCol w:w="146"/>
        <w:gridCol w:w="841"/>
        <w:gridCol w:w="166"/>
        <w:gridCol w:w="146"/>
        <w:gridCol w:w="146"/>
        <w:gridCol w:w="781"/>
        <w:gridCol w:w="211"/>
      </w:tblGrid>
      <w:tr>
        <w:trPr/>
        <w:tc>
          <w:tcPr>
            <w:tcW w:w="5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0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Issued and Outstanding</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Subordinate</w:t>
              <w:br/>
              <w:t>Voting</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Multiple</w:t>
              <w:br/>
              <w:t>Voting</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Super</w:t>
              <w:br/>
              <w:t>Voting</w:t>
              <w:br/>
              <w:t>Shares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 at January 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43,920,131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677,230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424,513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under business combinations and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45,571,444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Noncontrolling Interests adjustment for change in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for redemption of 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2,498,404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upon exercise of options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114,080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Issuances of shares upon vesting of RSUs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1,165,630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for professional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Exchange of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35,710,400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(334,880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(22,224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128,999,964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373,350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402,289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7"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 at January 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128,999,964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373,350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402,289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under business combinations and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1,752,065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Distribution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2,713,463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Distribution of deferred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1,220,548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upon exercise of options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171,813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Issuances of shares upon vesting of RSUs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923,468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Exchange of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42,331,900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(333,061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(90,258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178,113,221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40,289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312,031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7"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 at January 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178,113,221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40,289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312,031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under business combinations and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12,904,675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Distribution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881,357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Distribution of deferred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222,467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common shares pursuant to 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4,693,991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for redemption of 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136,075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 of shares upon exercise of options and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1,302,682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Issuances of shares upon vesting of RSUs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389,530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Shares issued in association with notes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Shares issued for settlement of business dispute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Exchange of shares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2,875,800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(27,000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201,768,312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38,531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285,031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40" w:after="0"/>
        <w:jc w:val="left"/>
        <w:rPr/>
      </w:pPr>
      <w:r>
        <w:rPr/>
        <w:t> </w:t>
      </w:r>
    </w:p>
    <w:p>
      <w:pPr>
        <w:pStyle w:val="TextBody"/>
        <w:spacing w:lineRule="auto" w:line="273" w:before="120" w:after="0"/>
        <w:jc w:val="left"/>
        <w:rPr>
          <w:rFonts w:ascii="Times New Roman" w:hAnsi="Times New Roman"/>
          <w:b/>
          <w:i/>
          <w:sz w:val="20"/>
        </w:rPr>
      </w:pPr>
      <w:r>
        <w:rPr>
          <w:rFonts w:ascii="Times New Roman" w:hAnsi="Times New Roman"/>
          <w:b/>
          <w:i/>
          <w:sz w:val="20"/>
        </w:rPr>
        <w:t>(i)</w:t>
      </w:r>
    </w:p>
    <w:p>
      <w:pPr>
        <w:pStyle w:val="TextBody"/>
        <w:spacing w:lineRule="auto" w:line="273" w:before="120" w:after="283"/>
        <w:jc w:val="left"/>
        <w:rPr>
          <w:rFonts w:ascii="Times New Roman" w:hAnsi="Times New Roman"/>
          <w:b/>
          <w:i/>
          <w:sz w:val="20"/>
        </w:rPr>
      </w:pPr>
      <w:r>
        <w:rPr>
          <w:rFonts w:ascii="Times New Roman" w:hAnsi="Times New Roman"/>
          <w:b/>
          <w:i/>
          <w:sz w:val="20"/>
        </w:rPr>
        <w:t xml:space="preserve">Issuance of Shares Under Business Combinations and Investments </w:t>
      </w:r>
    </w:p>
    <w:p>
      <w:pPr>
        <w:pStyle w:val="TextBody"/>
        <w:spacing w:lineRule="auto" w:line="273" w:before="120" w:after="0"/>
        <w:jc w:val="left"/>
        <w:rPr>
          <w:rFonts w:ascii="Times New Roman" w:hAnsi="Times New Roman"/>
          <w:sz w:val="20"/>
        </w:rPr>
      </w:pPr>
      <w:r>
        <w:rPr>
          <w:rFonts w:ascii="Times New Roman" w:hAnsi="Times New Roman"/>
          <w:b w:val="false"/>
          <w:sz w:val="20"/>
        </w:rPr>
        <w:t>During the year ended December 31, 2021, The Company issued 12,904,675</w:t>
      </w:r>
      <w:r>
        <w:rPr>
          <w:rFonts w:ascii="Times New Roman" w:hAnsi="Times New Roman"/>
          <w:sz w:val="20"/>
        </w:rPr>
        <w:t xml:space="preserve"> </w:t>
      </w:r>
      <w:r>
        <w:rPr>
          <w:rFonts w:ascii="Times New Roman" w:hAnsi="Times New Roman"/>
          <w:b w:val="false"/>
          <w:sz w:val="20"/>
        </w:rPr>
        <w:t>Subordinate Voting Shares with a cumulative value of $343,303</w:t>
      </w:r>
      <w:r>
        <w:rPr>
          <w:rFonts w:ascii="Times New Roman" w:hAnsi="Times New Roman"/>
          <w:sz w:val="20"/>
        </w:rPr>
        <w:t xml:space="preserve"> </w:t>
      </w:r>
      <w:r>
        <w:rPr>
          <w:rFonts w:ascii="Times New Roman" w:hAnsi="Times New Roman"/>
          <w:b w:val="false"/>
          <w:sz w:val="20"/>
        </w:rPr>
        <w:t>thousand associated with various acquisitions. See Note 5 - Acquisitions for details.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F-34</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 xml:space="preserve">11. SHARE CAPITAL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(b) Issued and Outstanding</w:t>
      </w:r>
      <w:r>
        <w:rPr>
          <w:rFonts w:ascii="Times New Roman" w:hAnsi="Times New Roman"/>
          <w:sz w:val="20"/>
        </w:rPr>
        <w:t xml:space="preserve"> </w:t>
      </w:r>
      <w:r>
        <w:rPr>
          <w:rFonts w:ascii="Times New Roman" w:hAnsi="Times New Roman"/>
          <w:b w:val="false"/>
          <w:i/>
          <w:sz w:val="20"/>
        </w:rPr>
        <w:t>(Continued)</w:t>
      </w:r>
    </w:p>
    <w:p>
      <w:pPr>
        <w:pStyle w:val="TextBody"/>
        <w:spacing w:lineRule="auto" w:line="273" w:before="120" w:after="0"/>
        <w:jc w:val="left"/>
        <w:rPr>
          <w:rFonts w:ascii="Times New Roman" w:hAnsi="Times New Roman"/>
          <w:b/>
          <w:i/>
          <w:sz w:val="20"/>
        </w:rPr>
      </w:pPr>
      <w:r>
        <w:rPr>
          <w:rFonts w:ascii="Times New Roman" w:hAnsi="Times New Roman"/>
          <w:b/>
          <w:i/>
          <w:sz w:val="20"/>
        </w:rPr>
        <w:t>(ii) Distribution of Contingent Consideration (Continued)</w:t>
      </w:r>
    </w:p>
    <w:p>
      <w:pPr>
        <w:pStyle w:val="TextBody"/>
        <w:spacing w:lineRule="auto" w:line="273" w:before="120" w:after="0"/>
        <w:jc w:val="left"/>
        <w:rPr>
          <w:rFonts w:ascii="Times New Roman" w:hAnsi="Times New Roman"/>
          <w:sz w:val="20"/>
        </w:rPr>
      </w:pPr>
      <w:r>
        <w:rPr>
          <w:rFonts w:ascii="Times New Roman" w:hAnsi="Times New Roman"/>
          <w:b w:val="false"/>
          <w:i/>
          <w:sz w:val="20"/>
        </w:rPr>
        <w:t>Integral Associates, LLC</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connection with the Company’s 2019 acquisition of Integral Associates, LLC, the purchase agreement included contingent consideration which was dependent upon the awarding of conditional and final dispensary operating licenses. During the year ended December 31, 2021, the Company issued a total of 681,364</w:t>
      </w:r>
      <w:r>
        <w:rPr>
          <w:rFonts w:ascii="Times New Roman" w:hAnsi="Times New Roman"/>
          <w:sz w:val="20"/>
        </w:rPr>
        <w:t xml:space="preserve"> </w:t>
      </w:r>
      <w:r>
        <w:rPr>
          <w:rFonts w:ascii="Times New Roman" w:hAnsi="Times New Roman"/>
          <w:b w:val="false"/>
          <w:sz w:val="20"/>
        </w:rPr>
        <w:t>Subordinate Voting Shares to the former owners of Integral Associates, LLC in connection with the awarding of two final retail dispensary licenses. The shares had a combined fair value of $17,869</w:t>
      </w:r>
      <w:r>
        <w:rPr>
          <w:rFonts w:ascii="Times New Roman" w:hAnsi="Times New Roman"/>
          <w:sz w:val="20"/>
        </w:rPr>
        <w:t xml:space="preserve"> </w:t>
      </w:r>
      <w:r>
        <w:rPr>
          <w:rFonts w:ascii="Times New Roman" w:hAnsi="Times New Roman"/>
          <w:b w:val="false"/>
          <w:sz w:val="20"/>
        </w:rPr>
        <w:t>thousand, which was recorded in in share capital on the consolidated balance sheet. As of December 31, 2021, the carrying value of the equity classified contingent consideration was $9,654</w:t>
      </w:r>
      <w:r>
        <w:rPr>
          <w:rFonts w:ascii="Times New Roman" w:hAnsi="Times New Roman"/>
          <w:sz w:val="20"/>
        </w:rPr>
        <w:t xml:space="preserve"> </w:t>
      </w:r>
      <w:r>
        <w:rPr>
          <w:rFonts w:ascii="Times New Roman" w:hAnsi="Times New Roman"/>
          <w:b w:val="false"/>
          <w:sz w:val="20"/>
        </w:rPr>
        <w:t>thousand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Dharma Pharmaceuticals, LLC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connection with the Company's 2021 acquisition of Dharma Pharmaceuticals, LLC ("Dharma"), the purchase agreement included contingent consideration which was dependent upon the successful opening of five</w:t>
      </w:r>
      <w:r>
        <w:rPr>
          <w:rFonts w:ascii="Times New Roman" w:hAnsi="Times New Roman"/>
          <w:sz w:val="20"/>
        </w:rPr>
        <w:t xml:space="preserve"> </w:t>
      </w:r>
      <w:r>
        <w:rPr>
          <w:rFonts w:ascii="Times New Roman" w:hAnsi="Times New Roman"/>
          <w:b w:val="false"/>
          <w:sz w:val="20"/>
        </w:rPr>
        <w:t>retail dispensaries and the legal sale of adult use cannabis by January 1, 2025. On August 16, 2021, the Company issued 199,993</w:t>
      </w:r>
      <w:r>
        <w:rPr>
          <w:rFonts w:ascii="Times New Roman" w:hAnsi="Times New Roman"/>
          <w:sz w:val="20"/>
        </w:rPr>
        <w:t xml:space="preserve"> </w:t>
      </w:r>
      <w:r>
        <w:rPr>
          <w:rFonts w:ascii="Times New Roman" w:hAnsi="Times New Roman"/>
          <w:b w:val="false"/>
          <w:sz w:val="20"/>
        </w:rPr>
        <w:t>Subordinate Voting Shares to the former owners of Dharma in connection with the opening of one retail dispensary in Virginia. The shares had a fair value of $5,949</w:t>
      </w:r>
      <w:r>
        <w:rPr>
          <w:rFonts w:ascii="Times New Roman" w:hAnsi="Times New Roman"/>
          <w:sz w:val="20"/>
        </w:rPr>
        <w:t xml:space="preserve"> </w:t>
      </w:r>
      <w:r>
        <w:rPr>
          <w:rFonts w:ascii="Times New Roman" w:hAnsi="Times New Roman"/>
          <w:b w:val="false"/>
          <w:sz w:val="20"/>
        </w:rPr>
        <w:t>thousand on the date of issuance.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the estimated fair value of the contingent consideration associated with the acquisition of Dharma, which was valued based on a probability weighting of the potential payments, was $48,665</w:t>
      </w:r>
      <w:r>
        <w:rPr>
          <w:rFonts w:ascii="Times New Roman" w:hAnsi="Times New Roman"/>
          <w:sz w:val="20"/>
        </w:rPr>
        <w:t xml:space="preserve"> </w:t>
      </w:r>
      <w:r>
        <w:rPr>
          <w:rFonts w:ascii="Times New Roman" w:hAnsi="Times New Roman"/>
          <w:b w:val="false"/>
          <w:sz w:val="20"/>
        </w:rPr>
        <w:t>thousand, of which $20,884</w:t>
      </w:r>
      <w:r>
        <w:rPr>
          <w:rFonts w:ascii="Times New Roman" w:hAnsi="Times New Roman"/>
          <w:sz w:val="20"/>
        </w:rPr>
        <w:t xml:space="preserve"> </w:t>
      </w:r>
      <w:r>
        <w:rPr>
          <w:rFonts w:ascii="Times New Roman" w:hAnsi="Times New Roman"/>
          <w:b w:val="false"/>
          <w:sz w:val="20"/>
        </w:rPr>
        <w:t>thousand was included as a current liability on the Company's consolidated balance sheets.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(iii) Distribution of Deferred Shares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For Success Holding Company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part of the consideration exchanged in the Company’s 2019 acquisition of For Success Holding Company, deferred shares were held back for a period of twenty-four months from the close of the transaction. On February 22, 2021, the Company issued 146,315</w:t>
      </w:r>
      <w:r>
        <w:rPr>
          <w:rFonts w:ascii="Times New Roman" w:hAnsi="Times New Roman"/>
          <w:sz w:val="20"/>
        </w:rPr>
        <w:t xml:space="preserve"> </w:t>
      </w:r>
      <w:r>
        <w:rPr>
          <w:rFonts w:ascii="Times New Roman" w:hAnsi="Times New Roman"/>
          <w:b w:val="false"/>
          <w:sz w:val="20"/>
        </w:rPr>
        <w:t>Subordinate Voting Shares with a value of $1,826</w:t>
      </w:r>
      <w:r>
        <w:rPr>
          <w:rFonts w:ascii="Times New Roman" w:hAnsi="Times New Roman"/>
          <w:sz w:val="20"/>
        </w:rPr>
        <w:t xml:space="preserve"> </w:t>
      </w:r>
      <w:r>
        <w:rPr>
          <w:rFonts w:ascii="Times New Roman" w:hAnsi="Times New Roman"/>
          <w:b w:val="false"/>
          <w:sz w:val="20"/>
        </w:rPr>
        <w:t>thousand in connection with the Company’s 2019 acquisition of For Success Holding Company. The issuance of the deferred shares represented the final payout to the former owners of For Success Holding Company and resulted in the cancelation of 780</w:t>
      </w:r>
      <w:r>
        <w:rPr>
          <w:rFonts w:ascii="Times New Roman" w:hAnsi="Times New Roman"/>
          <w:sz w:val="20"/>
        </w:rPr>
        <w:t xml:space="preserve"> </w:t>
      </w:r>
      <w:r>
        <w:rPr>
          <w:rFonts w:ascii="Times New Roman" w:hAnsi="Times New Roman"/>
          <w:b w:val="false"/>
          <w:sz w:val="20"/>
        </w:rPr>
        <w:t>shares representing certain reimbursable costs incurred by the Company.</w:t>
      </w:r>
    </w:p>
    <w:p>
      <w:pPr>
        <w:pStyle w:val="TextBody"/>
        <w:spacing w:lineRule="auto" w:line="273"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i/>
          <w:sz w:val="20"/>
        </w:rPr>
        <w:t>Issuance of Registered Shares Pursuant to S-1</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February 8, 2021, the SEC declared effective the Company’s Registration Statement No. 333-248213 on Form S-1 filed on February 2, 2021. Shortly thereafter, the Company received an offer from a single institutional investor to purchase 3,122,074</w:t>
      </w:r>
      <w:r>
        <w:rPr>
          <w:rFonts w:ascii="Times New Roman" w:hAnsi="Times New Roman"/>
          <w:sz w:val="20"/>
        </w:rPr>
        <w:t xml:space="preserve"> </w:t>
      </w:r>
      <w:r>
        <w:rPr>
          <w:rFonts w:ascii="Times New Roman" w:hAnsi="Times New Roman"/>
          <w:b w:val="false"/>
          <w:sz w:val="20"/>
        </w:rPr>
        <w:t>of the Subordinate Voting Shares registered on the Form S-1 at a price of $32.03</w:t>
      </w:r>
      <w:r>
        <w:rPr>
          <w:rFonts w:ascii="Times New Roman" w:hAnsi="Times New Roman"/>
          <w:sz w:val="20"/>
        </w:rPr>
        <w:t xml:space="preserve"> </w:t>
      </w:r>
      <w:r>
        <w:rPr>
          <w:rFonts w:ascii="Times New Roman" w:hAnsi="Times New Roman"/>
          <w:b w:val="false"/>
          <w:sz w:val="20"/>
        </w:rPr>
        <w:t>per share for a total of $100,000</w:t>
      </w:r>
      <w:r>
        <w:rPr>
          <w:rFonts w:ascii="Times New Roman" w:hAnsi="Times New Roman"/>
          <w:sz w:val="20"/>
        </w:rPr>
        <w:t xml:space="preserve"> </w:t>
      </w:r>
      <w:r>
        <w:rPr>
          <w:rFonts w:ascii="Times New Roman" w:hAnsi="Times New Roman"/>
          <w:b w:val="false"/>
          <w:sz w:val="20"/>
        </w:rPr>
        <w:t>thousand. The transaction closed on February 9, 2021. On February 23, 2021, the Company accepted additional offers to purchase a total of 1,571,917</w:t>
      </w:r>
      <w:r>
        <w:rPr>
          <w:rFonts w:ascii="Times New Roman" w:hAnsi="Times New Roman"/>
          <w:sz w:val="20"/>
        </w:rPr>
        <w:t xml:space="preserve"> </w:t>
      </w:r>
      <w:r>
        <w:rPr>
          <w:rFonts w:ascii="Times New Roman" w:hAnsi="Times New Roman"/>
          <w:b w:val="false"/>
          <w:sz w:val="20"/>
        </w:rPr>
        <w:t>Subordinate Voting Shares at a price of $35.50</w:t>
      </w:r>
      <w:r>
        <w:rPr>
          <w:rFonts w:ascii="Times New Roman" w:hAnsi="Times New Roman"/>
          <w:sz w:val="20"/>
        </w:rPr>
        <w:t xml:space="preserve"> </w:t>
      </w:r>
      <w:r>
        <w:rPr>
          <w:rFonts w:ascii="Times New Roman" w:hAnsi="Times New Roman"/>
          <w:b w:val="false"/>
          <w:sz w:val="20"/>
        </w:rPr>
        <w:t>per share, for a total of $55,803</w:t>
      </w:r>
      <w:r>
        <w:rPr>
          <w:rFonts w:ascii="Times New Roman" w:hAnsi="Times New Roman"/>
          <w:sz w:val="20"/>
        </w:rPr>
        <w:t xml:space="preserve"> </w:t>
      </w:r>
      <w:r>
        <w:rPr>
          <w:rFonts w:ascii="Times New Roman" w:hAnsi="Times New Roman"/>
          <w:b w:val="false"/>
          <w:sz w:val="20"/>
        </w:rPr>
        <w:t>thousand. The Company used the net proceeds from the sale of registered securities for general corporate purposes, which include capital expenditures, working capital and general and administrative expenses. The Company also used a portion of the net proceeds to acquire or invest in businesses and products that are complimentary to the Company’s own businesses and products. Additionally, the Company incurred legal, audit and other professional fees of $305</w:t>
      </w:r>
      <w:r>
        <w:rPr>
          <w:rFonts w:ascii="Times New Roman" w:hAnsi="Times New Roman"/>
          <w:sz w:val="20"/>
        </w:rPr>
        <w:t xml:space="preserve"> </w:t>
      </w:r>
      <w:r>
        <w:rPr>
          <w:rFonts w:ascii="Times New Roman" w:hAnsi="Times New Roman"/>
          <w:b w:val="false"/>
          <w:sz w:val="20"/>
        </w:rPr>
        <w:t>thousand associated the issuance of the registered shares. Such fees have been recorded within contributed surplus (deficit) within the Company’s consolidated balance sheet.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F-35</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11. SHARE CAPITAL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(c) Stock-Based Compensation</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June 2018, the Company established the Green Thumb Industries Inc. 2018 Stock and Incentive Plan, which was amended by Amendment No. 1 thereto (as amended, the “Plan”). The maximum number of RSUs and options issued under the Plan shall not exceed 10% of the Company's issued and outstanding shares on an as-converted basis.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Stock option activity is summarized as follows: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157"/>
        <w:gridCol w:w="167"/>
        <w:gridCol w:w="1134"/>
        <w:gridCol w:w="166"/>
        <w:gridCol w:w="403"/>
        <w:gridCol w:w="1581"/>
        <w:gridCol w:w="146"/>
        <w:gridCol w:w="611"/>
        <w:gridCol w:w="1956"/>
        <w:gridCol w:w="146"/>
        <w:gridCol w:w="367"/>
        <w:gridCol w:w="1176"/>
        <w:gridCol w:w="195"/>
      </w:tblGrid>
      <w:tr>
        <w:trPr/>
        <w:tc>
          <w:tcPr>
            <w:tcW w:w="21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157" w:type="dxa"/>
            <w:tcBorders/>
            <w:shd w:fill="auto" w:val="clear"/>
            <w:vAlign w:val="center"/>
          </w:tcPr>
          <w:p>
            <w:pPr>
              <w:pStyle w:val="TableContents"/>
              <w:spacing w:lineRule="auto" w:line="252" w:before="0" w:after="0"/>
              <w:ind w:left="0" w:right="0" w:hanging="0"/>
              <w:jc w:val="left"/>
              <w:rPr/>
            </w:pPr>
            <w:r>
              <w:rPr/>
              <w:t> </w:t>
            </w:r>
          </w:p>
        </w:tc>
        <w:tc>
          <w:tcPr>
            <w:tcW w:w="130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8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 Exercise Price 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5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Avereage Remaining Contractual Life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4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Aggregate Intrinsic Value</w:t>
              <w:br/>
            </w:r>
            <w:r>
              <w:rPr>
                <w:rFonts w:ascii="Times New Roman" w:hAnsi="Times New Roman"/>
                <w:b/>
                <w:i/>
                <w:sz w:val="16"/>
              </w:rPr>
              <w:t>(in thousands)</w:t>
            </w:r>
          </w:p>
        </w:tc>
        <w:tc>
          <w:tcPr>
            <w:tcW w:w="1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as at December 31, 2020</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5,664,406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5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c>
          <w:tcPr>
            <w:tcW w:w="19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85,408</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1,487,487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5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c>
          <w:tcPr>
            <w:tcW w:w="19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3" w:type="dxa"/>
            <w:gridSpan w:val="2"/>
            <w:tcBorders/>
            <w:shd w:fill="auto" w:val="clear"/>
            <w:vAlign w:val="center"/>
          </w:tcPr>
          <w:p>
            <w:pPr>
              <w:pStyle w:val="TableContents"/>
              <w:spacing w:lineRule="auto" w:line="252" w:before="0" w:after="0"/>
              <w:ind w:left="0" w:right="0" w:hanging="0"/>
              <w:jc w:val="right"/>
              <w:rPr/>
            </w:pPr>
            <w:r>
              <w:rPr/>
              <w:t> </w:t>
            </w:r>
          </w:p>
        </w:tc>
        <w:tc>
          <w:tcPr>
            <w:tcW w:w="195" w:type="dxa"/>
            <w:tcBorders/>
            <w:shd w:fill="auto" w:val="clear"/>
            <w:vAlign w:val="center"/>
          </w:tcPr>
          <w:p>
            <w:pPr>
              <w:pStyle w:val="TableContents"/>
              <w:spacing w:lineRule="auto" w:line="252" w:before="0" w:after="0"/>
              <w:ind w:left="0" w:right="0" w:hanging="0"/>
              <w:jc w:val="righ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Exercised</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(1,024,301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5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67" w:type="dxa"/>
            <w:tcBorders/>
            <w:shd w:fill="auto" w:val="clear"/>
            <w:vAlign w:val="center"/>
          </w:tcPr>
          <w:p>
            <w:pPr>
              <w:pStyle w:val="TableContents"/>
              <w:spacing w:lineRule="auto" w:line="252" w:before="0" w:after="0"/>
              <w:ind w:left="0" w:right="0" w:hanging="0"/>
              <w:jc w:val="left"/>
              <w:rPr/>
            </w:pPr>
            <w:r>
              <w:rPr/>
              <w:t> </w:t>
            </w:r>
          </w:p>
        </w:tc>
        <w:tc>
          <w:tcPr>
            <w:tcW w:w="11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18,142</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Forfeited</w:t>
            </w:r>
          </w:p>
        </w:tc>
        <w:tc>
          <w:tcPr>
            <w:tcW w:w="1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(744,317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54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as at December 31, 2021</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5,383,275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5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c>
          <w:tcPr>
            <w:tcW w:w="19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48,803</w:t>
            </w:r>
          </w:p>
        </w:tc>
        <w:tc>
          <w:tcPr>
            <w:tcW w:w="195" w:type="dxa"/>
            <w:tcBorders/>
            <w:shd w:fill="auto" w:val="clear"/>
            <w:vAlign w:val="center"/>
          </w:tcPr>
          <w:p>
            <w:pPr>
              <w:pStyle w:val="TableContents"/>
              <w:spacing w:lineRule="auto" w:line="252" w:before="0" w:after="0"/>
              <w:ind w:left="0" w:right="0" w:hanging="0"/>
              <w:jc w:val="lef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3,448,993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5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543" w:type="dxa"/>
            <w:gridSpan w:val="2"/>
            <w:tcBorders/>
            <w:shd w:fill="auto" w:val="clear"/>
            <w:vAlign w:val="center"/>
          </w:tcPr>
          <w:p>
            <w:pPr>
              <w:pStyle w:val="TableContents"/>
              <w:spacing w:lineRule="auto" w:line="252" w:before="0" w:after="0"/>
              <w:ind w:left="0" w:right="0" w:hanging="0"/>
              <w:jc w:val="right"/>
              <w:rPr/>
            </w:pPr>
            <w:r>
              <w:rPr/>
              <w:t> </w:t>
            </w:r>
          </w:p>
        </w:tc>
        <w:tc>
          <w:tcPr>
            <w:tcW w:w="195" w:type="dxa"/>
            <w:tcBorders/>
            <w:shd w:fill="auto" w:val="clear"/>
            <w:vAlign w:val="center"/>
          </w:tcPr>
          <w:p>
            <w:pPr>
              <w:pStyle w:val="TableContents"/>
              <w:spacing w:lineRule="auto" w:line="252" w:before="0" w:after="0"/>
              <w:ind w:left="0" w:right="0" w:hanging="0"/>
              <w:jc w:val="righ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Exercisable at December 31, 2021</w:t>
            </w:r>
          </w:p>
        </w:tc>
        <w:tc>
          <w:tcPr>
            <w:tcW w:w="167" w:type="dxa"/>
            <w:tcBorders/>
            <w:shd w:fill="auto" w:val="clear"/>
            <w:vAlign w:val="center"/>
          </w:tcPr>
          <w:p>
            <w:pPr>
              <w:pStyle w:val="TableContents"/>
              <w:spacing w:lineRule="auto" w:line="252" w:before="0" w:after="0"/>
              <w:ind w:left="0" w:right="0" w:hanging="0"/>
              <w:jc w:val="left"/>
              <w:rPr/>
            </w:pPr>
            <w:r>
              <w:rPr/>
              <w:t> </w:t>
            </w:r>
          </w:p>
        </w:tc>
        <w:tc>
          <w:tcPr>
            <w:tcW w:w="11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2,183,973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03" w:type="dxa"/>
            <w:tcBorders/>
            <w:shd w:fill="auto" w:val="clear"/>
            <w:vAlign w:val="center"/>
          </w:tcPr>
          <w:p>
            <w:pPr>
              <w:pStyle w:val="TableContents"/>
              <w:spacing w:lineRule="auto" w:line="252" w:before="0" w:after="0"/>
              <w:ind w:left="0" w:right="0" w:hanging="0"/>
              <w:jc w:val="left"/>
              <w:rPr/>
            </w:pPr>
            <w:r>
              <w:rPr/>
              <w:t> </w:t>
            </w:r>
          </w:p>
        </w:tc>
        <w:tc>
          <w:tcPr>
            <w:tcW w:w="15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c>
          <w:tcPr>
            <w:tcW w:w="19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25,345</w:t>
            </w:r>
          </w:p>
        </w:tc>
        <w:tc>
          <w:tcPr>
            <w:tcW w:w="195"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4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 aggregate intrinsic value in the table above represents the total pre-tax intrinsic value (the difference between the Company’s closing stock price on December 31, 2021 and December 31, 2020, respectively, and the exercise price, multiplied by the number of in-the-money options) that would have been received by the option holders had all option holders exercised their in-the-money options on December 31, 2021 and December 31, 2020. This amount will change in future periods based on the fair market value of the Company’s Subordinate Voting Shares and the number of options outstanding.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F-36</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 xml:space="preserve">11. SHARE CAPITAL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(c) Stock-Based Compensation</w:t>
      </w:r>
      <w:r>
        <w:rPr>
          <w:rFonts w:ascii="Times New Roman" w:hAnsi="Times New Roman"/>
          <w:sz w:val="20"/>
        </w:rPr>
        <w:t xml:space="preserve"> </w:t>
      </w:r>
      <w:r>
        <w:rPr>
          <w:rFonts w:ascii="Times New Roman" w:hAnsi="Times New Roman"/>
          <w:b w:val="false"/>
          <w:i/>
          <w:sz w:val="20"/>
        </w:rPr>
        <w:t>(Continued)</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the weighted average grant date fair value and intrinsic value of options exercised for the year ended December 31, 2021, 2020 and 2019:</w:t>
      </w:r>
      <w:r>
        <w:rPr>
          <w:rFonts w:ascii="Times New Roman" w:hAnsi="Times New Roman"/>
          <w:sz w:val="20"/>
        </w:rPr>
        <w:t xml:space="preserve"> </w:t>
      </w:r>
    </w:p>
    <w:p>
      <w:pPr>
        <w:pStyle w:val="TextBody"/>
        <w:spacing w:lineRule="auto" w:line="273" w:before="0" w:after="0"/>
        <w:jc w:val="left"/>
        <w:rPr/>
      </w:pPr>
      <w:r>
        <w:rPr/>
        <w:t> </w:t>
      </w:r>
    </w:p>
    <w:tbl>
      <w:tblPr>
        <w:tblW w:w="9760" w:type="dxa"/>
        <w:jc w:val="left"/>
        <w:tblInd w:w="0" w:type="dxa"/>
        <w:tblCellMar>
          <w:top w:w="28" w:type="dxa"/>
          <w:left w:w="28" w:type="dxa"/>
          <w:bottom w:w="28" w:type="dxa"/>
          <w:right w:w="28" w:type="dxa"/>
        </w:tblCellMar>
      </w:tblPr>
      <w:tblGrid>
        <w:gridCol w:w="6931"/>
        <w:gridCol w:w="211"/>
        <w:gridCol w:w="676"/>
        <w:gridCol w:w="146"/>
        <w:gridCol w:w="211"/>
        <w:gridCol w:w="571"/>
        <w:gridCol w:w="146"/>
        <w:gridCol w:w="211"/>
        <w:gridCol w:w="466"/>
        <w:gridCol w:w="191"/>
      </w:tblGrid>
      <w:tr>
        <w:trPr/>
        <w:tc>
          <w:tcPr>
            <w:tcW w:w="6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931" w:type="dxa"/>
            <w:tcBorders/>
            <w:shd w:fill="auto" w:val="clear"/>
            <w:vAlign w:val="center"/>
          </w:tcPr>
          <w:p>
            <w:pPr>
              <w:pStyle w:val="TableContents"/>
              <w:spacing w:lineRule="auto" w:line="252" w:before="0" w:after="0"/>
              <w:ind w:left="0" w:right="0" w:hanging="0"/>
              <w:jc w:val="left"/>
              <w:rPr/>
            </w:pPr>
            <w:r>
              <w:rPr/>
              <w:t> </w:t>
            </w:r>
          </w:p>
        </w:tc>
        <w:tc>
          <w:tcPr>
            <w:tcW w:w="2638"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931"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9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 average grant date fair value (per share) of stock option units granted (C$)</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93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Intrinsic value of stock option units exercised, using market price at vest date (US$)</w:t>
              <w:br/>
            </w:r>
            <w:r>
              <w:rPr>
                <w:rFonts w:ascii="Times New Roman" w:hAnsi="Times New Roman"/>
                <w:b w:val="false"/>
                <w:i/>
                <w:sz w:val="20"/>
              </w:rPr>
              <w:t>(in thousands)</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18,142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used the Black-Scholes Option Pricing model to estimate the fair value of the options granted during the year ended December 31, 2021 and the year ended December 31, 2020, using the following ranges of assumptions:</w:t>
      </w:r>
      <w:r>
        <w:rPr>
          <w:rFonts w:ascii="Times New Roman" w:hAnsi="Times New Roman"/>
          <w:sz w:val="20"/>
        </w:rPr>
        <w:t xml:space="preserve"> </w:t>
      </w:r>
    </w:p>
    <w:p>
      <w:pPr>
        <w:pStyle w:val="TextBody"/>
        <w:spacing w:lineRule="auto" w:line="273" w:before="0" w:after="0"/>
        <w:jc w:val="left"/>
        <w:rPr/>
      </w:pPr>
      <w:r>
        <w:rPr/>
        <w:t> </w:t>
      </w:r>
    </w:p>
    <w:tbl>
      <w:tblPr>
        <w:tblW w:w="4788" w:type="dxa"/>
        <w:jc w:val="left"/>
        <w:tblInd w:w="0" w:type="dxa"/>
        <w:tblCellMar>
          <w:top w:w="28" w:type="dxa"/>
          <w:left w:w="28" w:type="dxa"/>
          <w:bottom w:w="28" w:type="dxa"/>
          <w:right w:w="28" w:type="dxa"/>
        </w:tblCellMar>
      </w:tblPr>
      <w:tblGrid>
        <w:gridCol w:w="2131"/>
        <w:gridCol w:w="1306"/>
        <w:gridCol w:w="1351"/>
      </w:tblGrid>
      <w:tr>
        <w:trPr/>
        <w:tc>
          <w:tcPr>
            <w:tcW w:w="213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r>
      <w:tr>
        <w:trPr/>
        <w:tc>
          <w:tcPr>
            <w:tcW w:w="2131" w:type="dxa"/>
            <w:tcBorders/>
            <w:shd w:fill="auto" w:val="clear"/>
            <w:vAlign w:val="center"/>
          </w:tcPr>
          <w:p>
            <w:pPr>
              <w:pStyle w:val="TableContents"/>
              <w:spacing w:lineRule="auto" w:line="252"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0.33% - 1.39%</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0.31% - 1.37%</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73%</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80%</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option life</w:t>
            </w:r>
          </w:p>
        </w:tc>
        <w:tc>
          <w:tcPr>
            <w:tcW w:w="1306"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3</w:t>
            </w:r>
            <w:r>
              <w:rPr>
                <w:rFonts w:ascii="Times New Roman" w:hAnsi="Times New Roman"/>
                <w:sz w:val="20"/>
              </w:rPr>
              <w:t xml:space="preserve"> – </w:t>
            </w:r>
            <w:r>
              <w:rPr>
                <w:rFonts w:ascii="Times New Roman" w:hAnsi="Times New Roman"/>
                <w:b w:val="false"/>
                <w:sz w:val="20"/>
              </w:rPr>
              <w:t>3.5</w:t>
            </w:r>
            <w:r>
              <w:rPr>
                <w:rFonts w:ascii="Times New Roman" w:hAnsi="Times New Roman"/>
                <w:sz w:val="20"/>
              </w:rPr>
              <w:t> </w:t>
            </w:r>
            <w:r>
              <w:rPr>
                <w:rFonts w:ascii="Times New Roman" w:hAnsi="Times New Roman"/>
                <w:b w:val="false"/>
                <w:sz w:val="20"/>
              </w:rPr>
              <w:t>years</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3</w:t>
            </w:r>
            <w:r>
              <w:rPr>
                <w:rFonts w:ascii="Times New Roman" w:hAnsi="Times New Roman"/>
                <w:sz w:val="20"/>
              </w:rPr>
              <w:t> </w:t>
            </w:r>
            <w:r>
              <w:rPr>
                <w:rFonts w:ascii="Times New Roman" w:hAnsi="Times New Roman"/>
                <w:b w:val="false"/>
                <w:sz w:val="20"/>
              </w:rPr>
              <w:t>- 5</w:t>
            </w:r>
            <w:r>
              <w:rPr>
                <w:rFonts w:ascii="Times New Roman" w:hAnsi="Times New Roman"/>
                <w:sz w:val="20"/>
              </w:rPr>
              <w:t> </w:t>
            </w:r>
            <w:r>
              <w:rPr>
                <w:rFonts w:ascii="Times New Roman" w:hAnsi="Times New Roman"/>
                <w:b w:val="false"/>
                <w:sz w:val="20"/>
              </w:rPr>
              <w:t>years</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permitted under ASC 718, the Company has made an accounting policy choice to account for forfeitures when they occur.</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summarizes the number of non-vested RSU awards as of December 31, 2021 and December 31, 2020 and the changes during the year ended December 31, 2021:</w:t>
      </w:r>
      <w:r>
        <w:rPr>
          <w:rFonts w:ascii="Times New Roman" w:hAnsi="Times New Roman"/>
          <w:sz w:val="20"/>
        </w:rPr>
        <w:t xml:space="preserve"> </w:t>
      </w:r>
    </w:p>
    <w:p>
      <w:pPr>
        <w:pStyle w:val="TextBody"/>
        <w:spacing w:lineRule="auto" w:line="273" w:before="0" w:after="0"/>
        <w:jc w:val="left"/>
        <w:rPr/>
      </w:pPr>
      <w:r>
        <w:rPr/>
        <w:t> </w:t>
      </w:r>
    </w:p>
    <w:tbl>
      <w:tblPr>
        <w:tblW w:w="8683" w:type="dxa"/>
        <w:jc w:val="left"/>
        <w:tblInd w:w="0" w:type="dxa"/>
        <w:tblCellMar>
          <w:top w:w="28" w:type="dxa"/>
          <w:left w:w="28" w:type="dxa"/>
          <w:bottom w:w="28" w:type="dxa"/>
          <w:right w:w="28" w:type="dxa"/>
        </w:tblCellMar>
      </w:tblPr>
      <w:tblGrid>
        <w:gridCol w:w="3376"/>
        <w:gridCol w:w="208"/>
        <w:gridCol w:w="1202"/>
        <w:gridCol w:w="166"/>
        <w:gridCol w:w="720"/>
        <w:gridCol w:w="2820"/>
        <w:gridCol w:w="191"/>
      </w:tblGrid>
      <w:tr>
        <w:trPr/>
        <w:tc>
          <w:tcPr>
            <w:tcW w:w="337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8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lineRule="auto" w:line="252" w:before="0" w:after="0"/>
              <w:ind w:left="0" w:right="0" w:hanging="0"/>
              <w:jc w:val="left"/>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5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 Grant Date Fair Value (C$)</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Shares at December 31, 2020</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20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689,340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left"/>
              <w:rPr/>
            </w:pPr>
            <w:r>
              <w:rPr/>
              <w:t> </w:t>
            </w:r>
          </w:p>
        </w:tc>
        <w:tc>
          <w:tcPr>
            <w:tcW w:w="28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20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184,134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left"/>
              <w:rPr/>
            </w:pPr>
            <w:r>
              <w:rPr/>
              <w:t> </w:t>
            </w:r>
          </w:p>
        </w:tc>
        <w:tc>
          <w:tcPr>
            <w:tcW w:w="28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34.76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Forfeited</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20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(107,817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20" w:type="dxa"/>
            <w:tcBorders/>
            <w:shd w:fill="auto" w:val="clear"/>
            <w:vAlign w:val="center"/>
          </w:tcPr>
          <w:p>
            <w:pPr>
              <w:pStyle w:val="TableContents"/>
              <w:spacing w:lineRule="auto" w:line="252" w:before="0" w:after="0"/>
              <w:ind w:left="0" w:right="0" w:hanging="0"/>
              <w:jc w:val="left"/>
              <w:rPr/>
            </w:pPr>
            <w:r>
              <w:rPr/>
              <w:t> </w:t>
            </w:r>
          </w:p>
        </w:tc>
        <w:tc>
          <w:tcPr>
            <w:tcW w:w="28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(389,530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8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Nonvested Shares at December 31, 2021</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120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376,127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left"/>
              <w:rPr/>
            </w:pPr>
            <w:r>
              <w:rPr/>
              <w:t> </w:t>
            </w:r>
          </w:p>
        </w:tc>
        <w:tc>
          <w:tcPr>
            <w:tcW w:w="282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20.39</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following table summarizes the weighted average grant date fair value of RSUs granted and total fair value of RSUs vested for the years ended December 31, 2021, 2020 and 2019:</w:t>
      </w:r>
      <w:r>
        <w:rPr>
          <w:rFonts w:ascii="Times New Roman" w:hAnsi="Times New Roman"/>
          <w:sz w:val="20"/>
        </w:rPr>
        <w:t xml:space="preserve"> </w:t>
      </w:r>
    </w:p>
    <w:p>
      <w:pPr>
        <w:pStyle w:val="TextBody"/>
        <w:spacing w:lineRule="auto" w:line="273" w:before="0" w:after="0"/>
        <w:jc w:val="left"/>
        <w:rPr/>
      </w:pPr>
      <w:r>
        <w:rPr/>
        <w:t> </w:t>
      </w:r>
    </w:p>
    <w:tbl>
      <w:tblPr>
        <w:tblW w:w="8665" w:type="dxa"/>
        <w:jc w:val="left"/>
        <w:tblInd w:w="0" w:type="dxa"/>
        <w:tblCellMar>
          <w:top w:w="28" w:type="dxa"/>
          <w:left w:w="28" w:type="dxa"/>
          <w:bottom w:w="28" w:type="dxa"/>
          <w:right w:w="28" w:type="dxa"/>
        </w:tblCellMar>
      </w:tblPr>
      <w:tblGrid>
        <w:gridCol w:w="5626"/>
        <w:gridCol w:w="211"/>
        <w:gridCol w:w="676"/>
        <w:gridCol w:w="146"/>
        <w:gridCol w:w="211"/>
        <w:gridCol w:w="571"/>
        <w:gridCol w:w="146"/>
        <w:gridCol w:w="211"/>
        <w:gridCol w:w="676"/>
        <w:gridCol w:w="191"/>
      </w:tblGrid>
      <w:tr>
        <w:trPr/>
        <w:tc>
          <w:tcPr>
            <w:tcW w:w="56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626" w:type="dxa"/>
            <w:tcBorders/>
            <w:shd w:fill="auto" w:val="clear"/>
            <w:vAlign w:val="center"/>
          </w:tcPr>
          <w:p>
            <w:pPr>
              <w:pStyle w:val="TableContents"/>
              <w:spacing w:lineRule="auto" w:line="252" w:before="0" w:after="0"/>
              <w:ind w:left="0" w:right="0" w:hanging="0"/>
              <w:jc w:val="left"/>
              <w:rPr/>
            </w:pPr>
            <w:r>
              <w:rPr/>
              <w:t> </w:t>
            </w:r>
          </w:p>
        </w:tc>
        <w:tc>
          <w:tcPr>
            <w:tcW w:w="2848"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2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 xml:space="preserve">Weighted average grant date fair value (per share) </w:t>
              <w:br/>
              <w:t>of RSUs granted (C$)</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11.70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62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Intrinsic value of RSUs vested, using market price at vest date (US$)</w:t>
              <w:br/>
            </w:r>
            <w:r>
              <w:rPr>
                <w:rFonts w:ascii="Times New Roman" w:hAnsi="Times New Roman"/>
                <w:b w:val="false"/>
                <w:i/>
                <w:sz w:val="20"/>
              </w:rPr>
              <w:t>(in thousands)</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13,522</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F-37</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 xml:space="preserve">11. SHARE CAPITAL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sz w:val="20"/>
        </w:rPr>
        <w:t>(c) Stock-Based Compensation</w:t>
      </w:r>
      <w:r>
        <w:rPr>
          <w:rFonts w:ascii="Times New Roman" w:hAnsi="Times New Roman"/>
          <w:sz w:val="20"/>
        </w:rPr>
        <w:t xml:space="preserve"> </w:t>
      </w:r>
      <w:r>
        <w:rPr>
          <w:rFonts w:ascii="Times New Roman" w:hAnsi="Times New Roman"/>
          <w:b w:val="false"/>
          <w:i/>
          <w:sz w:val="20"/>
        </w:rPr>
        <w:t>(Continued)</w:t>
      </w:r>
    </w:p>
    <w:p>
      <w:pPr>
        <w:pStyle w:val="TextBody"/>
        <w:spacing w:lineRule="auto" w:line="273" w:before="120" w:after="0"/>
        <w:jc w:val="left"/>
        <w:rPr>
          <w:rFonts w:ascii="Times New Roman" w:hAnsi="Times New Roman"/>
          <w:sz w:val="20"/>
        </w:rPr>
      </w:pPr>
      <w:r>
        <w:rPr>
          <w:rFonts w:ascii="Times New Roman" w:hAnsi="Times New Roman"/>
          <w:b w:val="false"/>
          <w:sz w:val="20"/>
        </w:rPr>
        <w:t>The stock-based compensation expense for the years ended December 31, 2021, 2020 and 2019 was as follows:</w:t>
      </w:r>
      <w:r>
        <w:rPr>
          <w:rFonts w:ascii="Times New Roman" w:hAnsi="Times New Roman"/>
          <w:sz w:val="20"/>
        </w:rPr>
        <w:t xml:space="preserve"> </w:t>
      </w:r>
    </w:p>
    <w:p>
      <w:pPr>
        <w:pStyle w:val="TextBody"/>
        <w:spacing w:lineRule="auto" w:line="273" w:before="0" w:after="0"/>
        <w:jc w:val="left"/>
        <w:rPr/>
      </w:pPr>
      <w:r>
        <w:rPr/>
        <w:t> </w:t>
      </w:r>
    </w:p>
    <w:tbl>
      <w:tblPr>
        <w:tblW w:w="7153" w:type="dxa"/>
        <w:jc w:val="left"/>
        <w:tblInd w:w="0" w:type="dxa"/>
        <w:tblCellMar>
          <w:top w:w="28" w:type="dxa"/>
          <w:left w:w="28" w:type="dxa"/>
          <w:bottom w:w="28" w:type="dxa"/>
          <w:right w:w="28" w:type="dxa"/>
        </w:tblCellMar>
      </w:tblPr>
      <w:tblGrid>
        <w:gridCol w:w="3571"/>
        <w:gridCol w:w="211"/>
        <w:gridCol w:w="146"/>
        <w:gridCol w:w="676"/>
        <w:gridCol w:w="146"/>
        <w:gridCol w:w="211"/>
        <w:gridCol w:w="146"/>
        <w:gridCol w:w="676"/>
        <w:gridCol w:w="146"/>
        <w:gridCol w:w="211"/>
        <w:gridCol w:w="146"/>
        <w:gridCol w:w="676"/>
        <w:gridCol w:w="191"/>
      </w:tblGrid>
      <w:tr>
        <w:trPr/>
        <w:tc>
          <w:tcPr>
            <w:tcW w:w="3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318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For the Years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7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7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318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 options expense</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10,938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6,393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Stock Units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6,402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8,399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11,892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Stock Based Compensation Expense</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19,600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19,337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18,285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$23,199</w:t>
      </w:r>
      <w:r>
        <w:rPr>
          <w:rFonts w:ascii="Times New Roman" w:hAnsi="Times New Roman"/>
          <w:sz w:val="20"/>
        </w:rPr>
        <w:t xml:space="preserve"> </w:t>
      </w:r>
      <w:r>
        <w:rPr>
          <w:rFonts w:ascii="Times New Roman" w:hAnsi="Times New Roman"/>
          <w:b w:val="false"/>
          <w:sz w:val="20"/>
        </w:rPr>
        <w:t>thousand of total unrecognized expense related to stock-based compensation awards is expected to be recognized over a weighted-average period of 2.02</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12. INCOME TAX EXPENSE</w:t>
      </w:r>
      <w:r>
        <w:rPr>
          <w:rFonts w:ascii="Times New Roman" w:hAnsi="Times New Roman"/>
          <w:sz w:val="20"/>
        </w:rPr>
        <w:t xml:space="preserve"> </w:t>
      </w:r>
    </w:p>
    <w:p>
      <w:pPr>
        <w:pStyle w:val="TextBody"/>
        <w:pBdr>
          <w:bottom w:val="single" w:sz="6" w:space="1" w:color="000000"/>
        </w:pBdr>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The Company accounts for income taxes in accordance with ASC 740 - </w:t>
      </w:r>
      <w:r>
        <w:rPr>
          <w:rFonts w:ascii="Times New Roman" w:hAnsi="Times New Roman"/>
          <w:b w:val="false"/>
          <w:i/>
          <w:sz w:val="20"/>
        </w:rPr>
        <w:t>Income Taxes</w:t>
      </w:r>
      <w:r>
        <w:rPr>
          <w:rFonts w:ascii="Times New Roman" w:hAnsi="Times New Roman"/>
          <w:b w:val="false"/>
          <w:sz w:val="20"/>
        </w:rPr>
        <w:t>, under which deferred tax assets and liabilities are recognized based upon anticipated future tax consequences attributable to differences between financial statement carrying values of assets and liabilities and the respective tax bases.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Green Thumb Industries Inc. is organized in Canada but maintains all of its operations in the United States. Due to this inverted entity structure, the Company is subject to both US and Canadian taxation.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For the years ended December 31, 2021, 2020 and 2019, income taxes expense consisted of:</w:t>
      </w:r>
    </w:p>
    <w:p>
      <w:pPr>
        <w:pStyle w:val="TextBody"/>
        <w:spacing w:lineRule="auto" w:line="273" w:before="0" w:after="0"/>
        <w:jc w:val="left"/>
        <w:rPr/>
      </w:pPr>
      <w:r>
        <w:rPr/>
        <w:t> </w:t>
      </w:r>
    </w:p>
    <w:tbl>
      <w:tblPr>
        <w:tblW w:w="5932" w:type="dxa"/>
        <w:jc w:val="left"/>
        <w:tblInd w:w="0" w:type="dxa"/>
        <w:tblCellMar>
          <w:top w:w="28" w:type="dxa"/>
          <w:left w:w="28" w:type="dxa"/>
          <w:bottom w:w="28" w:type="dxa"/>
          <w:right w:w="28" w:type="dxa"/>
        </w:tblCellMar>
      </w:tblPr>
      <w:tblGrid>
        <w:gridCol w:w="1291"/>
        <w:gridCol w:w="211"/>
        <w:gridCol w:w="1171"/>
        <w:gridCol w:w="211"/>
        <w:gridCol w:w="1231"/>
        <w:gridCol w:w="211"/>
        <w:gridCol w:w="1606"/>
      </w:tblGrid>
      <w:tr>
        <w:trPr/>
        <w:tc>
          <w:tcPr>
            <w:tcW w:w="1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1291" w:type="dxa"/>
            <w:tcBorders/>
            <w:shd w:fill="auto" w:val="clear"/>
            <w:vAlign w:val="center"/>
          </w:tcPr>
          <w:p>
            <w:pPr>
              <w:pStyle w:val="TableContents"/>
              <w:spacing w:lineRule="auto" w:line="252" w:before="0" w:after="0"/>
              <w:ind w:left="0" w:right="0" w:hanging="0"/>
              <w:jc w:val="left"/>
              <w:rPr/>
            </w:pPr>
            <w:r>
              <w:rPr/>
              <w:t> </w:t>
            </w:r>
          </w:p>
        </w:tc>
        <w:tc>
          <w:tcPr>
            <w:tcW w:w="464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Years Ended December 31,</w:t>
            </w:r>
          </w:p>
        </w:tc>
      </w:tr>
      <w:tr>
        <w:trPr/>
        <w:tc>
          <w:tcPr>
            <w:tcW w:w="1291"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6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r>
      <w:tr>
        <w:trPr/>
        <w:tc>
          <w:tcPr>
            <w:tcW w:w="1291" w:type="dxa"/>
            <w:tcBorders/>
            <w:shd w:fill="auto" w:val="clear"/>
            <w:vAlign w:val="center"/>
          </w:tcPr>
          <w:p>
            <w:pPr>
              <w:pStyle w:val="TableContents"/>
              <w:spacing w:lineRule="auto" w:line="252" w:before="0" w:after="0"/>
              <w:ind w:left="0" w:right="0" w:hanging="0"/>
              <w:jc w:val="left"/>
              <w:rPr/>
            </w:pPr>
            <w:r>
              <w:rPr/>
              <w:t> </w:t>
            </w:r>
          </w:p>
        </w:tc>
        <w:tc>
          <w:tcPr>
            <w:tcW w:w="464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r>
      <w:tr>
        <w:trPr/>
        <w:tc>
          <w:tcPr>
            <w:tcW w:w="129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Current:</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23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606" w:type="dxa"/>
            <w:tcBorders/>
            <w:shd w:fill="auto" w:val="clear"/>
            <w:vAlign w:val="center"/>
          </w:tcPr>
          <w:p>
            <w:pPr>
              <w:pStyle w:val="TableContents"/>
              <w:spacing w:lineRule="auto" w:line="252" w:before="0" w:after="0"/>
              <w:ind w:left="0" w:right="0" w:firstLine="300"/>
              <w:jc w:val="left"/>
              <w:rPr/>
            </w:pPr>
            <w:r>
              <w:rPr/>
              <w:t> </w:t>
            </w:r>
          </w:p>
        </w:tc>
      </w:tr>
      <w:tr>
        <w:trPr/>
        <w:tc>
          <w:tcPr>
            <w:tcW w:w="1291"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Federal</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1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96,749</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2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65,118</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606" w:type="dxa"/>
            <w:tcBorders/>
            <w:shd w:fill="auto" w:val="clear"/>
            <w:vAlign w:val="center"/>
          </w:tcPr>
          <w:p>
            <w:pPr>
              <w:pStyle w:val="TableContents"/>
              <w:spacing w:lineRule="auto" w:line="252" w:before="0" w:after="0"/>
              <w:ind w:left="0" w:right="0" w:firstLine="300"/>
              <w:jc w:val="right"/>
              <w:rPr>
                <w:rFonts w:ascii="Times New Roman" w:hAnsi="Times New Roman"/>
                <w:b w:val="false"/>
                <w:sz w:val="20"/>
              </w:rPr>
            </w:pPr>
            <w:r>
              <w:rPr>
                <w:rFonts w:ascii="Times New Roman" w:hAnsi="Times New Roman"/>
                <w:b w:val="false"/>
                <w:sz w:val="20"/>
              </w:rPr>
              <w:t>18,096</w:t>
            </w:r>
          </w:p>
        </w:tc>
      </w:tr>
      <w:tr>
        <w:trPr/>
        <w:tc>
          <w:tcPr>
            <w:tcW w:w="1291"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State</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35,402</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16,640</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606" w:type="dxa"/>
            <w:tcBorders/>
            <w:shd w:fill="auto" w:val="clear"/>
            <w:vAlign w:val="center"/>
          </w:tcPr>
          <w:p>
            <w:pPr>
              <w:pStyle w:val="TableContents"/>
              <w:spacing w:lineRule="auto" w:line="252" w:before="0" w:after="0"/>
              <w:ind w:left="0" w:right="0" w:firstLine="300"/>
              <w:jc w:val="right"/>
              <w:rPr>
                <w:rFonts w:ascii="Times New Roman" w:hAnsi="Times New Roman"/>
                <w:b w:val="false"/>
                <w:sz w:val="20"/>
              </w:rPr>
            </w:pPr>
            <w:r>
              <w:rPr>
                <w:rFonts w:ascii="Times New Roman" w:hAnsi="Times New Roman"/>
                <w:b w:val="false"/>
                <w:sz w:val="20"/>
              </w:rPr>
              <w:t>4,665</w:t>
            </w:r>
          </w:p>
        </w:tc>
      </w:tr>
      <w:tr>
        <w:trPr/>
        <w:tc>
          <w:tcPr>
            <w:tcW w:w="1291"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Foreign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right"/>
              <w:rPr/>
            </w:pPr>
            <w:r>
              <w:rPr/>
              <w:t xml:space="preserve">— </w:t>
            </w:r>
          </w:p>
        </w:tc>
      </w:tr>
      <w:tr>
        <w:trPr/>
        <w:tc>
          <w:tcPr>
            <w:tcW w:w="1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Total Current</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132,151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81,758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22,761</w:t>
            </w:r>
          </w:p>
        </w:tc>
      </w:tr>
      <w:tr>
        <w:trPr/>
        <w:tc>
          <w:tcPr>
            <w:tcW w:w="129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Deferred:</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3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606" w:type="dxa"/>
            <w:tcBorders/>
            <w:shd w:fill="auto" w:val="clear"/>
            <w:vAlign w:val="center"/>
          </w:tcPr>
          <w:p>
            <w:pPr>
              <w:pStyle w:val="TableContents"/>
              <w:spacing w:lineRule="auto" w:line="252" w:before="0" w:after="0"/>
              <w:ind w:left="0" w:right="0" w:firstLine="300"/>
              <w:jc w:val="left"/>
              <w:rPr/>
            </w:pPr>
            <w:r>
              <w:rPr/>
              <w:t> </w:t>
            </w:r>
          </w:p>
        </w:tc>
      </w:tr>
      <w:tr>
        <w:trPr/>
        <w:tc>
          <w:tcPr>
            <w:tcW w:w="1291"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Federal</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(6,151)</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3,520</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606" w:type="dxa"/>
            <w:tcBorders/>
            <w:shd w:fill="auto" w:val="clear"/>
            <w:vAlign w:val="center"/>
          </w:tcPr>
          <w:p>
            <w:pPr>
              <w:pStyle w:val="TableContents"/>
              <w:spacing w:lineRule="auto" w:line="252" w:before="0" w:after="0"/>
              <w:ind w:left="0" w:right="0" w:firstLine="300"/>
              <w:jc w:val="right"/>
              <w:rPr/>
            </w:pPr>
            <w:r>
              <w:rPr/>
              <w:t>       </w:t>
            </w:r>
            <w:r>
              <w:rPr>
                <w:rFonts w:ascii="Times New Roman" w:hAnsi="Times New Roman"/>
                <w:b w:val="false"/>
                <w:sz w:val="20"/>
              </w:rPr>
              <w:t>(12,535)</w:t>
            </w:r>
          </w:p>
        </w:tc>
      </w:tr>
      <w:tr>
        <w:trPr/>
        <w:tc>
          <w:tcPr>
            <w:tcW w:w="1291"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State</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(1,388)</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3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(1,425)</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606" w:type="dxa"/>
            <w:tcBorders/>
            <w:shd w:fill="auto" w:val="clear"/>
            <w:vAlign w:val="center"/>
          </w:tcPr>
          <w:p>
            <w:pPr>
              <w:pStyle w:val="TableContents"/>
              <w:spacing w:lineRule="auto" w:line="252" w:before="0" w:after="0"/>
              <w:ind w:left="0" w:right="0" w:firstLine="300"/>
              <w:jc w:val="right"/>
              <w:rPr/>
            </w:pPr>
            <w:r>
              <w:rPr/>
              <w:t>            </w:t>
            </w:r>
            <w:r>
              <w:rPr>
                <w:rFonts w:ascii="Times New Roman" w:hAnsi="Times New Roman"/>
                <w:b w:val="false"/>
                <w:sz w:val="20"/>
              </w:rPr>
              <w:t>(882)</w:t>
            </w:r>
          </w:p>
        </w:tc>
      </w:tr>
      <w:tr>
        <w:trPr/>
        <w:tc>
          <w:tcPr>
            <w:tcW w:w="1291" w:type="dxa"/>
            <w:tcBorders/>
            <w:shd w:fill="auto" w:val="clear"/>
            <w:vAlign w:val="center"/>
          </w:tcPr>
          <w:p>
            <w:pPr>
              <w:pStyle w:val="TableContents"/>
              <w:spacing w:lineRule="auto" w:line="252" w:before="0" w:after="0"/>
              <w:ind w:left="300" w:right="0" w:hanging="0"/>
              <w:jc w:val="left"/>
              <w:rPr>
                <w:rFonts w:ascii="Times New Roman" w:hAnsi="Times New Roman"/>
                <w:b w:val="false"/>
                <w:sz w:val="20"/>
              </w:rPr>
            </w:pPr>
            <w:r>
              <w:rPr>
                <w:rFonts w:ascii="Times New Roman" w:hAnsi="Times New Roman"/>
                <w:b w:val="false"/>
                <w:sz w:val="20"/>
              </w:rPr>
              <w:t>Foreign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right"/>
              <w:rPr/>
            </w:pPr>
            <w:r>
              <w:rPr/>
              <w:t xml:space="preserve">— </w:t>
            </w:r>
          </w:p>
        </w:tc>
      </w:tr>
      <w:tr>
        <w:trPr/>
        <w:tc>
          <w:tcPr>
            <w:tcW w:w="12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Total Deferred</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(7,539)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2,095</w:t>
            </w:r>
            <w:r>
              <w:rPr>
                <w:rFonts w:ascii="Times New Roman" w:hAnsi="Times New Roman"/>
                <w:sz w:val="20"/>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(13,417)</w:t>
            </w:r>
          </w:p>
        </w:tc>
      </w:tr>
      <w:tr>
        <w:trPr/>
        <w:tc>
          <w:tcPr>
            <w:tcW w:w="129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Total</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124,612</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83,853</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6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9,344</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difference between the income tax expense for the years ended December 31, 2021, 2020 and 2019</w:t>
      </w:r>
      <w:r>
        <w:rPr>
          <w:rFonts w:ascii="Times New Roman" w:hAnsi="Times New Roman"/>
          <w:sz w:val="20"/>
        </w:rPr>
        <w:t xml:space="preserve"> </w:t>
      </w:r>
      <w:r>
        <w:rPr>
          <w:rFonts w:ascii="Times New Roman" w:hAnsi="Times New Roman"/>
          <w:b w:val="false"/>
          <w:sz w:val="20"/>
        </w:rPr>
        <w:t>and the expected income taxes based on the statutory tax rate applied to earnings (loss) arises as follows: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F-38</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12. INCOME TAX EXPENSE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left"/>
        <w:rPr/>
      </w:pPr>
      <w:r>
        <w:rPr/>
        <w:t> </w:t>
      </w:r>
    </w:p>
    <w:tbl>
      <w:tblPr>
        <w:tblW w:w="8767" w:type="dxa"/>
        <w:jc w:val="left"/>
        <w:tblInd w:w="0" w:type="dxa"/>
        <w:tblCellMar>
          <w:top w:w="28" w:type="dxa"/>
          <w:left w:w="28" w:type="dxa"/>
          <w:bottom w:w="28" w:type="dxa"/>
          <w:right w:w="28" w:type="dxa"/>
        </w:tblCellMar>
      </w:tblPr>
      <w:tblGrid>
        <w:gridCol w:w="3826"/>
        <w:gridCol w:w="211"/>
        <w:gridCol w:w="1411"/>
        <w:gridCol w:w="211"/>
        <w:gridCol w:w="1441"/>
        <w:gridCol w:w="211"/>
        <w:gridCol w:w="1456"/>
      </w:tblGrid>
      <w:tr>
        <w:trPr/>
        <w:tc>
          <w:tcPr>
            <w:tcW w:w="3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r>
      <w:tr>
        <w:trPr/>
        <w:tc>
          <w:tcPr>
            <w:tcW w:w="3826" w:type="dxa"/>
            <w:tcBorders/>
            <w:shd w:fill="auto" w:val="clear"/>
            <w:vAlign w:val="center"/>
          </w:tcPr>
          <w:p>
            <w:pPr>
              <w:pStyle w:val="TableContents"/>
              <w:spacing w:lineRule="auto" w:line="252" w:before="0" w:after="0"/>
              <w:ind w:left="0" w:right="0" w:hanging="0"/>
              <w:jc w:val="left"/>
              <w:rPr/>
            </w:pPr>
            <w:r>
              <w:rPr/>
              <w:t> </w:t>
            </w:r>
          </w:p>
        </w:tc>
        <w:tc>
          <w:tcPr>
            <w:tcW w:w="494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Years Ended December 31,</w:t>
            </w:r>
          </w:p>
        </w:tc>
      </w:tr>
      <w:tr>
        <w:trPr/>
        <w:tc>
          <w:tcPr>
            <w:tcW w:w="382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r>
      <w:tr>
        <w:trPr/>
        <w:tc>
          <w:tcPr>
            <w:tcW w:w="3826" w:type="dxa"/>
            <w:tcBorders/>
            <w:shd w:fill="auto" w:val="clear"/>
            <w:vAlign w:val="center"/>
          </w:tcPr>
          <w:p>
            <w:pPr>
              <w:pStyle w:val="TableContents"/>
              <w:spacing w:lineRule="auto" w:line="252" w:before="0" w:after="0"/>
              <w:ind w:left="0" w:right="0" w:hanging="0"/>
              <w:jc w:val="left"/>
              <w:rPr/>
            </w:pPr>
            <w:r>
              <w:rPr/>
              <w:t> </w:t>
            </w:r>
          </w:p>
        </w:tc>
        <w:tc>
          <w:tcPr>
            <w:tcW w:w="494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Income/(Loss) before Income Taxes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204,975</w:t>
            </w:r>
            <w:r>
              <w:rPr>
                <w:rFonts w:ascii="Times New Roman" w:hAnsi="Times New Roman"/>
                <w:sz w:val="20"/>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102,931</w:t>
            </w:r>
            <w:r>
              <w:rPr>
                <w:rFonts w:ascii="Times New Roman" w:hAnsi="Times New Roman"/>
                <w:sz w:val="20"/>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(50,202)</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Statutory Tax Rates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Expense/(Recovery) based on Statutory Rates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43,045</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21,615</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(10,542)</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State Taxes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31,476</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14,837</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(1,537)</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Provision to Return Adjustment</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971</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5,299</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(1,209)</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Adjustments for Stock Compensation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(1,836)</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(211)</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(1,952)</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Non-deductible Expenses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40,847</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27,570</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14,166</w:t>
            </w:r>
            <w:r>
              <w:rPr>
                <w:rFonts w:ascii="Times New Roman" w:hAnsi="Times New Roman"/>
                <w:sz w:val="20"/>
              </w:rPr>
              <w:t xml:space="preserve"> </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 in State Rate Reconciliation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54</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(2,535)</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513</w:t>
            </w:r>
            <w:r>
              <w:rPr>
                <w:rFonts w:ascii="Times New Roman" w:hAnsi="Times New Roman"/>
                <w:sz w:val="20"/>
              </w:rPr>
              <w:t xml:space="preserve"> </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 in Valuation Allowance</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10,712</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7,706</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7,604</w:t>
            </w:r>
            <w:r>
              <w:rPr>
                <w:rFonts w:ascii="Times New Roman" w:hAnsi="Times New Roman"/>
                <w:sz w:val="20"/>
              </w:rPr>
              <w:t xml:space="preserve"> </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 in Uncertain Tax Position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2,776</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4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9,918</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2,113</w:t>
            </w:r>
            <w:r>
              <w:rPr>
                <w:rFonts w:ascii="Times New Roman" w:hAnsi="Times New Roman"/>
                <w:sz w:val="20"/>
              </w:rPr>
              <w:t xml:space="preserve"> </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Differences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(3,433)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(346)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188</w:t>
            </w:r>
            <w:r>
              <w:rPr>
                <w:rFonts w:ascii="Times New Roman" w:hAnsi="Times New Roman"/>
                <w:sz w:val="20"/>
              </w:rPr>
              <w:t xml:space="preserve"> </w:t>
            </w:r>
          </w:p>
        </w:tc>
      </w:tr>
      <w:tr>
        <w:trPr/>
        <w:tc>
          <w:tcPr>
            <w:tcW w:w="38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Income Tax Expense</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124,612</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4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83,853</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w:t>
            </w:r>
          </w:p>
        </w:tc>
        <w:tc>
          <w:tcPr>
            <w:tcW w:w="14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9,344</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Income taxes paid for the years ended December 31, 2021, 2020 and 2019</w:t>
      </w:r>
      <w:r>
        <w:rPr>
          <w:rFonts w:ascii="Times New Roman" w:hAnsi="Times New Roman"/>
          <w:sz w:val="20"/>
        </w:rPr>
        <w:t xml:space="preserve"> </w:t>
      </w:r>
      <w:r>
        <w:rPr>
          <w:rFonts w:ascii="Times New Roman" w:hAnsi="Times New Roman"/>
          <w:b w:val="false"/>
          <w:sz w:val="20"/>
        </w:rPr>
        <w:t>were $148,104</w:t>
      </w:r>
      <w:r>
        <w:rPr>
          <w:rFonts w:ascii="Times New Roman" w:hAnsi="Times New Roman"/>
          <w:sz w:val="20"/>
        </w:rPr>
        <w:t xml:space="preserve"> </w:t>
      </w:r>
      <w:r>
        <w:rPr>
          <w:rFonts w:ascii="Times New Roman" w:hAnsi="Times New Roman"/>
          <w:b w:val="false"/>
          <w:sz w:val="20"/>
        </w:rPr>
        <w:t>thousand, $72,575</w:t>
      </w:r>
      <w:r>
        <w:rPr>
          <w:rFonts w:ascii="Times New Roman" w:hAnsi="Times New Roman"/>
          <w:sz w:val="20"/>
        </w:rPr>
        <w:t xml:space="preserve"> </w:t>
      </w:r>
      <w:r>
        <w:rPr>
          <w:rFonts w:ascii="Times New Roman" w:hAnsi="Times New Roman"/>
          <w:b w:val="false"/>
          <w:sz w:val="20"/>
        </w:rPr>
        <w:t>thousand and $18,510</w:t>
      </w:r>
      <w:r>
        <w:rPr>
          <w:rFonts w:ascii="Times New Roman" w:hAnsi="Times New Roman"/>
          <w:sz w:val="20"/>
        </w:rPr>
        <w:t xml:space="preserve"> </w:t>
      </w:r>
      <w:r>
        <w:rPr>
          <w:rFonts w:ascii="Times New Roman" w:hAnsi="Times New Roman"/>
          <w:b w:val="false"/>
          <w:sz w:val="20"/>
        </w:rPr>
        <w:t>thousand, respectively.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At December 31, 2021 and December 31, 2020, the components of deferred tax assets and liabilities were as follows:</w:t>
      </w:r>
    </w:p>
    <w:p>
      <w:pPr>
        <w:pStyle w:val="TextBody"/>
        <w:spacing w:lineRule="auto" w:line="273" w:before="0" w:after="0"/>
        <w:jc w:val="left"/>
        <w:rPr/>
      </w:pPr>
      <w:r>
        <w:rPr/>
        <w:t> </w:t>
      </w:r>
    </w:p>
    <w:tbl>
      <w:tblPr>
        <w:tblW w:w="6050" w:type="dxa"/>
        <w:jc w:val="left"/>
        <w:tblInd w:w="0" w:type="dxa"/>
        <w:tblCellMar>
          <w:top w:w="28" w:type="dxa"/>
          <w:left w:w="28" w:type="dxa"/>
          <w:bottom w:w="28" w:type="dxa"/>
          <w:right w:w="28" w:type="dxa"/>
        </w:tblCellMar>
      </w:tblPr>
      <w:tblGrid>
        <w:gridCol w:w="3001"/>
        <w:gridCol w:w="211"/>
        <w:gridCol w:w="1291"/>
        <w:gridCol w:w="211"/>
        <w:gridCol w:w="1336"/>
      </w:tblGrid>
      <w:tr>
        <w:trPr/>
        <w:tc>
          <w:tcPr>
            <w:tcW w:w="3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lineRule="auto" w:line="252" w:before="0" w:after="0"/>
              <w:ind w:left="0" w:right="0" w:hanging="0"/>
              <w:jc w:val="left"/>
              <w:rPr/>
            </w:pPr>
            <w:r>
              <w:rPr/>
              <w:t> </w:t>
            </w:r>
          </w:p>
        </w:tc>
        <w:tc>
          <w:tcPr>
            <w:tcW w:w="3049" w:type="dxa"/>
            <w:gridSpan w:val="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Years Ended December 31,</w:t>
            </w:r>
          </w:p>
        </w:tc>
      </w:tr>
      <w:tr>
        <w:trPr/>
        <w:tc>
          <w:tcPr>
            <w:tcW w:w="3001"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r>
      <w:tr>
        <w:trPr/>
        <w:tc>
          <w:tcPr>
            <w:tcW w:w="3001" w:type="dxa"/>
            <w:tcBorders/>
            <w:shd w:fill="auto" w:val="clear"/>
            <w:vAlign w:val="center"/>
          </w:tcPr>
          <w:p>
            <w:pPr>
              <w:pStyle w:val="TableContents"/>
              <w:spacing w:lineRule="auto" w:line="252" w:before="0" w:after="0"/>
              <w:ind w:left="0" w:right="0" w:hanging="0"/>
              <w:jc w:val="left"/>
              <w:rPr/>
            </w:pPr>
            <w:r>
              <w:rPr/>
              <w:t> </w:t>
            </w:r>
          </w:p>
        </w:tc>
        <w:tc>
          <w:tcPr>
            <w:tcW w:w="3049" w:type="dxa"/>
            <w:gridSpan w:val="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2"/>
              </w:rPr>
            </w:pPr>
            <w:r>
              <w:rPr>
                <w:rFonts w:ascii="Times New Roman" w:hAnsi="Times New Roman"/>
                <w:b/>
                <w:sz w:val="22"/>
              </w:rPr>
              <w:t>(in thousands)</w:t>
            </w:r>
          </w:p>
        </w:tc>
      </w:tr>
      <w:tr>
        <w:trPr/>
        <w:tc>
          <w:tcPr>
            <w:tcW w:w="30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Deferred Tax Assets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left"/>
              <w:rPr/>
            </w:pPr>
            <w:r>
              <w:rPr/>
              <w:t>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Operating Lease Liabilities</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42,982</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33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33,641</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Net Operating Losses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21,237</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13,236</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163(j) Interest Limitation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9,864</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5,481</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Warrant Fair Value Derivative</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1,200</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5,251</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Stock-based Compensation</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5,383</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7,097</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Asset Acquisition Life Difference</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1,329</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pPr>
            <w:r>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Other</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5,214</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3,454</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Valuation Allowance</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(27,174)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(17,033)</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Total Deferred Tax Assets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60,035</w:t>
            </w:r>
            <w:r>
              <w:rPr>
                <w:rFonts w:ascii="Times New Roman" w:hAnsi="Times New Roman"/>
                <w:sz w:val="20"/>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51,127</w:t>
            </w:r>
            <w:r>
              <w:rPr>
                <w:rFonts w:ascii="Times New Roman" w:hAnsi="Times New Roman"/>
                <w:sz w:val="20"/>
              </w:rPr>
              <w:t xml:space="preserve">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Deferred Tax Liabilities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pPr>
            <w:r>
              <w:rPr/>
              <w:t> </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Operating Right of Use Assets</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29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(39,165)</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33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(31,211)</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Fair Value Investments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(4,703)</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33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(7,735)</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Intangibles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(84,896)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(37,398)</w:t>
            </w:r>
          </w:p>
        </w:tc>
      </w:tr>
      <w:tr>
        <w:trPr/>
        <w:tc>
          <w:tcPr>
            <w:tcW w:w="300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Total Deferred Tax Liabilities</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(128,764)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(76,344)</w:t>
            </w:r>
          </w:p>
        </w:tc>
      </w:tr>
      <w:tr>
        <w:trPr/>
        <w:tc>
          <w:tcPr>
            <w:tcW w:w="30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Deferred Tax Liabilities</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20"/>
              </w:rPr>
              <w:t>(68,729)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3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20"/>
              </w:rPr>
              <w:t>(25,217)</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F-39</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12. INCOME TAX EXPENSE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2021 and 2020</w:t>
      </w:r>
      <w:r>
        <w:rPr>
          <w:rFonts w:ascii="Times New Roman" w:hAnsi="Times New Roman"/>
          <w:sz w:val="20"/>
        </w:rPr>
        <w:t xml:space="preserve"> </w:t>
      </w:r>
      <w:r>
        <w:rPr>
          <w:rFonts w:ascii="Times New Roman" w:hAnsi="Times New Roman"/>
          <w:b w:val="false"/>
          <w:sz w:val="20"/>
        </w:rPr>
        <w:t>in the amount of $27,174</w:t>
      </w:r>
      <w:r>
        <w:rPr>
          <w:rFonts w:ascii="Times New Roman" w:hAnsi="Times New Roman"/>
          <w:sz w:val="20"/>
        </w:rPr>
        <w:t xml:space="preserve"> </w:t>
      </w:r>
      <w:r>
        <w:rPr>
          <w:rFonts w:ascii="Times New Roman" w:hAnsi="Times New Roman"/>
          <w:b w:val="false"/>
          <w:sz w:val="20"/>
        </w:rPr>
        <w:t>thousand and $17,033</w:t>
      </w:r>
      <w:r>
        <w:rPr>
          <w:rFonts w:ascii="Times New Roman" w:hAnsi="Times New Roman"/>
          <w:sz w:val="20"/>
        </w:rPr>
        <w:t xml:space="preserve"> </w:t>
      </w:r>
      <w:r>
        <w:rPr>
          <w:rFonts w:ascii="Times New Roman" w:hAnsi="Times New Roman"/>
          <w:b w:val="false"/>
          <w:sz w:val="20"/>
        </w:rPr>
        <w:t>thousand, respectively.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the Company had $92,254</w:t>
      </w:r>
      <w:r>
        <w:rPr>
          <w:rFonts w:ascii="Times New Roman" w:hAnsi="Times New Roman"/>
          <w:sz w:val="20"/>
        </w:rPr>
        <w:t xml:space="preserve"> </w:t>
      </w:r>
      <w:r>
        <w:rPr>
          <w:rFonts w:ascii="Times New Roman" w:hAnsi="Times New Roman"/>
          <w:b w:val="false"/>
          <w:sz w:val="20"/>
        </w:rPr>
        <w:t>thousand of gross federal net operating loss carryforwards which will not expire. Additionally, the Company had $13,758</w:t>
      </w:r>
      <w:r>
        <w:rPr>
          <w:rFonts w:ascii="Times New Roman" w:hAnsi="Times New Roman"/>
          <w:sz w:val="20"/>
        </w:rPr>
        <w:t xml:space="preserve"> </w:t>
      </w:r>
      <w:r>
        <w:rPr>
          <w:rFonts w:ascii="Times New Roman" w:hAnsi="Times New Roman"/>
          <w:b w:val="false"/>
          <w:sz w:val="20"/>
        </w:rPr>
        <w:t>thousand of gross state net operating loss carryforwards, if not claimed, begin to expire in 2031. The Company's evaluation concluded that the majority of the net operating losses will not be realized.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Pursuant to Sections 382 and 383 of the Internal Revenue Code of 1986, as amended,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Company operates in a number of tax jurisdictions and are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(Topic 740, “Income Taxes”), the Company recognizes the benefits of uncertain tax positions in our consolidated financial statements only after determining that it is more likely than not that the uncertain tax positions will be sustained.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 reconciliation of the beginning and ending amount of unrecognized tax benefits is as follows:</w:t>
      </w:r>
    </w:p>
    <w:p>
      <w:pPr>
        <w:pStyle w:val="TextBody"/>
        <w:spacing w:lineRule="auto" w:line="273" w:before="0" w:after="0"/>
        <w:jc w:val="left"/>
        <w:rPr/>
      </w:pPr>
      <w:r>
        <w:rPr/>
        <w:t> </w:t>
      </w:r>
    </w:p>
    <w:tbl>
      <w:tblPr>
        <w:tblW w:w="8107" w:type="dxa"/>
        <w:jc w:val="left"/>
        <w:tblInd w:w="0" w:type="dxa"/>
        <w:tblCellMar>
          <w:top w:w="28" w:type="dxa"/>
          <w:left w:w="28" w:type="dxa"/>
          <w:bottom w:w="28" w:type="dxa"/>
          <w:right w:w="28" w:type="dxa"/>
        </w:tblCellMar>
      </w:tblPr>
      <w:tblGrid>
        <w:gridCol w:w="4951"/>
        <w:gridCol w:w="211"/>
        <w:gridCol w:w="931"/>
        <w:gridCol w:w="211"/>
        <w:gridCol w:w="931"/>
        <w:gridCol w:w="211"/>
        <w:gridCol w:w="661"/>
      </w:tblGrid>
      <w:tr>
        <w:trPr/>
        <w:tc>
          <w:tcPr>
            <w:tcW w:w="4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2019</w:t>
            </w:r>
          </w:p>
        </w:tc>
      </w:tr>
      <w:tr>
        <w:trPr/>
        <w:tc>
          <w:tcPr>
            <w:tcW w:w="4951" w:type="dxa"/>
            <w:tcBorders/>
            <w:shd w:fill="auto" w:val="clear"/>
            <w:vAlign w:val="center"/>
          </w:tcPr>
          <w:p>
            <w:pPr>
              <w:pStyle w:val="TableContents"/>
              <w:spacing w:lineRule="auto" w:line="252" w:before="0" w:after="0"/>
              <w:ind w:left="0" w:right="0" w:hanging="0"/>
              <w:jc w:val="left"/>
              <w:rPr/>
            </w:pPr>
            <w:r>
              <w:rPr/>
              <w:t> </w:t>
            </w:r>
          </w:p>
        </w:tc>
        <w:tc>
          <w:tcPr>
            <w:tcW w:w="31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r>
      <w:tr>
        <w:trPr/>
        <w:tc>
          <w:tcPr>
            <w:tcW w:w="495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 at Beginning of Year</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10,341</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2,113</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661" w:type="dxa"/>
            <w:tcBorders/>
            <w:shd w:fill="auto" w:val="clear"/>
            <w:vAlign w:val="center"/>
          </w:tcPr>
          <w:p>
            <w:pPr>
              <w:pStyle w:val="TableContents"/>
              <w:spacing w:lineRule="auto" w:line="252" w:before="0" w:after="0"/>
              <w:ind w:left="0" w:right="0" w:hanging="0"/>
              <w:jc w:val="right"/>
              <w:rPr/>
            </w:pPr>
            <w:r>
              <w:rPr/>
              <w:t xml:space="preserve">— </w:t>
            </w:r>
          </w:p>
        </w:tc>
      </w:tr>
      <w:tr>
        <w:trPr/>
        <w:tc>
          <w:tcPr>
            <w:tcW w:w="49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increases related to tax positions in a prior period</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823</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2,382</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392</w:t>
            </w:r>
            <w:r>
              <w:rPr>
                <w:rFonts w:ascii="Times New Roman" w:hAnsi="Times New Roman"/>
                <w:sz w:val="20"/>
              </w:rPr>
              <w:t xml:space="preserve"> </w:t>
            </w:r>
          </w:p>
        </w:tc>
      </w:tr>
      <w:tr>
        <w:trPr/>
        <w:tc>
          <w:tcPr>
            <w:tcW w:w="49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decreases related to tax positions in a prior period</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shd w:fill="auto" w:val="clear"/>
            <w:vAlign w:val="center"/>
          </w:tcPr>
          <w:p>
            <w:pPr>
              <w:pStyle w:val="TableContents"/>
              <w:spacing w:lineRule="auto" w:line="252" w:before="0" w:after="0"/>
              <w:ind w:left="0" w:right="0" w:hanging="0"/>
              <w:jc w:val="right"/>
              <w:rPr/>
            </w:pPr>
            <w:r>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shd w:fill="auto" w:val="clear"/>
            <w:vAlign w:val="center"/>
          </w:tcPr>
          <w:p>
            <w:pPr>
              <w:pStyle w:val="TableContents"/>
              <w:spacing w:lineRule="auto" w:line="252" w:before="0" w:after="0"/>
              <w:ind w:left="0" w:right="0" w:hanging="0"/>
              <w:jc w:val="right"/>
              <w:rPr/>
            </w:pPr>
            <w:r>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661" w:type="dxa"/>
            <w:tcBorders/>
            <w:shd w:fill="auto" w:val="clear"/>
            <w:vAlign w:val="center"/>
          </w:tcPr>
          <w:p>
            <w:pPr>
              <w:pStyle w:val="TableContents"/>
              <w:spacing w:lineRule="auto" w:line="252" w:before="0" w:after="0"/>
              <w:ind w:left="0" w:right="0" w:hanging="0"/>
              <w:jc w:val="right"/>
              <w:rPr/>
            </w:pPr>
            <w:r>
              <w:rPr/>
              <w:t xml:space="preserve">— </w:t>
            </w:r>
          </w:p>
        </w:tc>
      </w:tr>
      <w:tr>
        <w:trPr/>
        <w:tc>
          <w:tcPr>
            <w:tcW w:w="49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increases related to tax positions in the current period</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6,166</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7,536</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1,721</w:t>
            </w:r>
            <w:r>
              <w:rPr>
                <w:rFonts w:ascii="Times New Roman" w:hAnsi="Times New Roman"/>
                <w:sz w:val="20"/>
              </w:rPr>
              <w:t xml:space="preserve"> </w:t>
            </w:r>
          </w:p>
        </w:tc>
      </w:tr>
      <w:tr>
        <w:trPr/>
        <w:tc>
          <w:tcPr>
            <w:tcW w:w="49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decreases related to tax positions in a current period</w:t>
            </w:r>
          </w:p>
        </w:tc>
        <w:tc>
          <w:tcPr>
            <w:tcW w:w="211" w:type="dxa"/>
            <w:tcBorders/>
            <w:shd w:fill="auto" w:val="clear"/>
            <w:vAlign w:val="center"/>
          </w:tcPr>
          <w:p>
            <w:pPr>
              <w:pStyle w:val="TableContents"/>
              <w:spacing w:lineRule="auto" w:line="252" w:before="0" w:after="0"/>
              <w:ind w:left="0" w:right="0" w:hanging="0"/>
              <w:jc w:val="center"/>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(4,213)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(1,690)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r>
      <w:tr>
        <w:trPr/>
        <w:tc>
          <w:tcPr>
            <w:tcW w:w="495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 at End of Year</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13,117</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10,341</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2,113</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recognizes accrued interest and penalties related to unrecognized tax benefits in the provision for income taxes. As of December 31, 2021 and 2020, we recognized $1,377</w:t>
      </w:r>
      <w:r>
        <w:rPr>
          <w:rFonts w:ascii="Times New Roman" w:hAnsi="Times New Roman"/>
          <w:sz w:val="20"/>
        </w:rPr>
        <w:t xml:space="preserve"> </w:t>
      </w:r>
      <w:r>
        <w:rPr>
          <w:rFonts w:ascii="Times New Roman" w:hAnsi="Times New Roman"/>
          <w:b w:val="false"/>
          <w:sz w:val="20"/>
        </w:rPr>
        <w:t>thousand and $554</w:t>
      </w:r>
      <w:r>
        <w:rPr>
          <w:rFonts w:ascii="Times New Roman" w:hAnsi="Times New Roman"/>
          <w:sz w:val="20"/>
        </w:rPr>
        <w:t xml:space="preserve"> </w:t>
      </w:r>
      <w:r>
        <w:rPr>
          <w:rFonts w:ascii="Times New Roman" w:hAnsi="Times New Roman"/>
          <w:b w:val="false"/>
          <w:sz w:val="20"/>
        </w:rPr>
        <w:t>thousand of interest and penalties, respectively. There are no positions for which it is reasonably possible that the uncertain tax benefit will significantly increase or decrease within twelve months. We file income tax returns in the US, various state jurisdictions, and Canada, which jurisdictions have varying statutes of limitations. The US federal statute of limitation remains open for the 2018 tax year to the present. The state income tax returns generally remain open for the 2018 tax year through the present. Net operating loss arising prior to these years are also open to examination if and when utilized.</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F-40</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13. OTHER INCOME (EXPENSE)</w:t>
      </w:r>
      <w:r>
        <w:rPr>
          <w:rFonts w:ascii="Times New Roman" w:hAnsi="Times New Roman"/>
          <w:sz w:val="20"/>
        </w:rPr>
        <w:t xml:space="preserve"> </w:t>
      </w:r>
    </w:p>
    <w:p>
      <w:pPr>
        <w:pStyle w:val="TextBody"/>
        <w:pBdr>
          <w:bottom w:val="single" w:sz="6" w:space="1" w:color="000000"/>
        </w:pBdr>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For the years ended December 31, 2021, 2020 and 2019 other income (expense) was comprised of the following:</w:t>
      </w:r>
      <w:r>
        <w:rPr>
          <w:rFonts w:ascii="Times New Roman" w:hAnsi="Times New Roman"/>
          <w:sz w:val="20"/>
        </w:rPr>
        <w:t xml:space="preserve"> </w:t>
      </w:r>
    </w:p>
    <w:p>
      <w:pPr>
        <w:pStyle w:val="TextBody"/>
        <w:spacing w:lineRule="auto" w:line="273" w:before="0" w:after="0"/>
        <w:jc w:val="left"/>
        <w:rPr/>
      </w:pPr>
      <w:r>
        <w:rPr/>
        <w:t> </w:t>
      </w:r>
    </w:p>
    <w:tbl>
      <w:tblPr>
        <w:tblW w:w="9022" w:type="dxa"/>
        <w:jc w:val="left"/>
        <w:tblInd w:w="0" w:type="dxa"/>
        <w:tblCellMar>
          <w:top w:w="28" w:type="dxa"/>
          <w:left w:w="28" w:type="dxa"/>
          <w:bottom w:w="28" w:type="dxa"/>
          <w:right w:w="28" w:type="dxa"/>
        </w:tblCellMar>
      </w:tblPr>
      <w:tblGrid>
        <w:gridCol w:w="4546"/>
        <w:gridCol w:w="211"/>
        <w:gridCol w:w="1306"/>
        <w:gridCol w:w="211"/>
        <w:gridCol w:w="1261"/>
        <w:gridCol w:w="211"/>
        <w:gridCol w:w="1276"/>
      </w:tblGrid>
      <w:tr>
        <w:trPr/>
        <w:tc>
          <w:tcPr>
            <w:tcW w:w="45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4546" w:type="dxa"/>
            <w:tcBorders/>
            <w:shd w:fill="auto" w:val="clear"/>
            <w:vAlign w:val="center"/>
          </w:tcPr>
          <w:p>
            <w:pPr>
              <w:pStyle w:val="TableContents"/>
              <w:spacing w:lineRule="auto" w:line="252" w:before="0" w:after="0"/>
              <w:ind w:left="0" w:right="0" w:hanging="0"/>
              <w:jc w:val="left"/>
              <w:rPr/>
            </w:pPr>
            <w:r>
              <w:rPr/>
              <w:t> </w:t>
            </w:r>
          </w:p>
        </w:tc>
        <w:tc>
          <w:tcPr>
            <w:tcW w:w="44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Years Ended December 31,</w:t>
            </w:r>
          </w:p>
        </w:tc>
      </w:tr>
      <w:tr>
        <w:trPr/>
        <w:tc>
          <w:tcPr>
            <w:tcW w:w="45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r>
      <w:tr>
        <w:trPr/>
        <w:tc>
          <w:tcPr>
            <w:tcW w:w="4546" w:type="dxa"/>
            <w:tcBorders/>
            <w:shd w:fill="auto" w:val="clear"/>
            <w:vAlign w:val="center"/>
          </w:tcPr>
          <w:p>
            <w:pPr>
              <w:pStyle w:val="TableContents"/>
              <w:spacing w:lineRule="auto" w:line="252" w:before="0" w:after="0"/>
              <w:ind w:left="0" w:right="0" w:hanging="0"/>
              <w:jc w:val="left"/>
              <w:rPr/>
            </w:pPr>
            <w:r>
              <w:rPr/>
              <w:t> </w:t>
            </w:r>
          </w:p>
        </w:tc>
        <w:tc>
          <w:tcPr>
            <w:tcW w:w="44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 thousands)</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Fair value adjustments on equity investments</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30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5,955</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26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26,371</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(4,061)</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Fair value adjustments on convertible notes receivable</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right"/>
              <w:rPr/>
            </w:pPr>
            <w:r>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61" w:type="dxa"/>
            <w:tcBorders/>
            <w:shd w:fill="auto" w:val="clear"/>
            <w:vAlign w:val="center"/>
          </w:tcPr>
          <w:p>
            <w:pPr>
              <w:pStyle w:val="TableContents"/>
              <w:spacing w:lineRule="auto" w:line="252" w:before="0" w:after="0"/>
              <w:ind w:left="0" w:right="0" w:hanging="0"/>
              <w:jc w:val="right"/>
              <w:rPr/>
            </w:pPr>
            <w:r>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(1,771)</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Fair value adjustments on variable note receivable</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right"/>
              <w:rPr/>
            </w:pPr>
            <w:r>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6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(816)</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(6,609)</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on extinguishment of debt</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(10,645)</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61" w:type="dxa"/>
            <w:tcBorders/>
            <w:shd w:fill="auto" w:val="clear"/>
            <w:vAlign w:val="center"/>
          </w:tcPr>
          <w:p>
            <w:pPr>
              <w:pStyle w:val="TableContents"/>
              <w:spacing w:lineRule="auto" w:line="252" w:before="0" w:after="0"/>
              <w:ind w:left="0" w:right="0" w:hanging="0"/>
              <w:jc w:val="right"/>
              <w:rPr/>
            </w:pPr>
            <w:r>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right"/>
              <w:rPr/>
            </w:pPr>
            <w:r>
              <w:rPr/>
              <w:t xml:space="preserve">— </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Fair value adjustments on warrants issued</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14,577</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61"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(23,002)</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4,160</w:t>
            </w:r>
            <w:r>
              <w:rPr>
                <w:rFonts w:ascii="Times New Roman" w:hAnsi="Times New Roman"/>
                <w:sz w:val="20"/>
              </w:rPr>
              <w:t xml:space="preserve"> </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Fair value adjustments on contingent consideration</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right"/>
              <w:rPr/>
            </w:pPr>
            <w:r>
              <w:rPr/>
              <w:t xml:space="preserve">               —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6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9,877</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right"/>
              <w:rPr/>
            </w:pPr>
            <w:r>
              <w:rPr/>
              <w:t>         </w:t>
            </w:r>
            <w:r>
              <w:rPr>
                <w:rFonts w:ascii="Times New Roman" w:hAnsi="Times New Roman"/>
                <w:b w:val="false"/>
                <w:sz w:val="20"/>
              </w:rPr>
              <w:t>(3,687)</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Earnings from equity method investments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1,799</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6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2,320</w:t>
            </w:r>
            <w:r>
              <w:rPr>
                <w:rFonts w:ascii="Times New Roman" w:hAnsi="Times New Roman"/>
                <w:sz w:val="20"/>
              </w:rPr>
              <w:t xml:space="preserve">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27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1,064</w:t>
            </w:r>
            <w:r>
              <w:rPr>
                <w:rFonts w:ascii="Times New Roman" w:hAnsi="Times New Roman"/>
                <w:sz w:val="20"/>
              </w:rPr>
              <w:t xml:space="preserve"> </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20"/>
              </w:rPr>
              <w:t>(1,009)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627</w:t>
            </w:r>
            <w:r>
              <w:rPr>
                <w:rFonts w:ascii="Times New Roman" w:hAnsi="Times New Roman"/>
                <w:sz w:val="20"/>
              </w:rPr>
              <w:t xml:space="preserve">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20"/>
              </w:rPr>
              <w:t>585</w:t>
            </w:r>
            <w:r>
              <w:rPr>
                <w:rFonts w:ascii="Times New Roman" w:hAnsi="Times New Roman"/>
                <w:sz w:val="20"/>
              </w:rPr>
              <w:t xml:space="preserve"> </w:t>
            </w:r>
          </w:p>
        </w:tc>
      </w:tr>
      <w:tr>
        <w:trPr/>
        <w:tc>
          <w:tcPr>
            <w:tcW w:w="454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Total Other Income (Expense)</w:t>
            </w:r>
          </w:p>
        </w:tc>
        <w:tc>
          <w:tcPr>
            <w:tcW w:w="21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3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10,677</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20"/>
              </w:rPr>
              <w:t>15,377</w:t>
            </w:r>
            <w:r>
              <w:rPr>
                <w:rFonts w:ascii="Times New Roman" w:hAnsi="Times New Roman"/>
                <w:sz w:val="20"/>
              </w:rPr>
              <w:t xml:space="preserve">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w:t>
            </w:r>
          </w:p>
        </w:tc>
        <w:tc>
          <w:tcPr>
            <w:tcW w:w="12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sz w:val="20"/>
              </w:rPr>
              <w:t>(10,319)</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14. COMMITMENTS AND CONTINGENCIES</w:t>
      </w:r>
      <w:r>
        <w:rPr>
          <w:rFonts w:ascii="Times New Roman" w:hAnsi="Times New Roman"/>
          <w:sz w:val="20"/>
        </w:rPr>
        <w:t xml:space="preserve"> </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 See Note 5 - Acquisitions for details.</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(a)</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Contingencies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2021 and December 31, 2020, cannabis and other regulations continue to evolve and are subject to differing interpretations. As a result, the Company may be subject to regulatory fines, penalties, or restrictions in the future.</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(b)</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Claims and Litigation </w:t>
      </w:r>
    </w:p>
    <w:p>
      <w:pPr>
        <w:pStyle w:val="TextBody"/>
        <w:spacing w:lineRule="auto" w:line="273" w:before="120" w:after="0"/>
        <w:jc w:val="left"/>
        <w:rPr>
          <w:rFonts w:ascii="Times New Roman" w:hAnsi="Times New Roman"/>
          <w:sz w:val="20"/>
        </w:rPr>
      </w:pPr>
      <w:r>
        <w:rPr>
          <w:rFonts w:ascii="Times New Roman" w:hAnsi="Times New Roman"/>
          <w:b w:val="false"/>
          <w:sz w:val="20"/>
        </w:rPr>
        <w:t>From time to time, the Company may be involved in litigation relating to claims arising out of operations in the normal course of business. At December 31, 2021 and December 31, 2020, there were no</w:t>
      </w:r>
      <w:r>
        <w:rPr>
          <w:rFonts w:ascii="Times New Roman" w:hAnsi="Times New Roman"/>
          <w:sz w:val="20"/>
        </w:rPr>
        <w:t xml:space="preserve"> </w:t>
      </w:r>
      <w:r>
        <w:rPr>
          <w:rFonts w:ascii="Times New Roman" w:hAnsi="Times New Roman"/>
          <w:b w:val="false"/>
          <w:sz w:val="20"/>
        </w:rPr>
        <w:t>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r>
        <w:rPr>
          <w:rFonts w:ascii="Times New Roman" w:hAnsi="Times New Roman"/>
          <w:sz w:val="20"/>
        </w:rPr>
        <w:t xml:space="preserve"> </w:t>
      </w:r>
    </w:p>
    <w:p>
      <w:pPr>
        <w:pStyle w:val="TextBody"/>
        <w:spacing w:lineRule="auto" w:line="273" w:before="120" w:after="0"/>
        <w:jc w:val="left"/>
        <w:rPr>
          <w:rFonts w:ascii="Times New Roman" w:hAnsi="Times New Roman"/>
          <w:b/>
          <w:sz w:val="20"/>
        </w:rPr>
      </w:pPr>
      <w:r>
        <w:rPr>
          <w:rFonts w:ascii="Times New Roman" w:hAnsi="Times New Roman"/>
          <w:b/>
          <w:sz w:val="20"/>
        </w:rPr>
        <w:t>(c)</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Construction Commitments </w:t>
      </w:r>
    </w:p>
    <w:p>
      <w:pPr>
        <w:pStyle w:val="TextBody"/>
        <w:spacing w:lineRule="auto" w:line="273" w:before="120" w:after="0"/>
        <w:jc w:val="left"/>
        <w:rPr>
          <w:rFonts w:ascii="Times New Roman" w:hAnsi="Times New Roman"/>
          <w:sz w:val="20"/>
        </w:rPr>
      </w:pPr>
      <w:r>
        <w:rPr>
          <w:rFonts w:ascii="Times New Roman" w:hAnsi="Times New Roman"/>
          <w:b w:val="false"/>
          <w:sz w:val="20"/>
        </w:rPr>
        <w:t>As of December 31, 2021, the Company held approximately $73,000</w:t>
      </w:r>
      <w:r>
        <w:rPr>
          <w:rFonts w:ascii="Times New Roman" w:hAnsi="Times New Roman"/>
          <w:sz w:val="20"/>
        </w:rPr>
        <w:t xml:space="preserve"> </w:t>
      </w:r>
      <w:r>
        <w:rPr>
          <w:rFonts w:ascii="Times New Roman" w:hAnsi="Times New Roman"/>
          <w:b w:val="false"/>
          <w:sz w:val="20"/>
        </w:rPr>
        <w:t>thousand of open construction commitments to contractors on work being performed.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F-41</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15. FAIR VALUE MEASUREMENTS</w:t>
      </w:r>
      <w:r>
        <w:rPr>
          <w:rFonts w:ascii="Times New Roman" w:hAnsi="Times New Roman"/>
          <w:sz w:val="20"/>
        </w:rPr>
        <w:t xml:space="preserve"> </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Level 1</w:t>
      </w:r>
      <w:r>
        <w:rPr>
          <w:rFonts w:ascii="Times New Roman" w:hAnsi="Times New Roman"/>
          <w:sz w:val="20"/>
        </w:rPr>
        <w:t xml:space="preserve"> – </w:t>
      </w:r>
      <w:r>
        <w:rPr>
          <w:rFonts w:ascii="Times New Roman" w:hAnsi="Times New Roman"/>
          <w:b w:val="false"/>
          <w:sz w:val="20"/>
        </w:rPr>
        <w:t>Unadjusted quoted prices in active markets for identical assets or liabilities;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Level 2</w:t>
      </w:r>
      <w:r>
        <w:rPr>
          <w:rFonts w:ascii="Times New Roman" w:hAnsi="Times New Roman"/>
          <w:sz w:val="20"/>
        </w:rPr>
        <w:t xml:space="preserve"> – </w:t>
      </w:r>
      <w:r>
        <w:rPr>
          <w:rFonts w:ascii="Times New Roman" w:hAnsi="Times New Roman"/>
          <w:b w:val="false"/>
          <w:sz w:val="20"/>
        </w:rPr>
        <w:t>Inputs other than quoted prices that are observable for the asset or liability, either directly or indirectly;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i/>
          <w:sz w:val="20"/>
        </w:rPr>
        <w:t>Level 3</w:t>
      </w:r>
      <w:r>
        <w:rPr>
          <w:rFonts w:ascii="Times New Roman" w:hAnsi="Times New Roman"/>
          <w:sz w:val="20"/>
        </w:rPr>
        <w:t xml:space="preserve"> – </w:t>
      </w:r>
      <w:r>
        <w:rPr>
          <w:rFonts w:ascii="Times New Roman" w:hAnsi="Times New Roman"/>
          <w:b w:val="false"/>
          <w:sz w:val="20"/>
        </w:rPr>
        <w:t>Inputs for the asset or liability that are not based on observable market data.</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sz w:val="20"/>
        </w:rPr>
        <w:t>Financial Instruments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Company’s financial instruments consist of cash and cash equivalents, accounts receivable, investments, accounts payable and accrued liabilities, notes payable, warrant liability, and contingent consideration payable.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December 31, 2021 and December 31, 2020 was $239,934</w:t>
      </w:r>
      <w:r>
        <w:rPr>
          <w:rFonts w:ascii="Times New Roman" w:hAnsi="Times New Roman"/>
          <w:sz w:val="20"/>
        </w:rPr>
        <w:t xml:space="preserve"> </w:t>
      </w:r>
      <w:r>
        <w:rPr>
          <w:rFonts w:ascii="Times New Roman" w:hAnsi="Times New Roman"/>
          <w:b w:val="false"/>
          <w:sz w:val="20"/>
        </w:rPr>
        <w:t>thousand and $99,055</w:t>
      </w:r>
      <w:r>
        <w:rPr>
          <w:rFonts w:ascii="Times New Roman" w:hAnsi="Times New Roman"/>
          <w:sz w:val="20"/>
        </w:rPr>
        <w:t xml:space="preserve"> </w:t>
      </w:r>
      <w:r>
        <w:rPr>
          <w:rFonts w:ascii="Times New Roman" w:hAnsi="Times New Roman"/>
          <w:b w:val="false"/>
          <w:sz w:val="20"/>
        </w:rPr>
        <w:t>thousand, which includes $783</w:t>
      </w:r>
      <w:r>
        <w:rPr>
          <w:rFonts w:ascii="Times New Roman" w:hAnsi="Times New Roman"/>
          <w:sz w:val="20"/>
        </w:rPr>
        <w:t xml:space="preserve"> </w:t>
      </w:r>
      <w:r>
        <w:rPr>
          <w:rFonts w:ascii="Times New Roman" w:hAnsi="Times New Roman"/>
          <w:b w:val="false"/>
          <w:sz w:val="20"/>
        </w:rPr>
        <w:t>thousand and $342</w:t>
      </w:r>
      <w:r>
        <w:rPr>
          <w:rFonts w:ascii="Times New Roman" w:hAnsi="Times New Roman"/>
          <w:sz w:val="20"/>
        </w:rPr>
        <w:t xml:space="preserve"> </w:t>
      </w:r>
      <w:r>
        <w:rPr>
          <w:rFonts w:ascii="Times New Roman" w:hAnsi="Times New Roman"/>
          <w:b w:val="false"/>
          <w:sz w:val="20"/>
        </w:rPr>
        <w:t>thousand, respectively, of short-term debt due within one year.</w:t>
      </w:r>
    </w:p>
    <w:p>
      <w:pPr>
        <w:pStyle w:val="TextBody"/>
        <w:spacing w:lineRule="auto" w:line="273" w:before="120" w:after="0"/>
        <w:jc w:val="left"/>
        <w:rPr>
          <w:rFonts w:ascii="Times New Roman" w:hAnsi="Times New Roman"/>
          <w:sz w:val="20"/>
        </w:rPr>
      </w:pPr>
      <w:r>
        <w:rPr>
          <w:rFonts w:ascii="Times New Roman" w:hAnsi="Times New Roman"/>
          <w:b w:val="false"/>
          <w:sz w:val="20"/>
        </w:rPr>
        <w:t>Financial instruments recorded at fair value are classified using a fair value hierarchy that reflects the significance of the inputs to fair value measurements.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tables summarize the Company’s financial instruments which are measured at fair value as of December 31, 2021 and 2020:</w:t>
      </w:r>
      <w:r>
        <w:rPr>
          <w:rFonts w:ascii="Times New Roman" w:hAnsi="Times New Roman"/>
          <w:sz w:val="20"/>
        </w:rPr>
        <w:t xml:space="preserve"> </w:t>
      </w:r>
    </w:p>
    <w:p>
      <w:pPr>
        <w:pStyle w:val="TextBody"/>
        <w:spacing w:lineRule="auto" w:line="273" w:before="0" w:after="0"/>
        <w:jc w:val="left"/>
        <w:rPr/>
      </w:pPr>
      <w:r>
        <w:rPr/>
        <w:t> </w:t>
      </w:r>
    </w:p>
    <w:tbl>
      <w:tblPr>
        <w:tblW w:w="7755" w:type="dxa"/>
        <w:jc w:val="left"/>
        <w:tblInd w:w="0" w:type="dxa"/>
        <w:tblCellMar>
          <w:top w:w="28" w:type="dxa"/>
          <w:left w:w="28" w:type="dxa"/>
          <w:bottom w:w="28" w:type="dxa"/>
          <w:right w:w="28" w:type="dxa"/>
        </w:tblCellMar>
      </w:tblPr>
      <w:tblGrid>
        <w:gridCol w:w="2941"/>
        <w:gridCol w:w="146"/>
        <w:gridCol w:w="211"/>
        <w:gridCol w:w="781"/>
        <w:gridCol w:w="146"/>
        <w:gridCol w:w="146"/>
        <w:gridCol w:w="239"/>
        <w:gridCol w:w="391"/>
        <w:gridCol w:w="146"/>
        <w:gridCol w:w="146"/>
        <w:gridCol w:w="211"/>
        <w:gridCol w:w="736"/>
        <w:gridCol w:w="166"/>
        <w:gridCol w:w="146"/>
        <w:gridCol w:w="211"/>
        <w:gridCol w:w="781"/>
        <w:gridCol w:w="21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57"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December 31, 2021</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57"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230,420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230,420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44,117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50,785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94,902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Contingent Consideration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(83,865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(83,865</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(24,877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(24,877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274,537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(57,957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216,580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7605" w:type="dxa"/>
        <w:jc w:val="left"/>
        <w:tblInd w:w="0" w:type="dxa"/>
        <w:tblCellMar>
          <w:top w:w="28" w:type="dxa"/>
          <w:left w:w="28" w:type="dxa"/>
          <w:bottom w:w="28" w:type="dxa"/>
          <w:right w:w="28" w:type="dxa"/>
        </w:tblCellMar>
      </w:tblPr>
      <w:tblGrid>
        <w:gridCol w:w="2941"/>
        <w:gridCol w:w="146"/>
        <w:gridCol w:w="211"/>
        <w:gridCol w:w="676"/>
        <w:gridCol w:w="146"/>
        <w:gridCol w:w="146"/>
        <w:gridCol w:w="239"/>
        <w:gridCol w:w="391"/>
        <w:gridCol w:w="146"/>
        <w:gridCol w:w="146"/>
        <w:gridCol w:w="211"/>
        <w:gridCol w:w="736"/>
        <w:gridCol w:w="166"/>
        <w:gridCol w:w="146"/>
        <w:gridCol w:w="211"/>
        <w:gridCol w:w="736"/>
        <w:gridCol w:w="21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07"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As of December 31, 2020</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07"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83,758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83,758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39,871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40,795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Contingent Consideration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(27,100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(27,100</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(39,454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(39,454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4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84,682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(26,683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57,999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2020, the Company held an investment in a privately held entity that became a publicly traded company. As a result, the Company received shares of the publicly traded entity in exchange for the shares in the privately held entity. The transaction resulted in a transfer of the investment from Level 3 to Level 1 during the year ended December 31, 2021. As of December 31, 2021 and December 31, 2020 the fair value of the investment was $19,957</w:t>
      </w:r>
      <w:r>
        <w:rPr>
          <w:rFonts w:ascii="Times New Roman" w:hAnsi="Times New Roman"/>
          <w:sz w:val="20"/>
        </w:rPr>
        <w:t xml:space="preserve"> </w:t>
      </w:r>
      <w:r>
        <w:rPr>
          <w:rFonts w:ascii="Times New Roman" w:hAnsi="Times New Roman"/>
          <w:b w:val="false"/>
          <w:sz w:val="20"/>
        </w:rPr>
        <w:t>thousand, which is included as a Level 1 financial instrument and $37,249</w:t>
      </w:r>
      <w:r>
        <w:rPr>
          <w:rFonts w:ascii="Times New Roman" w:hAnsi="Times New Roman"/>
          <w:sz w:val="20"/>
        </w:rPr>
        <w:t xml:space="preserve"> </w:t>
      </w:r>
      <w:r>
        <w:rPr>
          <w:rFonts w:ascii="Times New Roman" w:hAnsi="Times New Roman"/>
          <w:b w:val="false"/>
          <w:sz w:val="20"/>
        </w:rPr>
        <w:t>thousand, which is included as a Level 3 financial instrument, in each respective table above.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F-42</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15. FAIR VALUE MEASUREMENTS </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As of December 31, 2019, the Company held an equity investment in a privately held entity that was subsequently acquired by a publicly traded entity. As a result of the acquisition, the Company received shares of the acquiring entity in exchange for the shares in the privately held entity. The transaction resulted in a transfer of the investment from Level 3 to Level 1 during the year ended December 31, 2020. As of December 31, 2020, the fair value of the Level 1 financial instrument was $924</w:t>
      </w:r>
      <w:r>
        <w:rPr>
          <w:rFonts w:ascii="Times New Roman" w:hAnsi="Times New Roman"/>
          <w:sz w:val="20"/>
        </w:rPr>
        <w:t xml:space="preserve"> </w:t>
      </w:r>
      <w:r>
        <w:rPr>
          <w:rFonts w:ascii="Times New Roman" w:hAnsi="Times New Roman"/>
          <w:b w:val="false"/>
          <w:sz w:val="20"/>
        </w:rPr>
        <w:t>thousand.</w:t>
      </w:r>
      <w:r>
        <w:rPr>
          <w:rFonts w:ascii="Times New Roman" w:hAnsi="Times New Roman"/>
          <w:sz w:val="20"/>
        </w:rPr>
        <w:t xml:space="preserve"> </w:t>
      </w:r>
    </w:p>
    <w:p>
      <w:pPr>
        <w:pStyle w:val="TextBody"/>
        <w:spacing w:lineRule="auto" w:line="273" w:before="120" w:after="0"/>
        <w:jc w:val="left"/>
        <w:rPr/>
      </w:pPr>
      <w:r>
        <w:rPr/>
        <w:t> </w:t>
      </w:r>
    </w:p>
    <w:p>
      <w:pPr>
        <w:pStyle w:val="TextBody"/>
        <w:spacing w:lineRule="auto" w:line="273" w:before="40" w:after="0"/>
        <w:jc w:val="left"/>
        <w:rPr>
          <w:rFonts w:ascii="Times New Roman" w:hAnsi="Times New Roman"/>
          <w:b/>
          <w:sz w:val="20"/>
        </w:rPr>
      </w:pPr>
      <w:r>
        <w:rPr>
          <w:rFonts w:ascii="Times New Roman" w:hAnsi="Times New Roman"/>
          <w:b/>
          <w:sz w:val="20"/>
        </w:rPr>
        <w:t>16. VARIABLE INTEREST ENTITIES</w:t>
      </w:r>
    </w:p>
    <w:p>
      <w:pPr>
        <w:pStyle w:val="TextBody"/>
        <w:pBdr>
          <w:bottom w:val="single" w:sz="6" w:space="1" w:color="000000"/>
        </w:pBdr>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 presents the summarized financial information about the Company’s consolidated variable interest entities (“VIEs”) which are included in the consolidated balance sheets as of December 31, 2021 and 2020. All of these entities were determined to be VIEs as the Company possesses the power to direct activities through management services agreements (“MSAs”):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558"/>
        <w:gridCol w:w="211"/>
        <w:gridCol w:w="676"/>
        <w:gridCol w:w="166"/>
        <w:gridCol w:w="370"/>
        <w:gridCol w:w="1008"/>
        <w:gridCol w:w="146"/>
        <w:gridCol w:w="314"/>
        <w:gridCol w:w="1008"/>
        <w:gridCol w:w="146"/>
        <w:gridCol w:w="211"/>
        <w:gridCol w:w="571"/>
        <w:gridCol w:w="146"/>
        <w:gridCol w:w="370"/>
        <w:gridCol w:w="1008"/>
        <w:gridCol w:w="296"/>
      </w:tblGrid>
      <w:tr>
        <w:trPr/>
        <w:tc>
          <w:tcPr>
            <w:tcW w:w="35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3558"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378"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2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78" w:type="dxa"/>
            <w:gridSpan w:val="2"/>
            <w:tcBorders/>
            <w:shd w:fill="auto" w:val="clear"/>
            <w:vAlign w:val="center"/>
          </w:tcPr>
          <w:p>
            <w:pPr>
              <w:pStyle w:val="TableContents"/>
              <w:spacing w:lineRule="auto" w:line="252" w:before="0" w:after="0"/>
              <w:ind w:left="0" w:right="0" w:hanging="0"/>
              <w:jc w:val="center"/>
              <w:rPr/>
            </w:pPr>
            <w:r>
              <w:rPr/>
              <w:t> </w:t>
            </w:r>
          </w:p>
        </w:tc>
        <w:tc>
          <w:tcPr>
            <w:tcW w:w="296" w:type="dxa"/>
            <w:tcBorders/>
            <w:shd w:fill="auto" w:val="clear"/>
            <w:vAlign w:val="center"/>
          </w:tcPr>
          <w:p>
            <w:pPr>
              <w:pStyle w:val="TableContents"/>
              <w:spacing w:lineRule="auto" w:line="252" w:before="0" w:after="0"/>
              <w:ind w:left="0" w:right="0" w:hanging="0"/>
              <w:jc w:val="center"/>
              <w:rPr/>
            </w:pPr>
            <w:r>
              <w:rPr/>
              <w:t> </w:t>
            </w:r>
          </w:p>
        </w:tc>
      </w:tr>
      <w:tr>
        <w:trPr/>
        <w:tc>
          <w:tcPr>
            <w:tcW w:w="3558"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IL Disp, </w:t>
              <w:br/>
              <w:t>LLC</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7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br/>
              <w:t>Non-material VIEs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Chesapeake</w:t>
              <w:br/>
              <w:t>Alternatives, 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IL Disp, </w:t>
              <w:br/>
              <w:t>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7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br/>
              <w:t>Non-material VIEs</w:t>
            </w:r>
          </w:p>
        </w:tc>
        <w:tc>
          <w:tcPr>
            <w:tcW w:w="2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58" w:type="dxa"/>
            <w:tcBorders/>
            <w:shd w:fill="auto" w:val="clear"/>
            <w:vAlign w:val="center"/>
          </w:tcPr>
          <w:p>
            <w:pPr>
              <w:pStyle w:val="TableContents"/>
              <w:spacing w:lineRule="auto" w:line="252" w:before="0" w:after="0"/>
              <w:ind w:left="0" w:right="0" w:hanging="0"/>
              <w:jc w:val="center"/>
              <w:rPr/>
            </w:pPr>
            <w:r>
              <w:rPr/>
              <w:t> </w:t>
            </w:r>
          </w:p>
        </w:tc>
        <w:tc>
          <w:tcPr>
            <w:tcW w:w="2431"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774"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c>
          <w:tcPr>
            <w:tcW w:w="2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58" w:type="dxa"/>
            <w:tcBorders/>
            <w:shd w:fill="auto" w:val="clear"/>
            <w:vAlign w:val="center"/>
          </w:tcPr>
          <w:p>
            <w:pPr>
              <w:pStyle w:val="TableContents"/>
              <w:spacing w:lineRule="auto" w:line="252" w:before="0" w:after="0"/>
              <w:ind w:left="0" w:right="0" w:hanging="0"/>
              <w:jc w:val="center"/>
              <w:rPr/>
            </w:pPr>
            <w:r>
              <w:rPr/>
              <w:t> </w:t>
            </w:r>
          </w:p>
        </w:tc>
        <w:tc>
          <w:tcPr>
            <w:tcW w:w="2431"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774"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3558"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Current assets</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4,118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32,308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2,593</w:t>
            </w:r>
          </w:p>
        </w:tc>
        <w:tc>
          <w:tcPr>
            <w:tcW w:w="296" w:type="dxa"/>
            <w:tcBorders/>
            <w:shd w:fill="auto" w:val="clear"/>
            <w:vAlign w:val="center"/>
          </w:tcPr>
          <w:p>
            <w:pPr>
              <w:pStyle w:val="TableContents"/>
              <w:spacing w:lineRule="auto" w:line="252" w:before="0" w:after="0"/>
              <w:ind w:left="0" w:right="0" w:firstLine="100"/>
              <w:jc w:val="left"/>
              <w:rPr/>
            </w:pPr>
            <w:r>
              <w:rPr/>
              <w:t> </w:t>
            </w:r>
          </w:p>
        </w:tc>
      </w:tr>
      <w:tr>
        <w:trPr/>
        <w:tc>
          <w:tcPr>
            <w:tcW w:w="3558"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Non-current assets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2,282</w:t>
            </w:r>
          </w:p>
        </w:tc>
        <w:tc>
          <w:tcPr>
            <w:tcW w:w="296" w:type="dxa"/>
            <w:tcBorders/>
            <w:shd w:fill="auto" w:val="clear"/>
            <w:vAlign w:val="center"/>
          </w:tcPr>
          <w:p>
            <w:pPr>
              <w:pStyle w:val="TableContents"/>
              <w:spacing w:lineRule="auto" w:line="252" w:before="0" w:after="0"/>
              <w:ind w:left="0" w:right="0" w:firstLine="100"/>
              <w:jc w:val="left"/>
              <w:rPr/>
            </w:pPr>
            <w:r>
              <w:rPr/>
              <w:t> </w:t>
            </w:r>
          </w:p>
        </w:tc>
      </w:tr>
      <w:tr>
        <w:trPr/>
        <w:tc>
          <w:tcPr>
            <w:tcW w:w="3558"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Current liabilities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1,563</w:t>
            </w:r>
          </w:p>
        </w:tc>
        <w:tc>
          <w:tcPr>
            <w:tcW w:w="296" w:type="dxa"/>
            <w:tcBorders/>
            <w:shd w:fill="auto" w:val="clear"/>
            <w:vAlign w:val="center"/>
          </w:tcPr>
          <w:p>
            <w:pPr>
              <w:pStyle w:val="TableContents"/>
              <w:spacing w:lineRule="auto" w:line="252" w:before="0" w:after="0"/>
              <w:ind w:left="0" w:right="0" w:firstLine="100"/>
              <w:jc w:val="left"/>
              <w:rPr/>
            </w:pPr>
            <w:r>
              <w:rPr/>
              <w:t> </w:t>
            </w:r>
          </w:p>
        </w:tc>
      </w:tr>
      <w:tr>
        <w:trPr/>
        <w:tc>
          <w:tcPr>
            <w:tcW w:w="3558"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Non-current liabilities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783</w:t>
            </w:r>
          </w:p>
        </w:tc>
        <w:tc>
          <w:tcPr>
            <w:tcW w:w="296" w:type="dxa"/>
            <w:tcBorders/>
            <w:shd w:fill="auto" w:val="clear"/>
            <w:vAlign w:val="center"/>
          </w:tcPr>
          <w:p>
            <w:pPr>
              <w:pStyle w:val="TableContents"/>
              <w:spacing w:lineRule="auto" w:line="252" w:before="0" w:after="0"/>
              <w:ind w:left="0" w:right="0" w:firstLine="100"/>
              <w:jc w:val="left"/>
              <w:rPr/>
            </w:pPr>
            <w:r>
              <w:rPr/>
              <w:t> </w:t>
            </w:r>
          </w:p>
        </w:tc>
      </w:tr>
      <w:tr>
        <w:trPr/>
        <w:tc>
          <w:tcPr>
            <w:tcW w:w="3558"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Noncontrolling interests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363</w:t>
            </w:r>
          </w:p>
        </w:tc>
        <w:tc>
          <w:tcPr>
            <w:tcW w:w="296" w:type="dxa"/>
            <w:tcBorders/>
            <w:shd w:fill="auto" w:val="clear"/>
            <w:vAlign w:val="center"/>
          </w:tcPr>
          <w:p>
            <w:pPr>
              <w:pStyle w:val="TableContents"/>
              <w:spacing w:lineRule="auto" w:line="252" w:before="0" w:after="0"/>
              <w:ind w:left="0" w:right="0" w:firstLine="100"/>
              <w:jc w:val="left"/>
              <w:rPr/>
            </w:pPr>
            <w:r>
              <w:rPr/>
              <w:t> </w:t>
            </w:r>
          </w:p>
        </w:tc>
      </w:tr>
      <w:tr>
        <w:trPr/>
        <w:tc>
          <w:tcPr>
            <w:tcW w:w="3558"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Equity attributable to Green Thumb Industries Inc.</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4"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0" w:type="dxa"/>
            <w:tcBorders/>
            <w:shd w:fill="auto" w:val="clear"/>
            <w:vAlign w:val="center"/>
          </w:tcPr>
          <w:p>
            <w:pPr>
              <w:pStyle w:val="TableContents"/>
              <w:spacing w:lineRule="auto" w:line="252" w:before="0" w:after="0"/>
              <w:ind w:left="0" w:right="0" w:hanging="0"/>
              <w:jc w:val="left"/>
              <w:rPr/>
            </w:pPr>
            <w:r>
              <w:rPr/>
              <w:t> </w:t>
            </w:r>
          </w:p>
        </w:tc>
        <w:tc>
          <w:tcPr>
            <w:tcW w:w="100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2,261</w:t>
            </w:r>
          </w:p>
        </w:tc>
        <w:tc>
          <w:tcPr>
            <w:tcW w:w="29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On September 1, 2021, the Company acquired the remaining minority interest in Meshow, LLC, a retail dispensary located in Maryland, for $950</w:t>
      </w:r>
      <w:r>
        <w:rPr>
          <w:rFonts w:ascii="Times New Roman" w:hAnsi="Times New Roman"/>
          <w:sz w:val="20"/>
        </w:rPr>
        <w:t xml:space="preserve"> </w:t>
      </w:r>
      <w:r>
        <w:rPr>
          <w:rFonts w:ascii="Times New Roman" w:hAnsi="Times New Roman"/>
          <w:b w:val="false"/>
          <w:sz w:val="20"/>
        </w:rPr>
        <w:t>thousand in cash and the issuance of 136,075</w:t>
      </w:r>
      <w:r>
        <w:rPr>
          <w:rFonts w:ascii="Times New Roman" w:hAnsi="Times New Roman"/>
          <w:sz w:val="20"/>
        </w:rPr>
        <w:t xml:space="preserve"> </w:t>
      </w:r>
      <w:r>
        <w:rPr>
          <w:rFonts w:ascii="Times New Roman" w:hAnsi="Times New Roman"/>
          <w:b w:val="false"/>
          <w:sz w:val="20"/>
        </w:rPr>
        <w:t>shares of Green Thumb, which had a fair value of $4,070</w:t>
      </w:r>
      <w:r>
        <w:rPr>
          <w:rFonts w:ascii="Times New Roman" w:hAnsi="Times New Roman"/>
          <w:sz w:val="20"/>
        </w:rPr>
        <w:t xml:space="preserve"> </w:t>
      </w:r>
      <w:r>
        <w:rPr>
          <w:rFonts w:ascii="Times New Roman" w:hAnsi="Times New Roman"/>
          <w:b w:val="false"/>
          <w:sz w:val="20"/>
        </w:rPr>
        <w:t>thousand, based on the closing price of Green Thumb’s Subordinate Voting Shares as traded on the CSE on the date of the transaction. As a result, the remaining equity associated with the non controlling interest was closed to share capital of Green Thumb as of September 1, 2021.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On December 31, 2020, the MSA for Chesapeake Alternatives, LLC was amended and restated to make GTI Maryland, LLC, the sole member of the entity. As a result, the remaining equity associated with the non controlling interest was closed to share capital of Green Thumb as of December 31, 2020.</w:t>
      </w:r>
    </w:p>
    <w:p>
      <w:pPr>
        <w:pStyle w:val="TextBody"/>
        <w:spacing w:lineRule="auto" w:line="273" w:before="240" w:after="0"/>
        <w:jc w:val="left"/>
        <w:rPr>
          <w:rFonts w:ascii="Times New Roman" w:hAnsi="Times New Roman"/>
          <w:sz w:val="20"/>
        </w:rPr>
      </w:pPr>
      <w:r>
        <w:rPr>
          <w:rFonts w:ascii="Times New Roman" w:hAnsi="Times New Roman"/>
          <w:b w:val="false"/>
          <w:sz w:val="20"/>
        </w:rPr>
        <w:t>The following tables present the summarized financial information about the Company’s VIEs which are included in the consolidated statements of operations for the years ended December 31, 2021, 2020 and 2019:</w:t>
      </w:r>
      <w:r>
        <w:rPr>
          <w:rFonts w:ascii="Times New Roman" w:hAnsi="Times New Roman"/>
          <w:sz w:val="20"/>
        </w:rPr>
        <w:t xml:space="preserve"> </w:t>
      </w:r>
    </w:p>
    <w:p>
      <w:pPr>
        <w:pStyle w:val="TextBody"/>
        <w:spacing w:lineRule="auto" w:line="273" w:before="0" w:after="0"/>
        <w:jc w:val="left"/>
        <w:rPr/>
      </w:pPr>
      <w:r>
        <w:rPr/>
        <w:t> </w:t>
      </w:r>
    </w:p>
    <w:tbl>
      <w:tblPr>
        <w:tblW w:w="10535" w:type="dxa"/>
        <w:jc w:val="left"/>
        <w:tblInd w:w="0" w:type="dxa"/>
        <w:tblCellMar>
          <w:top w:w="28" w:type="dxa"/>
          <w:left w:w="28" w:type="dxa"/>
          <w:bottom w:w="28" w:type="dxa"/>
          <w:right w:w="28" w:type="dxa"/>
        </w:tblCellMar>
      </w:tblPr>
      <w:tblGrid>
        <w:gridCol w:w="1351"/>
        <w:gridCol w:w="211"/>
        <w:gridCol w:w="676"/>
        <w:gridCol w:w="146"/>
        <w:gridCol w:w="257"/>
        <w:gridCol w:w="824"/>
        <w:gridCol w:w="146"/>
        <w:gridCol w:w="246"/>
        <w:gridCol w:w="790"/>
        <w:gridCol w:w="146"/>
        <w:gridCol w:w="211"/>
        <w:gridCol w:w="676"/>
        <w:gridCol w:w="146"/>
        <w:gridCol w:w="257"/>
        <w:gridCol w:w="824"/>
        <w:gridCol w:w="146"/>
        <w:gridCol w:w="246"/>
        <w:gridCol w:w="790"/>
        <w:gridCol w:w="146"/>
        <w:gridCol w:w="211"/>
        <w:gridCol w:w="571"/>
        <w:gridCol w:w="146"/>
        <w:gridCol w:w="270"/>
        <w:gridCol w:w="811"/>
        <w:gridCol w:w="291"/>
      </w:tblGrid>
      <w:tr>
        <w:trPr/>
        <w:tc>
          <w:tcPr>
            <w:tcW w:w="13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ind w:left="0" w:right="0" w:firstLine="100"/>
              <w:rPr>
                <w:sz w:val="4"/>
                <w:szCs w:val="4"/>
              </w:rPr>
            </w:pPr>
            <w:r>
              <w:rPr>
                <w:sz w:val="4"/>
                <w:szCs w:val="4"/>
              </w:rPr>
            </w:r>
          </w:p>
        </w:tc>
      </w:tr>
      <w:tr>
        <w:trPr/>
        <w:tc>
          <w:tcPr>
            <w:tcW w:w="1351" w:type="dxa"/>
            <w:tcBorders/>
            <w:shd w:fill="auto" w:val="clear"/>
            <w:vAlign w:val="center"/>
          </w:tcPr>
          <w:p>
            <w:pPr>
              <w:pStyle w:val="TableContents"/>
              <w:spacing w:lineRule="auto" w:line="252" w:before="0" w:after="0"/>
              <w:ind w:left="10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IL Disp, </w:t>
              <w:br/>
              <w:t>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br/>
              <w:t xml:space="preserve">Non-material </w:t>
              <w:br/>
              <w:t>VIEs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Chesapeake</w:t>
              <w:br/>
              <w:t>Alternatives, 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IL Disp, </w:t>
              <w:br/>
              <w:t>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br/>
              <w:t>Non-material VIEs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Chesapeake</w:t>
              <w:br/>
              <w:t>Alternatives, 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IL Disp, </w:t>
              <w:br/>
              <w:t>LLC</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br/>
              <w:t>Non-material VIEs</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1351" w:type="dxa"/>
            <w:tcBorders/>
            <w:shd w:fill="auto" w:val="clear"/>
            <w:vAlign w:val="center"/>
          </w:tcPr>
          <w:p>
            <w:pPr>
              <w:pStyle w:val="TableContents"/>
              <w:spacing w:lineRule="auto" w:line="252" w:before="0" w:after="0"/>
              <w:ind w:left="100" w:right="0" w:hanging="0"/>
              <w:jc w:val="left"/>
              <w:rPr/>
            </w:pPr>
            <w:r>
              <w:rPr/>
              <w:t> </w:t>
            </w:r>
          </w:p>
        </w:tc>
        <w:tc>
          <w:tcPr>
            <w:tcW w:w="2114"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296"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191"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2019</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1351" w:type="dxa"/>
            <w:tcBorders/>
            <w:shd w:fill="auto" w:val="clear"/>
            <w:vAlign w:val="center"/>
          </w:tcPr>
          <w:p>
            <w:pPr>
              <w:pStyle w:val="TableContents"/>
              <w:spacing w:lineRule="auto" w:line="252" w:before="0" w:after="0"/>
              <w:ind w:left="100" w:right="0" w:hanging="0"/>
              <w:jc w:val="left"/>
              <w:rPr/>
            </w:pPr>
            <w:r>
              <w:rPr/>
              <w:t> </w:t>
            </w:r>
          </w:p>
        </w:tc>
        <w:tc>
          <w:tcPr>
            <w:tcW w:w="2114"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296"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191" w:type="dxa"/>
            <w:gridSpan w:val="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3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Revenues</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24,420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2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9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19,725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2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9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16,057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3,516</w:t>
            </w:r>
          </w:p>
        </w:tc>
        <w:tc>
          <w:tcPr>
            <w:tcW w:w="291" w:type="dxa"/>
            <w:tcBorders/>
            <w:shd w:fill="auto" w:val="clear"/>
            <w:vAlign w:val="center"/>
          </w:tcPr>
          <w:p>
            <w:pPr>
              <w:pStyle w:val="TableContents"/>
              <w:spacing w:lineRule="auto" w:line="252" w:before="0" w:after="0"/>
              <w:ind w:left="0" w:right="0" w:hanging="0"/>
              <w:jc w:val="left"/>
              <w:rPr/>
            </w:pPr>
            <w:r>
              <w:rPr/>
              <w:t> </w:t>
            </w:r>
          </w:p>
        </w:tc>
      </w:tr>
      <w:tr>
        <w:trPr/>
        <w:tc>
          <w:tcPr>
            <w:tcW w:w="13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attributable to noncontrolling interests</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pPr>
            <w:r>
              <w:rPr/>
              <w:t> </w:t>
            </w:r>
          </w:p>
        </w:tc>
        <w:tc>
          <w:tcPr>
            <w:tcW w:w="82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79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pPr>
            <w:r>
              <w:rPr/>
              <w:t> </w:t>
            </w:r>
          </w:p>
        </w:tc>
        <w:tc>
          <w:tcPr>
            <w:tcW w:w="82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79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8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(1,130</w:t>
            </w:r>
          </w:p>
        </w:tc>
        <w:tc>
          <w:tcPr>
            <w:tcW w:w="2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3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 attributable to Green Thumb Industries Inc.</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3,565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4,577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3,035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(2,837</w:t>
            </w:r>
          </w:p>
        </w:tc>
        <w:tc>
          <w:tcPr>
            <w:tcW w:w="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3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income</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7,130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8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3,075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4,988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6,069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8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1,214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7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1,807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1,400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8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(3,967</w:t>
            </w:r>
          </w:p>
        </w:tc>
        <w:tc>
          <w:tcPr>
            <w:tcW w:w="2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r>
    </w:tbl>
    <w:p>
      <w:pPr>
        <w:pStyle w:val="TextBody"/>
        <w:spacing w:lineRule="auto" w:line="273" w:before="4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VIEs included in the Other Non-material VIEs are Bluepoint Wellness of Westport LLC. As of December 31, 2020, VIEs included in the Other Non-material VIEs are Bluepoint Wellness of Westport, LLC and Meshow, LLC. As of December 31, 2019, VIEs included in Other Non-material VIEs are Bluepoint Wellness of Westport, LLC, Meshow, LLC and Ohio Investors 2017, LLC.</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net change in the consolidated VIEs and Other Noncontrolling Interest are as follows for the years ended December 31, 2021 and 2020:</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F-43</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20"/>
        </w:rPr>
        <w:t xml:space="preserve">16. VARIABLE INTEREST ENTITIES </w:t>
      </w:r>
      <w:r>
        <w:rPr>
          <w:rFonts w:ascii="Times New Roman" w:hAnsi="Times New Roman"/>
          <w:b/>
          <w:i/>
          <w:sz w:val="20"/>
        </w:rPr>
        <w:t>(</w:t>
      </w:r>
      <w:r>
        <w:rPr>
          <w:rFonts w:ascii="Times New Roman" w:hAnsi="Times New Roman"/>
          <w:b w:val="false"/>
          <w:i/>
          <w:sz w:val="20"/>
        </w:rPr>
        <w:t>Continued)</w:t>
      </w:r>
    </w:p>
    <w:p>
      <w:pPr>
        <w:pStyle w:val="TextBody"/>
        <w:pBdr>
          <w:bottom w:val="single" w:sz="6" w:space="1" w:color="000000"/>
        </w:pBdr>
        <w:spacing w:lineRule="auto" w:line="273" w:before="0" w:after="0"/>
        <w:jc w:val="left"/>
        <w:rPr/>
      </w:pPr>
      <w:r>
        <w:rPr/>
        <w:t> </w:t>
      </w:r>
    </w:p>
    <w:p>
      <w:pPr>
        <w:pStyle w:val="TextBody"/>
        <w:spacing w:lineRule="auto" w:line="273" w:before="0" w:after="0"/>
        <w:jc w:val="left"/>
        <w:rPr/>
      </w:pPr>
      <w:r>
        <w:rPr/>
        <w:t> </w:t>
      </w:r>
    </w:p>
    <w:tbl>
      <w:tblPr>
        <w:tblW w:w="9264" w:type="dxa"/>
        <w:jc w:val="left"/>
        <w:tblInd w:w="0" w:type="dxa"/>
        <w:tblCellMar>
          <w:top w:w="28" w:type="dxa"/>
          <w:left w:w="28" w:type="dxa"/>
          <w:bottom w:w="28" w:type="dxa"/>
          <w:right w:w="28" w:type="dxa"/>
        </w:tblCellMar>
      </w:tblPr>
      <w:tblGrid>
        <w:gridCol w:w="2911"/>
        <w:gridCol w:w="146"/>
        <w:gridCol w:w="354"/>
        <w:gridCol w:w="245"/>
        <w:gridCol w:w="811"/>
        <w:gridCol w:w="166"/>
        <w:gridCol w:w="146"/>
        <w:gridCol w:w="211"/>
        <w:gridCol w:w="146"/>
        <w:gridCol w:w="631"/>
        <w:gridCol w:w="166"/>
        <w:gridCol w:w="146"/>
        <w:gridCol w:w="312"/>
        <w:gridCol w:w="216"/>
        <w:gridCol w:w="941"/>
        <w:gridCol w:w="166"/>
        <w:gridCol w:w="146"/>
        <w:gridCol w:w="211"/>
        <w:gridCol w:w="146"/>
        <w:gridCol w:w="736"/>
        <w:gridCol w:w="31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82" w:type="dxa"/>
            <w:gridSpan w:val="2"/>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10"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Chesapeake</w:t>
              <w:br/>
              <w:t>Alternatives, LLC</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8"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IL Disp, </w:t>
              <w:br/>
              <w:t>LLC</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9"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br/>
              <w:t>Non-material VIEs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3" w:type="dxa"/>
            <w:gridSpan w:val="3"/>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96"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center"/>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sz w:val="20"/>
              </w:rPr>
            </w:pPr>
            <w:r>
              <w:rPr>
                <w:rFonts w:ascii="Times New Roman" w:hAnsi="Times New Roman"/>
                <w:b/>
                <w:sz w:val="20"/>
              </w:rPr>
              <w:t>Balance as at January 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8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2,513</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Contributions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right"/>
              <w:rPr/>
            </w:pPr>
            <w:r>
              <w:rPr/>
              <w:t xml:space="preserve">—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right"/>
              <w:rPr/>
            </w:pPr>
            <w:r>
              <w:rPr/>
              <w:t xml:space="preserve">—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Distributions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8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(1,950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2" w:type="dxa"/>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(2,789</w:t>
            </w:r>
          </w:p>
        </w:tc>
        <w:tc>
          <w:tcPr>
            <w:tcW w:w="31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Net income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8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4,085</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Changes in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1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(322</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82" w:type="dxa"/>
            <w:gridSpan w:val="2"/>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sz w:val="20"/>
              </w:rPr>
            </w:pPr>
            <w:r>
              <w:rPr>
                <w:rFonts w:ascii="Times New Roman" w:hAnsi="Times New Roman"/>
                <w:b/>
                <w:sz w:val="20"/>
              </w:rPr>
              <w:t>Balance as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right"/>
              <w:rPr/>
            </w:pPr>
            <w:r>
              <w:rPr/>
              <w:t xml:space="preserve">—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3,537</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Distributions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right"/>
              <w:rPr/>
            </w:pPr>
            <w:r>
              <w:rPr/>
              <w:t xml:space="preserve">—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(8,600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2" w:type="dxa"/>
            <w:tcBorders/>
            <w:shd w:fill="auto" w:val="clear"/>
            <w:vAlign w:val="center"/>
          </w:tcPr>
          <w:p>
            <w:pPr>
              <w:pStyle w:val="TableContents"/>
              <w:spacing w:lineRule="auto" w:line="252" w:before="0" w:after="0"/>
              <w:ind w:left="0" w:right="0" w:hanging="0"/>
              <w:jc w:val="righ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(2,428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(11,028</w:t>
            </w:r>
          </w:p>
        </w:tc>
        <w:tc>
          <w:tcPr>
            <w:tcW w:w="31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Net income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right"/>
              <w:rPr/>
            </w:pPr>
            <w:r>
              <w:rPr/>
              <w:t xml:space="preserve">—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3,565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9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1,362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4,927</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Changes in ownership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926</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shd w:fill="auto" w:val="clear"/>
            <w:vAlign w:val="center"/>
          </w:tcPr>
          <w:p>
            <w:pPr>
              <w:pStyle w:val="TableContents"/>
              <w:spacing w:lineRule="auto" w:line="252" w:before="0" w:after="0"/>
              <w:ind w:left="0" w:right="0" w:hanging="0"/>
              <w:jc w:val="left"/>
              <w:rPr/>
            </w:pPr>
            <w:r>
              <w:rPr/>
              <w:t> </w:t>
            </w:r>
          </w:p>
        </w:tc>
        <w:tc>
          <w:tcPr>
            <w:tcW w:w="105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2" w:type="dxa"/>
            <w:tcBorders/>
            <w:shd w:fill="auto" w:val="clear"/>
            <w:vAlign w:val="center"/>
          </w:tcPr>
          <w:p>
            <w:pPr>
              <w:pStyle w:val="TableContents"/>
              <w:spacing w:lineRule="auto" w:line="252" w:before="0" w:after="0"/>
              <w:ind w:left="0" w:right="0" w:hanging="0"/>
              <w:jc w:val="left"/>
              <w:rPr/>
            </w:pPr>
            <w:r>
              <w:rPr/>
              <w:t> </w:t>
            </w:r>
          </w:p>
        </w:tc>
        <w:tc>
          <w:tcPr>
            <w:tcW w:w="115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82" w:type="dxa"/>
            <w:gridSpan w:val="2"/>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firstLine="100"/>
              <w:jc w:val="left"/>
              <w:rPr/>
            </w:pPr>
            <w:r>
              <w:rPr/>
              <w:t> </w:t>
            </w:r>
          </w:p>
        </w:tc>
      </w:tr>
      <w:tr>
        <w:trPr/>
        <w:tc>
          <w:tcPr>
            <w:tcW w:w="2911" w:type="dxa"/>
            <w:tcBorders/>
            <w:shd w:fill="auto" w:val="clear"/>
            <w:vAlign w:val="center"/>
          </w:tcPr>
          <w:p>
            <w:pPr>
              <w:pStyle w:val="TableContents"/>
              <w:spacing w:lineRule="auto" w:line="252" w:before="0" w:after="0"/>
              <w:ind w:left="100" w:right="0" w:hanging="0"/>
              <w:jc w:val="left"/>
              <w:rPr>
                <w:rFonts w:ascii="Times New Roman" w:hAnsi="Times New Roman"/>
                <w:b/>
                <w:sz w:val="20"/>
              </w:rPr>
            </w:pPr>
            <w:r>
              <w:rPr>
                <w:rFonts w:ascii="Times New Roman" w:hAnsi="Times New Roman"/>
                <w:b/>
                <w:sz w:val="20"/>
              </w:rPr>
              <w:t>Balance as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1056" w:type="dxa"/>
            <w:gridSpan w:val="2"/>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(1,861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223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(1,638</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w:t>
            </w:r>
          </w:p>
        </w:tc>
      </w:tr>
    </w:tbl>
    <w:p>
      <w:pPr>
        <w:pStyle w:val="TextBody"/>
        <w:spacing w:lineRule="auto" w:line="273" w:before="0" w:after="0"/>
        <w:jc w:val="left"/>
        <w:rPr/>
      </w:pPr>
      <w:r>
        <w:rPr/>
        <w:t> </w:t>
      </w:r>
    </w:p>
    <w:p>
      <w:pPr>
        <w:pStyle w:val="TextBody"/>
        <w:pBdr>
          <w:bottom w:val="single" w:sz="6" w:space="1" w:color="000000"/>
        </w:pBdr>
        <w:spacing w:lineRule="auto" w:line="273" w:before="0" w:after="0"/>
        <w:jc w:val="left"/>
        <w:rPr>
          <w:rFonts w:ascii="Times New Roman" w:hAnsi="Times New Roman"/>
          <w:b/>
          <w:sz w:val="20"/>
        </w:rPr>
      </w:pPr>
      <w:r>
        <w:rPr>
          <w:rFonts w:ascii="Times New Roman" w:hAnsi="Times New Roman"/>
          <w:b/>
          <w:sz w:val="20"/>
        </w:rPr>
        <w:t>17. SEGMENT REPORTING</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does not review total assets or net income (loss) by segments; therefore, such information is not presented below.</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below table presents revenues by type for the years ended December 31, 2021, 2020 and 2019:</w:t>
      </w:r>
      <w:r>
        <w:rPr>
          <w:rFonts w:ascii="Times New Roman" w:hAnsi="Times New Roman"/>
          <w:sz w:val="20"/>
        </w:rPr>
        <w:t xml:space="preserve"> </w:t>
      </w:r>
    </w:p>
    <w:p>
      <w:pPr>
        <w:pStyle w:val="TextBody"/>
        <w:spacing w:lineRule="auto" w:line="273" w:before="0" w:after="0"/>
        <w:jc w:val="left"/>
        <w:rPr/>
      </w:pPr>
      <w:r>
        <w:rPr/>
        <w:t> </w:t>
      </w:r>
    </w:p>
    <w:tbl>
      <w:tblPr>
        <w:tblW w:w="8602" w:type="dxa"/>
        <w:jc w:val="left"/>
        <w:tblInd w:w="0" w:type="dxa"/>
        <w:tblCellMar>
          <w:top w:w="28" w:type="dxa"/>
          <w:left w:w="28" w:type="dxa"/>
          <w:bottom w:w="28" w:type="dxa"/>
          <w:right w:w="28" w:type="dxa"/>
        </w:tblCellMar>
      </w:tblPr>
      <w:tblGrid>
        <w:gridCol w:w="2956"/>
        <w:gridCol w:w="196"/>
        <w:gridCol w:w="1651"/>
        <w:gridCol w:w="196"/>
        <w:gridCol w:w="1651"/>
        <w:gridCol w:w="196"/>
        <w:gridCol w:w="1756"/>
      </w:tblGrid>
      <w:tr>
        <w:trPr/>
        <w:tc>
          <w:tcPr>
            <w:tcW w:w="29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5450"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564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Revenues, net of discounts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19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pPr>
            <w:r>
              <w:rPr/>
              <w:t> </w:t>
            </w:r>
          </w:p>
        </w:tc>
        <w:tc>
          <w:tcPr>
            <w:tcW w:w="1651"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c>
          <w:tcPr>
            <w:tcW w:w="19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center"/>
              <w:rPr/>
            </w:pPr>
            <w:r>
              <w:rPr/>
              <w:t> </w:t>
            </w:r>
          </w:p>
        </w:tc>
        <w:tc>
          <w:tcPr>
            <w:tcW w:w="1756" w:type="dxa"/>
            <w:tcBorders>
              <w:top w:val="single" w:sz="4" w:space="0" w:color="000000"/>
            </w:tcBorders>
            <w:shd w:fill="auto" w:val="clear"/>
            <w:tcMar>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Consumer Packaged Goods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467,258</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273,977</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109,930</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Retail</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614,739</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396,372</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137,810</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Intersegment Eliminations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8"/>
              </w:rPr>
              <w:t>(188,437)</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8"/>
              </w:rPr>
              <w:t>(113,776)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8"/>
              </w:rPr>
              <w:t>(31,307)</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 Revenues, net of discounts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893,560</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556,573</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216,433</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Depreciation and Amortization</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Consumer Packaged Goods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36,839</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28,207</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17,792</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Retail</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31,619</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24,299</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13,690</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Intersegment Eliminations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 Depreciation and Amortization</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68,458</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52,506</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31,482</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Income Taxes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Consumer Packaged Goods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57,704</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33,965</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3,727</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Retail</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66,908</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49,888</w:t>
            </w:r>
            <w:r>
              <w:rPr>
                <w:rFonts w:ascii="Times New Roman" w:hAnsi="Times New Roman"/>
                <w:sz w:val="20"/>
              </w:rPr>
              <w:t xml:space="preserve">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756" w:type="dxa"/>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9,906</w:t>
            </w:r>
            <w:r>
              <w:rPr>
                <w:rFonts w:ascii="Times New Roman" w:hAnsi="Times New Roman"/>
                <w:sz w:val="20"/>
              </w:rPr>
              <w:t xml:space="preserve">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Intersegment Eliminations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xml:space="preserve">—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r>
              <w:rPr>
                <w:rFonts w:ascii="Times New Roman" w:hAnsi="Times New Roman"/>
                <w:b w:val="false"/>
                <w:sz w:val="18"/>
              </w:rPr>
              <w:t>(4,289)</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Total Income Taxes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124,612</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6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83,853</w:t>
            </w:r>
            <w:r>
              <w:rPr>
                <w:rFonts w:ascii="Times New Roman" w:hAnsi="Times New Roman"/>
                <w:sz w:val="20"/>
              </w:rPr>
              <w:t xml:space="preserve">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t>
            </w:r>
          </w:p>
        </w:tc>
        <w:tc>
          <w:tcPr>
            <w:tcW w:w="1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sz w:val="18"/>
              </w:rPr>
              <w:t>9,344</w:t>
            </w:r>
            <w:r>
              <w:rPr>
                <w:rFonts w:ascii="Times New Roman" w:hAnsi="Times New Roman"/>
                <w:sz w:val="20"/>
              </w:rPr>
              <w:t xml:space="preserve">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Goodwill assigned to the Consumer Packaged Goods segment as of December 31, 2021 and December 31, 2020 was $358,038</w:t>
      </w:r>
      <w:r>
        <w:rPr>
          <w:rFonts w:ascii="Times New Roman" w:hAnsi="Times New Roman"/>
          <w:sz w:val="20"/>
        </w:rPr>
        <w:t xml:space="preserve"> </w:t>
      </w:r>
      <w:r>
        <w:rPr>
          <w:rFonts w:ascii="Times New Roman" w:hAnsi="Times New Roman"/>
          <w:b w:val="false"/>
          <w:sz w:val="20"/>
        </w:rPr>
        <w:t>thousand and $252,017</w:t>
      </w:r>
      <w:r>
        <w:rPr>
          <w:rFonts w:ascii="Times New Roman" w:hAnsi="Times New Roman"/>
          <w:sz w:val="20"/>
        </w:rPr>
        <w:t xml:space="preserve"> </w:t>
      </w:r>
      <w:r>
        <w:rPr>
          <w:rFonts w:ascii="Times New Roman" w:hAnsi="Times New Roman"/>
          <w:b w:val="false"/>
          <w:sz w:val="20"/>
        </w:rPr>
        <w:t>thousand, respectively. Intangible assets, net assigned to the Consumer Packaged Goods segment as of December 31, 2021 and December 31, 2020 was $317,454</w:t>
      </w:r>
      <w:r>
        <w:rPr>
          <w:rFonts w:ascii="Times New Roman" w:hAnsi="Times New Roman"/>
          <w:sz w:val="20"/>
        </w:rPr>
        <w:t xml:space="preserve"> </w:t>
      </w:r>
      <w:r>
        <w:rPr>
          <w:rFonts w:ascii="Times New Roman" w:hAnsi="Times New Roman"/>
          <w:b w:val="false"/>
          <w:sz w:val="20"/>
        </w:rPr>
        <w:t>thousand and $211,304</w:t>
      </w:r>
      <w:r>
        <w:rPr>
          <w:rFonts w:ascii="Times New Roman" w:hAnsi="Times New Roman"/>
          <w:sz w:val="20"/>
        </w:rPr>
        <w:t xml:space="preserve"> </w:t>
      </w:r>
      <w:r>
        <w:rPr>
          <w:rFonts w:ascii="Times New Roman" w:hAnsi="Times New Roman"/>
          <w:b w:val="false"/>
          <w:sz w:val="20"/>
        </w:rPr>
        <w:t>thousand, respectively.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Goodwill assigned to the Retail segment as of December 31, 2021 and December 31, 2020 was $274,811</w:t>
      </w:r>
      <w:r>
        <w:rPr>
          <w:rFonts w:ascii="Times New Roman" w:hAnsi="Times New Roman"/>
          <w:sz w:val="20"/>
        </w:rPr>
        <w:t xml:space="preserve"> </w:t>
      </w:r>
      <w:r>
        <w:rPr>
          <w:rFonts w:ascii="Times New Roman" w:hAnsi="Times New Roman"/>
          <w:b w:val="false"/>
          <w:sz w:val="20"/>
        </w:rPr>
        <w:t>thousand and $130,680</w:t>
      </w:r>
      <w:r>
        <w:rPr>
          <w:rFonts w:ascii="Times New Roman" w:hAnsi="Times New Roman"/>
          <w:sz w:val="20"/>
        </w:rPr>
        <w:t xml:space="preserve"> </w:t>
      </w:r>
      <w:r>
        <w:rPr>
          <w:rFonts w:ascii="Times New Roman" w:hAnsi="Times New Roman"/>
          <w:b w:val="false"/>
          <w:sz w:val="20"/>
        </w:rPr>
        <w:t>thousand, respectively. Intangible assets, net assigned to the Retail segment as of December 31, 2021 and December 31, 2020 was $358,037</w:t>
      </w:r>
      <w:r>
        <w:rPr>
          <w:rFonts w:ascii="Times New Roman" w:hAnsi="Times New Roman"/>
          <w:sz w:val="20"/>
        </w:rPr>
        <w:t xml:space="preserve"> </w:t>
      </w:r>
      <w:r>
        <w:rPr>
          <w:rFonts w:ascii="Times New Roman" w:hAnsi="Times New Roman"/>
          <w:b w:val="false"/>
          <w:sz w:val="20"/>
        </w:rPr>
        <w:t>thousand and $194,938</w:t>
      </w:r>
      <w:r>
        <w:rPr>
          <w:rFonts w:ascii="Times New Roman" w:hAnsi="Times New Roman"/>
          <w:sz w:val="20"/>
        </w:rPr>
        <w:t xml:space="preserve"> </w:t>
      </w:r>
      <w:r>
        <w:rPr>
          <w:rFonts w:ascii="Times New Roman" w:hAnsi="Times New Roman"/>
          <w:b w:val="false"/>
          <w:sz w:val="20"/>
        </w:rPr>
        <w:t>thousand, respectively.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F-44</w:t>
      </w:r>
    </w:p>
    <w:p>
      <w:pPr>
        <w:pStyle w:val="HorizontalLine"/>
        <w:rPr/>
      </w:pPr>
      <w:r>
        <w:rPr/>
      </w:r>
    </w:p>
    <w:p>
      <w:pPr>
        <w:pStyle w:val="TextBody"/>
        <w:spacing w:lineRule="auto" w:line="273" w:before="0" w:after="0"/>
        <w:jc w:val="center"/>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73" w:before="0" w:after="0"/>
        <w:jc w:val="center"/>
        <w:rPr>
          <w:rFonts w:ascii="Times New Roman" w:hAnsi="Times New Roman"/>
          <w:b w:val="false"/>
          <w:i/>
          <w:sz w:val="20"/>
        </w:rPr>
      </w:pPr>
      <w:r>
        <w:rPr>
          <w:rFonts w:ascii="Times New Roman" w:hAnsi="Times New Roman"/>
          <w:b w:val="false"/>
          <w:i/>
          <w:sz w:val="20"/>
        </w:rPr>
        <w:t>(Amounts Expressed in Thousands of United States Dollars, Except Where Stated Otherwise)</w:t>
      </w:r>
    </w:p>
    <w:p>
      <w:pPr>
        <w:pStyle w:val="TextBody"/>
        <w:spacing w:lineRule="auto" w:line="273" w:before="0" w:after="0"/>
        <w:jc w:val="center"/>
        <w:rPr/>
      </w:pPr>
      <w:r>
        <w:rPr/>
        <w:t> </w:t>
      </w:r>
    </w:p>
    <w:p>
      <w:pPr>
        <w:pStyle w:val="TextBody"/>
        <w:pBdr>
          <w:bottom w:val="single" w:sz="6" w:space="1" w:color="000000"/>
        </w:pBdr>
        <w:spacing w:lineRule="auto" w:line="273" w:before="0" w:after="0"/>
        <w:jc w:val="left"/>
        <w:rPr>
          <w:rFonts w:ascii="Times New Roman" w:hAnsi="Times New Roman"/>
          <w:sz w:val="20"/>
        </w:rPr>
      </w:pPr>
      <w:r>
        <w:rPr>
          <w:rFonts w:ascii="Times New Roman" w:hAnsi="Times New Roman"/>
          <w:b/>
          <w:sz w:val="20"/>
        </w:rPr>
        <w:t xml:space="preserve">17. SEGMENT REPORTING </w:t>
      </w:r>
      <w:r>
        <w:rPr>
          <w:rFonts w:ascii="Times New Roman" w:hAnsi="Times New Roman"/>
          <w:b w:val="false"/>
          <w:i/>
          <w:sz w:val="20"/>
        </w:rPr>
        <w:t>(Continued)</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Company’s assets are aggregated into two reportable segments (Retail and Consumer Packaged Goods). For the purposes of testing goodwill, Green Thumb has identified 30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r>
        <w:rPr>
          <w:rFonts w:ascii="Times New Roman" w:hAnsi="Times New Roman"/>
          <w:sz w:val="20"/>
        </w:rPr>
        <w:t xml:space="preserve"> </w:t>
      </w:r>
    </w:p>
    <w:p>
      <w:pPr>
        <w:pStyle w:val="TextBody"/>
        <w:pBdr>
          <w:bottom w:val="single" w:sz="6" w:space="1" w:color="000000"/>
        </w:pBdr>
        <w:spacing w:lineRule="auto" w:line="273" w:before="200" w:after="0"/>
        <w:jc w:val="left"/>
        <w:rPr>
          <w:rFonts w:ascii="Times New Roman" w:hAnsi="Times New Roman"/>
          <w:b/>
          <w:sz w:val="20"/>
        </w:rPr>
      </w:pPr>
      <w:r>
        <w:rPr>
          <w:rFonts w:ascii="Times New Roman" w:hAnsi="Times New Roman"/>
          <w:b/>
          <w:sz w:val="20"/>
        </w:rPr>
        <w:t>18. QUARTERLY FINANCIAL DATA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contains selected quarterly data for 2021 and 2020.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650"/>
        <w:gridCol w:w="196"/>
        <w:gridCol w:w="146"/>
        <w:gridCol w:w="1006"/>
        <w:gridCol w:w="166"/>
        <w:gridCol w:w="196"/>
        <w:gridCol w:w="146"/>
        <w:gridCol w:w="1006"/>
        <w:gridCol w:w="166"/>
        <w:gridCol w:w="196"/>
        <w:gridCol w:w="146"/>
        <w:gridCol w:w="1006"/>
        <w:gridCol w:w="146"/>
        <w:gridCol w:w="196"/>
        <w:gridCol w:w="146"/>
        <w:gridCol w:w="1006"/>
        <w:gridCol w:w="146"/>
        <w:gridCol w:w="196"/>
        <w:gridCol w:w="146"/>
        <w:gridCol w:w="1006"/>
        <w:gridCol w:w="191"/>
      </w:tblGrid>
      <w:tr>
        <w:trPr/>
        <w:tc>
          <w:tcPr>
            <w:tcW w:w="26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50"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First </w:t>
              <w:br/>
              <w:t>Quarter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Second </w:t>
              <w:br/>
              <w:t>Quarter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Third </w:t>
              <w:br/>
              <w:t>Quarter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Fourth </w:t>
              <w:br/>
              <w:t>Quarter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Full </w:t>
              <w:br/>
              <w:t>Year</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50"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7168"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2021</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Sales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194,431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221,872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233,677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243,580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893,560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 from operations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51,534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50,855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58,069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54,384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214,842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attributable to Green Thumb Industries Inc.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10,369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22,052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20,209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22,806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75,436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per share – basic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per share – diluted</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0.33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number of common shares outstanding - basic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216,210,429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220,323,622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226,529,671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230,916,901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223,192,326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number of common shares outstanding - diluted</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221,616,157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224,843,155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230,879,437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233,927,531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226,758,882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650"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First </w:t>
              <w:br/>
              <w:t>Quarter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Second </w:t>
              <w:br/>
              <w:t>Quarter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Third </w:t>
              <w:br/>
              <w:t>Quarter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Fourth </w:t>
              <w:br/>
              <w:t>Quarter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Full </w:t>
              <w:br/>
              <w:t>Year</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50"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7168"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2020</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152"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Sales</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102,603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119,640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157,104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177,226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556,573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Income (loss) from operations</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7,553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14,051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37,211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47,292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106,107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attributable to Green Thumb Industries Inc.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(4,206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(12,910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9,644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22,465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14,993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per share - basic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Income (loss) per share - diluted</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0.07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number of common shares outstanding - basic</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208,468,356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209,902,732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211,990,405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213,249,477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210,988,259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650"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 average number of common shares outstanding - diluted</w:t>
            </w:r>
          </w:p>
        </w:tc>
        <w:tc>
          <w:tcPr>
            <w:tcW w:w="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208,468,356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209,902,732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214,212,292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217,178,771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212,531,188</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F-45</w:t>
      </w:r>
    </w:p>
    <w:p>
      <w:pPr>
        <w:pStyle w:val="HorizontalLine"/>
        <w:rPr/>
      </w:pPr>
      <w:r>
        <w:rPr/>
      </w:r>
    </w:p>
    <w:p>
      <w:pPr>
        <w:pStyle w:val="TextBody"/>
        <w:spacing w:lineRule="auto" w:line="273" w:before="0" w:after="0"/>
        <w:jc w:val="left"/>
        <w:rPr/>
      </w:pPr>
      <w:r>
        <w:rPr/>
        <w:t> </w:t>
      </w:r>
    </w:p>
    <w:p>
      <w:pPr>
        <w:pStyle w:val="TextBody"/>
        <w:spacing w:lineRule="auto" w:line="295" w:before="0" w:after="0"/>
        <w:jc w:val="center"/>
        <w:rPr>
          <w:rFonts w:ascii="Arial" w:hAnsi="Arial"/>
          <w:b w:val="false"/>
          <w:sz w:val="20"/>
        </w:rPr>
      </w:pPr>
      <w:bookmarkStart w:id="35" w:name="auditor_report"/>
      <w:bookmarkEnd w:id="35"/>
      <w:r>
        <w:rPr>
          <w:rFonts w:ascii="Arial" w:hAnsi="Arial"/>
          <w:b w:val="false"/>
          <w:sz w:val="20"/>
        </w:rPr>
        <w:t>REPORT OF INDEPENDENT REGISTERED PUBLIC ACCOUNTING FIRM</w:t>
      </w:r>
    </w:p>
    <w:p>
      <w:pPr>
        <w:pStyle w:val="TextBody"/>
        <w:spacing w:lineRule="auto" w:line="295" w:before="0" w:after="0"/>
        <w:jc w:val="left"/>
        <w:rPr/>
      </w:pPr>
      <w:r>
        <w:rPr/>
        <w:t> </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To the shareholders and the board of directors of Green Thumb Industries, Inc.:</w:t>
      </w:r>
    </w:p>
    <w:p>
      <w:pPr>
        <w:pStyle w:val="TextBody"/>
        <w:spacing w:lineRule="auto" w:line="295" w:before="0" w:after="0"/>
        <w:jc w:val="left"/>
        <w:rPr/>
      </w:pPr>
      <w:r>
        <w:rPr/>
        <w:t> </w:t>
      </w:r>
    </w:p>
    <w:p>
      <w:pPr>
        <w:pStyle w:val="TextBody"/>
        <w:spacing w:lineRule="auto" w:line="295" w:before="0" w:after="0"/>
        <w:jc w:val="left"/>
        <w:rPr>
          <w:rFonts w:ascii="Arial" w:hAnsi="Arial"/>
          <w:b/>
          <w:sz w:val="20"/>
        </w:rPr>
      </w:pPr>
      <w:r>
        <w:rPr>
          <w:rFonts w:ascii="Arial" w:hAnsi="Arial"/>
          <w:b/>
          <w:sz w:val="20"/>
        </w:rPr>
        <w:t>Opinions on the Financial Statements and Internal Control over Financial Reporting</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Arial" w:hAnsi="Arial"/>
          <w:b w:val="false"/>
          <w:sz w:val="20"/>
        </w:rPr>
        <w:t xml:space="preserve">We have audited the accompanying consolidated balance sheet of Green Thumb Industries, Inc. (the "Company") as of December 31, 2021, the related consolidated statements of operations, changes in shareholders' equity, and cash flows, for the year ended December 31, 2021, and the related notes (collectively referred to as the "consolidated financial statements"). We also have audited the Company’s internal control over financial reporting as of December 31, 2021, based on criteria established in </w:t>
      </w:r>
      <w:r>
        <w:rPr>
          <w:rFonts w:ascii="Arial" w:hAnsi="Arial"/>
          <w:b w:val="false"/>
          <w:i/>
          <w:sz w:val="20"/>
        </w:rPr>
        <w:t>Internal Control – Integrated Framework: (2013)</w:t>
      </w:r>
      <w:r>
        <w:rPr>
          <w:rFonts w:ascii="Arial" w:hAnsi="Arial"/>
          <w:b w:val="false"/>
          <w:sz w:val="20"/>
        </w:rPr>
        <w:t>issued by the Committee of Sponsoring Organizations of the Treadway Commission (COSO).</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Arial" w:hAnsi="Arial"/>
          <w:b w:val="false"/>
          <w:sz w:val="20"/>
        </w:rPr>
        <w:t xml:space="preserve">In our opinion, the consolidated financial statements present fairly, in all material respects, the financial position of the Company as of December 31, 2021, and the results of its operations and its cash flows for the year ended December 31, 2021, in conformity with accounting principles generally accepted in the United States of America. Also in our opinion, the Company did not maintain, in all material respects, effective internal control over financial reporting as of December 31, 2021, based on criteria established in </w:t>
      </w:r>
      <w:r>
        <w:rPr>
          <w:rFonts w:ascii="Arial" w:hAnsi="Arial"/>
          <w:b w:val="false"/>
          <w:i/>
          <w:sz w:val="20"/>
        </w:rPr>
        <w:t>Internal Control – Integrated Framework: (2013)</w:t>
      </w:r>
      <w:r>
        <w:rPr>
          <w:rFonts w:ascii="Times New Roman" w:hAnsi="Times New Roman"/>
          <w:sz w:val="20"/>
        </w:rPr>
        <w:t xml:space="preserve"> </w:t>
      </w:r>
      <w:r>
        <w:rPr>
          <w:rFonts w:ascii="Arial" w:hAnsi="Arial"/>
          <w:b w:val="false"/>
          <w:sz w:val="20"/>
        </w:rPr>
        <w:t>issued by COSO because a material weakness in internal control over financial reporting existed as of that date related to the Company not designing and maintaining effective controls related to the accounting for contingent consideration.</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are described in Management’s Report on Internal Controls over Financial Reporting under Item 9A. We considered this material weakness in determining the nature, timing, and extent of audit tests applied in our audit of the 2021 consolidated financial statements, and our opinion regarding the effectiveness of the Company’s internal control over financial reporting does not affect our opinion on those consolidated financial statements.</w:t>
      </w:r>
    </w:p>
    <w:p>
      <w:pPr>
        <w:pStyle w:val="TextBody"/>
        <w:spacing w:lineRule="auto" w:line="295" w:before="0" w:after="0"/>
        <w:jc w:val="left"/>
        <w:rPr/>
      </w:pPr>
      <w:r>
        <w:rPr/>
        <w:t> </w:t>
      </w:r>
    </w:p>
    <w:p>
      <w:pPr>
        <w:pStyle w:val="TextBody"/>
        <w:spacing w:lineRule="auto" w:line="295" w:before="0" w:after="0"/>
        <w:jc w:val="left"/>
        <w:rPr>
          <w:rFonts w:ascii="Arial" w:hAnsi="Arial"/>
          <w:b/>
          <w:sz w:val="20"/>
        </w:rPr>
      </w:pPr>
      <w:r>
        <w:rPr>
          <w:rFonts w:ascii="Arial" w:hAnsi="Arial"/>
          <w:b/>
          <w:sz w:val="20"/>
        </w:rPr>
        <w:t>Basis for Opinions</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Arial" w:hAnsi="Arial"/>
          <w:b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Arial" w:hAnsi="Arial"/>
          <w:b w:val="false"/>
          <w:sz w:val="20"/>
        </w:rPr>
        <w:t>Our audit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As indicated in the accompanying Management’s Report on Internal Controls over Financial Reporting, during the year ended December 31, 2021, the Company completed six separate acquisitions (the “Acquired Entities”). As permitted by the Securities and Exchange Commission, management excluded the Acquired Entities from its assessment of internal control over financial reporting as of December 31, 2021. The Acquired Entities operations constitute approximately three percent of total assets (excluding goodwill and other intangible assets) as of December 31, 2021, and approximately four percent of revenues, net of discounts for the year then ended. Our audit of internal control over financial reporting did not include an evaluation of the internal controls over financial reporting of the Acquired Entities.</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We believe that our audit provides a reasonable basis for our opinions.</w:t>
      </w:r>
    </w:p>
    <w:p>
      <w:pPr>
        <w:pStyle w:val="TextBody"/>
        <w:spacing w:lineRule="auto" w:line="295" w:before="0" w:after="0"/>
        <w:jc w:val="left"/>
        <w:rPr/>
      </w:pPr>
      <w:r>
        <w:rPr/>
        <w:t> </w:t>
      </w:r>
    </w:p>
    <w:p>
      <w:pPr>
        <w:pStyle w:val="TextBody"/>
        <w:spacing w:lineRule="auto" w:line="295" w:before="0" w:after="0"/>
        <w:jc w:val="left"/>
        <w:rPr>
          <w:rFonts w:ascii="Arial" w:hAnsi="Arial"/>
          <w:b/>
          <w:sz w:val="20"/>
        </w:rPr>
      </w:pPr>
      <w:r>
        <w:rPr>
          <w:rFonts w:ascii="Arial" w:hAnsi="Arial"/>
          <w:b/>
          <w:sz w:val="20"/>
        </w:rPr>
        <w:t>Definition and Limitations of Internal Control Over Financial Reporting</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w:t>
      </w:r>
    </w:p>
    <w:p>
      <w:pPr>
        <w:pStyle w:val="TextBody"/>
        <w:spacing w:lineRule="auto" w:line="295" w:before="0" w:after="0"/>
        <w:jc w:val="left"/>
        <w:rPr>
          <w:rFonts w:ascii="Arial" w:hAnsi="Arial"/>
          <w:b w:val="false"/>
          <w:sz w:val="20"/>
        </w:rPr>
      </w:pPr>
      <w:r>
        <w:rPr>
          <w:rFonts w:ascii="Arial" w:hAnsi="Arial"/>
          <w:b w:val="false"/>
          <w:sz w:val="20"/>
        </w:rPr>
        <w:t>with the policies or procedures may deteriorate.</w:t>
      </w:r>
    </w:p>
    <w:p>
      <w:pPr>
        <w:pStyle w:val="TextBody"/>
        <w:spacing w:lineRule="auto" w:line="295" w:before="0" w:after="0"/>
        <w:jc w:val="left"/>
        <w:rPr/>
      </w:pPr>
      <w:r>
        <w:rPr/>
        <w:t> </w:t>
      </w:r>
    </w:p>
    <w:p>
      <w:pPr>
        <w:pStyle w:val="TextBody"/>
        <w:spacing w:lineRule="auto" w:line="295" w:before="0" w:after="0"/>
        <w:jc w:val="left"/>
        <w:rPr>
          <w:rFonts w:ascii="Arial" w:hAnsi="Arial"/>
          <w:b/>
          <w:sz w:val="20"/>
        </w:rPr>
      </w:pPr>
      <w:r>
        <w:rPr>
          <w:rFonts w:ascii="Arial" w:hAnsi="Arial"/>
          <w:b/>
          <w:sz w:val="20"/>
        </w:rPr>
        <w:t>Critical Audit Matters</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Valuation of Intangibles (Including Goodwill) Arising from Business Combinations</w:t>
      </w:r>
    </w:p>
    <w:p>
      <w:pPr>
        <w:pStyle w:val="TextBody"/>
        <w:spacing w:lineRule="auto" w:line="295" w:before="0" w:after="0"/>
        <w:jc w:val="left"/>
        <w:rPr/>
      </w:pPr>
      <w:r>
        <w:rPr/>
        <w:t> </w:t>
      </w:r>
    </w:p>
    <w:p>
      <w:pPr>
        <w:pStyle w:val="TextBody"/>
        <w:spacing w:lineRule="auto" w:line="295" w:before="0" w:after="0"/>
        <w:jc w:val="left"/>
        <w:rPr>
          <w:rFonts w:ascii="Arial" w:hAnsi="Arial"/>
          <w:b w:val="false"/>
          <w:i/>
          <w:sz w:val="20"/>
        </w:rPr>
      </w:pPr>
      <w:r>
        <w:rPr>
          <w:rFonts w:ascii="Arial" w:hAnsi="Arial"/>
          <w:b w:val="false"/>
          <w:i/>
          <w:sz w:val="20"/>
        </w:rPr>
        <w:t>Critical Audit Matter Description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20"/>
        </w:rPr>
        <w:t>As described in Note 5 to the consolidated financial statements, the Company completed the acquisitions of Liberty Compassion, Inc., Dharma Pharmaceuticals, LLC, and Mobley Pain Management and Wellness Center, LLC and CanWell Processing, LLC, GreenStar Herbals Inc., MDHWC Management Corp., and LeafLine Industries, LLC during the year ended December 31, 2021. The aggregate consideration for the acquisitions was approximately $540 million. In addition, during the year ended December 31, 2021, the Company finalized the purchase price allocation related to the acquisition of Southern CT Wellness &amp; Healing, which was acquired during the year ended December 31, 2020. The aggregate consideration for the acquisition was approximately $14 million. Each acquisition was accounted for as a business combination. The Company measured the assets acquired and liabilities assumed at fair value, which resulted in the recognition of intangible assets totaling approximately $590 million (of which approximately $17 million related to Southern CT Wellness &amp; Healing). The Company has recorded identifiable license intangible assets of approximately $321 million and goodwill of approximately $269 million (of which approximately $9 million and $8 million related to a license intangible asset and goodwill, respectively, of Southern CT Wellness &amp; Healing) as a result of these acquisitions.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The valuation of the intangible assets is complex and judgmental due to the use of subjective assumptions in the valuation models used by management when determining the estimated fair values of the intangible assets acquired consideration paid. The determination of the fair values of the intangible assets and consideration paid requires management to make significant estimates and assumptions related to forecasts of future revenues, expenses, discount rates, risk-free rates, weighted-average cost of capital, equity risk premium, and the probability of occurrence of certain transactions.</w:t>
      </w:r>
    </w:p>
    <w:p>
      <w:pPr>
        <w:pStyle w:val="TextBody"/>
        <w:spacing w:lineRule="auto" w:line="273" w:before="0" w:after="0"/>
        <w:jc w:val="left"/>
        <w:rPr>
          <w:rFonts w:ascii="Arial" w:hAnsi="Arial"/>
          <w:b w:val="false"/>
          <w:sz w:val="20"/>
        </w:rPr>
      </w:pPr>
      <w:r>
        <w:rPr>
          <w:rFonts w:ascii="Arial" w:hAnsi="Arial"/>
          <w:b w:val="false"/>
          <w:sz w:val="20"/>
        </w:rPr>
        <w:t>Auditing management’s valuation of the acquired intangible assets is complex due to the judgments required to evaluate management’s previously noted estimates and assumptions.</w:t>
      </w:r>
    </w:p>
    <w:p>
      <w:pPr>
        <w:pStyle w:val="TextBody"/>
        <w:spacing w:lineRule="auto" w:line="295" w:before="0" w:after="0"/>
        <w:jc w:val="left"/>
        <w:rPr/>
      </w:pPr>
      <w:r>
        <w:rPr/>
        <w:t> </w:t>
      </w:r>
    </w:p>
    <w:p>
      <w:pPr>
        <w:pStyle w:val="TextBody"/>
        <w:spacing w:lineRule="auto" w:line="295" w:before="0" w:after="0"/>
        <w:jc w:val="left"/>
        <w:rPr>
          <w:rFonts w:ascii="Arial" w:hAnsi="Arial"/>
          <w:b w:val="false"/>
          <w:i/>
          <w:sz w:val="20"/>
        </w:rPr>
      </w:pPr>
      <w:r>
        <w:rPr>
          <w:rFonts w:ascii="Arial" w:hAnsi="Arial"/>
          <w:b w:val="false"/>
          <w:i/>
          <w:sz w:val="20"/>
        </w:rPr>
        <w:t>How We Addressed the Matter in Our Audit</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The primary procedures we performed to address this critical audit matter included:</w:t>
      </w:r>
    </w:p>
    <w:p>
      <w:pPr>
        <w:pStyle w:val="TextBody"/>
        <w:spacing w:lineRule="auto" w:line="295"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Arial" w:hAnsi="Arial"/>
          <w:b w:val="false"/>
          <w:sz w:val="20"/>
        </w:rPr>
      </w:pPr>
      <w:r>
        <w:rPr>
          <w:rFonts w:ascii="Arial" w:hAnsi="Arial"/>
          <w:b w:val="false"/>
          <w:sz w:val="20"/>
        </w:rPr>
        <w:t xml:space="preserve">We tested internal controls relating to the evaluation of the assumptions used to estimate the fair value of the intangible assets acquired including: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Management’s identification of assets acquired and liabilities incurred.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Management’s evaluation of the completeness, accuracy and reasonableness of prospective financial information used to determine the fair values of intangible assets acquired.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Management’s evaluation of the completeness and accuracy of key assumptions and inputs used by third-party valuation specialists, including the discount rate, risk-free rate, weighted-average cost of capital, equity risk premium, and probabilities assigned to contingent consideration used to determine fair values.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 xml:space="preserve">Management’s evaluation of the clerical accuracy of the model used to determine the fair values of intangible assets acquired. </w:t>
      </w:r>
    </w:p>
    <w:p>
      <w:pPr>
        <w:pStyle w:val="TextBody"/>
        <w:spacing w:lineRule="auto" w:line="273" w:before="120" w:after="0"/>
        <w:jc w:val="left"/>
        <w:rPr/>
      </w:pPr>
      <w:r>
        <w:rPr/>
        <w:t>•</w:t>
      </w:r>
    </w:p>
    <w:p>
      <w:pPr>
        <w:pStyle w:val="TextBody"/>
        <w:spacing w:lineRule="auto" w:line="273" w:before="120" w:after="0"/>
        <w:jc w:val="left"/>
        <w:rPr>
          <w:rFonts w:ascii="Arial" w:hAnsi="Arial"/>
          <w:b w:val="false"/>
          <w:sz w:val="20"/>
        </w:rPr>
      </w:pPr>
      <w:r>
        <w:rPr>
          <w:rFonts w:ascii="Arial" w:hAnsi="Arial"/>
          <w:b w:val="false"/>
          <w:sz w:val="20"/>
        </w:rPr>
        <w:t xml:space="preserve">Substantively tested, with the assistance of firm personnel with experience in the application of fair value and valuation methodologies, the appropriateness of the judgments and assumptions used in management's estimation process for determining the fair value of the intangible assets acquired, including: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Tested the consideration paid for the acquisitions.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 xml:space="preserve">Tested the mathematical accuracy of the calculations performed along with assessing the completeness and accuracy of the information used in the calculations.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Evaluated the appropriateness of the valuation methodologies used, as well as the key assumptions and inputs used, including discount rate, risk-free rate, weighted-average cost of capital, and equity risk premium.</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Performed sensitivity analyses to evaluate the changes in the fair value of the intangible assets that would result from changes in certain assumptions.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283"/>
        <w:jc w:val="left"/>
        <w:rPr>
          <w:rFonts w:ascii="Arial" w:hAnsi="Arial"/>
          <w:b w:val="false"/>
          <w:sz w:val="20"/>
        </w:rPr>
      </w:pPr>
      <w:r>
        <w:rPr>
          <w:rFonts w:ascii="Arial" w:hAnsi="Arial"/>
          <w:b w:val="false"/>
          <w:sz w:val="20"/>
        </w:rPr>
        <w:t xml:space="preserve">Compared significant assumptions used by management to current industry and competitor data, comparable Company owned operations, and other areas of the audit. </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Goodwill Impairment Evaluation</w:t>
      </w:r>
    </w:p>
    <w:p>
      <w:pPr>
        <w:pStyle w:val="TextBody"/>
        <w:spacing w:lineRule="auto" w:line="295" w:before="0" w:after="0"/>
        <w:jc w:val="left"/>
        <w:rPr/>
      </w:pPr>
      <w:r>
        <w:rPr/>
        <w:t> </w:t>
      </w:r>
    </w:p>
    <w:p>
      <w:pPr>
        <w:pStyle w:val="TextBody"/>
        <w:spacing w:lineRule="auto" w:line="295" w:before="0" w:after="0"/>
        <w:jc w:val="left"/>
        <w:rPr>
          <w:rFonts w:ascii="Arial" w:hAnsi="Arial"/>
          <w:b w:val="false"/>
          <w:i/>
          <w:sz w:val="20"/>
        </w:rPr>
      </w:pPr>
      <w:r>
        <w:rPr>
          <w:rFonts w:ascii="Arial" w:hAnsi="Arial"/>
          <w:b w:val="false"/>
          <w:i/>
          <w:sz w:val="20"/>
        </w:rPr>
        <w:t>Critical Audit Matter Description</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As described in Note 1 to the consolidated financial statements, the Company tests goodwill for impairment annually, or more frequently if events have occurred or circumstances exist that indicate the carrying amount of goodwill may not be recoverable. The Company performed the optional qualitative assessment to determine whether it was more likely than not (that is a likelihood of more than 50 percent) that the fair value of the reporting units were less than their carrying amounts, including goodwill.</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While the impairment test did not result in the recording of any impairment loss, the impairment analysis requires management to make significant judgments in performing its assessment including the evaluation of macroeconomic conditions, industry and market conditions, cost factors, overall financial performance, other entity-specific events, events affecting the reporting units, and trends in the Company’s share price.</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Auditing management’s impairment analysis is complex due to the judgments required to evaluate management’s assessment of those factors identified above.</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95" w:before="0" w:after="0"/>
        <w:jc w:val="left"/>
        <w:rPr/>
      </w:pPr>
      <w:r>
        <w:rPr/>
        <w:t> </w:t>
      </w:r>
    </w:p>
    <w:p>
      <w:pPr>
        <w:pStyle w:val="TextBody"/>
        <w:spacing w:lineRule="auto" w:line="295" w:before="0" w:after="0"/>
        <w:jc w:val="left"/>
        <w:rPr>
          <w:rFonts w:ascii="Arial" w:hAnsi="Arial"/>
          <w:b w:val="false"/>
          <w:i/>
          <w:sz w:val="20"/>
        </w:rPr>
      </w:pPr>
      <w:r>
        <w:rPr>
          <w:rFonts w:ascii="Arial" w:hAnsi="Arial"/>
          <w:b w:val="false"/>
          <w:i/>
          <w:sz w:val="20"/>
        </w:rPr>
        <w:t>How We Addressed the Matter in Our Audit</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The primary procedures we performed to address this critical audit matter included:</w:t>
      </w:r>
    </w:p>
    <w:p>
      <w:pPr>
        <w:pStyle w:val="TextBody"/>
        <w:spacing w:lineRule="auto" w:line="273" w:before="120" w:after="0"/>
        <w:jc w:val="left"/>
        <w:rPr/>
      </w:pPr>
      <w:r>
        <w:rPr/>
        <w:t>•</w:t>
      </w:r>
    </w:p>
    <w:p>
      <w:pPr>
        <w:pStyle w:val="TextBody"/>
        <w:spacing w:lineRule="auto" w:line="273" w:before="120" w:after="0"/>
        <w:jc w:val="left"/>
        <w:rPr>
          <w:rFonts w:ascii="Arial" w:hAnsi="Arial"/>
          <w:b w:val="false"/>
          <w:sz w:val="20"/>
        </w:rPr>
      </w:pPr>
      <w:r>
        <w:rPr>
          <w:rFonts w:ascii="Arial" w:hAnsi="Arial"/>
          <w:b w:val="false"/>
          <w:sz w:val="20"/>
        </w:rPr>
        <w:t>We tested internal controls over the Company’s annual goodwill impairment analysis, including assumptions used by management in conducting its impairment analysis, including controls addressing: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Management’s assessment of potential triggering events indicating potential impairment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Management’s identification of reporting units evaluated for potential impairment.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Management’s assessment of qualitative factors that may indicate potential impairment.</w:t>
      </w:r>
    </w:p>
    <w:p>
      <w:pPr>
        <w:pStyle w:val="TextBody"/>
        <w:spacing w:lineRule="auto" w:line="273" w:before="120" w:after="0"/>
        <w:jc w:val="left"/>
        <w:rPr/>
      </w:pPr>
      <w:r>
        <w:rPr/>
        <w:t>•</w:t>
      </w:r>
    </w:p>
    <w:p>
      <w:pPr>
        <w:pStyle w:val="TextBody"/>
        <w:spacing w:lineRule="auto" w:line="273" w:before="120" w:after="0"/>
        <w:jc w:val="left"/>
        <w:rPr>
          <w:rFonts w:ascii="Arial" w:hAnsi="Arial"/>
          <w:b w:val="false"/>
          <w:sz w:val="20"/>
        </w:rPr>
      </w:pPr>
      <w:r>
        <w:rPr>
          <w:rFonts w:ascii="Arial" w:hAnsi="Arial"/>
          <w:b w:val="false"/>
          <w:sz w:val="20"/>
        </w:rPr>
        <w:t xml:space="preserve">Substantively tested the appropriateness of the judgments and assumptions used by management in conducting its impairment analysis, including: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 xml:space="preserve">Confirmed the appropriateness of the reporting units evaluated in performing management’s impairment analysis.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283"/>
        <w:jc w:val="left"/>
        <w:rPr>
          <w:rFonts w:ascii="Arial" w:hAnsi="Arial"/>
          <w:b w:val="false"/>
          <w:sz w:val="20"/>
        </w:rPr>
      </w:pPr>
      <w:r>
        <w:rPr>
          <w:rFonts w:ascii="Arial" w:hAnsi="Arial"/>
          <w:b w:val="false"/>
          <w:sz w:val="20"/>
        </w:rPr>
        <w:t>Evaluated the factors management considered in its qualitative assessment to determine that goodwill was not impaired, including the evaluation of macroeconomic conditions, industry and market conditions, cost factors, the past financial performance of the reporting units, the projected financial performance of the reporting units, other entity-specific events, events affecting the reporting units, and trends in the Company’s share price.</w:t>
      </w:r>
    </w:p>
    <w:p>
      <w:pPr>
        <w:pStyle w:val="TextBody"/>
        <w:spacing w:lineRule="auto" w:line="273"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Contingent Consideration</w:t>
      </w:r>
    </w:p>
    <w:p>
      <w:pPr>
        <w:pStyle w:val="TextBody"/>
        <w:spacing w:lineRule="auto" w:line="295" w:before="0" w:after="0"/>
        <w:jc w:val="left"/>
        <w:rPr/>
      </w:pPr>
      <w:r>
        <w:rPr/>
        <w:t> </w:t>
      </w:r>
    </w:p>
    <w:p>
      <w:pPr>
        <w:pStyle w:val="TextBody"/>
        <w:spacing w:lineRule="auto" w:line="295" w:before="0" w:after="0"/>
        <w:jc w:val="left"/>
        <w:rPr>
          <w:rFonts w:ascii="Arial" w:hAnsi="Arial"/>
          <w:b w:val="false"/>
          <w:i/>
          <w:sz w:val="20"/>
        </w:rPr>
      </w:pPr>
      <w:r>
        <w:rPr>
          <w:rFonts w:ascii="Arial" w:hAnsi="Arial"/>
          <w:b w:val="false"/>
          <w:i/>
          <w:sz w:val="20"/>
        </w:rPr>
        <w:t>Critical Audit Matter Description</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Arial" w:hAnsi="Arial"/>
          <w:b w:val="false"/>
          <w:sz w:val="20"/>
        </w:rPr>
        <w:t xml:space="preserve">As described in Note 2 to the consolidated financial statements, contingent consideration is measured at its acquisition-date fair value and included as part of the consideration transferred in a business combination. Contingent consideration that is classified as an asset or a liability is remeasured at fair value at subsequent reporting dates in accordance with ASC 450, </w:t>
      </w:r>
      <w:r>
        <w:rPr>
          <w:rFonts w:ascii="Arial" w:hAnsi="Arial"/>
          <w:b w:val="false"/>
          <w:i/>
          <w:sz w:val="20"/>
        </w:rPr>
        <w:t>Contingencies</w:t>
      </w:r>
      <w:r>
        <w:rPr>
          <w:rFonts w:ascii="Arial" w:hAnsi="Arial"/>
          <w:b w:val="false"/>
          <w:sz w:val="20"/>
        </w:rPr>
        <w:t>, as appropriate, with the corresponding gain or loss being recognized in profit or loss.</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The classification and valuation of contingent consideration is complex and judgmental due to the use of subjective assumptions in the valuation models used by management when determining the estimated fair values and the judgment involved to determine whether to classify contingent consideration as a liability or equity. The determination of the fair values of contingent consideration requires management to make significant estimates and assumptions related to forecasts of future revenues, expenses, discount rates, risk-free rates, weighted-average cost of capital, equity risk premium, and the probability of occurrence of certain transactions. As described in Note 2, during 2021, the Company reclassified approximately $27 million of contingent consideration from a liability to equity as it determined that the consideration met the qualifications to be classified within equity upon the number of shares to be issued under the arrangement being fixed in 2019. Additionally, the Company recorded contingent consideration of approximately $99 million for business combinations completed during the year ended December 31, 2021. The fair value of contingent consideration liabilities as of December 31, 2021 was approximately $84 million.</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Auditing management’s classification and valuation of contingent consideration is complex due to the judgments required to evaluate management’s previously noted estimates and assumptions.</w:t>
      </w:r>
    </w:p>
    <w:p>
      <w:pPr>
        <w:pStyle w:val="TextBody"/>
        <w:spacing w:lineRule="auto" w:line="295"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95" w:before="0" w:after="0"/>
        <w:jc w:val="left"/>
        <w:rPr>
          <w:rFonts w:ascii="Arial" w:hAnsi="Arial"/>
          <w:b w:val="false"/>
          <w:i/>
          <w:sz w:val="20"/>
        </w:rPr>
      </w:pPr>
      <w:r>
        <w:rPr>
          <w:rFonts w:ascii="Arial" w:hAnsi="Arial"/>
          <w:b w:val="false"/>
          <w:i/>
          <w:sz w:val="20"/>
        </w:rPr>
        <w:t>How We Addressed the Matter in Our Audit</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The primary procedures we performed to address this critical audit matter included:</w:t>
      </w:r>
    </w:p>
    <w:p>
      <w:pPr>
        <w:pStyle w:val="TextBody"/>
        <w:spacing w:lineRule="auto" w:line="295"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Arial" w:hAnsi="Arial"/>
          <w:b w:val="false"/>
          <w:sz w:val="20"/>
        </w:rPr>
      </w:pPr>
      <w:r>
        <w:rPr>
          <w:rFonts w:ascii="Arial" w:hAnsi="Arial"/>
          <w:b w:val="false"/>
          <w:sz w:val="20"/>
        </w:rPr>
        <w:t xml:space="preserve">We substantively tested the appropriateness of the judgments and assumptions used by management in conducting its analysis, including confirming the appropriate classification of contingent consideration as either liabilities or equity. </w:t>
      </w:r>
    </w:p>
    <w:p>
      <w:pPr>
        <w:pStyle w:val="TextBody"/>
        <w:spacing w:lineRule="auto" w:line="273" w:before="120" w:after="0"/>
        <w:jc w:val="left"/>
        <w:rPr/>
      </w:pPr>
      <w:r>
        <w:rPr/>
        <w:t>•</w:t>
      </w:r>
    </w:p>
    <w:p>
      <w:pPr>
        <w:pStyle w:val="TextBody"/>
        <w:spacing w:lineRule="auto" w:line="273" w:before="120" w:after="0"/>
        <w:jc w:val="left"/>
        <w:rPr>
          <w:rFonts w:ascii="Arial" w:hAnsi="Arial"/>
          <w:b w:val="false"/>
          <w:sz w:val="20"/>
        </w:rPr>
      </w:pPr>
      <w:r>
        <w:rPr>
          <w:rFonts w:ascii="Arial" w:hAnsi="Arial"/>
          <w:b w:val="false"/>
          <w:sz w:val="20"/>
        </w:rPr>
        <w:t xml:space="preserve">Substantively tested, with the assistance of firm personnel with experience in the application of fair value and valuation methodologies, the appropriateness of the judgments and assumptions used in management's estimation process for determining the fair value of the contingent consideration upon acquisition and at each reporting date, as applicable, including: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 xml:space="preserve">Tested the mathematical accuracy of the calculations performed along with assessing the completeness and accuracy of the information used in the calculations.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Evaluated the appropriateness of the valuation methodologies used, as well as the key assumptions and inputs used, including the risk-neutral probabilities assigned, equity risk premium, volatility, and projected cash flows related to the contingent consideration.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0"/>
        <w:jc w:val="left"/>
        <w:rPr>
          <w:rFonts w:ascii="Arial" w:hAnsi="Arial"/>
          <w:b w:val="false"/>
          <w:sz w:val="20"/>
        </w:rPr>
      </w:pPr>
      <w:r>
        <w:rPr>
          <w:rFonts w:ascii="Arial" w:hAnsi="Arial"/>
          <w:b w:val="false"/>
          <w:sz w:val="20"/>
        </w:rPr>
        <w:t>Performed sensitivity analyses to evaluate the changes in the fair value of the contingent consideration that would result from changes in certain assumptions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w:t>
      </w:r>
    </w:p>
    <w:p>
      <w:pPr>
        <w:pStyle w:val="TextBody"/>
        <w:spacing w:lineRule="auto" w:line="273" w:before="120" w:after="283"/>
        <w:jc w:val="left"/>
        <w:rPr>
          <w:rFonts w:ascii="Arial" w:hAnsi="Arial"/>
          <w:b w:val="false"/>
          <w:sz w:val="20"/>
        </w:rPr>
      </w:pPr>
      <w:r>
        <w:rPr>
          <w:rFonts w:ascii="Arial" w:hAnsi="Arial"/>
          <w:b w:val="false"/>
          <w:sz w:val="20"/>
        </w:rPr>
        <w:t>Compared significant assumptions used by management to current industry and competitor data, comparable Company owned operations, and other areas of the audit</w:t>
      </w:r>
    </w:p>
    <w:p>
      <w:pPr>
        <w:pStyle w:val="TextBody"/>
        <w:spacing w:lineRule="auto" w:line="273" w:before="0" w:after="0"/>
        <w:jc w:val="left"/>
        <w:rPr/>
      </w:pPr>
      <w:r>
        <w:rPr/>
        <w:t> </w:t>
      </w:r>
    </w:p>
    <w:p>
      <w:pPr>
        <w:pStyle w:val="TextBody"/>
        <w:spacing w:lineRule="auto" w:line="295" w:before="0" w:after="0"/>
        <w:jc w:val="left"/>
        <w:rPr>
          <w:rFonts w:ascii="Times New Roman" w:hAnsi="Times New Roman"/>
          <w:sz w:val="20"/>
        </w:rPr>
      </w:pPr>
      <w:r>
        <w:rPr>
          <w:rFonts w:ascii="Arial" w:hAnsi="Arial"/>
          <w:b w:val="false"/>
          <w:sz w:val="20"/>
        </w:rPr>
        <w:t>As described the "Opinions on the Financial Statements and Internal Control over Financial Reporting" section of our audit report, we have identified a material weakness specific to this matter.</w:t>
      </w:r>
      <w:r>
        <w:rPr>
          <w:rFonts w:ascii="Times New Roman" w:hAnsi="Times New Roman"/>
          <w:sz w:val="20"/>
        </w:rPr>
        <w:t xml:space="preserve"> </w:t>
      </w:r>
    </w:p>
    <w:p>
      <w:pPr>
        <w:pStyle w:val="TextBody"/>
        <w:spacing w:lineRule="auto" w:line="295"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sz w:val="20"/>
        </w:rPr>
        <w:t>/s/ Baker Tilly US, LLP</w:t>
      </w:r>
      <w:r>
        <w:rPr>
          <w:rFonts w:ascii="Times New Roman" w:hAnsi="Times New Roman"/>
          <w:sz w:val="20"/>
        </w:rPr>
        <w:t xml:space="preserve"> </w:t>
      </w:r>
    </w:p>
    <w:p>
      <w:pPr>
        <w:pStyle w:val="TextBody"/>
        <w:spacing w:lineRule="auto" w:line="273" w:before="0" w:after="0"/>
        <w:jc w:val="left"/>
        <w:rPr>
          <w:rFonts w:ascii="Arial" w:hAnsi="Arial"/>
          <w:b w:val="false"/>
          <w:sz w:val="20"/>
        </w:rPr>
      </w:pPr>
      <w:r>
        <w:rPr>
          <w:rFonts w:ascii="Arial" w:hAnsi="Arial"/>
          <w:b w:val="false"/>
          <w:sz w:val="20"/>
        </w:rPr>
        <w:t>We have served as the Company's auditor since 2021.</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Chicago, Illinois</w:t>
      </w:r>
    </w:p>
    <w:p>
      <w:pPr>
        <w:pStyle w:val="TextBody"/>
        <w:spacing w:lineRule="auto" w:line="295" w:before="0" w:after="0"/>
        <w:jc w:val="left"/>
        <w:rPr/>
      </w:pPr>
      <w:r>
        <w:rPr/>
        <w:t> </w:t>
      </w:r>
    </w:p>
    <w:p>
      <w:pPr>
        <w:pStyle w:val="TextBody"/>
        <w:spacing w:lineRule="auto" w:line="295" w:before="0" w:after="0"/>
        <w:jc w:val="left"/>
        <w:rPr>
          <w:rFonts w:ascii="Arial" w:hAnsi="Arial"/>
          <w:b w:val="false"/>
          <w:sz w:val="20"/>
        </w:rPr>
      </w:pPr>
      <w:r>
        <w:rPr>
          <w:rFonts w:ascii="Arial" w:hAnsi="Arial"/>
          <w:b w:val="false"/>
          <w:sz w:val="20"/>
        </w:rPr>
        <w:t>March 1, 2022</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pPr>
      <w:r>
        <w:rPr/>
        <w:t> </w:t>
      </w:r>
    </w:p>
    <w:tbl>
      <w:tblPr>
        <w:tblW w:w="6766" w:type="dxa"/>
        <w:jc w:val="left"/>
        <w:tblInd w:w="0" w:type="dxa"/>
        <w:tblCellMar>
          <w:top w:w="28" w:type="dxa"/>
          <w:left w:w="28" w:type="dxa"/>
          <w:bottom w:w="28" w:type="dxa"/>
          <w:right w:w="28" w:type="dxa"/>
        </w:tblCellMar>
      </w:tblPr>
      <w:tblGrid>
        <w:gridCol w:w="6766"/>
      </w:tblGrid>
      <w:tr>
        <w:trPr/>
        <w:tc>
          <w:tcPr>
            <w:tcW w:w="6766" w:type="dxa"/>
            <w:tcBorders/>
            <w:shd w:fill="auto" w:val="clear"/>
            <w:vAlign w:val="center"/>
          </w:tcPr>
          <w:p>
            <w:pPr>
              <w:pStyle w:val="TableContents"/>
              <w:spacing w:before="0" w:after="283"/>
              <w:rPr>
                <w:sz w:val="4"/>
                <w:szCs w:val="4"/>
              </w:rPr>
            </w:pPr>
            <w:r>
              <w:rPr>
                <w:sz w:val="4"/>
                <w:szCs w:val="4"/>
              </w:rPr>
            </w:r>
          </w:p>
        </w:tc>
      </w:tr>
      <w:tr>
        <w:trPr/>
        <w:tc>
          <w:tcPr>
            <w:tcW w:w="6766" w:type="dxa"/>
            <w:tcBorders/>
            <w:shd w:fill="auto" w:val="clear"/>
            <w:vAlign w:val="center"/>
          </w:tcPr>
          <w:p>
            <w:pPr>
              <w:pStyle w:val="TableContents"/>
              <w:spacing w:lineRule="auto" w:line="268" w:before="0" w:after="0"/>
              <w:ind w:left="0" w:right="0" w:hanging="0"/>
              <w:jc w:val="left"/>
              <w:rPr>
                <w:rFonts w:ascii="Times New Roman" w:hAnsi="Times New Roman"/>
                <w:b/>
                <w:sz w:val="20"/>
              </w:rPr>
            </w:pPr>
            <w:r>
              <w:rPr>
                <w:rFonts w:ascii="Times New Roman" w:hAnsi="Times New Roman"/>
                <w:b/>
                <w:sz w:val="20"/>
              </w:rPr>
              <w:t>REPORT OF INDEPENDENT REGISTERED PUBLIC ACCOUNTING FIRM</w:t>
            </w:r>
          </w:p>
        </w:tc>
      </w:tr>
    </w:tbl>
    <w:p>
      <w:pPr>
        <w:pStyle w:val="TextBody"/>
        <w:spacing w:lineRule="auto" w:line="295" w:before="0" w:after="0"/>
        <w:jc w:val="left"/>
        <w:rPr/>
      </w:pPr>
      <w:r>
        <w:rPr/>
        <w:t>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To the Board of Directors and Shareholders of Green Thumb Industries Inc.</w:t>
      </w:r>
    </w:p>
    <w:p>
      <w:pPr>
        <w:pStyle w:val="TextBody"/>
        <w:spacing w:lineRule="auto" w:line="295" w:before="0" w:after="0"/>
        <w:jc w:val="left"/>
        <w:rPr/>
      </w:pPr>
      <w:r>
        <w:rPr/>
        <w:t> </w:t>
      </w:r>
    </w:p>
    <w:p>
      <w:pPr>
        <w:pStyle w:val="TextBody"/>
        <w:spacing w:lineRule="auto" w:line="295" w:before="0" w:after="0"/>
        <w:jc w:val="both"/>
        <w:rPr>
          <w:rFonts w:ascii="Times New Roman" w:hAnsi="Times New Roman"/>
          <w:b/>
          <w:i/>
          <w:sz w:val="20"/>
        </w:rPr>
      </w:pPr>
      <w:r>
        <w:rPr>
          <w:rFonts w:ascii="Times New Roman" w:hAnsi="Times New Roman"/>
          <w:b/>
          <w:i/>
          <w:sz w:val="20"/>
        </w:rPr>
        <w:t>Opinion on the Consolidated Financial Statements</w:t>
      </w:r>
    </w:p>
    <w:p>
      <w:pPr>
        <w:pStyle w:val="TextBody"/>
        <w:spacing w:lineRule="auto" w:line="295" w:before="0" w:after="0"/>
        <w:jc w:val="left"/>
        <w:rPr/>
      </w:pPr>
      <w:r>
        <w:rPr/>
        <w:t> </w:t>
      </w:r>
    </w:p>
    <w:p>
      <w:pPr>
        <w:pStyle w:val="TextBody"/>
        <w:spacing w:lineRule="auto" w:line="295" w:before="0" w:after="0"/>
        <w:jc w:val="both"/>
        <w:rPr>
          <w:rFonts w:ascii="Times New Roman" w:hAnsi="Times New Roman"/>
          <w:sz w:val="20"/>
        </w:rPr>
      </w:pPr>
      <w:r>
        <w:rPr>
          <w:rFonts w:ascii="Times New Roman" w:hAnsi="Times New Roman"/>
          <w:b w:val="false"/>
          <w:sz w:val="20"/>
        </w:rPr>
        <w:t>We have audited the accompanying consolidated balance sheet of Green Thumb Industries Inc. (the “Company") as of December 31, 2020, and the related consolidated statements of operations, changes in shareholders’ equity, and cash flows for each of the years in the two year period ended December 31, 2020, and the related notes (collectively referred to as the “consolidated financial statements”).</w:t>
      </w:r>
      <w:r>
        <w:rPr>
          <w:rFonts w:ascii="Times New Roman" w:hAnsi="Times New Roman"/>
          <w:sz w:val="20"/>
        </w:rPr>
        <w:t xml:space="preserve"> </w:t>
      </w:r>
    </w:p>
    <w:p>
      <w:pPr>
        <w:pStyle w:val="TextBody"/>
        <w:spacing w:lineRule="auto" w:line="295" w:before="0" w:after="0"/>
        <w:jc w:val="both"/>
        <w:rPr/>
      </w:pPr>
      <w:r>
        <w:rPr/>
        <w:t> </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In our opinion, the consolidated financial statements present fairly, in all material respects, the consolidated financial position of the Company as of December 31, 2020, and the consolidated results of its operations and its cash flows for each of the years in the two year period ended December 31, 2020, in conformity with accounting principles generally accepted in the United States of America.</w:t>
      </w:r>
    </w:p>
    <w:p>
      <w:pPr>
        <w:pStyle w:val="TextBody"/>
        <w:spacing w:lineRule="auto" w:line="295" w:before="0" w:after="0"/>
        <w:jc w:val="left"/>
        <w:rPr/>
      </w:pPr>
      <w:r>
        <w:rPr/>
        <w:t> </w:t>
      </w:r>
    </w:p>
    <w:p>
      <w:pPr>
        <w:pStyle w:val="TextBody"/>
        <w:spacing w:lineRule="auto" w:line="295" w:before="0" w:after="0"/>
        <w:jc w:val="both"/>
        <w:rPr>
          <w:rFonts w:ascii="Times New Roman" w:hAnsi="Times New Roman"/>
          <w:b/>
          <w:i/>
          <w:sz w:val="20"/>
        </w:rPr>
      </w:pPr>
      <w:r>
        <w:rPr>
          <w:rFonts w:ascii="Times New Roman" w:hAnsi="Times New Roman"/>
          <w:b/>
          <w:i/>
          <w:sz w:val="20"/>
        </w:rPr>
        <w:t>Basis for Opinion</w:t>
      </w:r>
    </w:p>
    <w:p>
      <w:pPr>
        <w:pStyle w:val="TextBody"/>
        <w:spacing w:lineRule="auto" w:line="295" w:before="0" w:after="0"/>
        <w:jc w:val="left"/>
        <w:rPr/>
      </w:pPr>
      <w:r>
        <w:rPr/>
        <w:t> </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95" w:before="0" w:after="0"/>
        <w:jc w:val="left"/>
        <w:rPr/>
      </w:pPr>
      <w:r>
        <w:rPr/>
        <w:t> </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95" w:before="0" w:after="0"/>
        <w:jc w:val="left"/>
        <w:rPr/>
      </w:pPr>
      <w:r>
        <w:rPr/>
        <w:t> </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95" w:before="0" w:after="0"/>
        <w:jc w:val="both"/>
        <w:rPr/>
      </w:pPr>
      <w:r>
        <w:rPr/>
        <w:t> </w:t>
      </w:r>
    </w:p>
    <w:p>
      <w:pPr>
        <w:pStyle w:val="TextBody"/>
        <w:spacing w:lineRule="auto" w:line="295" w:before="0" w:after="0"/>
        <w:jc w:val="left"/>
        <w:rPr/>
      </w:pPr>
      <w:r>
        <w:rPr/>
        <w:t> </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We have served as the Company’s auditor from 2019 to 2021.</w:t>
      </w:r>
    </w:p>
    <w:p>
      <w:pPr>
        <w:pStyle w:val="TextBody"/>
        <w:spacing w:lineRule="auto" w:line="295"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 Macias Gini &amp; O'Connell LLP</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San Francisco, California</w:t>
      </w:r>
    </w:p>
    <w:p>
      <w:pPr>
        <w:pStyle w:val="TextBody"/>
        <w:spacing w:lineRule="auto" w:line="295" w:before="0" w:after="0"/>
        <w:jc w:val="both"/>
        <w:rPr>
          <w:rFonts w:ascii="Times New Roman" w:hAnsi="Times New Roman"/>
          <w:b w:val="false"/>
          <w:sz w:val="20"/>
        </w:rPr>
      </w:pPr>
      <w:r>
        <w:rPr>
          <w:rFonts w:ascii="Times New Roman" w:hAnsi="Times New Roman"/>
          <w:b w:val="false"/>
          <w:sz w:val="20"/>
        </w:rPr>
        <w:t>March 18, 2021</w:t>
      </w:r>
    </w:p>
    <w:p>
      <w:pPr>
        <w:pStyle w:val="TextBody"/>
        <w:spacing w:lineRule="auto" w:line="273" w:before="0" w:after="0"/>
        <w:jc w:val="left"/>
        <w:rPr/>
      </w:pPr>
      <w:r>
        <w:rPr/>
        <w:t> </w:t>
      </w:r>
    </w:p>
    <w:p>
      <w:pPr>
        <w:pStyle w:val="HorizontalLine"/>
        <w:rPr/>
      </w:pPr>
      <w:r>
        <w:rPr/>
      </w:r>
      <w:r>
        <w:br w:type="page"/>
      </w:r>
    </w:p>
    <w:p>
      <w:pPr>
        <w:pStyle w:val="TextBody"/>
        <w:spacing w:lineRule="auto" w:line="316" w:before="0" w:after="0"/>
        <w:jc w:val="right"/>
        <w:rPr>
          <w:rFonts w:ascii="Arial" w:hAnsi="Arial"/>
          <w:b w:val="false"/>
          <w:sz w:val="20"/>
        </w:rPr>
      </w:pPr>
      <w:bookmarkStart w:id="36" w:name="gtbif-ex10_13.htm"/>
      <w:bookmarkStart w:id="37" w:name="ksgtbifex10_13"/>
      <w:bookmarkEnd w:id="36"/>
      <w:bookmarkEnd w:id="37"/>
      <w:r>
        <w:rPr>
          <w:rFonts w:ascii="Arial" w:hAnsi="Arial"/>
          <w:b w:val="false"/>
          <w:sz w:val="20"/>
        </w:rPr>
        <w:t>Exhibit 10.13</w:t>
      </w:r>
    </w:p>
    <w:p>
      <w:pPr>
        <w:pStyle w:val="TextBody"/>
        <w:spacing w:lineRule="auto" w:line="316" w:before="0" w:after="240"/>
        <w:jc w:val="center"/>
        <w:rPr>
          <w:rFonts w:ascii="Arial" w:hAnsi="Arial"/>
          <w:b/>
          <w:sz w:val="20"/>
          <w:u w:val="single"/>
        </w:rPr>
      </w:pPr>
      <w:r>
        <w:rPr>
          <w:rFonts w:ascii="Arial" w:hAnsi="Arial"/>
          <w:b/>
          <w:sz w:val="20"/>
          <w:u w:val="single"/>
        </w:rPr>
        <w:t>INDEMNIFICATION AGREEMENT</w:t>
      </w:r>
    </w:p>
    <w:p>
      <w:pPr>
        <w:pStyle w:val="TextBody"/>
        <w:spacing w:lineRule="auto" w:line="316" w:before="0" w:after="240"/>
        <w:jc w:val="left"/>
        <w:rPr>
          <w:rFonts w:ascii="Times New Roman" w:hAnsi="Times New Roman"/>
          <w:sz w:val="20"/>
        </w:rPr>
      </w:pPr>
      <w:r>
        <w:rPr>
          <w:rFonts w:ascii="Arial" w:hAnsi="Arial"/>
          <w:b w:val="false"/>
          <w:sz w:val="20"/>
        </w:rPr>
        <w:t>This Indemnification Agreement (the “</w:t>
      </w:r>
      <w:r>
        <w:rPr>
          <w:rFonts w:ascii="Arial" w:hAnsi="Arial"/>
          <w:b/>
          <w:sz w:val="20"/>
        </w:rPr>
        <w:t>Agreement</w:t>
      </w:r>
      <w:r>
        <w:rPr>
          <w:rFonts w:ascii="Times New Roman" w:hAnsi="Times New Roman"/>
          <w:sz w:val="20"/>
        </w:rPr>
        <w:t>”</w:t>
      </w:r>
      <w:r>
        <w:rPr>
          <w:rFonts w:ascii="Arial" w:hAnsi="Arial"/>
          <w:b w:val="false"/>
          <w:sz w:val="20"/>
        </w:rPr>
        <w:t>) dated as of the __ day of _____________.</w:t>
      </w:r>
    </w:p>
    <w:p>
      <w:pPr>
        <w:pStyle w:val="TextBody"/>
        <w:spacing w:lineRule="auto" w:line="316" w:before="0" w:after="240"/>
        <w:jc w:val="left"/>
        <w:rPr>
          <w:rFonts w:ascii="Arial" w:hAnsi="Arial"/>
          <w:b/>
          <w:sz w:val="20"/>
        </w:rPr>
      </w:pPr>
      <w:r>
        <w:rPr>
          <w:rFonts w:ascii="Arial" w:hAnsi="Arial"/>
          <w:b/>
          <w:sz w:val="20"/>
        </w:rPr>
        <w:t>B E T W E E N:</w:t>
      </w:r>
    </w:p>
    <w:p>
      <w:pPr>
        <w:pStyle w:val="TextBody"/>
        <w:spacing w:lineRule="auto" w:line="316" w:before="0" w:after="240"/>
        <w:jc w:val="left"/>
        <w:rPr>
          <w:rFonts w:ascii="Arial" w:hAnsi="Arial"/>
          <w:b w:val="false"/>
          <w:sz w:val="20"/>
        </w:rPr>
      </w:pPr>
      <w:r>
        <w:rPr>
          <w:rFonts w:ascii="Arial" w:hAnsi="Arial"/>
          <w:b w:val="false"/>
          <w:sz w:val="20"/>
        </w:rPr>
        <w:t>[____________], an individual having an address of ____________, United States of America.</w:t>
      </w:r>
    </w:p>
    <w:p>
      <w:pPr>
        <w:pStyle w:val="TextBody"/>
        <w:spacing w:lineRule="auto" w:line="316" w:before="0" w:after="240"/>
        <w:jc w:val="left"/>
        <w:rPr>
          <w:rFonts w:ascii="Times New Roman" w:hAnsi="Times New Roman"/>
          <w:sz w:val="20"/>
        </w:rPr>
      </w:pPr>
      <w:r>
        <w:rPr>
          <w:rFonts w:ascii="Arial" w:hAnsi="Arial"/>
          <w:b w:val="false"/>
          <w:sz w:val="20"/>
        </w:rPr>
        <w:t>(hereinafter referred to as the “</w:t>
      </w:r>
      <w:r>
        <w:rPr>
          <w:rFonts w:ascii="Arial" w:hAnsi="Arial"/>
          <w:b/>
          <w:sz w:val="20"/>
        </w:rPr>
        <w:t>Indemnitee</w:t>
      </w:r>
      <w:r>
        <w:rPr>
          <w:rFonts w:ascii="Times New Roman" w:hAnsi="Times New Roman"/>
          <w:sz w:val="20"/>
        </w:rPr>
        <w:t>”</w:t>
      </w:r>
      <w:r>
        <w:rPr>
          <w:rFonts w:ascii="Arial" w:hAnsi="Arial"/>
          <w:b w:val="false"/>
          <w:sz w:val="20"/>
        </w:rPr>
        <w:t>),</w:t>
      </w:r>
    </w:p>
    <w:p>
      <w:pPr>
        <w:pStyle w:val="TextBody"/>
        <w:spacing w:lineRule="auto" w:line="316" w:before="0" w:after="240"/>
        <w:jc w:val="left"/>
        <w:rPr>
          <w:rFonts w:ascii="Arial" w:hAnsi="Arial"/>
          <w:b w:val="false"/>
          <w:sz w:val="20"/>
        </w:rPr>
      </w:pPr>
      <w:r>
        <w:rPr>
          <w:rFonts w:ascii="Arial" w:hAnsi="Arial"/>
          <w:b w:val="false"/>
          <w:sz w:val="20"/>
        </w:rPr>
        <w:t>- and -</w:t>
      </w:r>
    </w:p>
    <w:p>
      <w:pPr>
        <w:pStyle w:val="TextBody"/>
        <w:spacing w:lineRule="auto" w:line="316" w:before="0" w:after="240"/>
        <w:jc w:val="left"/>
        <w:rPr>
          <w:rFonts w:ascii="Times New Roman" w:hAnsi="Times New Roman"/>
          <w:sz w:val="20"/>
        </w:rPr>
      </w:pPr>
      <w:r>
        <w:rPr>
          <w:rFonts w:ascii="Arial" w:hAnsi="Arial"/>
          <w:b/>
          <w:sz w:val="20"/>
        </w:rPr>
        <w:t>Green Thumb Industries Inc</w:t>
      </w:r>
      <w:r>
        <w:rPr>
          <w:rFonts w:ascii="Arial" w:hAnsi="Arial"/>
          <w:b w:val="false"/>
          <w:sz w:val="20"/>
        </w:rPr>
        <w:t>., a company incorporated under the laws of British Columbia</w:t>
      </w:r>
    </w:p>
    <w:p>
      <w:pPr>
        <w:pStyle w:val="TextBody"/>
        <w:spacing w:lineRule="auto" w:line="316" w:before="0" w:after="240"/>
        <w:jc w:val="left"/>
        <w:rPr>
          <w:rFonts w:ascii="Times New Roman" w:hAnsi="Times New Roman"/>
          <w:sz w:val="20"/>
        </w:rPr>
      </w:pPr>
      <w:r>
        <w:rPr>
          <w:rFonts w:ascii="Arial" w:hAnsi="Arial"/>
          <w:b w:val="false"/>
          <w:sz w:val="20"/>
        </w:rPr>
        <w:t>(hereinafter referred to as the “</w:t>
      </w:r>
      <w:r>
        <w:rPr>
          <w:rFonts w:ascii="Arial" w:hAnsi="Arial"/>
          <w:b/>
          <w:sz w:val="20"/>
        </w:rPr>
        <w:t>Company</w:t>
      </w:r>
      <w:r>
        <w:rPr>
          <w:rFonts w:ascii="Times New Roman" w:hAnsi="Times New Roman"/>
          <w:sz w:val="20"/>
        </w:rPr>
        <w:t>”</w:t>
      </w:r>
      <w:r>
        <w:rPr>
          <w:rFonts w:ascii="Arial" w:hAnsi="Arial"/>
          <w:b w:val="false"/>
          <w:sz w:val="20"/>
        </w:rPr>
        <w:t>),</w:t>
      </w:r>
    </w:p>
    <w:p>
      <w:pPr>
        <w:pStyle w:val="TextBody"/>
        <w:spacing w:lineRule="auto" w:line="316" w:before="0" w:after="240"/>
        <w:jc w:val="left"/>
        <w:rPr>
          <w:rFonts w:ascii="Arial" w:hAnsi="Arial"/>
          <w:b/>
          <w:sz w:val="20"/>
        </w:rPr>
      </w:pPr>
      <w:r>
        <w:rPr>
          <w:rFonts w:ascii="Arial" w:hAnsi="Arial"/>
          <w:b/>
          <w:sz w:val="20"/>
        </w:rPr>
        <w:t>WHEREAS:</w:t>
      </w:r>
    </w:p>
    <w:p>
      <w:pPr>
        <w:pStyle w:val="TextBody"/>
        <w:spacing w:lineRule="auto" w:line="316" w:before="0" w:after="240"/>
        <w:jc w:val="left"/>
        <w:rPr>
          <w:rFonts w:ascii="Arial" w:hAnsi="Arial"/>
          <w:b w:val="false"/>
          <w:sz w:val="20"/>
        </w:rPr>
      </w:pPr>
      <w:r>
        <w:rPr>
          <w:rFonts w:ascii="Arial" w:hAnsi="Arial"/>
          <w:b w:val="false"/>
          <w:sz w:val="20"/>
        </w:rPr>
        <w:t>(1)</w:t>
      </w:r>
    </w:p>
    <w:p>
      <w:pPr>
        <w:pStyle w:val="TextBody"/>
        <w:spacing w:lineRule="auto" w:line="316" w:before="0" w:after="240"/>
        <w:jc w:val="left"/>
        <w:rPr>
          <w:rFonts w:ascii="Arial" w:hAnsi="Arial"/>
          <w:b w:val="false"/>
          <w:sz w:val="20"/>
        </w:rPr>
      </w:pPr>
      <w:r>
        <w:rPr>
          <w:rFonts w:ascii="Arial" w:hAnsi="Arial"/>
          <w:b w:val="false"/>
          <w:sz w:val="20"/>
        </w:rPr>
        <w:t>the Company desires to attract and retain the services of highly qualified individuals such as the Indemnitee to serve as directors and/or officers;</w:t>
      </w:r>
    </w:p>
    <w:p>
      <w:pPr>
        <w:pStyle w:val="TextBody"/>
        <w:spacing w:lineRule="auto" w:line="316" w:before="0" w:after="240"/>
        <w:jc w:val="left"/>
        <w:rPr>
          <w:rFonts w:ascii="Arial" w:hAnsi="Arial"/>
          <w:b w:val="false"/>
          <w:sz w:val="20"/>
        </w:rPr>
      </w:pPr>
      <w:r>
        <w:rPr>
          <w:rFonts w:ascii="Arial" w:hAnsi="Arial"/>
          <w:b w:val="false"/>
          <w:sz w:val="20"/>
        </w:rPr>
        <w:t>(2)</w:t>
      </w:r>
    </w:p>
    <w:p>
      <w:pPr>
        <w:pStyle w:val="TextBody"/>
        <w:spacing w:lineRule="auto" w:line="316" w:before="0" w:after="240"/>
        <w:jc w:val="left"/>
        <w:rPr>
          <w:rFonts w:ascii="Arial" w:hAnsi="Arial"/>
          <w:b w:val="false"/>
          <w:sz w:val="20"/>
        </w:rPr>
      </w:pPr>
      <w:r>
        <w:rPr>
          <w:rFonts w:ascii="Arial" w:hAnsi="Arial"/>
          <w:b w:val="false"/>
          <w:sz w:val="20"/>
        </w:rPr>
        <w:t xml:space="preserve">in consideration for the prior, current or continuing services of such individuals, the Company desires to provide them with the maximum protection permitted by applicable law against liabilities they may incur in their capacities as directors and/or officers of the Company or its affiliated entities or in any other capacity in which they may act at the request of the Company; </w:t>
      </w:r>
    </w:p>
    <w:p>
      <w:pPr>
        <w:pStyle w:val="TextBody"/>
        <w:spacing w:lineRule="auto" w:line="316" w:before="0" w:after="240"/>
        <w:jc w:val="left"/>
        <w:rPr>
          <w:rFonts w:ascii="Arial" w:hAnsi="Arial"/>
          <w:b w:val="false"/>
          <w:sz w:val="20"/>
        </w:rPr>
      </w:pPr>
      <w:r>
        <w:rPr>
          <w:rFonts w:ascii="Arial" w:hAnsi="Arial"/>
          <w:b w:val="false"/>
          <w:sz w:val="20"/>
        </w:rPr>
        <w:t>(3)</w:t>
      </w:r>
    </w:p>
    <w:p>
      <w:pPr>
        <w:pStyle w:val="TextBody"/>
        <w:spacing w:lineRule="auto" w:line="316" w:before="0" w:after="240"/>
        <w:jc w:val="left"/>
        <w:rPr>
          <w:rFonts w:ascii="Arial" w:hAnsi="Arial"/>
          <w:b w:val="false"/>
          <w:sz w:val="20"/>
        </w:rPr>
      </w:pPr>
      <w:r>
        <w:rPr>
          <w:rFonts w:ascii="Arial" w:hAnsi="Arial"/>
          <w:b w:val="false"/>
          <w:sz w:val="20"/>
        </w:rPr>
        <w:t>the Indemnitee either currently acts, or has been appointed or elected to act, as a director or officer of the Company; and</w:t>
      </w:r>
    </w:p>
    <w:p>
      <w:pPr>
        <w:pStyle w:val="TextBody"/>
        <w:spacing w:lineRule="auto" w:line="316" w:before="0" w:after="240"/>
        <w:jc w:val="left"/>
        <w:rPr>
          <w:rFonts w:ascii="Arial" w:hAnsi="Arial"/>
          <w:b w:val="false"/>
          <w:sz w:val="20"/>
        </w:rPr>
      </w:pPr>
      <w:r>
        <w:rPr>
          <w:rFonts w:ascii="Arial" w:hAnsi="Arial"/>
          <w:b w:val="false"/>
          <w:sz w:val="20"/>
        </w:rPr>
        <w:t>(4)</w:t>
      </w:r>
    </w:p>
    <w:p>
      <w:pPr>
        <w:pStyle w:val="TextBody"/>
        <w:spacing w:lineRule="auto" w:line="316" w:before="0" w:after="240"/>
        <w:jc w:val="left"/>
        <w:rPr>
          <w:rFonts w:ascii="Arial" w:hAnsi="Arial"/>
          <w:b w:val="false"/>
          <w:sz w:val="20"/>
        </w:rPr>
      </w:pPr>
      <w:r>
        <w:rPr>
          <w:rFonts w:ascii="Arial" w:hAnsi="Arial"/>
          <w:b w:val="false"/>
          <w:sz w:val="20"/>
        </w:rPr>
        <w:t>the Company desires to provide the Indemnitee with such maximum protection.</w:t>
      </w:r>
    </w:p>
    <w:p>
      <w:pPr>
        <w:pStyle w:val="TextBody"/>
        <w:spacing w:lineRule="auto" w:line="316" w:before="0" w:after="240"/>
        <w:jc w:val="left"/>
        <w:rPr>
          <w:rFonts w:ascii="Arial" w:hAnsi="Arial"/>
          <w:b w:val="false"/>
          <w:sz w:val="20"/>
        </w:rPr>
      </w:pPr>
      <w:r>
        <w:rPr>
          <w:rFonts w:ascii="Arial" w:hAnsi="Arial"/>
          <w:b w:val="false"/>
          <w:sz w:val="20"/>
        </w:rPr>
        <w:t>NOW THEREFORE in consideration of the premises, the respective covenants of each party set forth in this Agreement and for other good and valuable consideration (the receipt and sufficiency of which is acknowledged), the parties hereby agree as follows:</w:t>
      </w:r>
    </w:p>
    <w:p>
      <w:pPr>
        <w:pStyle w:val="TextBody"/>
        <w:spacing w:lineRule="auto" w:line="321" w:before="0" w:after="240"/>
        <w:jc w:val="left"/>
        <w:rPr>
          <w:rFonts w:ascii="Arial" w:hAnsi="Arial"/>
          <w:b/>
          <w:sz w:val="20"/>
        </w:rPr>
      </w:pPr>
      <w:r>
        <w:rPr>
          <w:rFonts w:ascii="Arial" w:hAnsi="Arial"/>
          <w:b/>
          <w:sz w:val="20"/>
        </w:rPr>
        <w:t>Section 1.</w:t>
      </w:r>
    </w:p>
    <w:p>
      <w:pPr>
        <w:pStyle w:val="TextBody"/>
        <w:spacing w:lineRule="auto" w:line="321" w:before="0" w:after="240"/>
        <w:jc w:val="left"/>
        <w:rPr>
          <w:rFonts w:ascii="Arial" w:hAnsi="Arial"/>
          <w:b/>
          <w:sz w:val="20"/>
        </w:rPr>
      </w:pPr>
      <w:r>
        <w:rPr>
          <w:rFonts w:ascii="Arial" w:hAnsi="Arial"/>
          <w:b/>
          <w:sz w:val="20"/>
        </w:rPr>
        <w:t>Definitions</w:t>
      </w:r>
    </w:p>
    <w:p>
      <w:pPr>
        <w:pStyle w:val="TextBody"/>
        <w:spacing w:lineRule="auto" w:line="316" w:before="0" w:after="240"/>
        <w:jc w:val="left"/>
        <w:rPr>
          <w:rFonts w:ascii="Arial" w:hAnsi="Arial"/>
          <w:b w:val="false"/>
          <w:sz w:val="20"/>
        </w:rPr>
      </w:pPr>
      <w:r>
        <w:rPr>
          <w:rFonts w:ascii="Arial" w:hAnsi="Arial"/>
          <w:b w:val="false"/>
          <w:sz w:val="20"/>
        </w:rPr>
        <w:t>In this Agreement:</w:t>
      </w:r>
    </w:p>
    <w:p>
      <w:pPr>
        <w:pStyle w:val="TextBody"/>
        <w:spacing w:lineRule="auto" w:line="316" w:before="0" w:after="240"/>
        <w:jc w:val="left"/>
        <w:rPr/>
      </w:pPr>
      <w:r>
        <w:rPr/>
        <w:t>“</w:t>
      </w:r>
      <w:r>
        <w:rPr>
          <w:rFonts w:ascii="Arial" w:hAnsi="Arial"/>
          <w:b/>
          <w:sz w:val="20"/>
        </w:rPr>
        <w:t>Act</w:t>
      </w:r>
      <w:r>
        <w:rPr>
          <w:rFonts w:ascii="Times New Roman" w:hAnsi="Times New Roman"/>
          <w:sz w:val="20"/>
        </w:rPr>
        <w:t xml:space="preserve">” </w:t>
      </w:r>
      <w:r>
        <w:rPr>
          <w:rFonts w:ascii="Arial" w:hAnsi="Arial"/>
          <w:b w:val="false"/>
          <w:sz w:val="20"/>
        </w:rPr>
        <w:t xml:space="preserve">means the </w:t>
      </w:r>
      <w:r>
        <w:rPr>
          <w:rFonts w:ascii="Arial" w:hAnsi="Arial"/>
          <w:b w:val="false"/>
          <w:i/>
          <w:sz w:val="20"/>
        </w:rPr>
        <w:t>Business Corporation Act</w:t>
      </w:r>
      <w:r>
        <w:rPr>
          <w:rFonts w:ascii="Times New Roman" w:hAnsi="Times New Roman"/>
          <w:sz w:val="20"/>
        </w:rPr>
        <w:t xml:space="preserve"> </w:t>
      </w:r>
      <w:r>
        <w:rPr>
          <w:rFonts w:ascii="Arial" w:hAnsi="Arial"/>
          <w:b w:val="false"/>
          <w:sz w:val="20"/>
        </w:rPr>
        <w:t>(British Columbia) as in force from time to time during the term of this Agreement;</w:t>
      </w:r>
    </w:p>
    <w:p>
      <w:pPr>
        <w:pStyle w:val="TextBody"/>
        <w:spacing w:lineRule="auto" w:line="316" w:before="0" w:after="240"/>
        <w:jc w:val="left"/>
        <w:rPr/>
      </w:pPr>
      <w:r>
        <w:rPr/>
        <w:t>“</w:t>
      </w:r>
      <w:r>
        <w:rPr>
          <w:rFonts w:ascii="Arial" w:hAnsi="Arial"/>
          <w:b/>
          <w:sz w:val="20"/>
        </w:rPr>
        <w:t>Agent</w:t>
      </w:r>
      <w:r>
        <w:rPr>
          <w:rFonts w:ascii="Times New Roman" w:hAnsi="Times New Roman"/>
          <w:sz w:val="20"/>
        </w:rPr>
        <w:t xml:space="preserve">” </w:t>
      </w:r>
      <w:r>
        <w:rPr>
          <w:rFonts w:ascii="Arial" w:hAnsi="Arial"/>
          <w:b w:val="false"/>
          <w:sz w:val="20"/>
        </w:rPr>
        <w:t>means any person who is or was a director, officer, employee or other agent of the Company, or is or was serving at the request of the Company as a director, officer, employee or agent of another corporation, partnership, joint venture, trust, body corporate, employee benefit plan or other entity or enterprise (the Company and such other corporation, partnership, joint venture, trust, body corporate, employee benefit plan or other entity or enterprise being hereinafter referred to as the “</w:t>
      </w:r>
      <w:r>
        <w:rPr>
          <w:rFonts w:ascii="Arial" w:hAnsi="Arial"/>
          <w:b/>
          <w:sz w:val="20"/>
        </w:rPr>
        <w:t>Subject Entity</w:t>
      </w:r>
      <w:r>
        <w:rPr>
          <w:rFonts w:ascii="Times New Roman" w:hAnsi="Times New Roman"/>
          <w:sz w:val="20"/>
        </w:rPr>
        <w:t>”</w:t>
      </w:r>
      <w:r>
        <w:rPr>
          <w:rFonts w:ascii="Arial" w:hAnsi="Arial"/>
          <w:b w:val="false"/>
          <w:sz w:val="20"/>
        </w:rPr>
        <w:t>);</w:t>
      </w:r>
    </w:p>
    <w:p>
      <w:pPr>
        <w:pStyle w:val="TextBody"/>
        <w:spacing w:lineRule="auto" w:line="316" w:before="0" w:after="0"/>
        <w:jc w:val="center"/>
        <w:rPr>
          <w:rFonts w:ascii="Arial" w:hAnsi="Arial"/>
          <w:b w:val="false"/>
          <w:sz w:val="20"/>
        </w:rPr>
      </w:pPr>
      <w:r>
        <w:rPr>
          <w:rFonts w:ascii="Arial" w:hAnsi="Arial"/>
          <w:b w:val="false"/>
          <w:sz w:val="20"/>
        </w:rPr>
        <w:t>1</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pPr>
      <w:r>
        <w:rPr/>
        <w:t>“</w:t>
      </w:r>
      <w:r>
        <w:rPr>
          <w:rFonts w:ascii="Arial" w:hAnsi="Arial"/>
          <w:b/>
          <w:sz w:val="20"/>
        </w:rPr>
        <w:t>Board</w:t>
      </w:r>
      <w:r>
        <w:rPr>
          <w:rFonts w:ascii="Times New Roman" w:hAnsi="Times New Roman"/>
          <w:sz w:val="20"/>
        </w:rPr>
        <w:t xml:space="preserve">” </w:t>
      </w:r>
      <w:r>
        <w:rPr>
          <w:rFonts w:ascii="Arial" w:hAnsi="Arial"/>
          <w:b w:val="false"/>
          <w:sz w:val="20"/>
        </w:rPr>
        <w:t>means the board of directors of the Company;</w:t>
      </w:r>
    </w:p>
    <w:p>
      <w:pPr>
        <w:pStyle w:val="TextBody"/>
        <w:spacing w:lineRule="auto" w:line="316" w:before="0" w:after="240"/>
        <w:jc w:val="left"/>
        <w:rPr/>
      </w:pPr>
      <w:r>
        <w:rPr/>
        <w:t>“</w:t>
      </w:r>
      <w:r>
        <w:rPr>
          <w:rFonts w:ascii="Arial" w:hAnsi="Arial"/>
          <w:b/>
          <w:sz w:val="20"/>
        </w:rPr>
        <w:t>Expenses</w:t>
      </w:r>
      <w:r>
        <w:rPr>
          <w:rFonts w:ascii="Times New Roman" w:hAnsi="Times New Roman"/>
          <w:sz w:val="20"/>
        </w:rPr>
        <w:t xml:space="preserve">” </w:t>
      </w:r>
      <w:r>
        <w:rPr>
          <w:rFonts w:ascii="Arial" w:hAnsi="Arial"/>
          <w:b w:val="false"/>
          <w:sz w:val="20"/>
        </w:rPr>
        <w:t>means, without limitation, lawyers’ fees and disbursements and any expenses of establishing a right to indemnification under this Agreement, the Act or otherwise; and</w:t>
      </w:r>
    </w:p>
    <w:p>
      <w:pPr>
        <w:pStyle w:val="TextBody"/>
        <w:spacing w:lineRule="auto" w:line="316" w:before="0" w:after="240"/>
        <w:jc w:val="left"/>
        <w:rPr/>
      </w:pPr>
      <w:r>
        <w:rPr/>
        <w:t>“</w:t>
      </w:r>
      <w:r>
        <w:rPr>
          <w:rFonts w:ascii="Arial" w:hAnsi="Arial"/>
          <w:b/>
          <w:sz w:val="20"/>
        </w:rPr>
        <w:t>Proceeding</w:t>
      </w:r>
      <w:r>
        <w:rPr>
          <w:rFonts w:ascii="Times New Roman" w:hAnsi="Times New Roman"/>
          <w:sz w:val="20"/>
        </w:rPr>
        <w:t xml:space="preserve">” </w:t>
      </w:r>
      <w:r>
        <w:rPr>
          <w:rFonts w:ascii="Arial" w:hAnsi="Arial"/>
          <w:b w:val="false"/>
          <w:sz w:val="20"/>
        </w:rPr>
        <w:t>means any threatened, pending, contemplated or completed action, suit or proceeding, whether a civil, criminal, administrative, investigative or other proceeding, including any appeal therefrom, to which the Indemnitee is or was a party or is threatened to be made a party by reason of the fact that the Indemnitee is or was an director or officer of the Company or by reason of anything done or not done by the Indemnitee in such capacity.</w:t>
      </w:r>
    </w:p>
    <w:p>
      <w:pPr>
        <w:pStyle w:val="TextBody"/>
        <w:spacing w:lineRule="auto" w:line="321" w:before="0" w:after="240"/>
        <w:jc w:val="left"/>
        <w:rPr>
          <w:rFonts w:ascii="Arial" w:hAnsi="Arial"/>
          <w:b/>
          <w:sz w:val="20"/>
        </w:rPr>
      </w:pPr>
      <w:r>
        <w:rPr>
          <w:rFonts w:ascii="Arial" w:hAnsi="Arial"/>
          <w:b/>
          <w:sz w:val="20"/>
        </w:rPr>
        <w:t>Section 2.</w:t>
      </w:r>
    </w:p>
    <w:p>
      <w:pPr>
        <w:pStyle w:val="TextBody"/>
        <w:spacing w:lineRule="auto" w:line="321" w:before="0" w:after="240"/>
        <w:jc w:val="left"/>
        <w:rPr>
          <w:rFonts w:ascii="Arial" w:hAnsi="Arial"/>
          <w:b/>
          <w:sz w:val="20"/>
        </w:rPr>
      </w:pPr>
      <w:r>
        <w:rPr>
          <w:rFonts w:ascii="Arial" w:hAnsi="Arial"/>
          <w:b/>
          <w:sz w:val="20"/>
        </w:rPr>
        <w:t>Agreement to Serve</w:t>
      </w:r>
    </w:p>
    <w:p>
      <w:pPr>
        <w:pStyle w:val="TextBody"/>
        <w:spacing w:lineRule="auto" w:line="316" w:before="0" w:after="240"/>
        <w:jc w:val="left"/>
        <w:rPr>
          <w:rFonts w:ascii="Times New Roman" w:hAnsi="Times New Roman"/>
          <w:sz w:val="20"/>
        </w:rPr>
      </w:pPr>
      <w:r>
        <w:rPr>
          <w:rFonts w:ascii="Arial" w:hAnsi="Arial"/>
          <w:b w:val="false"/>
          <w:sz w:val="20"/>
        </w:rPr>
        <w:t>In consideration of the protection afforded by this agreement, the Indemnitee agrees to serve as a director and/or officer of the Company, provided that nothing in this Agreement shall prohibit the Indemnitee from resigning as such at any time.</w:t>
      </w:r>
      <w:r>
        <w:rPr>
          <w:rFonts w:ascii="Times New Roman" w:hAnsi="Times New Roman"/>
          <w:sz w:val="20"/>
        </w:rPr>
        <w:t xml:space="preserve"> </w:t>
      </w:r>
    </w:p>
    <w:p>
      <w:pPr>
        <w:pStyle w:val="TextBody"/>
        <w:spacing w:lineRule="auto" w:line="321" w:before="0" w:after="240"/>
        <w:jc w:val="left"/>
        <w:rPr>
          <w:rFonts w:ascii="Arial" w:hAnsi="Arial"/>
          <w:b/>
          <w:sz w:val="20"/>
        </w:rPr>
      </w:pPr>
      <w:r>
        <w:rPr>
          <w:rFonts w:ascii="Arial" w:hAnsi="Arial"/>
          <w:b/>
          <w:sz w:val="20"/>
        </w:rPr>
        <w:t>Section 3.</w:t>
      </w:r>
    </w:p>
    <w:p>
      <w:pPr>
        <w:pStyle w:val="TextBody"/>
        <w:spacing w:lineRule="auto" w:line="321" w:before="0" w:after="240"/>
        <w:jc w:val="left"/>
        <w:rPr>
          <w:rFonts w:ascii="Arial" w:hAnsi="Arial"/>
          <w:b/>
          <w:sz w:val="20"/>
        </w:rPr>
      </w:pPr>
      <w:r>
        <w:rPr>
          <w:rFonts w:ascii="Arial" w:hAnsi="Arial"/>
          <w:b/>
          <w:sz w:val="20"/>
        </w:rPr>
        <w:t>Indemnification</w:t>
      </w:r>
    </w:p>
    <w:p>
      <w:pPr>
        <w:pStyle w:val="TextBody"/>
        <w:spacing w:lineRule="auto" w:line="316" w:before="0" w:after="240"/>
        <w:jc w:val="left"/>
        <w:rPr>
          <w:rFonts w:ascii="Arial" w:hAnsi="Arial"/>
          <w:b w:val="false"/>
          <w:sz w:val="20"/>
        </w:rPr>
      </w:pPr>
      <w:r>
        <w:rPr>
          <w:rFonts w:ascii="Arial" w:hAnsi="Arial"/>
          <w:b w:val="false"/>
          <w:sz w:val="20"/>
        </w:rPr>
        <w:t>(1)</w:t>
      </w:r>
    </w:p>
    <w:p>
      <w:pPr>
        <w:pStyle w:val="TextBody"/>
        <w:spacing w:lineRule="auto" w:line="316" w:before="0" w:after="240"/>
        <w:jc w:val="left"/>
        <w:rPr/>
      </w:pPr>
      <w:r>
        <w:rPr>
          <w:rFonts w:ascii="Arial" w:hAnsi="Arial"/>
          <w:b w:val="false"/>
          <w:i/>
          <w:sz w:val="20"/>
          <w:u w:val="single"/>
        </w:rPr>
        <w:t>Indemnity.</w:t>
      </w:r>
      <w:r>
        <w:rPr/>
        <w:t xml:space="preserve"> </w:t>
      </w:r>
      <w:r>
        <w:rPr>
          <w:rFonts w:ascii="Arial" w:hAnsi="Arial"/>
          <w:b w:val="false"/>
          <w:sz w:val="20"/>
        </w:rPr>
        <w:t xml:space="preserve">The Company shall indemnify the Indemnitee, effective from the date the Indemnitee was first elected to the Board or appointed as an officer of the Company, against any and all Expenses, judgments, fines, penalties, settlements and any other amounts actually and reasonably incurred by the Indemnitee in connection with any Proceeding to the full extent permitted by the Act and, </w:t>
      </w:r>
    </w:p>
    <w:p>
      <w:pPr>
        <w:pStyle w:val="TextBody"/>
        <w:spacing w:lineRule="auto" w:line="316" w:before="0" w:after="240"/>
        <w:jc w:val="left"/>
        <w:rPr>
          <w:rFonts w:ascii="Arial" w:hAnsi="Arial"/>
          <w:b w:val="false"/>
          <w:sz w:val="20"/>
        </w:rPr>
      </w:pPr>
      <w:r>
        <w:rPr>
          <w:rFonts w:ascii="Arial" w:hAnsi="Arial"/>
          <w:b w:val="false"/>
          <w:sz w:val="20"/>
        </w:rPr>
        <w:t>(a)</w:t>
      </w:r>
    </w:p>
    <w:p>
      <w:pPr>
        <w:pStyle w:val="TextBody"/>
        <w:spacing w:lineRule="auto" w:line="316" w:before="0" w:after="240"/>
        <w:jc w:val="left"/>
        <w:rPr>
          <w:rFonts w:ascii="Arial" w:hAnsi="Arial"/>
          <w:b w:val="false"/>
          <w:sz w:val="20"/>
        </w:rPr>
      </w:pPr>
      <w:r>
        <w:rPr>
          <w:rFonts w:ascii="Arial" w:hAnsi="Arial"/>
          <w:b w:val="false"/>
          <w:sz w:val="20"/>
        </w:rPr>
        <w:t>the Indemnitee acted honestly and in good faith with a view to the best interests of the Company; and s</w:t>
      </w:r>
    </w:p>
    <w:p>
      <w:pPr>
        <w:pStyle w:val="TextBody"/>
        <w:spacing w:lineRule="auto" w:line="316" w:before="0" w:after="240"/>
        <w:jc w:val="left"/>
        <w:rPr>
          <w:rFonts w:ascii="Arial" w:hAnsi="Arial"/>
          <w:b w:val="false"/>
          <w:sz w:val="20"/>
        </w:rPr>
      </w:pPr>
      <w:r>
        <w:rPr>
          <w:rFonts w:ascii="Arial" w:hAnsi="Arial"/>
          <w:b w:val="false"/>
          <w:sz w:val="20"/>
        </w:rPr>
        <w:t>(b)</w:t>
      </w:r>
    </w:p>
    <w:p>
      <w:pPr>
        <w:pStyle w:val="TextBody"/>
        <w:spacing w:lineRule="auto" w:line="316" w:before="0" w:after="240"/>
        <w:jc w:val="left"/>
        <w:rPr/>
      </w:pPr>
      <w:r>
        <w:rPr>
          <w:rFonts w:ascii="Arial" w:hAnsi="Arial"/>
          <w:b w:val="false"/>
          <w:sz w:val="20"/>
        </w:rPr>
        <w:t xml:space="preserve">in the case of a criminal or administrative action or proceeding that is enforced by a monetary penalty, the Indemnitee had reasonable grounds for believing that his or her conduct was lawful (such sections 3(1)(a) and (b) being herein collectively referred to as the </w:t>
      </w:r>
      <w:r>
        <w:rPr/>
        <w:t>“</w:t>
      </w:r>
      <w:r>
        <w:rPr>
          <w:rFonts w:ascii="Arial" w:hAnsi="Arial"/>
          <w:b/>
          <w:sz w:val="20"/>
        </w:rPr>
        <w:t>Conditions</w:t>
      </w:r>
      <w:r>
        <w:rPr/>
        <w:t>”</w:t>
      </w:r>
      <w:r>
        <w:rPr>
          <w:rFonts w:ascii="Arial" w:hAnsi="Arial"/>
          <w:b w:val="false"/>
          <w:sz w:val="20"/>
        </w:rPr>
        <w:t xml:space="preserve">). </w:t>
      </w:r>
    </w:p>
    <w:p>
      <w:pPr>
        <w:pStyle w:val="TextBody"/>
        <w:spacing w:lineRule="auto" w:line="316" w:before="0" w:after="240"/>
        <w:jc w:val="left"/>
        <w:rPr>
          <w:rFonts w:ascii="Arial" w:hAnsi="Arial"/>
          <w:b w:val="false"/>
          <w:sz w:val="20"/>
        </w:rPr>
      </w:pPr>
      <w:r>
        <w:rPr>
          <w:rFonts w:ascii="Arial" w:hAnsi="Arial"/>
          <w:b w:val="false"/>
          <w:sz w:val="20"/>
        </w:rPr>
        <w:t>No determination in any Proceeding against the Indemnitee by judgment, order, settlement (with or without court approval) or conviction shall, of itself, create a presumption that the Indemnitee did not meet the Conditions. The Indemnitee shall be deemed, subject only to compelling evidence to the contrary, to have acted honestly and in good faith with a view to the best interests of the Company, and the Company shall have the burden of establishing the absence of good faith or acting with a view to best interests of the Company on the part of the Indemnitee.</w:t>
      </w:r>
    </w:p>
    <w:p>
      <w:pPr>
        <w:pStyle w:val="TextBody"/>
        <w:spacing w:lineRule="auto" w:line="316" w:before="0" w:after="240"/>
        <w:jc w:val="left"/>
        <w:rPr>
          <w:rFonts w:ascii="Arial" w:hAnsi="Arial"/>
          <w:b w:val="false"/>
          <w:sz w:val="20"/>
        </w:rPr>
      </w:pPr>
      <w:r>
        <w:rPr>
          <w:rFonts w:ascii="Arial" w:hAnsi="Arial"/>
          <w:b w:val="false"/>
          <w:sz w:val="20"/>
        </w:rPr>
        <w:t>Notwithstanding any other provision of this Agreement to the contrary, to the extent that the Indemnitee is, by reason of the Indemnitee’s status with respect to the Company or any other Subject Entity, a witness or otherwise participates in any action, suit or proceeding at a time when the Indemnitee is not a party in the action, suit or proceeding, the Company shall indemnify the Indemnitee against all expenses (including Expenses) actually and reasonably incurred by the Indemnitee or on the Indemnitee’s behalf in connection therewith.</w:t>
      </w:r>
    </w:p>
    <w:p>
      <w:pPr>
        <w:pStyle w:val="TextBody"/>
        <w:spacing w:lineRule="auto" w:line="316" w:before="0" w:after="240"/>
        <w:jc w:val="left"/>
        <w:rPr>
          <w:rFonts w:ascii="Times New Roman" w:hAnsi="Times New Roman"/>
          <w:sz w:val="20"/>
        </w:rPr>
      </w:pPr>
      <w:r>
        <w:rPr>
          <w:rFonts w:ascii="Arial" w:hAnsi="Arial"/>
          <w:b w:val="false"/>
          <w:sz w:val="20"/>
        </w:rPr>
        <w:t>The Indemnitee shall be presumed to be entitled to indemnification under this Agreement upon notice pursuant to Section 3(2), and the Company shall have the burden of proof in overcoming that presumption in reaching a determination contrary to that presumption. Such presumption</w:t>
      </w:r>
      <w:r>
        <w:rPr>
          <w:rFonts w:ascii="Times New Roman" w:hAnsi="Times New Roman"/>
          <w:sz w:val="20"/>
        </w:rPr>
        <w:t xml:space="preserve"> </w:t>
      </w:r>
    </w:p>
    <w:p>
      <w:pPr>
        <w:pStyle w:val="TextBody"/>
        <w:spacing w:lineRule="auto" w:line="316" w:before="0" w:after="0"/>
        <w:jc w:val="center"/>
        <w:rPr>
          <w:rFonts w:ascii="Arial" w:hAnsi="Arial"/>
          <w:b w:val="false"/>
          <w:sz w:val="20"/>
        </w:rPr>
      </w:pPr>
      <w:r>
        <w:rPr>
          <w:rFonts w:ascii="Arial" w:hAnsi="Arial"/>
          <w:b w:val="false"/>
          <w:sz w:val="20"/>
        </w:rPr>
        <w:t>2</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rFonts w:ascii="Arial" w:hAnsi="Arial"/>
          <w:b w:val="false"/>
          <w:sz w:val="20"/>
        </w:rPr>
      </w:pPr>
      <w:r>
        <w:rPr>
          <w:rFonts w:ascii="Arial" w:hAnsi="Arial"/>
          <w:b w:val="false"/>
          <w:sz w:val="20"/>
        </w:rPr>
        <w:t>shall be used as a basis for a determination of entitlement to indemnification unless the Company overcomes such presumption by clear and convincing evidence.</w:t>
      </w:r>
    </w:p>
    <w:p>
      <w:pPr>
        <w:pStyle w:val="TextBody"/>
        <w:spacing w:lineRule="auto" w:line="321" w:before="0" w:after="240"/>
        <w:jc w:val="left"/>
        <w:rPr>
          <w:rFonts w:ascii="Arial" w:hAnsi="Arial"/>
          <w:b w:val="false"/>
          <w:sz w:val="20"/>
        </w:rPr>
      </w:pPr>
      <w:r>
        <w:rPr>
          <w:rFonts w:ascii="Arial" w:hAnsi="Arial"/>
          <w:b w:val="false"/>
          <w:sz w:val="20"/>
        </w:rPr>
        <w:t>For greater certainty, the Indemnitee shall not be prevented from seeking indemnification under this Section 3 as a result of the industry in which the Company operates (including as a result of the Company being involved in business activities that are regulated under the United States Controlled Substances Act).</w:t>
      </w:r>
    </w:p>
    <w:p>
      <w:pPr>
        <w:pStyle w:val="TextBody"/>
        <w:spacing w:lineRule="auto" w:line="316" w:before="0" w:after="240"/>
        <w:jc w:val="left"/>
        <w:rPr>
          <w:rFonts w:ascii="Arial" w:hAnsi="Arial"/>
          <w:b w:val="false"/>
          <w:sz w:val="20"/>
        </w:rPr>
      </w:pPr>
      <w:r>
        <w:rPr>
          <w:rFonts w:ascii="Arial" w:hAnsi="Arial"/>
          <w:b w:val="false"/>
          <w:sz w:val="20"/>
        </w:rPr>
        <w:t>(2)</w:t>
      </w:r>
    </w:p>
    <w:p>
      <w:pPr>
        <w:pStyle w:val="TextBody"/>
        <w:spacing w:lineRule="auto" w:line="316" w:before="0" w:after="240"/>
        <w:jc w:val="left"/>
        <w:rPr/>
      </w:pPr>
      <w:r>
        <w:rPr>
          <w:rFonts w:ascii="Arial" w:hAnsi="Arial"/>
          <w:b w:val="false"/>
          <w:i/>
          <w:sz w:val="20"/>
          <w:u w:val="single"/>
        </w:rPr>
        <w:t>Claims Brought Against Indemnitee by the Company.</w:t>
      </w:r>
      <w:r>
        <w:rPr/>
        <w:t xml:space="preserve"> </w:t>
      </w:r>
      <w:r>
        <w:rPr>
          <w:rFonts w:ascii="Arial" w:hAnsi="Arial"/>
          <w:b w:val="false"/>
          <w:sz w:val="20"/>
        </w:rPr>
        <w:t>Subject to court approval as contemplated by section 164 of the Act and the restrictions set out in Section 10 of the Agreement, the Company shall indemnify the Indemnitee against any and all Expenses, judgments, fines, penalties, settlements and any other amounts actually and reasonably incurred by the Indemnitee in connection with any Proceeding brought by or on behalf of the Company, provided the Conditions are met.</w:t>
      </w:r>
    </w:p>
    <w:p>
      <w:pPr>
        <w:pStyle w:val="TextBody"/>
        <w:spacing w:lineRule="auto" w:line="316" w:before="0" w:after="240"/>
        <w:jc w:val="left"/>
        <w:rPr>
          <w:rFonts w:ascii="Arial" w:hAnsi="Arial"/>
          <w:b w:val="false"/>
          <w:sz w:val="20"/>
        </w:rPr>
      </w:pPr>
      <w:r>
        <w:rPr>
          <w:rFonts w:ascii="Arial" w:hAnsi="Arial"/>
          <w:b w:val="false"/>
          <w:sz w:val="20"/>
        </w:rPr>
        <w:t>(3)</w:t>
      </w:r>
    </w:p>
    <w:p>
      <w:pPr>
        <w:pStyle w:val="TextBody"/>
        <w:spacing w:lineRule="auto" w:line="316" w:before="0" w:after="240"/>
        <w:jc w:val="left"/>
        <w:rPr/>
      </w:pPr>
      <w:r>
        <w:rPr>
          <w:rFonts w:ascii="Arial" w:hAnsi="Arial"/>
          <w:b w:val="false"/>
          <w:i/>
          <w:sz w:val="20"/>
          <w:u w:val="single"/>
        </w:rPr>
        <w:t>Notice and Co-operation by the Indemnitee.</w:t>
      </w:r>
      <w:r>
        <w:rPr/>
        <w:t xml:space="preserve"> </w:t>
      </w:r>
      <w:r>
        <w:rPr>
          <w:rFonts w:ascii="Arial" w:hAnsi="Arial"/>
          <w:b w:val="false"/>
          <w:sz w:val="20"/>
        </w:rPr>
        <w:t>The Indemnitee shall, as a condition precedent to his or her right to be indemnified under this Agreement, give the Company notice in writing as soon as practicable of the commencement or the threatened commencement of any Proceeding against the Indemnitee for which indemnification will or could be sought under this Agreement, including with such notice such documentation and information as is reasonably available to the Indemnitee and is reasonably necessary to determine whether and to what extent the Indemnitee is entitled to indemnification. In addition, the Indemnitee shall co-operate with the Company regarding such Proceeding as the Company may reasonably require and as shall be within the Indemnitee’s power. Notice to the Company shall be directed to the address set-out below (or such other address as the Company shall designate in writing to the Indemnitee). The failure to promptly notify the Company of the commencement or threatened commencement of the Proceeding, or the Indemnitee’s request for indemnification, will not relieve the Company from any liability that it may have to the Indemnitee hereunder, except to the extent the Company is materially prejudiced in its defense of such Proceeding as a result of such failure.</w:t>
      </w:r>
    </w:p>
    <w:p>
      <w:pPr>
        <w:pStyle w:val="TextBody"/>
        <w:spacing w:lineRule="auto" w:line="316" w:before="0" w:after="240"/>
        <w:jc w:val="left"/>
        <w:rPr>
          <w:rFonts w:ascii="Arial" w:hAnsi="Arial"/>
          <w:b w:val="false"/>
          <w:sz w:val="20"/>
        </w:rPr>
      </w:pPr>
      <w:r>
        <w:rPr>
          <w:rFonts w:ascii="Arial" w:hAnsi="Arial"/>
          <w:b w:val="false"/>
          <w:sz w:val="20"/>
        </w:rPr>
        <w:t>(4)</w:t>
      </w:r>
    </w:p>
    <w:p>
      <w:pPr>
        <w:pStyle w:val="TextBody"/>
        <w:spacing w:lineRule="auto" w:line="316" w:before="0" w:after="240"/>
        <w:jc w:val="left"/>
        <w:rPr/>
      </w:pPr>
      <w:r>
        <w:rPr>
          <w:rFonts w:ascii="Arial" w:hAnsi="Arial"/>
          <w:b w:val="false"/>
          <w:i/>
          <w:sz w:val="20"/>
          <w:u w:val="single"/>
        </w:rPr>
        <w:t>Procedure.</w:t>
      </w:r>
      <w:r>
        <w:rPr/>
        <w:t xml:space="preserve"> </w:t>
      </w:r>
      <w:r>
        <w:rPr>
          <w:rFonts w:ascii="Arial" w:hAnsi="Arial"/>
          <w:b w:val="false"/>
          <w:sz w:val="20"/>
        </w:rPr>
        <w:t xml:space="preserve">Subject to the provisions of Section 4 as to the advancement of Expenses, any indemnification provided for in this Section 3 shall be paid no later than 30 days after receipt of written request of the Indemnitee. If a claim under this Agreement, the Act, or any other statute, or any provision of the Company’s articles providing for indemnification is not paid in full by the Company within 45 days after a written request for payment thereof has first been received by the Company, the Indemnitee may, but need not, at any time thereafter bring an action against the Company to recover the unpaid amount of the claim and, subject to Section 14 of this Agreement, the Indemnitee shall also be entitled to be paid the Expenses of bringing such action. The Company shall have as a defense to any such action (other than an action brought to enforce a claim for Expenses incurred in connection with any action, suit or proceeding in advance of its final disposition) that the Indemnitee has not satisfied the Conditions. The burden of proving such defense shall be on the Company and the Indemnitee shall be entitled to receive advances of Expenses pursuant to section 4 hereof unless and until it shall be finally adjudicated by court order or judgment from which no further right of appeal exists that such defense is available to the Company. It is the parties’ intention that if the Company contests the Indemnitee’s right to indemnification, the question of the Indemnitee’s right to indemnification shall be for the court to decide, and neither the failure of the Company (including the Board, any committee or subgroup of the Board, independent legal counsel or the Company’s shareholders) to have made a determination that indemnification of the Indemnitee is proper in the circumstances because the </w:t>
      </w:r>
    </w:p>
    <w:p>
      <w:pPr>
        <w:pStyle w:val="TextBody"/>
        <w:spacing w:lineRule="auto" w:line="316" w:before="0" w:after="0"/>
        <w:jc w:val="center"/>
        <w:rPr>
          <w:rFonts w:ascii="Arial" w:hAnsi="Arial"/>
          <w:b w:val="false"/>
          <w:sz w:val="20"/>
        </w:rPr>
      </w:pPr>
      <w:r>
        <w:rPr>
          <w:rFonts w:ascii="Arial" w:hAnsi="Arial"/>
          <w:b w:val="false"/>
          <w:sz w:val="20"/>
        </w:rPr>
        <w:t>3</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rFonts w:ascii="Arial" w:hAnsi="Arial"/>
          <w:b w:val="false"/>
          <w:sz w:val="20"/>
        </w:rPr>
      </w:pPr>
      <w:r>
        <w:rPr>
          <w:rFonts w:ascii="Arial" w:hAnsi="Arial"/>
          <w:b w:val="false"/>
          <w:sz w:val="20"/>
        </w:rPr>
        <w:t>Indemnitee has met the Conditions, nor an actual determination by the Company (including the Board, any committee or subgroup of the Board, independent legal counsel, or the Company’s shareholders) that the Indemnitee has not met the Conditions, shall create a presumption that the Indemnitee has or has not met the Conditions.</w:t>
      </w:r>
    </w:p>
    <w:p>
      <w:pPr>
        <w:pStyle w:val="TextBody"/>
        <w:spacing w:lineRule="auto" w:line="316" w:before="0" w:after="240"/>
        <w:jc w:val="left"/>
        <w:rPr>
          <w:rFonts w:ascii="Arial" w:hAnsi="Arial"/>
          <w:b w:val="false"/>
          <w:sz w:val="20"/>
        </w:rPr>
      </w:pPr>
      <w:r>
        <w:rPr>
          <w:rFonts w:ascii="Arial" w:hAnsi="Arial"/>
          <w:b w:val="false"/>
          <w:sz w:val="20"/>
        </w:rPr>
        <w:t>(5)</w:t>
      </w:r>
    </w:p>
    <w:p>
      <w:pPr>
        <w:pStyle w:val="TextBody"/>
        <w:spacing w:lineRule="auto" w:line="316" w:before="0" w:after="240"/>
        <w:jc w:val="left"/>
        <w:rPr/>
      </w:pPr>
      <w:r>
        <w:rPr>
          <w:rFonts w:ascii="Arial" w:hAnsi="Arial"/>
          <w:b w:val="false"/>
          <w:i/>
          <w:sz w:val="20"/>
          <w:u w:val="single"/>
        </w:rPr>
        <w:t>Notice to Insurers.</w:t>
      </w:r>
      <w:r>
        <w:rPr/>
        <w:t xml:space="preserve"> </w:t>
      </w:r>
      <w:r>
        <w:rPr>
          <w:rFonts w:ascii="Arial" w:hAnsi="Arial"/>
          <w:b w:val="false"/>
          <w:sz w:val="20"/>
        </w:rPr>
        <w:t>The Company shall give prompt notice of such Proceeding to the insurers of the Company in accordance with the procedures set forth in the Company’s policies. The Company shall thereafter take all necessary or desirable action to cause such insurers to pay, on behalf of the Indemnitee, all amounts payable as a result of such Proceeding in accordance with the terms of such policies.</w:t>
      </w:r>
    </w:p>
    <w:p>
      <w:pPr>
        <w:pStyle w:val="TextBody"/>
        <w:spacing w:lineRule="auto" w:line="316" w:before="0" w:after="240"/>
        <w:jc w:val="left"/>
        <w:rPr>
          <w:rFonts w:ascii="Arial" w:hAnsi="Arial"/>
          <w:b w:val="false"/>
          <w:sz w:val="20"/>
        </w:rPr>
      </w:pPr>
      <w:r>
        <w:rPr>
          <w:rFonts w:ascii="Arial" w:hAnsi="Arial"/>
          <w:b w:val="false"/>
          <w:sz w:val="20"/>
        </w:rPr>
        <w:t>(6)</w:t>
      </w:r>
    </w:p>
    <w:p>
      <w:pPr>
        <w:pStyle w:val="TextBody"/>
        <w:spacing w:lineRule="auto" w:line="316" w:before="0" w:after="240"/>
        <w:jc w:val="left"/>
        <w:rPr/>
      </w:pPr>
      <w:r>
        <w:rPr>
          <w:rFonts w:ascii="Arial" w:hAnsi="Arial"/>
          <w:b w:val="false"/>
          <w:i/>
          <w:sz w:val="20"/>
          <w:u w:val="single"/>
        </w:rPr>
        <w:t>Selection of Counsel.</w:t>
      </w:r>
      <w:r>
        <w:rPr/>
        <w:t xml:space="preserve"> </w:t>
      </w:r>
      <w:r>
        <w:rPr>
          <w:rFonts w:ascii="Arial" w:hAnsi="Arial"/>
          <w:b w:val="false"/>
          <w:sz w:val="20"/>
        </w:rPr>
        <w:t>In the event the Company shall be obligated under this Section 3 to indemnify the Indemnitee, the Company shall be entitled to assume the defense of such Proceeding upon the delivery to the Indemnitee of written notice of its election so to do. After delivery of such notice and the retention of counsel by the Company, the Company shall not be liable to the Indemnitee under this Agreement for any fees of counsel subsequently incurred by the Indemnitee with respect to the same Proceeding, provided that (i) the Indemnitee shall have the right to employ his or her own counsel in any such Proceeding at the Indemnitee’s expense; and (ii) if (A) the employment of counsel by the Indemnitee has been previously authorized by the Company, (B) the Indemnitee shall have been advised in a written opinion of counsel acceptable to the Company, acting reasonably, addressed to the Indemnitee and to the Company stating that there may be a conflict of interest between the Company and the Indemnitee in the conduct of any such defense, or (C) the Company shall not, in fact, have employed counsel to assume the defense of such Proceeding, then the fees and expenses (including Expenses) of the Indemnitee’s counsel shall be borne by the Company.</w:t>
      </w:r>
    </w:p>
    <w:p>
      <w:pPr>
        <w:pStyle w:val="TextBody"/>
        <w:spacing w:lineRule="auto" w:line="316" w:before="0" w:after="240"/>
        <w:jc w:val="left"/>
        <w:rPr>
          <w:rFonts w:ascii="Arial" w:hAnsi="Arial"/>
          <w:b w:val="false"/>
          <w:sz w:val="20"/>
        </w:rPr>
      </w:pPr>
      <w:r>
        <w:rPr>
          <w:rFonts w:ascii="Arial" w:hAnsi="Arial"/>
          <w:b w:val="false"/>
          <w:sz w:val="20"/>
        </w:rPr>
        <w:t>(7)</w:t>
      </w:r>
    </w:p>
    <w:p>
      <w:pPr>
        <w:pStyle w:val="TextBody"/>
        <w:spacing w:lineRule="auto" w:line="316" w:before="0" w:after="240"/>
        <w:jc w:val="left"/>
        <w:rPr/>
      </w:pPr>
      <w:r>
        <w:rPr>
          <w:rFonts w:ascii="Arial" w:hAnsi="Arial"/>
          <w:b w:val="false"/>
          <w:i/>
          <w:sz w:val="20"/>
          <w:u w:val="single"/>
        </w:rPr>
        <w:t>Income Tax.</w:t>
      </w:r>
      <w:r>
        <w:rPr/>
        <w:t xml:space="preserve"> </w:t>
      </w:r>
      <w:r>
        <w:rPr>
          <w:rFonts w:ascii="Arial" w:hAnsi="Arial"/>
          <w:b w:val="false"/>
          <w:sz w:val="20"/>
        </w:rPr>
        <w:t>Should any payment made to the Indemnitee pursuant to this Agreement be deemed by any taxation authority in any jurisdiction to constitute a taxable benefit or otherwise be or become subject to any tax or levy, then the Company shall pay such greater amount as may be necessary to ensure that the amount received by or on behalf of the Indemnitee, after payment of or withholding for such tax, is equal to the amount of the actual cost, expense or liability incurred by or on behalf of the Indemnitee, such that this Agreement shall serve to indemnify the Indemnitee against all liability for any and all such taxes.</w:t>
      </w:r>
    </w:p>
    <w:p>
      <w:pPr>
        <w:pStyle w:val="TextBody"/>
        <w:spacing w:lineRule="auto" w:line="316" w:before="0" w:after="240"/>
        <w:jc w:val="left"/>
        <w:rPr>
          <w:rFonts w:ascii="Arial" w:hAnsi="Arial"/>
          <w:b w:val="false"/>
          <w:sz w:val="20"/>
        </w:rPr>
      </w:pPr>
      <w:r>
        <w:rPr>
          <w:rFonts w:ascii="Arial" w:hAnsi="Arial"/>
          <w:b w:val="false"/>
          <w:sz w:val="20"/>
        </w:rPr>
        <w:t>(8)</w:t>
      </w:r>
    </w:p>
    <w:p>
      <w:pPr>
        <w:pStyle w:val="TextBody"/>
        <w:spacing w:lineRule="auto" w:line="316" w:before="0" w:after="240"/>
        <w:jc w:val="left"/>
        <w:rPr/>
      </w:pPr>
      <w:r>
        <w:rPr>
          <w:rFonts w:ascii="Arial" w:hAnsi="Arial"/>
          <w:b w:val="false"/>
          <w:i/>
          <w:sz w:val="20"/>
          <w:u w:val="single"/>
        </w:rPr>
        <w:t>Company to Seek Court Approval.</w:t>
      </w:r>
      <w:r>
        <w:rPr/>
        <w:t xml:space="preserve"> </w:t>
      </w:r>
      <w:r>
        <w:rPr>
          <w:rFonts w:ascii="Arial" w:hAnsi="Arial"/>
          <w:b w:val="false"/>
          <w:sz w:val="20"/>
        </w:rPr>
        <w:t>To the extent that prior court or other approval is required in connection with any indemnification obligation of the Company under this Agreement, the Company shall seek and use all reasonable efforts to obtain that approval as soon as reasonably possible in the circumstances.</w:t>
      </w:r>
    </w:p>
    <w:p>
      <w:pPr>
        <w:pStyle w:val="TextBody"/>
        <w:spacing w:lineRule="auto" w:line="321" w:before="0" w:after="240"/>
        <w:jc w:val="left"/>
        <w:rPr>
          <w:rFonts w:ascii="Arial" w:hAnsi="Arial"/>
          <w:b/>
          <w:sz w:val="20"/>
        </w:rPr>
      </w:pPr>
      <w:r>
        <w:rPr>
          <w:rFonts w:ascii="Arial" w:hAnsi="Arial"/>
          <w:b/>
          <w:sz w:val="20"/>
        </w:rPr>
        <w:t>Section 4.</w:t>
      </w:r>
    </w:p>
    <w:p>
      <w:pPr>
        <w:pStyle w:val="TextBody"/>
        <w:spacing w:lineRule="auto" w:line="321" w:before="0" w:after="240"/>
        <w:jc w:val="left"/>
        <w:rPr>
          <w:rFonts w:ascii="Arial" w:hAnsi="Arial"/>
          <w:b/>
          <w:sz w:val="20"/>
        </w:rPr>
      </w:pPr>
      <w:r>
        <w:rPr>
          <w:rFonts w:ascii="Arial" w:hAnsi="Arial"/>
          <w:b/>
          <w:sz w:val="20"/>
        </w:rPr>
        <w:t>Advances of Expenses</w:t>
      </w:r>
    </w:p>
    <w:p>
      <w:pPr>
        <w:pStyle w:val="TextBody"/>
        <w:spacing w:lineRule="auto" w:line="316" w:before="0" w:after="240"/>
        <w:jc w:val="left"/>
        <w:rPr>
          <w:rFonts w:ascii="Times New Roman" w:hAnsi="Times New Roman"/>
          <w:sz w:val="20"/>
        </w:rPr>
      </w:pPr>
      <w:r>
        <w:rPr>
          <w:rFonts w:ascii="Arial" w:hAnsi="Arial"/>
          <w:b w:val="false"/>
          <w:sz w:val="20"/>
        </w:rPr>
        <w:t>The Company shall advance all Expenses incurred by the Indemnitee in connection with the investigation, defense, settlement or appeal of any Proceeding prior to the final disposition thereof upon receipt by the Company of an undertaking by or on behalf of the Indemnitee to repay the Company such advanced amounts if it shall be determined ultimately that the Indemnitee is not entitled to be indemnified by the Company hereunder and provided that the Indemnitee offers reasonable proof of the Indemnitee’s ability to repay such advanced amounts under such circumstances and if it is not then contrary to applicable law for the Company to do so. Notwithstanding the foregoing, however, such advances shall not be made if it is determined by a court of competent jurisdiction that the Indemnitee acted in bad faith</w:t>
      </w:r>
      <w:r>
        <w:rPr>
          <w:rFonts w:ascii="Times New Roman" w:hAnsi="Times New Roman"/>
          <w:sz w:val="20"/>
        </w:rPr>
        <w:t xml:space="preserve"> </w:t>
      </w:r>
    </w:p>
    <w:p>
      <w:pPr>
        <w:pStyle w:val="TextBody"/>
        <w:spacing w:lineRule="auto" w:line="316" w:before="0" w:after="0"/>
        <w:jc w:val="center"/>
        <w:rPr>
          <w:rFonts w:ascii="Arial" w:hAnsi="Arial"/>
          <w:b w:val="false"/>
          <w:sz w:val="20"/>
        </w:rPr>
      </w:pPr>
      <w:r>
        <w:rPr>
          <w:rFonts w:ascii="Arial" w:hAnsi="Arial"/>
          <w:b w:val="false"/>
          <w:sz w:val="20"/>
        </w:rPr>
        <w:t>4</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rFonts w:ascii="Arial" w:hAnsi="Arial"/>
          <w:b w:val="false"/>
          <w:sz w:val="20"/>
        </w:rPr>
      </w:pPr>
      <w:r>
        <w:rPr>
          <w:rFonts w:ascii="Arial" w:hAnsi="Arial"/>
          <w:b w:val="false"/>
          <w:sz w:val="20"/>
        </w:rPr>
        <w:t>or deliberately breached his or her duty to the Company and its shareholders and, as a result, it is more likely than not that the Indemnitee will not be entitled to indemnification under the terms of this Agreement. The advances of Expenses to be made hereunder shall be paid by the Company to the Indemnitee within 30 days following delivery of a written request therefor by the Indemnitee to the Company.</w:t>
      </w:r>
    </w:p>
    <w:p>
      <w:pPr>
        <w:pStyle w:val="TextBody"/>
        <w:spacing w:lineRule="auto" w:line="321" w:before="0" w:after="240"/>
        <w:jc w:val="left"/>
        <w:rPr>
          <w:rFonts w:ascii="Arial" w:hAnsi="Arial"/>
          <w:b/>
          <w:sz w:val="20"/>
        </w:rPr>
      </w:pPr>
      <w:r>
        <w:rPr>
          <w:rFonts w:ascii="Arial" w:hAnsi="Arial"/>
          <w:b/>
          <w:sz w:val="20"/>
        </w:rPr>
        <w:t>Section 5.</w:t>
      </w:r>
    </w:p>
    <w:p>
      <w:pPr>
        <w:pStyle w:val="TextBody"/>
        <w:spacing w:lineRule="auto" w:line="321" w:before="0" w:after="240"/>
        <w:jc w:val="left"/>
        <w:rPr>
          <w:rFonts w:ascii="Arial" w:hAnsi="Arial"/>
          <w:b/>
          <w:sz w:val="20"/>
        </w:rPr>
      </w:pPr>
      <w:r>
        <w:rPr>
          <w:rFonts w:ascii="Arial" w:hAnsi="Arial"/>
          <w:b/>
          <w:sz w:val="20"/>
        </w:rPr>
        <w:t>Additional Indemnification Rights; Non-Exclusivity</w:t>
      </w:r>
    </w:p>
    <w:p>
      <w:pPr>
        <w:pStyle w:val="TextBody"/>
        <w:spacing w:lineRule="auto" w:line="316" w:before="0" w:after="240"/>
        <w:jc w:val="left"/>
        <w:rPr>
          <w:rFonts w:ascii="Arial" w:hAnsi="Arial"/>
          <w:b w:val="false"/>
          <w:sz w:val="20"/>
        </w:rPr>
      </w:pPr>
      <w:r>
        <w:rPr>
          <w:rFonts w:ascii="Arial" w:hAnsi="Arial"/>
          <w:b w:val="false"/>
          <w:sz w:val="20"/>
        </w:rPr>
        <w:t>(1)</w:t>
      </w:r>
    </w:p>
    <w:p>
      <w:pPr>
        <w:pStyle w:val="TextBody"/>
        <w:spacing w:lineRule="auto" w:line="316" w:before="0" w:after="240"/>
        <w:jc w:val="left"/>
        <w:rPr/>
      </w:pPr>
      <w:r>
        <w:rPr>
          <w:rFonts w:ascii="Arial" w:hAnsi="Arial"/>
          <w:b w:val="false"/>
          <w:i/>
          <w:sz w:val="20"/>
          <w:u w:val="single"/>
        </w:rPr>
        <w:t>Scope.</w:t>
      </w:r>
      <w:r>
        <w:rPr/>
        <w:t xml:space="preserve"> </w:t>
      </w:r>
      <w:r>
        <w:rPr>
          <w:rFonts w:ascii="Arial" w:hAnsi="Arial"/>
          <w:b w:val="false"/>
          <w:sz w:val="20"/>
        </w:rPr>
        <w:t>Notwithstanding any other provision of this Agreement, the Company hereby agrees to indemnify the Indemnitee to the fullest extent permitted by law, notwithstanding that such indemnification is not specifically authorized by other provisions of this Agreement, the Act, the Company’s articles, or by other statute. In the event of any change after the date of this Agreement in any applicable law, statute or rule which expands the right of a British Columbia company to indemnify an Agent, such changes shall, without any formality, be within the purview of the Indemnitee’s rights and the Company’s obligations under this Agreement. In the event of any change in applicable law, statute or rule which narrows the right of a British Columbia company to indemnify an Agent such changes, to the extent not otherwise required by such law, statute or rule to be applied to this Agreement shall have no effect on this Agreement or the parties’ rights and obligations hereunder.</w:t>
      </w:r>
    </w:p>
    <w:p>
      <w:pPr>
        <w:pStyle w:val="TextBody"/>
        <w:spacing w:lineRule="auto" w:line="316" w:before="0" w:after="240"/>
        <w:jc w:val="left"/>
        <w:rPr>
          <w:rFonts w:ascii="Arial" w:hAnsi="Arial"/>
          <w:b w:val="false"/>
          <w:sz w:val="20"/>
        </w:rPr>
      </w:pPr>
      <w:r>
        <w:rPr>
          <w:rFonts w:ascii="Arial" w:hAnsi="Arial"/>
          <w:b w:val="false"/>
          <w:sz w:val="20"/>
        </w:rPr>
        <w:t>(2)</w:t>
      </w:r>
    </w:p>
    <w:p>
      <w:pPr>
        <w:pStyle w:val="TextBody"/>
        <w:spacing w:lineRule="auto" w:line="316" w:before="0" w:after="240"/>
        <w:jc w:val="left"/>
        <w:rPr/>
      </w:pPr>
      <w:r>
        <w:rPr>
          <w:rFonts w:ascii="Arial" w:hAnsi="Arial"/>
          <w:b w:val="false"/>
          <w:i/>
          <w:sz w:val="20"/>
          <w:u w:val="single"/>
        </w:rPr>
        <w:t>Non-Exclusivity.</w:t>
      </w:r>
      <w:r>
        <w:rPr/>
        <w:t xml:space="preserve"> </w:t>
      </w:r>
      <w:r>
        <w:rPr>
          <w:rFonts w:ascii="Arial" w:hAnsi="Arial"/>
          <w:b w:val="false"/>
          <w:sz w:val="20"/>
        </w:rPr>
        <w:t>The indemnification provided by this Agreement shall not be deemed exclusive of any rights to which the Indemnitee may be entitled under the Company’s articles, or any other agreement by which the Company is bound, any vote of shareholders or disinterested Indemnitees, the Act or otherwise.</w:t>
      </w:r>
    </w:p>
    <w:p>
      <w:pPr>
        <w:pStyle w:val="TextBody"/>
        <w:spacing w:lineRule="auto" w:line="316" w:before="0" w:after="240"/>
        <w:jc w:val="left"/>
        <w:rPr>
          <w:rFonts w:ascii="Arial" w:hAnsi="Arial"/>
          <w:b w:val="false"/>
          <w:sz w:val="20"/>
        </w:rPr>
      </w:pPr>
      <w:r>
        <w:rPr>
          <w:rFonts w:ascii="Arial" w:hAnsi="Arial"/>
          <w:b w:val="false"/>
          <w:sz w:val="20"/>
        </w:rPr>
        <w:t>(3)</w:t>
      </w:r>
    </w:p>
    <w:p>
      <w:pPr>
        <w:pStyle w:val="TextBody"/>
        <w:spacing w:lineRule="auto" w:line="316" w:before="0" w:after="240"/>
        <w:jc w:val="left"/>
        <w:rPr/>
      </w:pPr>
      <w:r>
        <w:rPr>
          <w:rFonts w:ascii="Arial" w:hAnsi="Arial"/>
          <w:b w:val="false"/>
          <w:i/>
          <w:sz w:val="20"/>
          <w:u w:val="single"/>
        </w:rPr>
        <w:t>Partial Indemnification.</w:t>
      </w:r>
      <w:r>
        <w:rPr/>
        <w:t xml:space="preserve"> </w:t>
      </w:r>
      <w:r>
        <w:rPr>
          <w:rFonts w:ascii="Arial" w:hAnsi="Arial"/>
          <w:b w:val="false"/>
          <w:sz w:val="20"/>
        </w:rPr>
        <w:t>If the Indemnitee is entitled under any provision of this Agreement to indemnification by the Company for some or a portion of the Expenses, judgments, fines, penalties, settlements or other amounts actually or reasonably incurred by the Indemnitee in the investigation, defense, appeal or settlement of, or otherwise in connection with, any Proceeding, but not, however, for the total amount thereof, the Company shall nevertheless indemnify the Indemnitee for that portion for which the Indemnitee is entitled to indemnification.</w:t>
      </w:r>
    </w:p>
    <w:p>
      <w:pPr>
        <w:pStyle w:val="TextBody"/>
        <w:spacing w:lineRule="auto" w:line="316" w:before="0" w:after="240"/>
        <w:jc w:val="left"/>
        <w:rPr>
          <w:rFonts w:ascii="Arial" w:hAnsi="Arial"/>
          <w:b w:val="false"/>
          <w:sz w:val="20"/>
        </w:rPr>
      </w:pPr>
      <w:r>
        <w:rPr>
          <w:rFonts w:ascii="Arial" w:hAnsi="Arial"/>
          <w:b w:val="false"/>
          <w:sz w:val="20"/>
        </w:rPr>
        <w:t>(4)</w:t>
      </w:r>
    </w:p>
    <w:p>
      <w:pPr>
        <w:pStyle w:val="TextBody"/>
        <w:spacing w:lineRule="auto" w:line="316" w:before="0" w:after="240"/>
        <w:jc w:val="left"/>
        <w:rPr/>
      </w:pPr>
      <w:r>
        <w:rPr>
          <w:rFonts w:ascii="Arial" w:hAnsi="Arial"/>
          <w:b w:val="false"/>
          <w:i/>
          <w:sz w:val="20"/>
          <w:u w:val="single"/>
        </w:rPr>
        <w:t>Contribution.</w:t>
      </w:r>
      <w:r>
        <w:rPr/>
        <w:t xml:space="preserve"> </w:t>
      </w:r>
      <w:r>
        <w:rPr>
          <w:rFonts w:ascii="Arial" w:hAnsi="Arial"/>
          <w:b w:val="false"/>
          <w:sz w:val="20"/>
        </w:rPr>
        <w:t xml:space="preserve">To the fullest extent permissible under applicable law, if the indemnification provided for in this Agreement is unavailable to the Indemnitee for any reason whatsoever, the Company, in lieu of indemnifying the Indemnitee, shall contribute to the amount actually or reasonably incurred by the Indemnitee in the investigation, defense, appeal or settlement of, or otherwise in connection with, any Proceeding, other than any Proceeding by or in the right of the Company, in such proportion as is deemed fair and reasonable in light of all of the circumstances of such Proceeding in order to reflect (i) the relative benefits received by the Company and the Indemnitee as a result of the event(s) and/or transaction(s) giving cause to such Proceeding and/or (ii) the relative fault of the Company (and its directors, officers, employees and agents) and the Indemnitee in connection with such event(s) and/or transaction(s). </w:t>
      </w:r>
    </w:p>
    <w:p>
      <w:pPr>
        <w:pStyle w:val="TextBody"/>
        <w:spacing w:lineRule="auto" w:line="316" w:before="0" w:after="0"/>
        <w:jc w:val="center"/>
        <w:rPr>
          <w:rFonts w:ascii="Arial" w:hAnsi="Arial"/>
          <w:b w:val="false"/>
          <w:sz w:val="20"/>
        </w:rPr>
      </w:pPr>
      <w:r>
        <w:rPr>
          <w:rFonts w:ascii="Arial" w:hAnsi="Arial"/>
          <w:b w:val="false"/>
          <w:sz w:val="20"/>
        </w:rPr>
        <w:t>5</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21" w:before="0" w:after="240"/>
        <w:jc w:val="left"/>
        <w:rPr>
          <w:rFonts w:ascii="Arial" w:hAnsi="Arial"/>
          <w:b/>
          <w:sz w:val="20"/>
        </w:rPr>
      </w:pPr>
      <w:r>
        <w:rPr>
          <w:rFonts w:ascii="Arial" w:hAnsi="Arial"/>
          <w:b/>
          <w:sz w:val="20"/>
        </w:rPr>
        <w:t>Section 6.</w:t>
      </w:r>
    </w:p>
    <w:p>
      <w:pPr>
        <w:pStyle w:val="TextBody"/>
        <w:spacing w:lineRule="auto" w:line="321" w:before="0" w:after="240"/>
        <w:jc w:val="left"/>
        <w:rPr>
          <w:rFonts w:ascii="Arial" w:hAnsi="Arial"/>
          <w:b/>
          <w:sz w:val="20"/>
        </w:rPr>
      </w:pPr>
      <w:r>
        <w:rPr>
          <w:rFonts w:ascii="Arial" w:hAnsi="Arial"/>
          <w:b/>
          <w:sz w:val="20"/>
        </w:rPr>
        <w:t>Mutual Acknowledgement</w:t>
      </w:r>
    </w:p>
    <w:p>
      <w:pPr>
        <w:pStyle w:val="TextBody"/>
        <w:spacing w:lineRule="auto" w:line="316" w:before="0" w:after="240"/>
        <w:jc w:val="left"/>
        <w:rPr>
          <w:rFonts w:ascii="Arial" w:hAnsi="Arial"/>
          <w:b w:val="false"/>
          <w:sz w:val="20"/>
        </w:rPr>
      </w:pPr>
      <w:r>
        <w:rPr>
          <w:rFonts w:ascii="Arial" w:hAnsi="Arial"/>
          <w:b w:val="false"/>
          <w:sz w:val="20"/>
        </w:rPr>
        <w:t>Both the Company and the Indemnitee acknowledge that in certain instances the Act, applicable law or public policy may prohibit the Company from indemnifying the Indemnitee under this Agreement or otherwise. The Indemnitee understands and acknowledges that the Company has undertaken or may be required in the future to undertake with the regulatory authorities to submit the question of indemnification to a court in certain circumstances for a determination of the Company’s right under public policy to indemnify the Indemnitee.</w:t>
      </w:r>
    </w:p>
    <w:p>
      <w:pPr>
        <w:pStyle w:val="TextBody"/>
        <w:spacing w:lineRule="auto" w:line="321" w:before="0" w:after="240"/>
        <w:jc w:val="left"/>
        <w:rPr>
          <w:rFonts w:ascii="Arial" w:hAnsi="Arial"/>
          <w:b/>
          <w:sz w:val="20"/>
        </w:rPr>
      </w:pPr>
      <w:r>
        <w:rPr>
          <w:rFonts w:ascii="Arial" w:hAnsi="Arial"/>
          <w:b/>
          <w:sz w:val="20"/>
        </w:rPr>
        <w:t>Section 7.</w:t>
      </w:r>
    </w:p>
    <w:p>
      <w:pPr>
        <w:pStyle w:val="TextBody"/>
        <w:spacing w:lineRule="auto" w:line="321" w:before="0" w:after="240"/>
        <w:jc w:val="left"/>
        <w:rPr>
          <w:rFonts w:ascii="Arial" w:hAnsi="Arial"/>
          <w:b/>
          <w:sz w:val="20"/>
        </w:rPr>
      </w:pPr>
      <w:r>
        <w:rPr>
          <w:rFonts w:ascii="Arial" w:hAnsi="Arial"/>
          <w:b/>
          <w:sz w:val="20"/>
        </w:rPr>
        <w:t>Settlement</w:t>
      </w:r>
    </w:p>
    <w:p>
      <w:pPr>
        <w:pStyle w:val="TextBody"/>
        <w:spacing w:lineRule="auto" w:line="316" w:before="0" w:after="240"/>
        <w:jc w:val="left"/>
        <w:rPr>
          <w:rFonts w:ascii="Arial" w:hAnsi="Arial"/>
          <w:b w:val="false"/>
          <w:sz w:val="20"/>
        </w:rPr>
      </w:pPr>
      <w:r>
        <w:rPr>
          <w:rFonts w:ascii="Arial" w:hAnsi="Arial"/>
          <w:b w:val="false"/>
          <w:sz w:val="20"/>
        </w:rPr>
        <w:t>(1)</w:t>
      </w:r>
    </w:p>
    <w:p>
      <w:pPr>
        <w:pStyle w:val="TextBody"/>
        <w:spacing w:lineRule="auto" w:line="316" w:before="0" w:after="240"/>
        <w:jc w:val="left"/>
        <w:rPr/>
      </w:pPr>
      <w:r>
        <w:rPr>
          <w:rFonts w:ascii="Arial" w:hAnsi="Arial"/>
          <w:b w:val="false"/>
          <w:i/>
          <w:sz w:val="20"/>
          <w:u w:val="single"/>
        </w:rPr>
        <w:t>Determination of Settlement Terms.</w:t>
      </w:r>
      <w:r>
        <w:rPr/>
        <w:t xml:space="preserve"> </w:t>
      </w:r>
      <w:r>
        <w:rPr>
          <w:rFonts w:ascii="Arial" w:hAnsi="Arial"/>
          <w:b w:val="false"/>
          <w:sz w:val="20"/>
        </w:rPr>
        <w:t>The Company shall be entitled to settle any Proceeding against the Indemnitee for which indemnity is sought by the Indemnitee hereunder on terms and conditions determined by the Company, provided that:</w:t>
      </w:r>
    </w:p>
    <w:p>
      <w:pPr>
        <w:pStyle w:val="TextBody"/>
        <w:spacing w:lineRule="auto" w:line="316" w:before="0" w:after="240"/>
        <w:jc w:val="left"/>
        <w:rPr>
          <w:rFonts w:ascii="Arial" w:hAnsi="Arial"/>
          <w:b w:val="false"/>
          <w:sz w:val="20"/>
        </w:rPr>
      </w:pPr>
      <w:r>
        <w:rPr>
          <w:rFonts w:ascii="Arial" w:hAnsi="Arial"/>
          <w:b w:val="false"/>
          <w:sz w:val="20"/>
        </w:rPr>
        <w:t>(i)</w:t>
      </w:r>
    </w:p>
    <w:p>
      <w:pPr>
        <w:pStyle w:val="TextBody"/>
        <w:spacing w:lineRule="auto" w:line="316" w:before="0" w:after="240"/>
        <w:jc w:val="left"/>
        <w:rPr>
          <w:rFonts w:ascii="Arial" w:hAnsi="Arial"/>
          <w:b w:val="false"/>
          <w:sz w:val="20"/>
        </w:rPr>
      </w:pPr>
      <w:r>
        <w:rPr>
          <w:rFonts w:ascii="Arial" w:hAnsi="Arial"/>
          <w:b w:val="false"/>
          <w:sz w:val="20"/>
        </w:rPr>
        <w:t>the settlement does not involve any obligation or liability of the Indemnitee other than the payment of a monetary amount;</w:t>
      </w:r>
    </w:p>
    <w:p>
      <w:pPr>
        <w:pStyle w:val="TextBody"/>
        <w:spacing w:lineRule="auto" w:line="316" w:before="0" w:after="240"/>
        <w:jc w:val="left"/>
        <w:rPr>
          <w:rFonts w:ascii="Arial" w:hAnsi="Arial"/>
          <w:b w:val="false"/>
          <w:sz w:val="20"/>
        </w:rPr>
      </w:pPr>
      <w:r>
        <w:rPr>
          <w:rFonts w:ascii="Arial" w:hAnsi="Arial"/>
          <w:b w:val="false"/>
          <w:sz w:val="20"/>
        </w:rPr>
        <w:t>(ii)</w:t>
      </w:r>
    </w:p>
    <w:p>
      <w:pPr>
        <w:pStyle w:val="TextBody"/>
        <w:spacing w:lineRule="auto" w:line="316" w:before="0" w:after="240"/>
        <w:jc w:val="left"/>
        <w:rPr>
          <w:rFonts w:ascii="Arial" w:hAnsi="Arial"/>
          <w:b w:val="false"/>
          <w:sz w:val="20"/>
        </w:rPr>
      </w:pPr>
      <w:r>
        <w:rPr>
          <w:rFonts w:ascii="Arial" w:hAnsi="Arial"/>
          <w:b w:val="false"/>
          <w:sz w:val="20"/>
        </w:rPr>
        <w:t>the Indemnitee is indemnified in full against payment of such monetary amount together with all related Expenses, whether or not such Expenses would otherwise be payable hereunder;</w:t>
      </w:r>
    </w:p>
    <w:p>
      <w:pPr>
        <w:pStyle w:val="TextBody"/>
        <w:spacing w:lineRule="auto" w:line="316" w:before="0" w:after="240"/>
        <w:jc w:val="left"/>
        <w:rPr>
          <w:rFonts w:ascii="Arial" w:hAnsi="Arial"/>
          <w:b w:val="false"/>
          <w:sz w:val="20"/>
        </w:rPr>
      </w:pPr>
      <w:r>
        <w:rPr>
          <w:rFonts w:ascii="Arial" w:hAnsi="Arial"/>
          <w:b w:val="false"/>
          <w:sz w:val="20"/>
        </w:rPr>
        <w:t>(iii)</w:t>
      </w:r>
    </w:p>
    <w:p>
      <w:pPr>
        <w:pStyle w:val="TextBody"/>
        <w:spacing w:lineRule="auto" w:line="316" w:before="0" w:after="240"/>
        <w:jc w:val="left"/>
        <w:rPr>
          <w:rFonts w:ascii="Arial" w:hAnsi="Arial"/>
          <w:b w:val="false"/>
          <w:sz w:val="20"/>
        </w:rPr>
      </w:pPr>
      <w:r>
        <w:rPr>
          <w:rFonts w:ascii="Arial" w:hAnsi="Arial"/>
          <w:b w:val="false"/>
          <w:sz w:val="20"/>
        </w:rPr>
        <w:t>the settlement is expressly stated to be made by the Company on behalf of the Indemnitee, without any admission of liability by the Indemnitee; and</w:t>
      </w:r>
    </w:p>
    <w:p>
      <w:pPr>
        <w:pStyle w:val="TextBody"/>
        <w:spacing w:lineRule="auto" w:line="316" w:before="0" w:after="240"/>
        <w:jc w:val="left"/>
        <w:rPr>
          <w:rFonts w:ascii="Arial" w:hAnsi="Arial"/>
          <w:b w:val="false"/>
          <w:sz w:val="20"/>
        </w:rPr>
      </w:pPr>
      <w:r>
        <w:rPr>
          <w:rFonts w:ascii="Arial" w:hAnsi="Arial"/>
          <w:b w:val="false"/>
          <w:sz w:val="20"/>
        </w:rPr>
        <w:t>(iv)</w:t>
      </w:r>
    </w:p>
    <w:p>
      <w:pPr>
        <w:pStyle w:val="TextBody"/>
        <w:spacing w:lineRule="auto" w:line="316" w:before="0" w:after="240"/>
        <w:jc w:val="left"/>
        <w:rPr>
          <w:rFonts w:ascii="Arial" w:hAnsi="Arial"/>
          <w:b w:val="false"/>
          <w:sz w:val="20"/>
        </w:rPr>
      </w:pPr>
      <w:r>
        <w:rPr>
          <w:rFonts w:ascii="Arial" w:hAnsi="Arial"/>
          <w:b w:val="false"/>
          <w:sz w:val="20"/>
        </w:rPr>
        <w:t>the Indemnitee receives a full and complete release in respect of the Proceeding.</w:t>
      </w:r>
    </w:p>
    <w:p>
      <w:pPr>
        <w:pStyle w:val="TextBody"/>
        <w:spacing w:lineRule="auto" w:line="316" w:before="0" w:after="240"/>
        <w:jc w:val="left"/>
        <w:rPr>
          <w:rFonts w:ascii="Arial" w:hAnsi="Arial"/>
          <w:b w:val="false"/>
          <w:sz w:val="20"/>
        </w:rPr>
      </w:pPr>
      <w:r>
        <w:rPr>
          <w:rFonts w:ascii="Arial" w:hAnsi="Arial"/>
          <w:b w:val="false"/>
          <w:sz w:val="20"/>
        </w:rPr>
        <w:t>(2)</w:t>
      </w:r>
    </w:p>
    <w:p>
      <w:pPr>
        <w:pStyle w:val="TextBody"/>
        <w:spacing w:lineRule="auto" w:line="316" w:before="0" w:after="240"/>
        <w:jc w:val="left"/>
        <w:rPr/>
      </w:pPr>
      <w:r>
        <w:rPr>
          <w:rFonts w:ascii="Arial" w:hAnsi="Arial"/>
          <w:b w:val="false"/>
          <w:i/>
          <w:sz w:val="20"/>
          <w:u w:val="single"/>
        </w:rPr>
        <w:t>Indemnitee Co-operation.</w:t>
      </w:r>
      <w:r>
        <w:rPr/>
        <w:t xml:space="preserve"> </w:t>
      </w:r>
      <w:r>
        <w:rPr>
          <w:rFonts w:ascii="Arial" w:hAnsi="Arial"/>
          <w:b w:val="false"/>
          <w:sz w:val="20"/>
        </w:rPr>
        <w:t>Provided that all of the conditions referred to in Section 7(1) are met, the Indemnitee shall execute all documents and do such other things as are reasonably requested by the Company to give effect to a settlement referred to in Section 7(1).</w:t>
      </w:r>
    </w:p>
    <w:p>
      <w:pPr>
        <w:pStyle w:val="TextBody"/>
        <w:spacing w:lineRule="auto" w:line="321" w:before="0" w:after="240"/>
        <w:jc w:val="left"/>
        <w:rPr>
          <w:rFonts w:ascii="Arial" w:hAnsi="Arial"/>
          <w:b/>
          <w:sz w:val="20"/>
        </w:rPr>
      </w:pPr>
      <w:r>
        <w:rPr>
          <w:rFonts w:ascii="Arial" w:hAnsi="Arial"/>
          <w:b/>
          <w:sz w:val="20"/>
        </w:rPr>
        <w:t>Section 8.</w:t>
      </w:r>
    </w:p>
    <w:p>
      <w:pPr>
        <w:pStyle w:val="TextBody"/>
        <w:spacing w:lineRule="auto" w:line="321" w:before="0" w:after="240"/>
        <w:jc w:val="left"/>
        <w:rPr>
          <w:rFonts w:ascii="Arial" w:hAnsi="Arial"/>
          <w:b/>
          <w:sz w:val="20"/>
        </w:rPr>
      </w:pPr>
      <w:r>
        <w:rPr>
          <w:rFonts w:ascii="Arial" w:hAnsi="Arial"/>
          <w:b/>
          <w:sz w:val="20"/>
        </w:rPr>
        <w:t>Insurance and Subrogation</w:t>
      </w:r>
    </w:p>
    <w:p>
      <w:pPr>
        <w:pStyle w:val="TextBody"/>
        <w:spacing w:lineRule="auto" w:line="316" w:before="0" w:after="240"/>
        <w:jc w:val="left"/>
        <w:rPr>
          <w:rFonts w:ascii="Arial" w:hAnsi="Arial"/>
          <w:b w:val="false"/>
          <w:sz w:val="20"/>
        </w:rPr>
      </w:pPr>
      <w:r>
        <w:rPr>
          <w:rFonts w:ascii="Arial" w:hAnsi="Arial"/>
          <w:b w:val="false"/>
          <w:sz w:val="20"/>
        </w:rPr>
        <w:t>In all policies of the Subject Entities’ liability insurance, the Indemnitee shall be named as an insured in such a manner as to provide the Indemnitee the same rights and benefits as are accorded to the most favorably insured of the Company’s Indemnitees. In the event of any payment by the Company under this Agreement, the Company shall be subrogated to the extent of such payment to all of the rights of recovery of the Indemnitee with respect to any insurance policy, who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the Indemnitee in connection with such subrogation.</w:t>
      </w:r>
    </w:p>
    <w:p>
      <w:pPr>
        <w:pStyle w:val="TextBody"/>
        <w:spacing w:lineRule="auto" w:line="316" w:before="0" w:after="0"/>
        <w:jc w:val="center"/>
        <w:rPr>
          <w:rFonts w:ascii="Arial" w:hAnsi="Arial"/>
          <w:b w:val="false"/>
          <w:sz w:val="20"/>
        </w:rPr>
      </w:pPr>
      <w:r>
        <w:rPr>
          <w:rFonts w:ascii="Arial" w:hAnsi="Arial"/>
          <w:b w:val="false"/>
          <w:sz w:val="20"/>
        </w:rPr>
        <w:t>6</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21" w:before="0" w:after="240"/>
        <w:jc w:val="left"/>
        <w:rPr>
          <w:rFonts w:ascii="Arial" w:hAnsi="Arial"/>
          <w:b/>
          <w:sz w:val="20"/>
        </w:rPr>
      </w:pPr>
      <w:r>
        <w:rPr>
          <w:rFonts w:ascii="Arial" w:hAnsi="Arial"/>
          <w:b/>
          <w:sz w:val="20"/>
        </w:rPr>
        <w:t>Section 9.</w:t>
      </w:r>
    </w:p>
    <w:p>
      <w:pPr>
        <w:pStyle w:val="TextBody"/>
        <w:spacing w:lineRule="auto" w:line="321" w:before="0" w:after="240"/>
        <w:jc w:val="left"/>
        <w:rPr>
          <w:rFonts w:ascii="Arial" w:hAnsi="Arial"/>
          <w:b/>
          <w:sz w:val="20"/>
        </w:rPr>
      </w:pPr>
      <w:r>
        <w:rPr>
          <w:rFonts w:ascii="Arial" w:hAnsi="Arial"/>
          <w:b/>
          <w:sz w:val="20"/>
        </w:rPr>
        <w:t>Severability</w:t>
      </w:r>
    </w:p>
    <w:p>
      <w:pPr>
        <w:pStyle w:val="TextBody"/>
        <w:spacing w:lineRule="auto" w:line="316" w:before="0" w:after="240"/>
        <w:jc w:val="left"/>
        <w:rPr>
          <w:rFonts w:ascii="Arial" w:hAnsi="Arial"/>
          <w:b w:val="false"/>
          <w:sz w:val="20"/>
        </w:rPr>
      </w:pPr>
      <w:r>
        <w:rPr>
          <w:rFonts w:ascii="Arial" w:hAnsi="Arial"/>
          <w:b w:val="false"/>
          <w:sz w:val="20"/>
        </w:rPr>
        <w:t>If any section, paragraph, clause or other provision of this Agreement is determined by a court of competent jurisdiction to be invalid, illegal or unenforceable, in whole or in part, such determination shall not affect or impair and shall not be deemed to affect or impair the validity, legality or enforceability of any other section, paragraph, clause or other provision hereof and each such section, paragraph, clause or other provision shall be interpreted in such a manner as shall render them valid, legal and enforceable to the greatest extent permitted by applicable law.</w:t>
      </w:r>
    </w:p>
    <w:p>
      <w:pPr>
        <w:pStyle w:val="TextBody"/>
        <w:spacing w:lineRule="auto" w:line="321" w:before="0" w:after="240"/>
        <w:jc w:val="left"/>
        <w:rPr>
          <w:rFonts w:ascii="Arial" w:hAnsi="Arial"/>
          <w:b/>
          <w:sz w:val="20"/>
        </w:rPr>
      </w:pPr>
      <w:r>
        <w:rPr>
          <w:rFonts w:ascii="Arial" w:hAnsi="Arial"/>
          <w:b/>
          <w:sz w:val="20"/>
        </w:rPr>
        <w:t>Section 10.</w:t>
      </w:r>
    </w:p>
    <w:p>
      <w:pPr>
        <w:pStyle w:val="TextBody"/>
        <w:spacing w:lineRule="auto" w:line="321" w:before="0" w:after="240"/>
        <w:jc w:val="left"/>
        <w:rPr>
          <w:rFonts w:ascii="Arial" w:hAnsi="Arial"/>
          <w:b/>
          <w:sz w:val="20"/>
        </w:rPr>
      </w:pPr>
      <w:r>
        <w:rPr>
          <w:rFonts w:ascii="Arial" w:hAnsi="Arial"/>
          <w:b/>
          <w:sz w:val="20"/>
        </w:rPr>
        <w:t>Exceptions</w:t>
      </w:r>
    </w:p>
    <w:p>
      <w:pPr>
        <w:pStyle w:val="TextBody"/>
        <w:spacing w:lineRule="auto" w:line="316" w:before="0" w:after="240"/>
        <w:jc w:val="left"/>
        <w:rPr>
          <w:rFonts w:ascii="Arial" w:hAnsi="Arial"/>
          <w:b w:val="false"/>
          <w:sz w:val="20"/>
        </w:rPr>
      </w:pPr>
      <w:r>
        <w:rPr>
          <w:rFonts w:ascii="Arial" w:hAnsi="Arial"/>
          <w:b w:val="false"/>
          <w:sz w:val="20"/>
        </w:rPr>
        <w:t>Notwithstanding any other provision herein to the contrary, pursuant to the terms of this Agreement the Company shall not be obligated:</w:t>
      </w:r>
    </w:p>
    <w:p>
      <w:pPr>
        <w:pStyle w:val="TextBody"/>
        <w:spacing w:lineRule="auto" w:line="316" w:before="0" w:after="240"/>
        <w:jc w:val="left"/>
        <w:rPr>
          <w:rFonts w:ascii="Arial" w:hAnsi="Arial"/>
          <w:b w:val="false"/>
          <w:sz w:val="20"/>
        </w:rPr>
      </w:pPr>
      <w:r>
        <w:rPr>
          <w:rFonts w:ascii="Arial" w:hAnsi="Arial"/>
          <w:b w:val="false"/>
          <w:sz w:val="20"/>
        </w:rPr>
        <w:t>(i)</w:t>
      </w:r>
    </w:p>
    <w:p>
      <w:pPr>
        <w:pStyle w:val="TextBody"/>
        <w:spacing w:lineRule="auto" w:line="316" w:before="0" w:after="240"/>
        <w:jc w:val="left"/>
        <w:rPr/>
      </w:pPr>
      <w:r>
        <w:rPr>
          <w:rFonts w:ascii="Arial" w:hAnsi="Arial"/>
          <w:b w:val="false"/>
          <w:i/>
          <w:sz w:val="20"/>
          <w:u w:val="single"/>
        </w:rPr>
        <w:t>Excluded Acts.</w:t>
      </w:r>
      <w:r>
        <w:rPr/>
        <w:t xml:space="preserve"> </w:t>
      </w:r>
      <w:r>
        <w:rPr>
          <w:rFonts w:ascii="Arial" w:hAnsi="Arial"/>
          <w:b w:val="false"/>
          <w:sz w:val="20"/>
        </w:rPr>
        <w:t>to indemnify the Indemnitee for any acts or omissions or transactions from which a Indemnitee may not be relieved of liability as set forth in the Act; or</w:t>
      </w:r>
    </w:p>
    <w:p>
      <w:pPr>
        <w:pStyle w:val="TextBody"/>
        <w:spacing w:lineRule="auto" w:line="316" w:before="0" w:after="240"/>
        <w:jc w:val="left"/>
        <w:rPr>
          <w:rFonts w:ascii="Arial" w:hAnsi="Arial"/>
          <w:b w:val="false"/>
          <w:sz w:val="20"/>
        </w:rPr>
      </w:pPr>
      <w:r>
        <w:rPr>
          <w:rFonts w:ascii="Arial" w:hAnsi="Arial"/>
          <w:b w:val="false"/>
          <w:sz w:val="20"/>
        </w:rPr>
        <w:t>(ii)</w:t>
      </w:r>
    </w:p>
    <w:p>
      <w:pPr>
        <w:pStyle w:val="TextBody"/>
        <w:spacing w:lineRule="auto" w:line="316" w:before="0" w:after="240"/>
        <w:jc w:val="left"/>
        <w:rPr/>
      </w:pPr>
      <w:r>
        <w:rPr>
          <w:rFonts w:ascii="Arial" w:hAnsi="Arial"/>
          <w:b w:val="false"/>
          <w:i/>
          <w:sz w:val="20"/>
          <w:u w:val="single"/>
        </w:rPr>
        <w:t>Claims Initiated by the Indemnitee.</w:t>
      </w:r>
      <w:r>
        <w:rPr/>
        <w:t xml:space="preserve"> </w:t>
      </w:r>
      <w:r>
        <w:rPr>
          <w:rFonts w:ascii="Arial" w:hAnsi="Arial"/>
          <w:b w:val="false"/>
          <w:sz w:val="20"/>
        </w:rPr>
        <w:t>to indemnify or advance Expenses to the Indemnitee with respect to proceedings or claims initiated or brought voluntarily by the Indemnitee and not by way of defense, except with respect to proceedings brought to establish or enforce a right to indemnification under this Agreement, the Company’s articles, any other agreement by which the Company is bound, the Act or any other statute or law, or except if such proceedings or claims were authorized or consented to by the Board; or</w:t>
      </w:r>
    </w:p>
    <w:p>
      <w:pPr>
        <w:pStyle w:val="TextBody"/>
        <w:spacing w:lineRule="auto" w:line="316" w:before="0" w:after="240"/>
        <w:jc w:val="left"/>
        <w:rPr>
          <w:rFonts w:ascii="Arial" w:hAnsi="Arial"/>
          <w:b w:val="false"/>
          <w:sz w:val="20"/>
        </w:rPr>
      </w:pPr>
      <w:r>
        <w:rPr>
          <w:rFonts w:ascii="Arial" w:hAnsi="Arial"/>
          <w:b w:val="false"/>
          <w:sz w:val="20"/>
        </w:rPr>
        <w:t>(iii)</w:t>
      </w:r>
    </w:p>
    <w:p>
      <w:pPr>
        <w:pStyle w:val="TextBody"/>
        <w:spacing w:lineRule="auto" w:line="316" w:before="0" w:after="240"/>
        <w:jc w:val="left"/>
        <w:rPr/>
      </w:pPr>
      <w:r>
        <w:rPr>
          <w:rFonts w:ascii="Arial" w:hAnsi="Arial"/>
          <w:b w:val="false"/>
          <w:i/>
          <w:sz w:val="20"/>
          <w:u w:val="single"/>
        </w:rPr>
        <w:t>Lack of Good Faith.</w:t>
      </w:r>
      <w:r>
        <w:rPr/>
        <w:t xml:space="preserve"> </w:t>
      </w:r>
      <w:r>
        <w:rPr>
          <w:rFonts w:ascii="Arial" w:hAnsi="Arial"/>
          <w:b w:val="false"/>
          <w:sz w:val="20"/>
        </w:rPr>
        <w:t>to indemnify the Indemnitee for any Expenses incurred by the Indemnitee with respect to any Proceeding instituted to enforce or interpret this Agreement, if a court of competent jurisdiction determines that any of the material assertions made by the Indemnitee in such proceedings were not made in good faith or were frivolous; or</w:t>
      </w:r>
    </w:p>
    <w:p>
      <w:pPr>
        <w:pStyle w:val="TextBody"/>
        <w:spacing w:lineRule="auto" w:line="316" w:before="0" w:after="240"/>
        <w:jc w:val="left"/>
        <w:rPr>
          <w:rFonts w:ascii="Arial" w:hAnsi="Arial"/>
          <w:b w:val="false"/>
          <w:sz w:val="20"/>
        </w:rPr>
      </w:pPr>
      <w:r>
        <w:rPr>
          <w:rFonts w:ascii="Arial" w:hAnsi="Arial"/>
          <w:b w:val="false"/>
          <w:sz w:val="20"/>
        </w:rPr>
        <w:t>(iv)</w:t>
      </w:r>
    </w:p>
    <w:p>
      <w:pPr>
        <w:pStyle w:val="TextBody"/>
        <w:spacing w:lineRule="auto" w:line="316" w:before="0" w:after="240"/>
        <w:jc w:val="left"/>
        <w:rPr/>
      </w:pPr>
      <w:r>
        <w:rPr>
          <w:rFonts w:ascii="Arial" w:hAnsi="Arial"/>
          <w:b w:val="false"/>
          <w:i/>
          <w:sz w:val="20"/>
          <w:u w:val="single"/>
        </w:rPr>
        <w:t>Insured Claims.</w:t>
      </w:r>
      <w:r>
        <w:rPr/>
        <w:t xml:space="preserve"> </w:t>
      </w:r>
      <w:r>
        <w:rPr>
          <w:rFonts w:ascii="Arial" w:hAnsi="Arial"/>
          <w:b w:val="false"/>
          <w:sz w:val="20"/>
        </w:rPr>
        <w:t>to indemnify the Indemnitee for expenses or liabilities of any type whatsoever which have been paid directly to the Indemnitee by an insurance carrier under a policy of Agents’ liability insurance maintained by the Company; or</w:t>
      </w:r>
    </w:p>
    <w:p>
      <w:pPr>
        <w:pStyle w:val="TextBody"/>
        <w:spacing w:lineRule="auto" w:line="316" w:before="0" w:after="240"/>
        <w:jc w:val="left"/>
        <w:rPr>
          <w:rFonts w:ascii="Arial" w:hAnsi="Arial"/>
          <w:b w:val="false"/>
          <w:sz w:val="20"/>
        </w:rPr>
      </w:pPr>
      <w:r>
        <w:rPr>
          <w:rFonts w:ascii="Arial" w:hAnsi="Arial"/>
          <w:b w:val="false"/>
          <w:sz w:val="20"/>
        </w:rPr>
        <w:t>(v)</w:t>
      </w:r>
    </w:p>
    <w:p>
      <w:pPr>
        <w:pStyle w:val="TextBody"/>
        <w:spacing w:lineRule="auto" w:line="316" w:before="0" w:after="240"/>
        <w:jc w:val="left"/>
        <w:rPr/>
      </w:pPr>
      <w:r>
        <w:rPr>
          <w:rFonts w:ascii="Arial" w:hAnsi="Arial"/>
          <w:b w:val="false"/>
          <w:i/>
          <w:sz w:val="20"/>
          <w:u w:val="single"/>
        </w:rPr>
        <w:t>Insider Trading/Tipping Violation(s).</w:t>
      </w:r>
      <w:r>
        <w:rPr/>
        <w:t xml:space="preserve"> </w:t>
      </w:r>
      <w:r>
        <w:rPr>
          <w:rFonts w:ascii="Arial" w:hAnsi="Arial"/>
          <w:b w:val="false"/>
          <w:sz w:val="20"/>
        </w:rPr>
        <w:t>to indemnify the Indemnitee on account of any proceeding with respect to which final judgment is rendered against the Indemnitee for, including, but not limited to, payment or an accounting of profits arising from the purchase or sale by the Indemnitee of securities in violation of any laws regulating insider trading or tipping; or</w:t>
      </w:r>
    </w:p>
    <w:p>
      <w:pPr>
        <w:pStyle w:val="TextBody"/>
        <w:spacing w:lineRule="auto" w:line="316" w:before="0" w:after="240"/>
        <w:jc w:val="left"/>
        <w:rPr>
          <w:rFonts w:ascii="Arial" w:hAnsi="Arial"/>
          <w:b w:val="false"/>
          <w:sz w:val="20"/>
        </w:rPr>
      </w:pPr>
      <w:r>
        <w:rPr>
          <w:rFonts w:ascii="Arial" w:hAnsi="Arial"/>
          <w:b w:val="false"/>
          <w:sz w:val="20"/>
        </w:rPr>
        <w:t>(vi)</w:t>
      </w:r>
    </w:p>
    <w:p>
      <w:pPr>
        <w:pStyle w:val="TextBody"/>
        <w:spacing w:lineRule="auto" w:line="316" w:before="0" w:after="240"/>
        <w:jc w:val="left"/>
        <w:rPr/>
      </w:pPr>
      <w:r>
        <w:rPr>
          <w:rFonts w:ascii="Arial" w:hAnsi="Arial"/>
          <w:b w:val="false"/>
          <w:i/>
          <w:sz w:val="20"/>
          <w:u w:val="single"/>
        </w:rPr>
        <w:t>Non-compete and Non-disclosure.</w:t>
      </w:r>
      <w:r>
        <w:rPr/>
        <w:t xml:space="preserve"> </w:t>
      </w:r>
      <w:r>
        <w:rPr>
          <w:rFonts w:ascii="Arial" w:hAnsi="Arial"/>
          <w:b w:val="false"/>
          <w:sz w:val="20"/>
        </w:rPr>
        <w:t xml:space="preserve">to indemnify the Indemnitee in connection with proceedings or claims involving the enforcement of non-compete and/or non-disclosure agreements or the non-compete and/or non-disclosure provisions of employment, consulting or similar agreements the Indemnitee may be a party to with the Company, or any subsidiary of the Company or any other applicable foreign or domestic corporation, partnership, joint venture, trust or other enterprise, if any; or </w:t>
      </w:r>
    </w:p>
    <w:p>
      <w:pPr>
        <w:pStyle w:val="TextBody"/>
        <w:spacing w:lineRule="auto" w:line="316" w:before="0" w:after="240"/>
        <w:jc w:val="left"/>
        <w:rPr>
          <w:rFonts w:ascii="Arial" w:hAnsi="Arial"/>
          <w:b w:val="false"/>
          <w:sz w:val="20"/>
        </w:rPr>
      </w:pPr>
      <w:r>
        <w:rPr>
          <w:rFonts w:ascii="Arial" w:hAnsi="Arial"/>
          <w:b w:val="false"/>
          <w:sz w:val="20"/>
        </w:rPr>
        <w:t>(vii)</w:t>
      </w:r>
    </w:p>
    <w:p>
      <w:pPr>
        <w:pStyle w:val="TextBody"/>
        <w:spacing w:lineRule="auto" w:line="316" w:before="0" w:after="240"/>
        <w:jc w:val="left"/>
        <w:rPr/>
      </w:pPr>
      <w:r>
        <w:rPr>
          <w:rFonts w:ascii="Arial" w:hAnsi="Arial"/>
          <w:b w:val="false"/>
          <w:i/>
          <w:sz w:val="20"/>
          <w:u w:val="single"/>
        </w:rPr>
        <w:t>Certain Settlement Provisions.</w:t>
      </w:r>
      <w:r>
        <w:rPr/>
        <w:t xml:space="preserve"> </w:t>
      </w:r>
      <w:r>
        <w:rPr>
          <w:rFonts w:ascii="Arial" w:hAnsi="Arial"/>
          <w:b w:val="false"/>
          <w:sz w:val="20"/>
        </w:rPr>
        <w:t>to indemnify the Indemnitee under this Agreement for amounts paid in settlement of any Proceeding without the Company’s prior written consent, which shall not be unreasonably withheld; or</w:t>
      </w:r>
    </w:p>
    <w:p>
      <w:pPr>
        <w:pStyle w:val="TextBody"/>
        <w:spacing w:lineRule="auto" w:line="316" w:before="0" w:after="0"/>
        <w:jc w:val="center"/>
        <w:rPr>
          <w:rFonts w:ascii="Arial" w:hAnsi="Arial"/>
          <w:b w:val="false"/>
          <w:sz w:val="20"/>
        </w:rPr>
      </w:pPr>
      <w:r>
        <w:rPr>
          <w:rFonts w:ascii="Arial" w:hAnsi="Arial"/>
          <w:b w:val="false"/>
          <w:sz w:val="20"/>
        </w:rPr>
        <w:t>7</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rFonts w:ascii="Arial" w:hAnsi="Arial"/>
          <w:b w:val="false"/>
          <w:sz w:val="20"/>
        </w:rPr>
      </w:pPr>
      <w:r>
        <w:rPr>
          <w:rFonts w:ascii="Arial" w:hAnsi="Arial"/>
          <w:b w:val="false"/>
          <w:sz w:val="20"/>
        </w:rPr>
        <w:t>(viii)</w:t>
      </w:r>
    </w:p>
    <w:p>
      <w:pPr>
        <w:pStyle w:val="TextBody"/>
        <w:spacing w:lineRule="auto" w:line="316" w:before="0" w:after="240"/>
        <w:jc w:val="left"/>
        <w:rPr/>
      </w:pPr>
      <w:r>
        <w:rPr>
          <w:rFonts w:ascii="Arial" w:hAnsi="Arial"/>
          <w:b w:val="false"/>
          <w:i/>
          <w:sz w:val="20"/>
          <w:u w:val="single"/>
        </w:rPr>
        <w:t>Other Indemnification.</w:t>
      </w:r>
      <w:r>
        <w:rPr/>
        <w:t xml:space="preserve"> </w:t>
      </w:r>
      <w:r>
        <w:rPr>
          <w:rFonts w:ascii="Arial" w:hAnsi="Arial"/>
          <w:b w:val="false"/>
          <w:sz w:val="20"/>
        </w:rPr>
        <w:t xml:space="preserve">to indemnify the Indemnitee for Expenses for which the Indemnitee is indemnified by the Company otherwise than pursuant to this Agreement. </w:t>
      </w:r>
    </w:p>
    <w:p>
      <w:pPr>
        <w:pStyle w:val="TextBody"/>
        <w:spacing w:lineRule="auto" w:line="321" w:before="0" w:after="240"/>
        <w:jc w:val="left"/>
        <w:rPr>
          <w:rFonts w:ascii="Arial" w:hAnsi="Arial"/>
          <w:b/>
          <w:sz w:val="20"/>
        </w:rPr>
      </w:pPr>
      <w:r>
        <w:rPr>
          <w:rFonts w:ascii="Arial" w:hAnsi="Arial"/>
          <w:b/>
          <w:sz w:val="20"/>
        </w:rPr>
        <w:t>Section 11.</w:t>
      </w:r>
    </w:p>
    <w:p>
      <w:pPr>
        <w:pStyle w:val="TextBody"/>
        <w:spacing w:lineRule="auto" w:line="321" w:before="0" w:after="240"/>
        <w:jc w:val="left"/>
        <w:rPr>
          <w:rFonts w:ascii="Arial" w:hAnsi="Arial"/>
          <w:b/>
          <w:sz w:val="20"/>
        </w:rPr>
      </w:pPr>
      <w:r>
        <w:rPr>
          <w:rFonts w:ascii="Arial" w:hAnsi="Arial"/>
          <w:b/>
          <w:sz w:val="20"/>
        </w:rPr>
        <w:t>Rights of Indemnitee to Apply to Court</w:t>
      </w:r>
    </w:p>
    <w:p>
      <w:pPr>
        <w:pStyle w:val="TextBody"/>
        <w:spacing w:lineRule="auto" w:line="316" w:before="0" w:after="240"/>
        <w:jc w:val="left"/>
        <w:rPr>
          <w:rFonts w:ascii="Arial" w:hAnsi="Arial"/>
          <w:b w:val="false"/>
          <w:sz w:val="20"/>
        </w:rPr>
      </w:pPr>
      <w:r>
        <w:rPr>
          <w:rFonts w:ascii="Arial" w:hAnsi="Arial"/>
          <w:b w:val="false"/>
          <w:sz w:val="20"/>
        </w:rPr>
        <w:t>The Company and the Indemnitee hereby acknowledge that pursuant to the provisions of section 164 of the Act, this Agreement shall not prejudice or restrict the rights of the Indemnitee to make application to the court for an order:</w:t>
      </w:r>
    </w:p>
    <w:p>
      <w:pPr>
        <w:pStyle w:val="TextBody"/>
        <w:spacing w:lineRule="auto" w:line="316" w:before="0" w:after="240"/>
        <w:jc w:val="left"/>
        <w:rPr>
          <w:rFonts w:ascii="Arial" w:hAnsi="Arial"/>
          <w:b w:val="false"/>
          <w:sz w:val="20"/>
        </w:rPr>
      </w:pPr>
      <w:r>
        <w:rPr>
          <w:rFonts w:ascii="Arial" w:hAnsi="Arial"/>
          <w:b w:val="false"/>
          <w:sz w:val="20"/>
        </w:rPr>
        <w:t>(i)</w:t>
      </w:r>
    </w:p>
    <w:p>
      <w:pPr>
        <w:pStyle w:val="TextBody"/>
        <w:spacing w:lineRule="auto" w:line="316" w:before="0" w:after="240"/>
        <w:jc w:val="left"/>
        <w:rPr>
          <w:rFonts w:ascii="Arial" w:hAnsi="Arial"/>
          <w:b w:val="false"/>
          <w:sz w:val="20"/>
        </w:rPr>
      </w:pPr>
      <w:r>
        <w:rPr>
          <w:rFonts w:ascii="Arial" w:hAnsi="Arial"/>
          <w:b w:val="false"/>
          <w:sz w:val="20"/>
        </w:rPr>
        <w:t>that the Company indemnify the Indemnitee against any liability incurred by the Indemnitee in respect of a Proceeding;</w:t>
      </w:r>
    </w:p>
    <w:p>
      <w:pPr>
        <w:pStyle w:val="TextBody"/>
        <w:spacing w:lineRule="auto" w:line="316" w:before="0" w:after="240"/>
        <w:jc w:val="left"/>
        <w:rPr>
          <w:rFonts w:ascii="Arial" w:hAnsi="Arial"/>
          <w:b w:val="false"/>
          <w:sz w:val="20"/>
        </w:rPr>
      </w:pPr>
      <w:r>
        <w:rPr>
          <w:rFonts w:ascii="Arial" w:hAnsi="Arial"/>
          <w:b w:val="false"/>
          <w:sz w:val="20"/>
        </w:rPr>
        <w:t>(ii)</w:t>
      </w:r>
    </w:p>
    <w:p>
      <w:pPr>
        <w:pStyle w:val="TextBody"/>
        <w:spacing w:lineRule="auto" w:line="316" w:before="0" w:after="240"/>
        <w:jc w:val="left"/>
        <w:rPr>
          <w:rFonts w:ascii="Arial" w:hAnsi="Arial"/>
          <w:b w:val="false"/>
          <w:sz w:val="20"/>
        </w:rPr>
      </w:pPr>
      <w:r>
        <w:rPr>
          <w:rFonts w:ascii="Arial" w:hAnsi="Arial"/>
          <w:b w:val="false"/>
          <w:sz w:val="20"/>
        </w:rPr>
        <w:t>that the Company pay some or all of the expenses incurred by the Indemnitee in respect of a Proceeding;</w:t>
      </w:r>
    </w:p>
    <w:p>
      <w:pPr>
        <w:pStyle w:val="TextBody"/>
        <w:spacing w:lineRule="auto" w:line="316" w:before="0" w:after="240"/>
        <w:jc w:val="left"/>
        <w:rPr>
          <w:rFonts w:ascii="Arial" w:hAnsi="Arial"/>
          <w:b w:val="false"/>
          <w:sz w:val="20"/>
        </w:rPr>
      </w:pPr>
      <w:r>
        <w:rPr>
          <w:rFonts w:ascii="Arial" w:hAnsi="Arial"/>
          <w:b w:val="false"/>
          <w:sz w:val="20"/>
        </w:rPr>
        <w:t>(iii)</w:t>
      </w:r>
    </w:p>
    <w:p>
      <w:pPr>
        <w:pStyle w:val="TextBody"/>
        <w:spacing w:lineRule="auto" w:line="316" w:before="0" w:after="240"/>
        <w:jc w:val="left"/>
        <w:rPr>
          <w:rFonts w:ascii="Arial" w:hAnsi="Arial"/>
          <w:b w:val="false"/>
          <w:sz w:val="20"/>
        </w:rPr>
      </w:pPr>
      <w:r>
        <w:rPr>
          <w:rFonts w:ascii="Arial" w:hAnsi="Arial"/>
          <w:b w:val="false"/>
          <w:sz w:val="20"/>
        </w:rPr>
        <w:t>enforcing this Agreement or a payment under this Agreement; or</w:t>
      </w:r>
    </w:p>
    <w:p>
      <w:pPr>
        <w:pStyle w:val="TextBody"/>
        <w:spacing w:lineRule="auto" w:line="316" w:before="0" w:after="240"/>
        <w:jc w:val="left"/>
        <w:rPr>
          <w:rFonts w:ascii="Arial" w:hAnsi="Arial"/>
          <w:b w:val="false"/>
          <w:sz w:val="20"/>
        </w:rPr>
      </w:pPr>
      <w:r>
        <w:rPr>
          <w:rFonts w:ascii="Arial" w:hAnsi="Arial"/>
          <w:b w:val="false"/>
          <w:sz w:val="20"/>
        </w:rPr>
        <w:t>(iv)</w:t>
      </w:r>
    </w:p>
    <w:p>
      <w:pPr>
        <w:pStyle w:val="TextBody"/>
        <w:spacing w:lineRule="auto" w:line="316" w:before="0" w:after="240"/>
        <w:jc w:val="left"/>
        <w:rPr>
          <w:rFonts w:ascii="Arial" w:hAnsi="Arial"/>
          <w:b w:val="false"/>
          <w:sz w:val="20"/>
        </w:rPr>
      </w:pPr>
      <w:r>
        <w:rPr>
          <w:rFonts w:ascii="Arial" w:hAnsi="Arial"/>
          <w:b w:val="false"/>
          <w:sz w:val="20"/>
        </w:rPr>
        <w:t>pursuant to Section 15, that the Company pay some or all of the Expenses actually and reasonably incurred by the Indemnitee in obtaining an order contemplated hereby and under section 164 of the Act.</w:t>
      </w:r>
    </w:p>
    <w:p>
      <w:pPr>
        <w:pStyle w:val="TextBody"/>
        <w:spacing w:lineRule="auto" w:line="321" w:before="0" w:after="240"/>
        <w:jc w:val="left"/>
        <w:rPr>
          <w:rFonts w:ascii="Arial" w:hAnsi="Arial"/>
          <w:b/>
          <w:sz w:val="20"/>
        </w:rPr>
      </w:pPr>
      <w:r>
        <w:rPr>
          <w:rFonts w:ascii="Arial" w:hAnsi="Arial"/>
          <w:b/>
          <w:sz w:val="20"/>
        </w:rPr>
        <w:t>Section 12.</w:t>
      </w:r>
    </w:p>
    <w:p>
      <w:pPr>
        <w:pStyle w:val="TextBody"/>
        <w:spacing w:lineRule="auto" w:line="321" w:before="0" w:after="240"/>
        <w:jc w:val="left"/>
        <w:rPr>
          <w:rFonts w:ascii="Arial" w:hAnsi="Arial"/>
          <w:b/>
          <w:sz w:val="20"/>
        </w:rPr>
      </w:pPr>
      <w:r>
        <w:rPr>
          <w:rFonts w:ascii="Arial" w:hAnsi="Arial"/>
          <w:b/>
          <w:sz w:val="20"/>
        </w:rPr>
        <w:t>Effectiveness of Agreement; Continuation of Indemnity</w:t>
      </w:r>
    </w:p>
    <w:p>
      <w:pPr>
        <w:pStyle w:val="TextBody"/>
        <w:spacing w:lineRule="auto" w:line="316" w:before="0" w:after="240"/>
        <w:jc w:val="left"/>
        <w:rPr>
          <w:rFonts w:ascii="Arial" w:hAnsi="Arial"/>
          <w:b w:val="false"/>
          <w:sz w:val="20"/>
        </w:rPr>
      </w:pPr>
      <w:r>
        <w:rPr>
          <w:rFonts w:ascii="Arial" w:hAnsi="Arial"/>
          <w:b w:val="false"/>
          <w:sz w:val="20"/>
        </w:rPr>
        <w:t>(1)</w:t>
      </w:r>
    </w:p>
    <w:p>
      <w:pPr>
        <w:pStyle w:val="TextBody"/>
        <w:spacing w:lineRule="auto" w:line="316" w:before="0" w:after="240"/>
        <w:jc w:val="left"/>
        <w:rPr>
          <w:rFonts w:ascii="Arial" w:hAnsi="Arial"/>
          <w:b w:val="false"/>
          <w:sz w:val="20"/>
        </w:rPr>
      </w:pPr>
      <w:r>
        <w:rPr>
          <w:rFonts w:ascii="Arial" w:hAnsi="Arial"/>
          <w:b w:val="false"/>
          <w:sz w:val="20"/>
        </w:rPr>
        <w:t>Effectiveness. Nothing in this Agreement is intended to require or shall be construed as requiring the Company to do or fail to do any act in violation of applicable law. The Company’s inability, pursuant to applicable law or court order, to perform its obligations under this Agreement shall not constitute a breach of this Agreement.</w:t>
      </w:r>
    </w:p>
    <w:p>
      <w:pPr>
        <w:pStyle w:val="TextBody"/>
        <w:spacing w:lineRule="auto" w:line="316" w:before="0" w:after="240"/>
        <w:jc w:val="left"/>
        <w:rPr>
          <w:rFonts w:ascii="Arial" w:hAnsi="Arial"/>
          <w:b w:val="false"/>
          <w:sz w:val="20"/>
        </w:rPr>
      </w:pPr>
      <w:r>
        <w:rPr>
          <w:rFonts w:ascii="Arial" w:hAnsi="Arial"/>
          <w:b w:val="false"/>
          <w:sz w:val="20"/>
        </w:rPr>
        <w:t>(2)</w:t>
      </w:r>
    </w:p>
    <w:p>
      <w:pPr>
        <w:pStyle w:val="TextBody"/>
        <w:spacing w:lineRule="auto" w:line="316" w:before="0" w:after="240"/>
        <w:jc w:val="left"/>
        <w:rPr>
          <w:rFonts w:ascii="Arial" w:hAnsi="Arial"/>
          <w:b w:val="false"/>
          <w:sz w:val="20"/>
        </w:rPr>
      </w:pPr>
      <w:r>
        <w:rPr>
          <w:rFonts w:ascii="Arial" w:hAnsi="Arial"/>
          <w:b w:val="false"/>
          <w:sz w:val="20"/>
        </w:rPr>
        <w:t>Continuation. The indemnification and advancement of Expenses by the Company to the Indemnitee provided for under this Agreement shall survive and continue after termination of the Indemnitee as an officer, director, employee or other Agent as to any acts or omissions by the Indemnitee while serving in such capacity.</w:t>
      </w:r>
    </w:p>
    <w:p>
      <w:pPr>
        <w:pStyle w:val="TextBody"/>
        <w:spacing w:lineRule="auto" w:line="321" w:before="0" w:after="240"/>
        <w:jc w:val="left"/>
        <w:rPr>
          <w:rFonts w:ascii="Arial" w:hAnsi="Arial"/>
          <w:b/>
          <w:sz w:val="20"/>
        </w:rPr>
      </w:pPr>
      <w:r>
        <w:rPr>
          <w:rFonts w:ascii="Arial" w:hAnsi="Arial"/>
          <w:b/>
          <w:sz w:val="20"/>
        </w:rPr>
        <w:t>Section 13.</w:t>
      </w:r>
    </w:p>
    <w:p>
      <w:pPr>
        <w:pStyle w:val="TextBody"/>
        <w:spacing w:lineRule="auto" w:line="321" w:before="0" w:after="240"/>
        <w:jc w:val="left"/>
        <w:rPr>
          <w:rFonts w:ascii="Arial" w:hAnsi="Arial"/>
          <w:b/>
          <w:sz w:val="20"/>
        </w:rPr>
      </w:pPr>
      <w:r>
        <w:rPr>
          <w:rFonts w:ascii="Arial" w:hAnsi="Arial"/>
          <w:b/>
          <w:sz w:val="20"/>
        </w:rPr>
        <w:t>Counterparts</w:t>
      </w:r>
    </w:p>
    <w:p>
      <w:pPr>
        <w:pStyle w:val="TextBody"/>
        <w:spacing w:lineRule="auto" w:line="316" w:before="0" w:after="240"/>
        <w:jc w:val="left"/>
        <w:rPr>
          <w:rFonts w:ascii="Arial" w:hAnsi="Arial"/>
          <w:b w:val="false"/>
          <w:sz w:val="20"/>
        </w:rPr>
      </w:pPr>
      <w:r>
        <w:rPr>
          <w:rFonts w:ascii="Arial" w:hAnsi="Arial"/>
          <w:b w:val="false"/>
          <w:sz w:val="20"/>
        </w:rPr>
        <w:t>This Agreement may be executed in one or more counterparts, each of which shall constitute an original and all of which together shall constitute one and the same instrument.</w:t>
      </w:r>
    </w:p>
    <w:p>
      <w:pPr>
        <w:pStyle w:val="TextBody"/>
        <w:spacing w:lineRule="auto" w:line="321" w:before="0" w:after="240"/>
        <w:jc w:val="left"/>
        <w:rPr>
          <w:rFonts w:ascii="Arial" w:hAnsi="Arial"/>
          <w:b/>
          <w:sz w:val="20"/>
        </w:rPr>
      </w:pPr>
      <w:r>
        <w:rPr>
          <w:rFonts w:ascii="Arial" w:hAnsi="Arial"/>
          <w:b/>
          <w:sz w:val="20"/>
        </w:rPr>
        <w:t>Section 14.</w:t>
      </w:r>
    </w:p>
    <w:p>
      <w:pPr>
        <w:pStyle w:val="TextBody"/>
        <w:spacing w:lineRule="auto" w:line="321" w:before="0" w:after="240"/>
        <w:jc w:val="left"/>
        <w:rPr>
          <w:rFonts w:ascii="Arial" w:hAnsi="Arial"/>
          <w:b/>
          <w:sz w:val="20"/>
        </w:rPr>
      </w:pPr>
      <w:r>
        <w:rPr>
          <w:rFonts w:ascii="Arial" w:hAnsi="Arial"/>
          <w:b/>
          <w:sz w:val="20"/>
        </w:rPr>
        <w:t>Successors and Assigns</w:t>
      </w:r>
    </w:p>
    <w:p>
      <w:pPr>
        <w:pStyle w:val="TextBody"/>
        <w:spacing w:lineRule="auto" w:line="316" w:before="0" w:after="240"/>
        <w:jc w:val="left"/>
        <w:rPr>
          <w:rFonts w:ascii="Arial" w:hAnsi="Arial"/>
          <w:b w:val="false"/>
          <w:sz w:val="20"/>
        </w:rPr>
      </w:pPr>
      <w:r>
        <w:rPr>
          <w:rFonts w:ascii="Arial" w:hAnsi="Arial"/>
          <w:b w:val="false"/>
          <w:sz w:val="20"/>
        </w:rPr>
        <w:t>This Agreement shall be binding upon the Company and its successors and assigns and shall inure to the benefit of the Indemnitee and the Indemnitee’s estate, heirs, legal representatives and assigns.</w:t>
      </w:r>
    </w:p>
    <w:p>
      <w:pPr>
        <w:pStyle w:val="TextBody"/>
        <w:spacing w:lineRule="auto" w:line="321" w:before="0" w:after="240"/>
        <w:jc w:val="left"/>
        <w:rPr>
          <w:rFonts w:ascii="Arial" w:hAnsi="Arial"/>
          <w:b/>
          <w:sz w:val="20"/>
        </w:rPr>
      </w:pPr>
      <w:r>
        <w:rPr>
          <w:rFonts w:ascii="Arial" w:hAnsi="Arial"/>
          <w:b/>
          <w:sz w:val="20"/>
        </w:rPr>
        <w:t>Section 15.</w:t>
      </w:r>
    </w:p>
    <w:p>
      <w:pPr>
        <w:pStyle w:val="TextBody"/>
        <w:spacing w:lineRule="auto" w:line="321" w:before="0" w:after="240"/>
        <w:jc w:val="left"/>
        <w:rPr>
          <w:rFonts w:ascii="Arial" w:hAnsi="Arial"/>
          <w:b/>
          <w:sz w:val="20"/>
        </w:rPr>
      </w:pPr>
      <w:r>
        <w:rPr>
          <w:rFonts w:ascii="Arial" w:hAnsi="Arial"/>
          <w:b/>
          <w:sz w:val="20"/>
        </w:rPr>
        <w:t>Legal Expenses</w:t>
      </w:r>
    </w:p>
    <w:p>
      <w:pPr>
        <w:pStyle w:val="TextBody"/>
        <w:spacing w:lineRule="auto" w:line="316" w:before="0" w:after="240"/>
        <w:jc w:val="left"/>
        <w:rPr>
          <w:rFonts w:ascii="Times New Roman" w:hAnsi="Times New Roman"/>
          <w:sz w:val="20"/>
        </w:rPr>
      </w:pPr>
      <w:r>
        <w:rPr>
          <w:rFonts w:ascii="Arial" w:hAnsi="Arial"/>
          <w:b w:val="false"/>
          <w:sz w:val="20"/>
        </w:rPr>
        <w:t>If any action is instituted by the Indemnitee under this Agreement to enforce or interpret any of the terms hereof, the Indemnitee shall be entitled to be paid all court costs and expenses, including the reasonable fees of counsel, incurred by the Indemnitee with respect to such action, unless as a part of</w:t>
      </w:r>
      <w:r>
        <w:rPr>
          <w:rFonts w:ascii="Times New Roman" w:hAnsi="Times New Roman"/>
          <w:sz w:val="20"/>
        </w:rPr>
        <w:t xml:space="preserve"> </w:t>
      </w:r>
    </w:p>
    <w:p>
      <w:pPr>
        <w:pStyle w:val="TextBody"/>
        <w:spacing w:lineRule="auto" w:line="316" w:before="0" w:after="0"/>
        <w:jc w:val="center"/>
        <w:rPr>
          <w:rFonts w:ascii="Arial" w:hAnsi="Arial"/>
          <w:b w:val="false"/>
          <w:sz w:val="20"/>
        </w:rPr>
      </w:pPr>
      <w:r>
        <w:rPr>
          <w:rFonts w:ascii="Arial" w:hAnsi="Arial"/>
          <w:b w:val="false"/>
          <w:sz w:val="20"/>
        </w:rPr>
        <w:t>8</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rFonts w:ascii="Arial" w:hAnsi="Arial"/>
          <w:b w:val="false"/>
          <w:sz w:val="20"/>
        </w:rPr>
      </w:pPr>
      <w:r>
        <w:rPr>
          <w:rFonts w:ascii="Arial" w:hAnsi="Arial"/>
          <w:b w:val="false"/>
          <w:sz w:val="20"/>
        </w:rPr>
        <w:t>such action, the court of competent jurisdiction determines that any of the material assertions made by the Indemnitee as a basis for such action were not made in good faith or were frivolous.</w:t>
      </w:r>
    </w:p>
    <w:p>
      <w:pPr>
        <w:pStyle w:val="TextBody"/>
        <w:spacing w:lineRule="auto" w:line="321" w:before="0" w:after="240"/>
        <w:jc w:val="left"/>
        <w:rPr>
          <w:rFonts w:ascii="Arial" w:hAnsi="Arial"/>
          <w:b/>
          <w:sz w:val="20"/>
        </w:rPr>
      </w:pPr>
      <w:r>
        <w:rPr>
          <w:rFonts w:ascii="Arial" w:hAnsi="Arial"/>
          <w:b/>
          <w:sz w:val="20"/>
        </w:rPr>
        <w:t>Section 16.</w:t>
      </w:r>
    </w:p>
    <w:p>
      <w:pPr>
        <w:pStyle w:val="TextBody"/>
        <w:spacing w:lineRule="auto" w:line="321" w:before="0" w:after="240"/>
        <w:jc w:val="left"/>
        <w:rPr>
          <w:rFonts w:ascii="Arial" w:hAnsi="Arial"/>
          <w:b/>
          <w:sz w:val="20"/>
        </w:rPr>
      </w:pPr>
      <w:r>
        <w:rPr>
          <w:rFonts w:ascii="Arial" w:hAnsi="Arial"/>
          <w:b/>
          <w:sz w:val="20"/>
        </w:rPr>
        <w:t>Notices</w:t>
      </w:r>
    </w:p>
    <w:p>
      <w:pPr>
        <w:pStyle w:val="TextBody"/>
        <w:spacing w:lineRule="auto" w:line="316" w:before="0" w:after="240"/>
        <w:jc w:val="left"/>
        <w:rPr>
          <w:rFonts w:ascii="Arial" w:hAnsi="Arial"/>
          <w:b w:val="false"/>
          <w:sz w:val="20"/>
        </w:rPr>
      </w:pPr>
      <w:r>
        <w:rPr>
          <w:rFonts w:ascii="Arial" w:hAnsi="Arial"/>
          <w:b w:val="false"/>
          <w:sz w:val="20"/>
        </w:rPr>
        <w:t>All notices, requests and other communications hereunder shall be in writing, and shall be delivered by courier or other means of personal service, or sent by electronic mail, or mailed first class, postage prepaid, by registered mail, return receipt requested, in all cases, addressed to:</w:t>
      </w:r>
    </w:p>
    <w:p>
      <w:pPr>
        <w:pStyle w:val="TextBody"/>
        <w:spacing w:lineRule="auto" w:line="316" w:before="60" w:after="60"/>
        <w:jc w:val="left"/>
        <w:rPr>
          <w:rFonts w:ascii="Arial" w:hAnsi="Arial"/>
          <w:b w:val="false"/>
          <w:sz w:val="20"/>
        </w:rPr>
      </w:pPr>
      <w:r>
        <w:rPr>
          <w:rFonts w:ascii="Arial" w:hAnsi="Arial"/>
          <w:b w:val="false"/>
          <w:sz w:val="20"/>
        </w:rPr>
        <w:t>Indemnitee: To the address set out in the recitals hereto</w:t>
      </w:r>
    </w:p>
    <w:p>
      <w:pPr>
        <w:pStyle w:val="TextBody"/>
        <w:spacing w:lineRule="auto" w:line="316" w:before="60" w:after="240"/>
        <w:jc w:val="left"/>
        <w:rPr>
          <w:rFonts w:ascii="Arial" w:hAnsi="Arial"/>
          <w:b w:val="false"/>
          <w:sz w:val="20"/>
        </w:rPr>
      </w:pPr>
      <w:r>
        <w:rPr>
          <w:rFonts w:ascii="Arial" w:hAnsi="Arial"/>
          <w:b w:val="false"/>
          <w:sz w:val="20"/>
        </w:rPr>
        <w:t>Email: _____________________</w:t>
      </w:r>
    </w:p>
    <w:p>
      <w:pPr>
        <w:pStyle w:val="TextBody"/>
        <w:spacing w:lineRule="auto" w:line="316" w:before="60" w:after="60"/>
        <w:jc w:val="left"/>
        <w:rPr>
          <w:rFonts w:ascii="Times New Roman" w:hAnsi="Times New Roman"/>
          <w:sz w:val="20"/>
        </w:rPr>
      </w:pPr>
      <w:r>
        <w:rPr>
          <w:rFonts w:ascii="Arial" w:hAnsi="Arial"/>
          <w:b w:val="false"/>
          <w:sz w:val="20"/>
        </w:rPr>
        <w:t>Company: Green Thumb Industries Inc.</w:t>
      </w:r>
      <w:r>
        <w:rPr>
          <w:rFonts w:ascii="Times New Roman" w:hAnsi="Times New Roman"/>
          <w:sz w:val="20"/>
        </w:rPr>
        <w:t xml:space="preserve"> </w:t>
      </w:r>
    </w:p>
    <w:p>
      <w:pPr>
        <w:pStyle w:val="TextBody"/>
        <w:spacing w:lineRule="auto" w:line="316" w:before="60" w:after="60"/>
        <w:jc w:val="left"/>
        <w:rPr>
          <w:rFonts w:ascii="Arial" w:hAnsi="Arial"/>
          <w:b w:val="false"/>
          <w:sz w:val="20"/>
        </w:rPr>
      </w:pPr>
      <w:r>
        <w:rPr>
          <w:rFonts w:ascii="Arial" w:hAnsi="Arial"/>
          <w:b w:val="false"/>
          <w:sz w:val="20"/>
        </w:rPr>
        <w:t>325 West Huron Street, Suite 700</w:t>
      </w:r>
    </w:p>
    <w:p>
      <w:pPr>
        <w:pStyle w:val="TextBody"/>
        <w:spacing w:lineRule="auto" w:line="316" w:before="60" w:after="240"/>
        <w:jc w:val="left"/>
        <w:rPr>
          <w:rFonts w:ascii="Arial" w:hAnsi="Arial"/>
          <w:b w:val="false"/>
          <w:sz w:val="20"/>
        </w:rPr>
      </w:pPr>
      <w:r>
        <w:rPr>
          <w:rFonts w:ascii="Arial" w:hAnsi="Arial"/>
          <w:b w:val="false"/>
          <w:sz w:val="20"/>
        </w:rPr>
        <w:t>Chicago, Illinois 60654</w:t>
      </w:r>
    </w:p>
    <w:p>
      <w:pPr>
        <w:pStyle w:val="TextBody"/>
        <w:spacing w:lineRule="auto" w:line="316" w:before="60" w:after="60"/>
        <w:jc w:val="left"/>
        <w:rPr>
          <w:rFonts w:ascii="Arial" w:hAnsi="Arial"/>
          <w:b w:val="false"/>
          <w:sz w:val="20"/>
        </w:rPr>
      </w:pPr>
      <w:r>
        <w:rPr>
          <w:rFonts w:ascii="Arial" w:hAnsi="Arial"/>
          <w:b w:val="false"/>
          <w:sz w:val="20"/>
        </w:rPr>
        <w:t>Attention: General Counsel</w:t>
      </w:r>
    </w:p>
    <w:p>
      <w:pPr>
        <w:pStyle w:val="TextBody"/>
        <w:spacing w:lineRule="auto" w:line="316" w:before="60" w:after="240"/>
        <w:jc w:val="left"/>
        <w:rPr>
          <w:rFonts w:ascii="Arial" w:hAnsi="Arial"/>
          <w:b w:val="false"/>
          <w:sz w:val="20"/>
        </w:rPr>
      </w:pPr>
      <w:r>
        <w:rPr>
          <w:rFonts w:ascii="Arial" w:hAnsi="Arial"/>
          <w:b w:val="false"/>
          <w:sz w:val="20"/>
        </w:rPr>
        <w:t>Email: _______________</w:t>
      </w:r>
    </w:p>
    <w:p>
      <w:pPr>
        <w:pStyle w:val="TextBody"/>
        <w:spacing w:lineRule="auto" w:line="316" w:before="0" w:after="240"/>
        <w:jc w:val="left"/>
        <w:rPr>
          <w:rFonts w:ascii="Arial" w:hAnsi="Arial"/>
          <w:b w:val="false"/>
          <w:sz w:val="20"/>
        </w:rPr>
      </w:pPr>
      <w:r>
        <w:rPr>
          <w:rFonts w:ascii="Arial" w:hAnsi="Arial"/>
          <w:b w:val="false"/>
          <w:sz w:val="20"/>
        </w:rPr>
        <w:t>All notices, requests and other communications shall be deemed given on the date of actual receipt or delivery as evidenced by written receipt, acknowledgement or other evidence of actual receipt or delivery to the address.</w:t>
      </w:r>
    </w:p>
    <w:p>
      <w:pPr>
        <w:pStyle w:val="TextBody"/>
        <w:spacing w:lineRule="auto" w:line="321" w:before="0" w:after="240"/>
        <w:jc w:val="left"/>
        <w:rPr>
          <w:rFonts w:ascii="Arial" w:hAnsi="Arial"/>
          <w:b/>
          <w:sz w:val="20"/>
        </w:rPr>
      </w:pPr>
      <w:r>
        <w:rPr>
          <w:rFonts w:ascii="Arial" w:hAnsi="Arial"/>
          <w:b/>
          <w:sz w:val="20"/>
        </w:rPr>
        <w:t>Section 17.</w:t>
      </w:r>
    </w:p>
    <w:p>
      <w:pPr>
        <w:pStyle w:val="TextBody"/>
        <w:spacing w:lineRule="auto" w:line="321" w:before="0" w:after="240"/>
        <w:jc w:val="left"/>
        <w:rPr>
          <w:rFonts w:ascii="Arial" w:hAnsi="Arial"/>
          <w:b/>
          <w:sz w:val="20"/>
        </w:rPr>
      </w:pPr>
      <w:r>
        <w:rPr>
          <w:rFonts w:ascii="Arial" w:hAnsi="Arial"/>
          <w:b/>
          <w:sz w:val="20"/>
        </w:rPr>
        <w:t>Consents to Jurisdiction</w:t>
      </w:r>
    </w:p>
    <w:p>
      <w:pPr>
        <w:pStyle w:val="TextBody"/>
        <w:spacing w:lineRule="auto" w:line="316" w:before="0" w:after="240"/>
        <w:jc w:val="left"/>
        <w:rPr>
          <w:rFonts w:ascii="Arial" w:hAnsi="Arial"/>
          <w:b w:val="false"/>
          <w:sz w:val="20"/>
        </w:rPr>
      </w:pPr>
      <w:r>
        <w:rPr>
          <w:rFonts w:ascii="Arial" w:hAnsi="Arial"/>
          <w:b w:val="false"/>
          <w:sz w:val="20"/>
        </w:rPr>
        <w:t>Any and all legal proceedings to enforce this Agreement, whether in contract, tort, equity or otherwise, shall be brought in the appropriate court in the Province of British Columbia, and the parties hereto hereby agree to attorn to the jurisdiction of the court in the Province of British Columbia and waive any claim or defense that such forum is not convenient or proper. The Company and the Indemnitee each hereby agrees that any court shall have in personam jurisdiction over it, consents to service of process in any manner prescribed in Section 16 or in any other manner authorized by British Columbia law, and agrees that a final judgment in any such action or proceeding shall be conclusive and may be enforced in other jurisdictions by suit on the judgment or in any other manner specified by law.</w:t>
      </w:r>
    </w:p>
    <w:p>
      <w:pPr>
        <w:pStyle w:val="TextBody"/>
        <w:spacing w:lineRule="auto" w:line="321" w:before="0" w:after="240"/>
        <w:jc w:val="left"/>
        <w:rPr>
          <w:rFonts w:ascii="Arial" w:hAnsi="Arial"/>
          <w:b/>
          <w:sz w:val="20"/>
        </w:rPr>
      </w:pPr>
      <w:r>
        <w:rPr>
          <w:rFonts w:ascii="Arial" w:hAnsi="Arial"/>
          <w:b/>
          <w:sz w:val="20"/>
        </w:rPr>
        <w:t>Section 18.</w:t>
      </w:r>
    </w:p>
    <w:p>
      <w:pPr>
        <w:pStyle w:val="TextBody"/>
        <w:spacing w:lineRule="auto" w:line="321" w:before="0" w:after="240"/>
        <w:jc w:val="left"/>
        <w:rPr>
          <w:rFonts w:ascii="Arial" w:hAnsi="Arial"/>
          <w:b/>
          <w:sz w:val="20"/>
        </w:rPr>
      </w:pPr>
      <w:r>
        <w:rPr>
          <w:rFonts w:ascii="Arial" w:hAnsi="Arial"/>
          <w:b/>
          <w:sz w:val="20"/>
        </w:rPr>
        <w:t>Governing Law</w:t>
      </w:r>
    </w:p>
    <w:p>
      <w:pPr>
        <w:pStyle w:val="TextBody"/>
        <w:spacing w:lineRule="auto" w:line="316" w:before="0" w:after="240"/>
        <w:jc w:val="left"/>
        <w:rPr>
          <w:rFonts w:ascii="Arial" w:hAnsi="Arial"/>
          <w:b w:val="false"/>
          <w:sz w:val="20"/>
        </w:rPr>
      </w:pPr>
      <w:r>
        <w:rPr>
          <w:rFonts w:ascii="Arial" w:hAnsi="Arial"/>
          <w:b w:val="false"/>
          <w:sz w:val="20"/>
        </w:rPr>
        <w:t>This Agreement shall be governed by and construed in accordance with the laws of the Province of British Columbia as applied to contracts between British Columbia residents entered into and performed entirely within British Columbia.</w:t>
      </w:r>
    </w:p>
    <w:p>
      <w:pPr>
        <w:pStyle w:val="TextBody"/>
        <w:spacing w:lineRule="auto" w:line="321" w:before="0" w:after="240"/>
        <w:jc w:val="left"/>
        <w:rPr>
          <w:rFonts w:ascii="Arial" w:hAnsi="Arial"/>
          <w:b/>
          <w:sz w:val="20"/>
        </w:rPr>
      </w:pPr>
      <w:r>
        <w:rPr>
          <w:rFonts w:ascii="Arial" w:hAnsi="Arial"/>
          <w:b/>
          <w:sz w:val="20"/>
        </w:rPr>
        <w:t>Section 19.</w:t>
      </w:r>
    </w:p>
    <w:p>
      <w:pPr>
        <w:pStyle w:val="TextBody"/>
        <w:spacing w:lineRule="auto" w:line="321" w:before="0" w:after="240"/>
        <w:jc w:val="left"/>
        <w:rPr>
          <w:rFonts w:ascii="Arial" w:hAnsi="Arial"/>
          <w:b/>
          <w:sz w:val="20"/>
        </w:rPr>
      </w:pPr>
      <w:r>
        <w:rPr>
          <w:rFonts w:ascii="Arial" w:hAnsi="Arial"/>
          <w:b/>
          <w:sz w:val="20"/>
        </w:rPr>
        <w:t>Entire Agreement</w:t>
      </w:r>
    </w:p>
    <w:p>
      <w:pPr>
        <w:pStyle w:val="TextBody"/>
        <w:spacing w:lineRule="auto" w:line="316" w:before="0" w:after="240"/>
        <w:jc w:val="left"/>
        <w:rPr>
          <w:rFonts w:ascii="Arial" w:hAnsi="Arial"/>
          <w:b w:val="false"/>
          <w:sz w:val="20"/>
        </w:rPr>
      </w:pPr>
      <w:r>
        <w:rPr>
          <w:rFonts w:ascii="Arial" w:hAnsi="Arial"/>
          <w:b w:val="false"/>
          <w:sz w:val="20"/>
        </w:rPr>
        <w:t>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pStyle w:val="TextBody"/>
        <w:spacing w:lineRule="auto" w:line="316" w:before="0" w:after="0"/>
        <w:jc w:val="center"/>
        <w:rPr>
          <w:rFonts w:ascii="Arial" w:hAnsi="Arial"/>
          <w:b w:val="false"/>
          <w:sz w:val="20"/>
        </w:rPr>
      </w:pPr>
      <w:r>
        <w:rPr>
          <w:rFonts w:ascii="Arial" w:hAnsi="Arial"/>
          <w:b w:val="false"/>
          <w:sz w:val="20"/>
        </w:rPr>
        <w:t>9</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21" w:before="0" w:after="240"/>
        <w:jc w:val="left"/>
        <w:rPr>
          <w:rFonts w:ascii="Arial" w:hAnsi="Arial"/>
          <w:b/>
          <w:sz w:val="20"/>
        </w:rPr>
      </w:pPr>
      <w:r>
        <w:rPr>
          <w:rFonts w:ascii="Arial" w:hAnsi="Arial"/>
          <w:b/>
          <w:sz w:val="20"/>
        </w:rPr>
        <w:t>Section 20.</w:t>
      </w:r>
    </w:p>
    <w:p>
      <w:pPr>
        <w:pStyle w:val="TextBody"/>
        <w:spacing w:lineRule="auto" w:line="321" w:before="0" w:after="240"/>
        <w:jc w:val="left"/>
        <w:rPr>
          <w:rFonts w:ascii="Arial" w:hAnsi="Arial"/>
          <w:b/>
          <w:sz w:val="20"/>
        </w:rPr>
      </w:pPr>
      <w:r>
        <w:rPr>
          <w:rFonts w:ascii="Arial" w:hAnsi="Arial"/>
          <w:b/>
          <w:sz w:val="20"/>
        </w:rPr>
        <w:t>Modification and Waiver</w:t>
      </w:r>
    </w:p>
    <w:p>
      <w:pPr>
        <w:pStyle w:val="TextBody"/>
        <w:spacing w:lineRule="auto" w:line="316" w:before="0" w:after="240"/>
        <w:jc w:val="left"/>
        <w:rPr>
          <w:rFonts w:ascii="Arial" w:hAnsi="Arial"/>
          <w:b w:val="false"/>
          <w:sz w:val="20"/>
        </w:rPr>
      </w:pPr>
      <w:r>
        <w:rPr>
          <w:rFonts w:ascii="Arial" w:hAnsi="Arial"/>
          <w:b w:val="false"/>
          <w:sz w:val="20"/>
        </w:rPr>
        <w:t>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nor shall such waiver constitute a continuing waiver.</w:t>
      </w:r>
    </w:p>
    <w:p>
      <w:pPr>
        <w:pStyle w:val="TextBody"/>
        <w:spacing w:lineRule="auto" w:line="321" w:before="0" w:after="240"/>
        <w:jc w:val="left"/>
        <w:rPr>
          <w:rFonts w:ascii="Arial" w:hAnsi="Arial"/>
          <w:b/>
          <w:sz w:val="20"/>
        </w:rPr>
      </w:pPr>
      <w:r>
        <w:rPr>
          <w:rFonts w:ascii="Arial" w:hAnsi="Arial"/>
          <w:b/>
          <w:sz w:val="20"/>
        </w:rPr>
        <w:t>Section 21.</w:t>
      </w:r>
    </w:p>
    <w:p>
      <w:pPr>
        <w:pStyle w:val="TextBody"/>
        <w:spacing w:lineRule="auto" w:line="321" w:before="0" w:after="240"/>
        <w:jc w:val="left"/>
        <w:rPr>
          <w:rFonts w:ascii="Arial" w:hAnsi="Arial"/>
          <w:b/>
          <w:sz w:val="20"/>
        </w:rPr>
      </w:pPr>
      <w:r>
        <w:rPr>
          <w:rFonts w:ascii="Arial" w:hAnsi="Arial"/>
          <w:b/>
          <w:sz w:val="20"/>
        </w:rPr>
        <w:t>Enforcement</w:t>
      </w:r>
    </w:p>
    <w:p>
      <w:pPr>
        <w:pStyle w:val="TextBody"/>
        <w:spacing w:lineRule="auto" w:line="316" w:before="0" w:after="240"/>
        <w:jc w:val="left"/>
        <w:rPr>
          <w:rFonts w:ascii="Arial" w:hAnsi="Arial"/>
          <w:b w:val="false"/>
          <w:sz w:val="20"/>
        </w:rPr>
      </w:pPr>
      <w:r>
        <w:rPr>
          <w:rFonts w:ascii="Arial" w:hAnsi="Arial"/>
          <w:b w:val="false"/>
          <w:sz w:val="20"/>
        </w:rPr>
        <w:t>The Company shall be precluded from asserting in any judicial proceeding that the procedures and presumptions of this Agreement are not valid, binding and enforceable. The Company agrees that its execution of this Agreement shall constitute a stipulation by which it shall be irrevocably bound in any court of competent jurisdiction in which a proceeding by the Indemnitee for enforcement of his or her rights hereunder shall have been commenced, continued or appealed, that its obligations set forth in this Agreement are unique and special, and that failure of the Company to comply with the provisions of this Agreement will cause irreparable and irremediable injury to the Indemnitee, for which a remedy at law will be inadequate. As a result, in addition to any other right or remedy the Indemnitee may have at law or in equity with respect to breach of this Agreement, the Indemnitee shall be entitled to injunctive or mandatory relief directing specific performance by the Company of its obligations under this Agreement.</w:t>
      </w:r>
    </w:p>
    <w:p>
      <w:pPr>
        <w:pStyle w:val="TextBody"/>
        <w:spacing w:lineRule="auto" w:line="321" w:before="0" w:after="240"/>
        <w:jc w:val="left"/>
        <w:rPr>
          <w:rFonts w:ascii="Arial" w:hAnsi="Arial"/>
          <w:b/>
          <w:sz w:val="20"/>
        </w:rPr>
      </w:pPr>
      <w:r>
        <w:rPr>
          <w:rFonts w:ascii="Arial" w:hAnsi="Arial"/>
          <w:b/>
          <w:sz w:val="20"/>
        </w:rPr>
        <w:t>Section 22.</w:t>
      </w:r>
    </w:p>
    <w:p>
      <w:pPr>
        <w:pStyle w:val="TextBody"/>
        <w:spacing w:lineRule="auto" w:line="321" w:before="0" w:after="240"/>
        <w:jc w:val="left"/>
        <w:rPr>
          <w:rFonts w:ascii="Arial" w:hAnsi="Arial"/>
          <w:b/>
          <w:sz w:val="20"/>
        </w:rPr>
      </w:pPr>
      <w:r>
        <w:rPr>
          <w:rFonts w:ascii="Arial" w:hAnsi="Arial"/>
          <w:b/>
          <w:sz w:val="20"/>
        </w:rPr>
        <w:t>Counterparts</w:t>
      </w:r>
    </w:p>
    <w:p>
      <w:pPr>
        <w:pStyle w:val="TextBody"/>
        <w:spacing w:lineRule="auto" w:line="316" w:before="0" w:after="240"/>
        <w:jc w:val="left"/>
        <w:rPr>
          <w:rFonts w:ascii="Arial" w:hAnsi="Arial"/>
          <w:b w:val="false"/>
          <w:sz w:val="20"/>
        </w:rPr>
      </w:pPr>
      <w:r>
        <w:rPr>
          <w:rFonts w:ascii="Arial" w:hAnsi="Arial"/>
          <w:b w:val="false"/>
          <w:sz w:val="20"/>
        </w:rPr>
        <w:t>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pStyle w:val="TextBody"/>
        <w:spacing w:lineRule="auto" w:line="316" w:before="0" w:after="240"/>
        <w:jc w:val="center"/>
        <w:rPr>
          <w:rFonts w:ascii="Arial" w:hAnsi="Arial"/>
          <w:b/>
          <w:sz w:val="20"/>
        </w:rPr>
      </w:pPr>
      <w:r>
        <w:rPr>
          <w:rFonts w:ascii="Arial" w:hAnsi="Arial"/>
          <w:b/>
          <w:sz w:val="20"/>
        </w:rPr>
        <w:t>[Remainder of Page Intentionally Left Blank]</w:t>
      </w:r>
    </w:p>
    <w:p>
      <w:pPr>
        <w:pStyle w:val="TextBody"/>
        <w:spacing w:lineRule="auto" w:line="273" w:before="0" w:after="0"/>
        <w:jc w:val="left"/>
        <w:rPr/>
      </w:pPr>
      <w:r>
        <w:rPr/>
        <w:t> </w:t>
      </w:r>
    </w:p>
    <w:p>
      <w:pPr>
        <w:pStyle w:val="TextBody"/>
        <w:spacing w:lineRule="auto" w:line="316" w:before="0" w:after="0"/>
        <w:jc w:val="center"/>
        <w:rPr>
          <w:rFonts w:ascii="Arial" w:hAnsi="Arial"/>
          <w:b w:val="false"/>
          <w:sz w:val="20"/>
        </w:rPr>
      </w:pPr>
      <w:r>
        <w:rPr>
          <w:rFonts w:ascii="Arial" w:hAnsi="Arial"/>
          <w:b w:val="false"/>
          <w:sz w:val="20"/>
        </w:rPr>
        <w:t>10</w:t>
      </w:r>
    </w:p>
    <w:p>
      <w:pPr>
        <w:pStyle w:val="TextBody"/>
        <w:spacing w:lineRule="auto" w:line="316" w:before="0" w:after="0"/>
        <w:jc w:val="center"/>
        <w:rPr/>
      </w:pPr>
      <w:r>
        <w:rPr/>
        <w:t> </w:t>
      </w:r>
    </w:p>
    <w:p>
      <w:pPr>
        <w:pStyle w:val="HorizontalLine"/>
        <w:rPr/>
      </w:pPr>
      <w:r>
        <w:rPr/>
      </w:r>
    </w:p>
    <w:p>
      <w:pPr>
        <w:pStyle w:val="TextBody"/>
        <w:spacing w:lineRule="auto" w:line="316" w:before="0" w:after="0"/>
        <w:jc w:val="right"/>
        <w:rPr>
          <w:rFonts w:ascii="Arial" w:hAnsi="Arial"/>
          <w:b w:val="false"/>
          <w:sz w:val="20"/>
        </w:rPr>
      </w:pPr>
      <w:r>
        <w:rPr>
          <w:rFonts w:ascii="Arial" w:hAnsi="Arial"/>
          <w:b w:val="false"/>
          <w:sz w:val="20"/>
        </w:rPr>
        <w:t>Exhibit 10.13</w:t>
      </w:r>
    </w:p>
    <w:p>
      <w:pPr>
        <w:pStyle w:val="TextBody"/>
        <w:spacing w:lineRule="auto" w:line="316" w:before="0" w:after="240"/>
        <w:jc w:val="left"/>
        <w:rPr>
          <w:rFonts w:ascii="Times New Roman" w:hAnsi="Times New Roman"/>
          <w:sz w:val="20"/>
        </w:rPr>
      </w:pPr>
      <w:r>
        <w:rPr>
          <w:rFonts w:ascii="Arial" w:hAnsi="Arial"/>
          <w:b/>
          <w:sz w:val="20"/>
        </w:rPr>
        <w:t>IN WITNESS WHEREOF</w:t>
      </w:r>
      <w:r>
        <w:rPr>
          <w:rFonts w:ascii="Times New Roman" w:hAnsi="Times New Roman"/>
          <w:sz w:val="20"/>
        </w:rPr>
        <w:t xml:space="preserve"> </w:t>
      </w:r>
      <w:r>
        <w:rPr>
          <w:rFonts w:ascii="Arial" w:hAnsi="Arial"/>
          <w:b w:val="false"/>
          <w:sz w:val="20"/>
        </w:rPr>
        <w:t>the parties hereto have executed this Agreement as of the date first above written.</w:t>
      </w:r>
    </w:p>
    <w:tbl>
      <w:tblPr>
        <w:tblW w:w="2972" w:type="dxa"/>
        <w:jc w:val="left"/>
        <w:tblInd w:w="0" w:type="dxa"/>
        <w:tblCellMar>
          <w:top w:w="28" w:type="dxa"/>
          <w:left w:w="28" w:type="dxa"/>
          <w:bottom w:w="28" w:type="dxa"/>
          <w:right w:w="28" w:type="dxa"/>
        </w:tblCellMar>
      </w:tblPr>
      <w:tblGrid>
        <w:gridCol w:w="1504"/>
        <w:gridCol w:w="176"/>
        <w:gridCol w:w="406"/>
        <w:gridCol w:w="886"/>
      </w:tblGrid>
      <w:tr>
        <w:trPr/>
        <w:tc>
          <w:tcPr>
            <w:tcW w:w="15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r>
      <w:tr>
        <w:trPr/>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rFonts w:ascii="Arial" w:hAnsi="Arial"/>
                <w:b/>
                <w:sz w:val="20"/>
              </w:rPr>
            </w:pPr>
            <w:r>
              <w:rPr>
                <w:rFonts w:ascii="Arial" w:hAnsi="Arial"/>
                <w:b/>
                <w:sz w:val="20"/>
              </w:rPr>
              <w:t>)))))</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p>
        </w:tc>
      </w:tr>
      <w:tr>
        <w:trPr/>
        <w:tc>
          <w:tcPr>
            <w:tcW w:w="1680" w:type="dxa"/>
            <w:gridSpan w:val="2"/>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rFonts w:ascii="Arial" w:hAnsi="Arial"/>
                <w:b w:val="false"/>
                <w:sz w:val="20"/>
              </w:rPr>
            </w:pPr>
            <w:r>
              <w:rPr>
                <w:rFonts w:ascii="Arial" w:hAnsi="Arial"/>
                <w:b w:val="false"/>
                <w:sz w:val="20"/>
              </w:rPr>
              <w:t>Witness signature</w:t>
            </w:r>
          </w:p>
        </w:tc>
        <w:tc>
          <w:tcPr>
            <w:tcW w:w="406"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rFonts w:ascii="Arial" w:hAnsi="Arial"/>
                <w:b/>
                <w:sz w:val="20"/>
              </w:rPr>
            </w:pPr>
            <w:r>
              <w:rPr>
                <w:rFonts w:ascii="Arial" w:hAnsi="Arial"/>
                <w:b/>
                <w:sz w:val="20"/>
              </w:rPr>
              <w:t>)))</w:t>
            </w:r>
          </w:p>
          <w:p>
            <w:pPr>
              <w:pStyle w:val="TableContents"/>
              <w:spacing w:lineRule="auto" w:line="288" w:before="0" w:after="0"/>
              <w:ind w:left="0" w:right="0" w:hanging="0"/>
              <w:jc w:val="left"/>
              <w:rPr>
                <w:rFonts w:ascii="Arial" w:hAnsi="Arial"/>
                <w:b/>
                <w:sz w:val="20"/>
              </w:rPr>
            </w:pPr>
            <w:r>
              <w:rPr>
                <w:rFonts w:ascii="Arial" w:hAnsi="Arial"/>
                <w:b/>
                <w:sz w:val="20"/>
              </w:rPr>
              <w:t>)</w:t>
            </w:r>
          </w:p>
          <w:p>
            <w:pPr>
              <w:pStyle w:val="TableContents"/>
              <w:spacing w:lineRule="auto" w:line="288" w:before="0" w:after="0"/>
              <w:ind w:left="0" w:right="0" w:hanging="0"/>
              <w:jc w:val="left"/>
              <w:rPr>
                <w:rFonts w:ascii="Arial" w:hAnsi="Arial"/>
                <w:b/>
                <w:sz w:val="20"/>
              </w:rPr>
            </w:pPr>
            <w:r>
              <w:rPr>
                <w:rFonts w:ascii="Arial" w:hAnsi="Arial"/>
                <w:b/>
                <w:sz w:val="20"/>
              </w:rPr>
              <w:t>)</w:t>
            </w:r>
          </w:p>
        </w:tc>
        <w:tc>
          <w:tcPr>
            <w:tcW w:w="886"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rFonts w:ascii="Times New Roman" w:hAnsi="Times New Roman"/>
                <w:sz w:val="20"/>
              </w:rPr>
            </w:pPr>
            <w:r>
              <w:rPr>
                <w:rFonts w:ascii="Arial" w:hAnsi="Arial"/>
                <w:b/>
                <w:sz w:val="20"/>
              </w:rPr>
              <w:t>[NAME]</w:t>
            </w:r>
            <w:r>
              <w:rPr>
                <w:rFonts w:ascii="Times New Roman" w:hAnsi="Times New Roman"/>
                <w:sz w:val="20"/>
              </w:rPr>
              <w:t xml:space="preserve"> </w:t>
            </w:r>
          </w:p>
        </w:tc>
      </w:tr>
      <w:tr>
        <w:trPr/>
        <w:tc>
          <w:tcPr>
            <w:tcW w:w="1504"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rFonts w:ascii="Times New Roman" w:hAnsi="Times New Roman"/>
                <w:sz w:val="20"/>
              </w:rPr>
            </w:pPr>
            <w:r>
              <w:rPr>
                <w:rFonts w:ascii="Arial" w:hAnsi="Arial"/>
                <w:b w:val="false"/>
                <w:sz w:val="20"/>
              </w:rPr>
              <w:t>Name:</w:t>
              <w:br/>
            </w:r>
            <w:r>
              <w:rPr>
                <w:rFonts w:ascii="Arial" w:hAnsi="Arial"/>
                <w:b w:val="false"/>
                <w:i/>
                <w:sz w:val="20"/>
              </w:rPr>
              <w:t>(please print)</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rFonts w:ascii="Arial" w:hAnsi="Arial"/>
                <w:b/>
                <w:sz w:val="20"/>
              </w:rPr>
            </w:pPr>
            <w:r>
              <w:rPr>
                <w:rFonts w:ascii="Arial" w:hAnsi="Arial"/>
                <w:b/>
                <w:sz w:val="20"/>
              </w:rPr>
              <w:t>)</w:t>
            </w:r>
          </w:p>
          <w:p>
            <w:pPr>
              <w:pStyle w:val="TableContents"/>
              <w:spacing w:lineRule="auto" w:line="288" w:before="0" w:after="0"/>
              <w:ind w:left="0" w:right="0" w:hanging="0"/>
              <w:jc w:val="left"/>
              <w:rPr>
                <w:rFonts w:ascii="Arial" w:hAnsi="Arial"/>
                <w:b/>
                <w:sz w:val="20"/>
              </w:rPr>
            </w:pPr>
            <w:r>
              <w:rPr>
                <w:rFonts w:ascii="Arial" w:hAnsi="Arial"/>
                <w:b/>
                <w:sz w:val="20"/>
              </w:rPr>
              <w:t>)</w:t>
            </w:r>
          </w:p>
        </w:tc>
        <w:tc>
          <w:tcPr>
            <w:tcW w:w="886"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pPr>
            <w:r>
              <w:rPr/>
              <w:t> </w:t>
            </w:r>
          </w:p>
        </w:tc>
      </w:tr>
      <w:tr>
        <w:trPr/>
        <w:tc>
          <w:tcPr>
            <w:tcW w:w="1504"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rFonts w:ascii="Arial" w:hAnsi="Arial"/>
                <w:b w:val="false"/>
                <w:sz w:val="20"/>
              </w:rPr>
            </w:pPr>
            <w:r>
              <w:rPr>
                <w:rFonts w:ascii="Arial" w:hAnsi="Arial"/>
                <w:b w:val="false"/>
                <w:sz w:val="20"/>
              </w:rPr>
              <w:t>Address:</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rFonts w:ascii="Arial" w:hAnsi="Arial"/>
                <w:b/>
                <w:sz w:val="20"/>
              </w:rPr>
            </w:pPr>
            <w:r>
              <w:rPr>
                <w:rFonts w:ascii="Arial" w:hAnsi="Arial"/>
                <w:b/>
                <w:sz w:val="20"/>
              </w:rPr>
              <w:t>)</w:t>
            </w:r>
          </w:p>
        </w:tc>
        <w:tc>
          <w:tcPr>
            <w:tcW w:w="886"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pPr>
            <w:r>
              <w:rPr/>
              <w:t> </w:t>
            </w:r>
          </w:p>
        </w:tc>
      </w:tr>
      <w:tr>
        <w:trPr/>
        <w:tc>
          <w:tcPr>
            <w:tcW w:w="1504"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pPr>
            <w:r>
              <w:rPr/>
              <w:t> </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rFonts w:ascii="Arial" w:hAnsi="Arial"/>
                <w:b/>
                <w:sz w:val="20"/>
              </w:rPr>
            </w:pPr>
            <w:r>
              <w:rPr>
                <w:rFonts w:ascii="Arial" w:hAnsi="Arial"/>
                <w:b/>
                <w:sz w:val="20"/>
              </w:rPr>
              <w:t>)</w:t>
            </w:r>
          </w:p>
        </w:tc>
        <w:tc>
          <w:tcPr>
            <w:tcW w:w="886" w:type="dxa"/>
            <w:tcBorders/>
            <w:shd w:fill="auto" w:val="clear"/>
            <w:tcMar>
              <w:top w:w="0" w:type="dxa"/>
              <w:left w:w="0" w:type="dxa"/>
              <w:bottom w:w="0" w:type="dxa"/>
              <w:right w:w="0" w:type="dxa"/>
            </w:tcMar>
            <w:vAlign w:val="center"/>
          </w:tcPr>
          <w:p>
            <w:pPr>
              <w:pStyle w:val="TableContents"/>
              <w:spacing w:lineRule="auto" w:line="288" w:before="0" w:after="0"/>
              <w:ind w:left="0" w:right="0" w:hanging="0"/>
              <w:jc w:val="left"/>
              <w:rPr/>
            </w:pPr>
            <w:r>
              <w:rPr/>
              <w:t> </w:t>
            </w:r>
          </w:p>
        </w:tc>
      </w:tr>
    </w:tbl>
    <w:p>
      <w:pPr>
        <w:pStyle w:val="TextBody"/>
        <w:spacing w:lineRule="auto" w:line="316" w:before="0" w:after="0"/>
        <w:jc w:val="left"/>
        <w:rPr/>
      </w:pPr>
      <w:r>
        <w:rPr/>
        <w:t> </w:t>
      </w:r>
    </w:p>
    <w:p>
      <w:pPr>
        <w:pStyle w:val="TextBody"/>
        <w:spacing w:lineRule="auto" w:line="316" w:before="0" w:after="240"/>
        <w:jc w:val="left"/>
        <w:rPr/>
      </w:pPr>
      <w:r>
        <w:rPr/>
        <w:t> </w:t>
      </w:r>
    </w:p>
    <w:tbl>
      <w:tblPr>
        <w:tblW w:w="3621" w:type="dxa"/>
        <w:jc w:val="left"/>
        <w:tblInd w:w="0" w:type="dxa"/>
        <w:tblCellMar>
          <w:top w:w="28" w:type="dxa"/>
          <w:left w:w="28" w:type="dxa"/>
          <w:bottom w:w="28" w:type="dxa"/>
          <w:right w:w="28" w:type="dxa"/>
        </w:tblCellMar>
      </w:tblPr>
      <w:tblGrid>
        <w:gridCol w:w="161"/>
        <w:gridCol w:w="146"/>
        <w:gridCol w:w="420"/>
        <w:gridCol w:w="654"/>
        <w:gridCol w:w="2240"/>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r>
      <w:tr>
        <w:trPr/>
        <w:tc>
          <w:tcPr>
            <w:tcW w:w="161" w:type="dxa"/>
            <w:vMerge w:val="restart"/>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tc>
        <w:tc>
          <w:tcPr>
            <w:tcW w:w="146" w:type="dxa"/>
            <w:vMerge w:val="restart"/>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pPr>
            <w:r>
              <w:rPr/>
              <w:t> </w:t>
            </w:r>
          </w:p>
        </w:tc>
        <w:tc>
          <w:tcPr>
            <w:tcW w:w="3314" w:type="dxa"/>
            <w:gridSpan w:val="3"/>
            <w:tcBorders/>
            <w:shd w:fill="auto" w:val="clear"/>
            <w:tcMar>
              <w:top w:w="0" w:type="dxa"/>
              <w:left w:w="0" w:type="dxa"/>
              <w:bottom w:w="0" w:type="dxa"/>
              <w:right w:w="0" w:type="dxa"/>
            </w:tcMar>
            <w:vAlign w:val="center"/>
          </w:tcPr>
          <w:p>
            <w:pPr>
              <w:pStyle w:val="TableContents"/>
              <w:spacing w:lineRule="auto" w:line="252" w:before="0" w:after="240"/>
              <w:ind w:left="0" w:right="0" w:hanging="0"/>
              <w:jc w:val="left"/>
              <w:rPr>
                <w:rFonts w:ascii="Times New Roman" w:hAnsi="Times New Roman"/>
                <w:sz w:val="20"/>
              </w:rPr>
            </w:pPr>
            <w:r>
              <w:rPr>
                <w:rFonts w:ascii="Times New Roman" w:hAnsi="Times New Roman"/>
                <w:b/>
                <w:sz w:val="20"/>
              </w:rPr>
              <w:t>GREEN THUMB INDUSTRIES INC.</w:t>
            </w:r>
            <w:r>
              <w:rPr>
                <w:rFonts w:ascii="Times New Roman" w:hAnsi="Times New Roman"/>
                <w:sz w:val="20"/>
              </w:rPr>
              <w:t xml:space="preserve"> </w:t>
            </w:r>
          </w:p>
        </w:tc>
      </w:tr>
      <w:tr>
        <w:trPr/>
        <w:tc>
          <w:tcPr>
            <w:tcW w:w="161" w:type="dxa"/>
            <w:vMerge w:val="continue"/>
            <w:tcBorders/>
            <w:shd w:fill="auto" w:val="clear"/>
            <w:tcMar>
              <w:top w:w="0" w:type="dxa"/>
              <w:left w:w="0" w:type="dxa"/>
              <w:bottom w:w="0" w:type="dxa"/>
              <w:right w:w="0" w:type="dxa"/>
            </w:tcMar>
            <w:vAlign w:val="center"/>
          </w:tcPr>
          <w:p>
            <w:pPr>
              <w:pStyle w:val="Normal"/>
              <w:rPr/>
            </w:pPr>
            <w:r>
              <w:rPr/>
            </w:r>
          </w:p>
        </w:tc>
        <w:tc>
          <w:tcPr>
            <w:tcW w:w="146" w:type="dxa"/>
            <w:vMerge w:val="continue"/>
            <w:tcBorders/>
            <w:shd w:fill="auto" w:val="clear"/>
            <w:tcMar>
              <w:top w:w="0" w:type="dxa"/>
              <w:left w:w="0" w:type="dxa"/>
              <w:bottom w:w="0" w:type="dxa"/>
              <w:right w:w="0" w:type="dxa"/>
            </w:tcMar>
            <w:vAlign w:val="center"/>
          </w:tcPr>
          <w:p>
            <w:pPr>
              <w:pStyle w:val="Normal"/>
              <w:rPr/>
            </w:pPr>
            <w:r>
              <w:rPr/>
            </w:r>
          </w:p>
        </w:tc>
        <w:tc>
          <w:tcPr>
            <w:tcW w:w="420" w:type="dxa"/>
            <w:vMerge w:val="restart"/>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89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61" w:type="dxa"/>
            <w:vMerge w:val="continue"/>
            <w:tcBorders/>
            <w:shd w:fill="auto" w:val="clear"/>
            <w:tcMar>
              <w:top w:w="0" w:type="dxa"/>
              <w:left w:w="0" w:type="dxa"/>
              <w:bottom w:w="0" w:type="dxa"/>
              <w:right w:w="0" w:type="dxa"/>
            </w:tcMar>
            <w:vAlign w:val="center"/>
          </w:tcPr>
          <w:p>
            <w:pPr>
              <w:pStyle w:val="Normal"/>
              <w:rPr/>
            </w:pPr>
            <w:r>
              <w:rPr/>
            </w:r>
          </w:p>
        </w:tc>
        <w:tc>
          <w:tcPr>
            <w:tcW w:w="146" w:type="dxa"/>
            <w:vMerge w:val="continue"/>
            <w:tcBorders/>
            <w:shd w:fill="auto" w:val="clear"/>
            <w:tcMar>
              <w:top w:w="0" w:type="dxa"/>
              <w:left w:w="0" w:type="dxa"/>
              <w:bottom w:w="0" w:type="dxa"/>
              <w:right w:w="0" w:type="dxa"/>
            </w:tcMar>
            <w:vAlign w:val="center"/>
          </w:tcPr>
          <w:p>
            <w:pPr>
              <w:pStyle w:val="Normal"/>
              <w:rPr/>
            </w:pPr>
            <w:r>
              <w:rPr/>
            </w:r>
          </w:p>
        </w:tc>
        <w:tc>
          <w:tcPr>
            <w:tcW w:w="420" w:type="dxa"/>
            <w:vMerge w:val="continue"/>
            <w:tcBorders/>
            <w:shd w:fill="auto" w:val="clear"/>
            <w:tcMar>
              <w:top w:w="0" w:type="dxa"/>
              <w:left w:w="0" w:type="dxa"/>
              <w:bottom w:w="0" w:type="dxa"/>
              <w:right w:w="0" w:type="dxa"/>
            </w:tcMar>
            <w:vAlign w:val="center"/>
          </w:tcPr>
          <w:p>
            <w:pPr>
              <w:pStyle w:val="Normal"/>
              <w:rPr/>
            </w:pPr>
            <w:r>
              <w:rPr/>
            </w:r>
          </w:p>
        </w:tc>
        <w:tc>
          <w:tcPr>
            <w:tcW w:w="65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Name:</w:t>
            </w:r>
          </w:p>
        </w:tc>
        <w:tc>
          <w:tcPr>
            <w:tcW w:w="22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[_________]</w:t>
            </w:r>
          </w:p>
        </w:tc>
      </w:tr>
      <w:tr>
        <w:trPr/>
        <w:tc>
          <w:tcPr>
            <w:tcW w:w="161" w:type="dxa"/>
            <w:vMerge w:val="continue"/>
            <w:tcBorders/>
            <w:shd w:fill="auto" w:val="clear"/>
            <w:tcMar>
              <w:top w:w="0" w:type="dxa"/>
              <w:left w:w="0" w:type="dxa"/>
              <w:bottom w:w="0" w:type="dxa"/>
              <w:right w:w="0" w:type="dxa"/>
            </w:tcMar>
            <w:vAlign w:val="center"/>
          </w:tcPr>
          <w:p>
            <w:pPr>
              <w:pStyle w:val="Normal"/>
              <w:rPr/>
            </w:pPr>
            <w:r>
              <w:rPr/>
            </w:r>
          </w:p>
        </w:tc>
        <w:tc>
          <w:tcPr>
            <w:tcW w:w="146" w:type="dxa"/>
            <w:vMerge w:val="continue"/>
            <w:tcBorders/>
            <w:shd w:fill="auto" w:val="clear"/>
            <w:tcMar>
              <w:top w:w="0" w:type="dxa"/>
              <w:left w:w="0" w:type="dxa"/>
              <w:bottom w:w="0" w:type="dxa"/>
              <w:right w:w="0" w:type="dxa"/>
            </w:tcMar>
            <w:vAlign w:val="center"/>
          </w:tcPr>
          <w:p>
            <w:pPr>
              <w:pStyle w:val="Normal"/>
              <w:rPr/>
            </w:pPr>
            <w:r>
              <w:rPr/>
            </w:r>
          </w:p>
        </w:tc>
        <w:tc>
          <w:tcPr>
            <w:tcW w:w="420" w:type="dxa"/>
            <w:vMerge w:val="continue"/>
            <w:tcBorders/>
            <w:shd w:fill="auto" w:val="clear"/>
            <w:tcMar>
              <w:top w:w="0" w:type="dxa"/>
              <w:left w:w="0" w:type="dxa"/>
              <w:bottom w:w="0" w:type="dxa"/>
              <w:right w:w="0" w:type="dxa"/>
            </w:tcMar>
            <w:vAlign w:val="center"/>
          </w:tcPr>
          <w:p>
            <w:pPr>
              <w:pStyle w:val="Normal"/>
              <w:rPr/>
            </w:pPr>
            <w:r>
              <w:rPr/>
            </w:r>
          </w:p>
        </w:tc>
        <w:tc>
          <w:tcPr>
            <w:tcW w:w="65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Title:</w:t>
            </w:r>
          </w:p>
        </w:tc>
        <w:tc>
          <w:tcPr>
            <w:tcW w:w="224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[__________________]</w:t>
            </w:r>
          </w:p>
        </w:tc>
      </w:tr>
    </w:tbl>
    <w:p>
      <w:pPr>
        <w:pStyle w:val="TextBody"/>
        <w:spacing w:lineRule="auto" w:line="316" w:before="0" w:after="240"/>
        <w:jc w:val="left"/>
        <w:rPr/>
      </w:pPr>
      <w:r>
        <w:rPr/>
        <w:t> </w:t>
      </w:r>
    </w:p>
    <w:p>
      <w:pPr>
        <w:pStyle w:val="TextBody"/>
        <w:spacing w:lineRule="auto" w:line="316" w:before="0" w:after="240"/>
        <w:jc w:val="left"/>
        <w:rPr/>
      </w:pPr>
      <w:r>
        <w:rPr/>
        <w:t> </w:t>
      </w:r>
    </w:p>
    <w:p>
      <w:pPr>
        <w:pStyle w:val="TextBody"/>
        <w:spacing w:lineRule="auto" w:line="316" w:before="0" w:after="0"/>
        <w:jc w:val="center"/>
        <w:rPr>
          <w:rFonts w:ascii="Arial" w:hAnsi="Arial"/>
          <w:b w:val="false"/>
          <w:sz w:val="20"/>
        </w:rPr>
      </w:pPr>
      <w:r>
        <w:rPr>
          <w:rFonts w:ascii="Arial" w:hAnsi="Arial"/>
          <w:b w:val="false"/>
          <w:sz w:val="20"/>
        </w:rPr>
        <w:t>11</w:t>
      </w:r>
    </w:p>
    <w:p>
      <w:pPr>
        <w:pStyle w:val="TextBody"/>
        <w:spacing w:lineRule="auto" w:line="316" w:before="0" w:after="0"/>
        <w:jc w:val="center"/>
        <w:rPr/>
      </w:pPr>
      <w:r>
        <w:rPr/>
        <w:t> </w:t>
      </w:r>
    </w:p>
    <w:p>
      <w:pPr>
        <w:pStyle w:val="HorizontalLine"/>
        <w:rPr/>
      </w:pPr>
      <w:r>
        <w:rPr/>
      </w:r>
      <w:r>
        <w:br w:type="page"/>
      </w:r>
    </w:p>
    <w:p>
      <w:pPr>
        <w:pStyle w:val="TextBody"/>
        <w:spacing w:lineRule="auto" w:line="273" w:before="0" w:after="0"/>
        <w:jc w:val="right"/>
        <w:rPr>
          <w:rFonts w:ascii="Times New Roman" w:hAnsi="Times New Roman"/>
          <w:b w:val="false"/>
          <w:sz w:val="20"/>
        </w:rPr>
      </w:pPr>
      <w:bookmarkStart w:id="38" w:name="gtbif-ex16_1.htm"/>
      <w:bookmarkStart w:id="39" w:name="ksgtbifex16_1"/>
      <w:bookmarkEnd w:id="38"/>
      <w:bookmarkEnd w:id="39"/>
      <w:r>
        <w:rPr>
          <w:rFonts w:ascii="Times New Roman" w:hAnsi="Times New Roman"/>
          <w:b w:val="false"/>
          <w:sz w:val="20"/>
        </w:rPr>
        <w:t>Exhibit 16.1</w:t>
      </w:r>
    </w:p>
    <w:p>
      <w:pPr>
        <w:pStyle w:val="TextBody"/>
        <w:spacing w:lineRule="auto" w:line="273" w:before="0" w:after="0"/>
        <w:jc w:val="left"/>
        <w:rPr/>
      </w:pPr>
      <w:r>
        <w:rPr/>
        <w:drawing>
          <wp:inline distT="0" distB="0" distL="0" distR="0">
            <wp:extent cx="207645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1"/>
                    <a:stretch>
                      <a:fillRect/>
                    </a:stretch>
                  </pic:blipFill>
                  <pic:spPr bwMode="auto">
                    <a:xfrm>
                      <a:off x="0" y="0"/>
                      <a:ext cx="2076450" cy="400050"/>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6" w:after="0"/>
        <w:jc w:val="left"/>
        <w:rPr/>
      </w:pPr>
      <w:r>
        <w:rPr/>
        <w:t> </w:t>
      </w:r>
    </w:p>
    <w:p>
      <w:pPr>
        <w:pStyle w:val="TextBody"/>
        <w:spacing w:lineRule="auto" w:line="273" w:before="92" w:after="0"/>
        <w:jc w:val="left"/>
        <w:rPr>
          <w:rFonts w:ascii="Times New Roman" w:hAnsi="Times New Roman"/>
          <w:b w:val="false"/>
          <w:sz w:val="22"/>
        </w:rPr>
      </w:pPr>
      <w:r>
        <w:rPr>
          <w:rFonts w:ascii="Times New Roman" w:hAnsi="Times New Roman"/>
          <w:b w:val="false"/>
          <w:sz w:val="22"/>
        </w:rPr>
        <w:t>May 13, 2021</w:t>
      </w:r>
    </w:p>
    <w:p>
      <w:pPr>
        <w:pStyle w:val="TextBody"/>
        <w:spacing w:lineRule="auto" w:line="273" w:before="8" w:after="0"/>
        <w:jc w:val="left"/>
        <w:rPr/>
      </w:pPr>
      <w:r>
        <w:rPr/>
        <w:t> </w:t>
      </w:r>
    </w:p>
    <w:p>
      <w:pPr>
        <w:pStyle w:val="TextBody"/>
        <w:spacing w:lineRule="auto" w:line="273" w:before="1" w:after="0"/>
        <w:jc w:val="left"/>
        <w:rPr>
          <w:rFonts w:ascii="Times New Roman" w:hAnsi="Times New Roman"/>
          <w:b w:val="false"/>
          <w:sz w:val="22"/>
        </w:rPr>
      </w:pPr>
      <w:r>
        <w:rPr>
          <w:rFonts w:ascii="Times New Roman" w:hAnsi="Times New Roman"/>
          <w:b w:val="false"/>
          <w:sz w:val="22"/>
        </w:rPr>
        <w:t>Mr. William Gruver, Audit Committee Chair Mr. Anthony Georgiadis, Chief Financial Officer Green Thumb Industries, Inc.</w:t>
      </w:r>
    </w:p>
    <w:p>
      <w:pPr>
        <w:pStyle w:val="TextBody"/>
        <w:spacing w:lineRule="auto" w:line="273" w:before="1" w:after="0"/>
        <w:jc w:val="left"/>
        <w:rPr>
          <w:rFonts w:ascii="Times New Roman" w:hAnsi="Times New Roman"/>
          <w:b w:val="false"/>
          <w:sz w:val="22"/>
        </w:rPr>
      </w:pPr>
      <w:r>
        <w:rPr>
          <w:rFonts w:ascii="Times New Roman" w:hAnsi="Times New Roman"/>
          <w:b w:val="false"/>
          <w:sz w:val="22"/>
        </w:rPr>
        <w:t>Chicago, IL 60654</w:t>
      </w:r>
    </w:p>
    <w:p>
      <w:pPr>
        <w:pStyle w:val="TextBody"/>
        <w:spacing w:lineRule="auto" w:line="273" w:before="9" w:after="0"/>
        <w:jc w:val="left"/>
        <w:rPr/>
      </w:pPr>
      <w:r>
        <w:rPr/>
        <w:t>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Dear Mr. Gruver and Mr. Georgiadis:</w:t>
      </w:r>
    </w:p>
    <w:p>
      <w:pPr>
        <w:pStyle w:val="TextBody"/>
        <w:spacing w:lineRule="auto" w:line="273" w:before="9" w:after="0"/>
        <w:jc w:val="left"/>
        <w:rPr/>
      </w:pPr>
      <w:r>
        <w:rPr/>
        <w:t> </w:t>
      </w:r>
    </w:p>
    <w:p>
      <w:pPr>
        <w:pStyle w:val="TextBody"/>
        <w:spacing w:lineRule="auto" w:line="276" w:before="1" w:after="0"/>
        <w:jc w:val="left"/>
        <w:rPr>
          <w:rFonts w:ascii="Times New Roman" w:hAnsi="Times New Roman"/>
          <w:b w:val="false"/>
          <w:sz w:val="22"/>
        </w:rPr>
      </w:pPr>
      <w:r>
        <w:rPr>
          <w:rFonts w:ascii="Times New Roman" w:hAnsi="Times New Roman"/>
          <w:b w:val="false"/>
          <w:sz w:val="22"/>
        </w:rPr>
        <w:t>This is to confirm that the client-auditor relationship between Green Thumb Industries, Inc. (Commission File Number 000-56132) and Macias Gini &amp; O’Connell, LLP has ceased.</w:t>
      </w:r>
    </w:p>
    <w:p>
      <w:pPr>
        <w:pStyle w:val="TextBody"/>
        <w:spacing w:lineRule="auto" w:line="273" w:before="5" w:after="0"/>
        <w:jc w:val="left"/>
        <w:rPr/>
      </w:pPr>
      <w:r>
        <w:rPr/>
        <w:t> </w:t>
      </w:r>
    </w:p>
    <w:p>
      <w:pPr>
        <w:pStyle w:val="TextBody"/>
        <w:spacing w:lineRule="auto" w:line="273" w:before="1" w:after="0"/>
        <w:jc w:val="left"/>
        <w:rPr>
          <w:rFonts w:ascii="Times New Roman" w:hAnsi="Times New Roman"/>
          <w:b w:val="false"/>
          <w:sz w:val="22"/>
        </w:rPr>
      </w:pPr>
      <w:r>
        <w:rPr>
          <w:rFonts w:ascii="Times New Roman" w:hAnsi="Times New Roman"/>
          <w:b w:val="false"/>
          <w:sz w:val="22"/>
        </w:rPr>
        <w:t>Sincerely,</w:t>
      </w:r>
    </w:p>
    <w:p>
      <w:pPr>
        <w:pStyle w:val="TextBody"/>
        <w:spacing w:lineRule="auto" w:line="273" w:before="3" w:after="0"/>
        <w:jc w:val="left"/>
        <w:rPr/>
      </w:pPr>
      <w:r>
        <w:rPr/>
        <w:t> </w:t>
      </w:r>
    </w:p>
    <w:p>
      <w:pPr>
        <w:pStyle w:val="TextBody"/>
        <w:spacing w:lineRule="auto" w:line="273" w:before="3" w:after="0"/>
        <w:jc w:val="left"/>
        <w:rPr/>
      </w:pPr>
      <w:r>
        <w:rPr/>
        <w:drawing>
          <wp:inline distT="0" distB="0" distL="0" distR="0">
            <wp:extent cx="2990850" cy="41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2"/>
                    <a:stretch>
                      <a:fillRect/>
                    </a:stretch>
                  </pic:blipFill>
                  <pic:spPr bwMode="auto">
                    <a:xfrm>
                      <a:off x="0" y="0"/>
                      <a:ext cx="2990850" cy="419100"/>
                    </a:xfrm>
                    <a:prstGeom prst="rect">
                      <a:avLst/>
                    </a:prstGeom>
                  </pic:spPr>
                </pic:pic>
              </a:graphicData>
            </a:graphic>
          </wp:inline>
        </w:drawing>
      </w: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12"/>
        </w:rPr>
        <w:t>Macias Gini &amp; O’Connell LLP</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Arial" w:hAnsi="Arial"/>
          <w:b w:val="false"/>
          <w:sz w:val="12"/>
        </w:rPr>
        <w:t>101 California Street, Suite 3910</w:t>
      </w:r>
      <w:r>
        <w:rPr>
          <w:rFonts w:ascii="Times New Roman" w:hAnsi="Times New Roman"/>
          <w:sz w:val="20"/>
        </w:rPr>
        <w:t xml:space="preserve"> </w:t>
      </w:r>
    </w:p>
    <w:p>
      <w:pPr>
        <w:pStyle w:val="TextBody"/>
        <w:spacing w:lineRule="auto" w:line="273" w:before="0" w:after="0"/>
        <w:jc w:val="left"/>
        <w:rPr>
          <w:rFonts w:ascii="Arial" w:hAnsi="Arial"/>
          <w:b w:val="false"/>
          <w:sz w:val="12"/>
        </w:rPr>
      </w:pPr>
      <w:r>
        <w:rPr>
          <w:rFonts w:ascii="Arial" w:hAnsi="Arial"/>
          <w:b w:val="false"/>
          <w:sz w:val="12"/>
        </w:rPr>
        <w:t>San Francisco, CA 94111 www.mgocpa.com</w:t>
      </w:r>
    </w:p>
    <w:p>
      <w:pPr>
        <w:pStyle w:val="TextBody"/>
        <w:spacing w:lineRule="auto" w:line="273" w:before="0" w:after="0"/>
        <w:jc w:val="righ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Calibri" w:hAnsi="Calibri"/>
          <w:b w:val="false"/>
          <w:sz w:val="22"/>
        </w:rPr>
      </w:pPr>
      <w:bookmarkStart w:id="40" w:name="gtbif-ex21_1.htm"/>
      <w:bookmarkStart w:id="41" w:name="ksgtbifex21_1"/>
      <w:bookmarkEnd w:id="40"/>
      <w:bookmarkEnd w:id="41"/>
      <w:r>
        <w:rPr>
          <w:rFonts w:ascii="Calibri" w:hAnsi="Calibri"/>
          <w:b w:val="false"/>
          <w:sz w:val="22"/>
        </w:rPr>
        <w:t>Exhibit 21.1</w:t>
      </w:r>
    </w:p>
    <w:p>
      <w:pPr>
        <w:pStyle w:val="TextBody"/>
        <w:spacing w:lineRule="auto" w:line="273" w:before="240" w:after="0"/>
        <w:jc w:val="center"/>
        <w:rPr>
          <w:rFonts w:ascii="Times New Roman" w:hAnsi="Times New Roman"/>
          <w:b/>
          <w:sz w:val="20"/>
        </w:rPr>
      </w:pPr>
      <w:r>
        <w:rPr>
          <w:rFonts w:ascii="Times New Roman" w:hAnsi="Times New Roman"/>
          <w:b/>
          <w:sz w:val="20"/>
        </w:rPr>
        <w:t>List of Subsidiaries of Green Thumb Industries Inc.</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874"/>
        <w:gridCol w:w="146"/>
        <w:gridCol w:w="1646"/>
        <w:gridCol w:w="146"/>
        <w:gridCol w:w="2569"/>
        <w:gridCol w:w="146"/>
        <w:gridCol w:w="2311"/>
        <w:gridCol w:w="146"/>
        <w:gridCol w:w="1221"/>
      </w:tblGrid>
      <w:tr>
        <w:trPr/>
        <w:tc>
          <w:tcPr>
            <w:tcW w:w="18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187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left"/>
              <w:rPr/>
            </w:pPr>
            <w:r>
              <w:rPr/>
              <w:t> </w:t>
            </w:r>
          </w:p>
        </w:tc>
      </w:tr>
      <w:tr>
        <w:trPr/>
        <w:tc>
          <w:tcPr>
            <w:tcW w:w="1874" w:type="dxa"/>
            <w:tcBorders>
              <w:bottom w:val="single" w:sz="8" w:space="0" w:color="000000"/>
            </w:tcBorders>
            <w:shd w:fill="auto" w:val="clear"/>
            <w:tcMar>
              <w:top w:w="0" w:type="dxa"/>
              <w:left w:w="0" w:type="dxa"/>
              <w:right w:w="0" w:type="dxa"/>
            </w:tcMar>
            <w:vAlign w:val="center"/>
          </w:tcPr>
          <w:p>
            <w:pPr>
              <w:pStyle w:val="TableContents"/>
              <w:spacing w:lineRule="auto" w:line="252" w:before="0" w:after="20"/>
              <w:ind w:left="0" w:right="0" w:hanging="0"/>
              <w:jc w:val="left"/>
              <w:rPr>
                <w:rFonts w:ascii="Times New Roman" w:hAnsi="Times New Roman"/>
                <w:b/>
                <w:sz w:val="16"/>
              </w:rPr>
            </w:pPr>
            <w:r>
              <w:rPr>
                <w:rFonts w:ascii="Times New Roman" w:hAnsi="Times New Roman"/>
                <w:b/>
                <w:sz w:val="16"/>
              </w:rPr>
              <w:t>Entity Name</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20"/>
              <w:ind w:left="0" w:right="0" w:hanging="0"/>
              <w:jc w:val="center"/>
              <w:rPr>
                <w:rFonts w:ascii="Times New Roman" w:hAnsi="Times New Roman"/>
                <w:b/>
                <w:sz w:val="16"/>
              </w:rPr>
            </w:pPr>
            <w:r>
              <w:rPr>
                <w:rFonts w:ascii="Times New Roman" w:hAnsi="Times New Roman"/>
                <w:b/>
                <w:sz w:val="16"/>
              </w:rPr>
              <w:t>Formation</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569" w:type="dxa"/>
            <w:tcBorders>
              <w:bottom w:val="single" w:sz="8" w:space="0" w:color="000000"/>
            </w:tcBorders>
            <w:shd w:fill="auto" w:val="clear"/>
            <w:tcMar>
              <w:top w:w="0" w:type="dxa"/>
              <w:left w:w="0" w:type="dxa"/>
              <w:right w:w="0" w:type="dxa"/>
            </w:tcMar>
            <w:vAlign w:val="center"/>
          </w:tcPr>
          <w:p>
            <w:pPr>
              <w:pStyle w:val="TableContents"/>
              <w:spacing w:lineRule="auto" w:line="252" w:before="0" w:after="20"/>
              <w:ind w:left="0" w:right="0" w:hanging="0"/>
              <w:jc w:val="center"/>
              <w:rPr>
                <w:rFonts w:ascii="Times New Roman" w:hAnsi="Times New Roman"/>
                <w:b/>
                <w:sz w:val="16"/>
              </w:rPr>
            </w:pPr>
            <w:r>
              <w:rPr>
                <w:rFonts w:ascii="Times New Roman" w:hAnsi="Times New Roman"/>
                <w:b/>
                <w:sz w:val="16"/>
              </w:rPr>
              <w:t>Formation Date</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1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Corporate</w:t>
            </w:r>
          </w:p>
          <w:p>
            <w:pPr>
              <w:pStyle w:val="TableContents"/>
              <w:spacing w:lineRule="auto" w:line="252" w:before="0" w:after="20"/>
              <w:ind w:left="0" w:right="0" w:hanging="0"/>
              <w:jc w:val="center"/>
              <w:rPr>
                <w:rFonts w:ascii="Times New Roman" w:hAnsi="Times New Roman"/>
                <w:b/>
                <w:sz w:val="16"/>
              </w:rPr>
            </w:pPr>
            <w:r>
              <w:rPr>
                <w:rFonts w:ascii="Times New Roman" w:hAnsi="Times New Roman"/>
                <w:b/>
                <w:sz w:val="16"/>
              </w:rPr>
              <w:t>Structure</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2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20"/>
              <w:ind w:left="0" w:right="0" w:hanging="0"/>
              <w:jc w:val="center"/>
              <w:rPr>
                <w:rFonts w:ascii="Times New Roman" w:hAnsi="Times New Roman"/>
                <w:b/>
                <w:sz w:val="16"/>
              </w:rPr>
            </w:pPr>
            <w:r>
              <w:rPr>
                <w:rFonts w:ascii="Times New Roman" w:hAnsi="Times New Roman"/>
                <w:b/>
                <w:sz w:val="16"/>
              </w:rPr>
              <w:t>GTI Ownership</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Green Thumb Industries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British Columbia, Canada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June 26, 1979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Parent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N/A</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GTI23,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10,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U.S. Parent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VCP23,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November 27,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Owns GTI Core,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Vision Management Services,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November 11, 2016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Provides Management Services to GTI-</w:t>
            </w:r>
          </w:p>
          <w:p>
            <w:pPr>
              <w:pStyle w:val="TableContents"/>
              <w:spacing w:lineRule="auto" w:line="252" w:before="0" w:after="20"/>
              <w:ind w:left="0" w:right="0" w:hanging="0"/>
              <w:jc w:val="left"/>
              <w:rPr>
                <w:rFonts w:ascii="Times New Roman" w:hAnsi="Times New Roman"/>
                <w:b w:val="false"/>
                <w:sz w:val="20"/>
              </w:rPr>
            </w:pPr>
            <w:r>
              <w:rPr>
                <w:rFonts w:ascii="Times New Roman" w:hAnsi="Times New Roman"/>
                <w:b w:val="false"/>
                <w:sz w:val="20"/>
              </w:rPr>
              <w:t>Related Businesses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VCP Real Estate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December 4,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Certain GTI-Owned Real Estate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VCP IP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December 4,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Certain GTI-Owned Intellectual Property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TWD18,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June 1,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Certain GTI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Core,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21,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Owns GTI’s Interest in State-Licensed Businesses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GTI-Clinic Illinois Holdings,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Illinois,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June 26, 2014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Owns GTI’s Illinois Licensed Entities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Maryland,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Maryland,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April 30, 2015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Maryland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JB17,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July 26,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Management Services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Pennsylvania,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Pennsylvania,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August 30, 2016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Pennsylvania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Nevada,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Nevada,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January 21, 2016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Nevada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RISE Holdings,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Massachusetts,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April 25, 2018 (Converted from Massachusetts Non-Profit)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Massachusetts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Ohio Investors 2017,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Ohio,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June 22,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Ohio Joint Venture Entity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99% Class A Units;</w:t>
              <w:br/>
              <w:t>40% Class G Units</w:t>
            </w:r>
          </w:p>
        </w:tc>
      </w:tr>
      <w:tr>
        <w:trPr/>
        <w:tc>
          <w:tcPr>
            <w:tcW w:w="18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Ohio,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Ohio,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April 7,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Ohio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bl>
    <w:p>
      <w:pPr>
        <w:pStyle w:val="TextBody"/>
        <w:pBdr>
          <w:bottom w:val="single" w:sz="6" w:space="1" w:color="000000"/>
        </w:pBdr>
        <w:spacing w:lineRule="atLeast" w:line="141"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Calibri" w:hAnsi="Calibri"/>
          <w:b w:val="false"/>
          <w:sz w:val="22"/>
        </w:rPr>
      </w:pPr>
      <w:r>
        <w:rPr>
          <w:rFonts w:ascii="Calibri" w:hAnsi="Calibri"/>
          <w:b w:val="false"/>
          <w:sz w:val="22"/>
        </w:rPr>
        <w:t>1</w:t>
      </w:r>
    </w:p>
    <w:p>
      <w:pPr>
        <w:pStyle w:val="TextBody"/>
        <w:spacing w:lineRule="auto" w:line="273" w:before="0" w:after="0"/>
        <w:jc w:val="left"/>
        <w:rPr/>
      </w:pPr>
      <w:r>
        <w:rPr/>
        <w:t> </w:t>
      </w:r>
    </w:p>
    <w:p>
      <w:pPr>
        <w:pStyle w:val="HorizontalLine"/>
        <w:rPr/>
      </w:pPr>
      <w:r>
        <w:rPr/>
      </w:r>
    </w:p>
    <w:p>
      <w:pPr>
        <w:pStyle w:val="TextBody"/>
        <w:spacing w:lineRule="auto" w:line="273" w:before="0" w:after="0"/>
        <w:jc w:val="right"/>
        <w:rPr>
          <w:rFonts w:ascii="Calibri" w:hAnsi="Calibri"/>
          <w:b w:val="false"/>
          <w:sz w:val="22"/>
        </w:rPr>
      </w:pPr>
      <w:r>
        <w:rPr>
          <w:rFonts w:ascii="Calibri" w:hAnsi="Calibri"/>
          <w:b w:val="false"/>
          <w:sz w:val="22"/>
        </w:rPr>
        <w:t>Exhibit 21.1</w:t>
      </w:r>
    </w:p>
    <w:tbl>
      <w:tblPr>
        <w:tblW w:w="10205" w:type="dxa"/>
        <w:jc w:val="left"/>
        <w:tblInd w:w="0" w:type="dxa"/>
        <w:tblCellMar>
          <w:top w:w="28" w:type="dxa"/>
          <w:left w:w="28" w:type="dxa"/>
          <w:bottom w:w="28" w:type="dxa"/>
          <w:right w:w="28" w:type="dxa"/>
        </w:tblCellMar>
      </w:tblPr>
      <w:tblGrid>
        <w:gridCol w:w="2689"/>
        <w:gridCol w:w="146"/>
        <w:gridCol w:w="1646"/>
        <w:gridCol w:w="146"/>
        <w:gridCol w:w="1493"/>
        <w:gridCol w:w="146"/>
        <w:gridCol w:w="3162"/>
        <w:gridCol w:w="146"/>
        <w:gridCol w:w="631"/>
      </w:tblGrid>
      <w:tr>
        <w:trPr/>
        <w:tc>
          <w:tcPr>
            <w:tcW w:w="26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2689"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left"/>
              <w:rPr/>
            </w:pPr>
            <w:r>
              <w:rPr/>
              <w:t> </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New Jersey,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New Jersey,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April 19,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New Jersey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Advanced Grow Labs,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Connecticut,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July 31, 2012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Connecticut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Bluepoint Apothecary,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Connecticut,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July 26, 2013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Connecticut Bluepoint License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Integral Associates,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Nevada,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April 9, 2014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Integral Nevada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Integral Associates CA,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California,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3,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Integral California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For Success Holdings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Delaware,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April 20, 2015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Beboe-Related Companies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Florida,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July 26, 2017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 Holding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KSGNF,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Florida,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August 9, 2012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Florida License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Fiorello Pharmaceuticals, Inc.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New York,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27, 2014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New York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Virginia,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Virginia,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May 4,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Virginia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GTI Rhode Island,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Rhode Island,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January 15,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Rhode Island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r>
        <w:trPr/>
        <w:tc>
          <w:tcPr>
            <w:tcW w:w="26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LeafLine Industries,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Minnesota, USA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9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August 27, 2014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Holds Minnesota Licenses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100%</w:t>
            </w:r>
          </w:p>
        </w:tc>
      </w:tr>
    </w:tbl>
    <w:p>
      <w:pPr>
        <w:pStyle w:val="TextBody"/>
        <w:spacing w:lineRule="auto" w:line="297" w:before="0" w:after="160"/>
        <w:jc w:val="left"/>
        <w:rPr/>
      </w:pPr>
      <w:r>
        <w:rPr/>
        <w:t> </w:t>
      </w:r>
    </w:p>
    <w:p>
      <w:pPr>
        <w:pStyle w:val="TextBody"/>
        <w:spacing w:lineRule="auto" w:line="273" w:before="0" w:after="0"/>
        <w:jc w:val="center"/>
        <w:rPr>
          <w:rFonts w:ascii="Calibri" w:hAnsi="Calibri"/>
          <w:b w:val="false"/>
          <w:sz w:val="22"/>
        </w:rPr>
      </w:pPr>
      <w:r>
        <w:rPr>
          <w:rFonts w:ascii="Calibri" w:hAnsi="Calibri"/>
          <w:b w:val="false"/>
          <w:sz w:val="22"/>
        </w:rPr>
        <w:t>2</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42" w:name="gtbif-ex23_1.htm"/>
      <w:bookmarkStart w:id="43" w:name="ksgtbifex23_1"/>
      <w:bookmarkEnd w:id="42"/>
      <w:bookmarkEnd w:id="43"/>
      <w:r>
        <w:rPr/>
        <w:t> </w:t>
      </w:r>
    </w:p>
    <w:p>
      <w:pPr>
        <w:pStyle w:val="TextBody"/>
        <w:spacing w:lineRule="auto" w:line="273" w:before="0" w:after="0"/>
        <w:jc w:val="right"/>
        <w:rPr>
          <w:rFonts w:ascii="Arial" w:hAnsi="Arial"/>
          <w:b/>
          <w:sz w:val="20"/>
        </w:rPr>
      </w:pPr>
      <w:r>
        <w:rPr>
          <w:rFonts w:ascii="Arial" w:hAnsi="Arial"/>
          <w:b/>
          <w:sz w:val="20"/>
        </w:rPr>
        <w:t>Exhibit 23.1</w:t>
      </w:r>
    </w:p>
    <w:p>
      <w:pPr>
        <w:pStyle w:val="TextBody"/>
        <w:spacing w:lineRule="auto" w:line="273" w:before="288" w:after="0"/>
        <w:jc w:val="center"/>
        <w:rPr>
          <w:rFonts w:ascii="Arial" w:hAnsi="Arial"/>
          <w:b/>
          <w:sz w:val="20"/>
        </w:rPr>
      </w:pPr>
      <w:r>
        <w:rPr>
          <w:rFonts w:ascii="Arial" w:hAnsi="Arial"/>
          <w:b/>
          <w:sz w:val="20"/>
        </w:rPr>
        <w:t>CONSENT OF INDEPENDENT REGISTERED PUBLIC ACCOUNTING FIRM</w:t>
      </w:r>
    </w:p>
    <w:p>
      <w:pPr>
        <w:pStyle w:val="TextBody"/>
        <w:spacing w:lineRule="auto" w:line="273" w:before="0" w:after="0"/>
        <w:jc w:val="left"/>
        <w:rPr/>
      </w:pPr>
      <w:r>
        <w:rPr/>
        <w:t> </w:t>
      </w:r>
    </w:p>
    <w:p>
      <w:pPr>
        <w:pStyle w:val="TextBody"/>
        <w:spacing w:lineRule="auto" w:line="273" w:before="288" w:after="0"/>
        <w:jc w:val="left"/>
        <w:rPr>
          <w:rFonts w:ascii="Times New Roman" w:hAnsi="Times New Roman"/>
          <w:sz w:val="20"/>
        </w:rPr>
      </w:pPr>
      <w:r>
        <w:rPr>
          <w:rFonts w:ascii="Arial" w:hAnsi="Arial"/>
          <w:b w:val="false"/>
          <w:sz w:val="20"/>
        </w:rPr>
        <w:t>We consent to the incorporation by reference in the Registration Statements on Form S</w:t>
        <w:noBreakHyphen/>
        <w:t>3ASR (File No. 333</w:t>
        <w:noBreakHyphen/>
        <w:t>254745) and Form S</w:t>
        <w:noBreakHyphen/>
        <w:t>8 (File No. 333</w:t>
        <w:noBreakHyphen/>
        <w:t>236522) of Green Thumb Industries, Inc. of our report dated</w:t>
      </w:r>
      <w:r>
        <w:rPr>
          <w:rFonts w:ascii="Times New Roman" w:hAnsi="Times New Roman"/>
          <w:sz w:val="20"/>
        </w:rPr>
        <w:t xml:space="preserve"> </w:t>
      </w:r>
      <w:r>
        <w:rPr>
          <w:rFonts w:ascii="Arial" w:hAnsi="Arial"/>
          <w:b w:val="false"/>
          <w:sz w:val="20"/>
        </w:rPr>
        <w:t>March 1, 2022, relating to the consolidated financial statements and the effectiveness of internal control over financial reporting, which appears in this annual report on Form 10</w:t>
        <w:noBreakHyphen/>
        <w:t>K for the year ended December 31, 2021.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/s/ BAKER TILLY US, LLP</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Arial" w:hAnsi="Arial"/>
          <w:b w:val="false"/>
          <w:sz w:val="20"/>
        </w:rPr>
      </w:pPr>
      <w:r>
        <w:rPr>
          <w:rFonts w:ascii="Arial" w:hAnsi="Arial"/>
          <w:b w:val="false"/>
          <w:sz w:val="20"/>
        </w:rPr>
        <w:t>Chicago, Illinois</w:t>
      </w:r>
    </w:p>
    <w:p>
      <w:pPr>
        <w:pStyle w:val="TextBody"/>
        <w:spacing w:lineRule="auto" w:line="273" w:before="0" w:after="0"/>
        <w:jc w:val="left"/>
        <w:rPr>
          <w:rFonts w:ascii="Arial" w:hAnsi="Arial"/>
          <w:b w:val="false"/>
          <w:sz w:val="20"/>
        </w:rPr>
      </w:pPr>
      <w:r>
        <w:rPr>
          <w:rFonts w:ascii="Arial" w:hAnsi="Arial"/>
          <w:b w:val="false"/>
          <w:sz w:val="20"/>
        </w:rPr>
        <w:t>March 1, 2022</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44" w:name="gtbif-ex23_2.htm"/>
      <w:bookmarkStart w:id="45" w:name="ksgtbifex23_2"/>
      <w:bookmarkEnd w:id="44"/>
      <w:bookmarkEnd w:id="45"/>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23.2</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We consent to the incorporation by reference in the Registration Statements of Green Thumb Industries Inc. on Form S</w:t>
        <w:softHyphen/>
        <w:t>8 (No. 333-236522) and on Form S-3 (No. 333-254745) of our report dated March 18, 2021, relating to our audit of the consolidated financial statements of Green Thumb industries Inc. as of December 31, 2020 and for each of the years in the two year period ended December 31, 2020 included in this Annual Report on Form 10-K filed with the U.S. Securities and Exchange Commission on March 1, 2022.</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/s/ Macias Gini &amp; O’Connell LLP</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316" w:before="0" w:after="0"/>
        <w:jc w:val="both"/>
        <w:rPr>
          <w:rFonts w:ascii="Times New Roman" w:hAnsi="Times New Roman"/>
          <w:sz w:val="20"/>
        </w:rPr>
      </w:pPr>
      <w:r>
        <w:rPr>
          <w:rFonts w:ascii="Times New Roman" w:hAnsi="Times New Roman"/>
          <w:b w:val="false"/>
          <w:sz w:val="20"/>
        </w:rPr>
        <w:t>Macias Gini &amp; O’Connell LLP</w:t>
      </w:r>
      <w:r>
        <w:rPr>
          <w:rFonts w:ascii="Times New Roman" w:hAnsi="Times New Roman"/>
          <w:sz w:val="20"/>
        </w:rPr>
        <w:t xml:space="preserve"> </w:t>
      </w:r>
    </w:p>
    <w:p>
      <w:pPr>
        <w:pStyle w:val="TextBody"/>
        <w:spacing w:lineRule="auto" w:line="316" w:before="0" w:after="0"/>
        <w:jc w:val="left"/>
        <w:rPr>
          <w:rFonts w:ascii="Times New Roman" w:hAnsi="Times New Roman"/>
          <w:b w:val="false"/>
          <w:sz w:val="20"/>
        </w:rPr>
      </w:pPr>
      <w:r>
        <w:rPr>
          <w:rFonts w:ascii="Times New Roman" w:hAnsi="Times New Roman"/>
          <w:b w:val="false"/>
          <w:sz w:val="20"/>
        </w:rPr>
        <w:t>San Francisco, California</w:t>
      </w:r>
    </w:p>
    <w:p>
      <w:pPr>
        <w:pStyle w:val="TextBody"/>
        <w:spacing w:lineRule="auto" w:line="316" w:before="0" w:after="0"/>
        <w:jc w:val="left"/>
        <w:rPr>
          <w:rFonts w:ascii="Times New Roman" w:hAnsi="Times New Roman"/>
          <w:b w:val="false"/>
          <w:sz w:val="20"/>
        </w:rPr>
      </w:pPr>
      <w:r>
        <w:rPr>
          <w:rFonts w:ascii="Times New Roman" w:hAnsi="Times New Roman"/>
          <w:b w:val="false"/>
          <w:sz w:val="20"/>
        </w:rPr>
        <w:t>March 1, 2022</w:t>
      </w:r>
    </w:p>
    <w:p>
      <w:pPr>
        <w:pStyle w:val="TextBody"/>
        <w:spacing w:lineRule="auto" w:line="316" w:before="0" w:after="20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sz w:val="20"/>
        </w:rPr>
      </w:pPr>
      <w:bookmarkStart w:id="46" w:name="gtbif-ex31_1.htm"/>
      <w:bookmarkStart w:id="47" w:name="ksgtbifex31_1"/>
      <w:bookmarkEnd w:id="46"/>
      <w:bookmarkEnd w:id="47"/>
      <w:r>
        <w:rPr>
          <w:rFonts w:ascii="Times New Roman" w:hAnsi="Times New Roman"/>
          <w:b/>
          <w:sz w:val="20"/>
        </w:rPr>
        <w:t>Exhibit 31.1</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r>
        <w:rPr>
          <w:rFonts w:ascii="Times New Roman" w:hAnsi="Times New Roman"/>
          <w:b/>
          <w:sz w:val="20"/>
        </w:rPr>
        <w:t>CERTIFICATE OF CHIEF EXECUTIVE OFFICER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 Benjamin Kovler, certify that:</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 have reviewed this Annual Report on Form 10-K of Green Thumb Industries Inc.;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any fraud, whether or not material, that involves management or other employees who have a significant role in the registrant’s internal control over financial reporting. </w:t>
      </w:r>
    </w:p>
    <w:p>
      <w:pPr>
        <w:pStyle w:val="TextBody"/>
        <w:spacing w:lineRule="auto" w:line="273" w:before="0" w:after="0"/>
        <w:jc w:val="left"/>
        <w:rPr/>
      </w:pPr>
      <w:r>
        <w:rPr/>
        <w:t>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GREEN THUMB INDUSTRIES INC.</w:t>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/s/Benjamin Kovler</w:t>
            </w:r>
          </w:p>
          <w:p>
            <w:pPr>
              <w:pStyle w:val="TableContents"/>
              <w:spacing w:lineRule="auto" w:line="252" w:before="2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 Benjamin Kovler</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Title: Chief Executive Officer</w:t>
            </w:r>
          </w:p>
        </w:tc>
      </w:tr>
    </w:tbl>
    <w:p>
      <w:pPr>
        <w:pStyle w:val="TextBody"/>
        <w:spacing w:lineRule="auto" w:line="273" w:before="240" w:after="0"/>
        <w:jc w:val="left"/>
        <w:rPr>
          <w:rFonts w:ascii="Times New Roman" w:hAnsi="Times New Roman"/>
          <w:sz w:val="20"/>
        </w:rPr>
      </w:pPr>
      <w:r>
        <w:rPr>
          <w:rFonts w:ascii="Times New Roman" w:hAnsi="Times New Roman"/>
          <w:b w:val="false"/>
          <w:sz w:val="20"/>
        </w:rPr>
        <w:t>Date: March 1, 2022</w:t>
      </w:r>
      <w:r>
        <w:rPr>
          <w:rFonts w:ascii="Times New Roman" w:hAnsi="Times New Roman"/>
          <w:sz w:val="20"/>
        </w:rPr>
        <w:t xml:space="preserve"> </w:t>
      </w:r>
    </w:p>
    <w:p>
      <w:pPr>
        <w:pStyle w:val="HorizontalLine"/>
        <w:rPr/>
      </w:pPr>
      <w:r>
        <w:rPr/>
      </w:r>
      <w:r>
        <w:br w:type="page"/>
      </w:r>
    </w:p>
    <w:p>
      <w:pPr>
        <w:pStyle w:val="TextBody"/>
        <w:spacing w:lineRule="auto" w:line="273" w:before="0" w:after="0"/>
        <w:jc w:val="right"/>
        <w:rPr>
          <w:rFonts w:ascii="Times New Roman" w:hAnsi="Times New Roman"/>
          <w:sz w:val="20"/>
        </w:rPr>
      </w:pPr>
      <w:bookmarkStart w:id="48" w:name="gtbif-ex31_2.htm"/>
      <w:bookmarkStart w:id="49" w:name="ksgtbifex31_2"/>
      <w:bookmarkEnd w:id="48"/>
      <w:bookmarkEnd w:id="49"/>
      <w:r>
        <w:rPr>
          <w:rFonts w:ascii="Times New Roman" w:hAnsi="Times New Roman"/>
          <w:b/>
          <w:sz w:val="20"/>
        </w:rPr>
        <w:t>Exhibit 31.2</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r>
        <w:rPr>
          <w:rFonts w:ascii="Times New Roman" w:hAnsi="Times New Roman"/>
          <w:b/>
          <w:sz w:val="20"/>
        </w:rPr>
        <w:t>CERTIFICATE OF CHIEF FINANCIAL OFFICER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 Anthony Georgiadis, certify that:</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 have reviewed this Annual Report on Form 10-K of Green Thumb Industries Inc.;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any fraud, whether or not material, that involves management or other employees who have a significant role in the registrant’s internal control over financial reporting. </w:t>
      </w:r>
    </w:p>
    <w:p>
      <w:pPr>
        <w:pStyle w:val="TextBody"/>
        <w:spacing w:lineRule="auto" w:line="273" w:before="0" w:after="0"/>
        <w:jc w:val="left"/>
        <w:rPr/>
      </w:pPr>
      <w:r>
        <w:rPr/>
        <w:t>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GREEN THUMB INDUSTRIES INC.</w:t>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/s/Anthony Georgiadis</w:t>
            </w:r>
          </w:p>
          <w:p>
            <w:pPr>
              <w:pStyle w:val="TableContents"/>
              <w:spacing w:lineRule="auto" w:line="252" w:before="2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 Anthony Georgiadis</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Title: Chief Financial Officer</w:t>
            </w:r>
          </w:p>
        </w:tc>
      </w:tr>
    </w:tbl>
    <w:p>
      <w:pPr>
        <w:pStyle w:val="TextBody"/>
        <w:spacing w:lineRule="auto" w:line="273" w:before="240" w:after="0"/>
        <w:jc w:val="left"/>
        <w:rPr>
          <w:rFonts w:ascii="Times New Roman" w:hAnsi="Times New Roman"/>
          <w:sz w:val="20"/>
        </w:rPr>
      </w:pPr>
      <w:r>
        <w:rPr>
          <w:rFonts w:ascii="Times New Roman" w:hAnsi="Times New Roman"/>
          <w:b w:val="false"/>
          <w:sz w:val="20"/>
        </w:rPr>
        <w:t>Date: March 1, 2022</w:t>
      </w:r>
      <w:r>
        <w:rPr>
          <w:rFonts w:ascii="Times New Roman" w:hAnsi="Times New Roman"/>
          <w:sz w:val="20"/>
        </w:rPr>
        <w:t xml:space="preserve"> </w:t>
      </w:r>
    </w:p>
    <w:p>
      <w:pPr>
        <w:pStyle w:val="HorizontalLine"/>
        <w:rPr/>
      </w:pPr>
      <w:r>
        <w:rPr/>
      </w:r>
      <w:r>
        <w:br w:type="page"/>
      </w:r>
    </w:p>
    <w:p>
      <w:pPr>
        <w:pStyle w:val="TextBody"/>
        <w:spacing w:lineRule="auto" w:line="273" w:before="180" w:after="0"/>
        <w:jc w:val="left"/>
        <w:rPr/>
      </w:pPr>
      <w:bookmarkStart w:id="50" w:name="gtbif-ex32_1.htm"/>
      <w:bookmarkStart w:id="51" w:name="ksgtbifex32_1"/>
      <w:bookmarkEnd w:id="50"/>
      <w:bookmarkEnd w:id="51"/>
      <w:r>
        <w:rPr/>
        <w:t> </w:t>
      </w:r>
    </w:p>
    <w:p>
      <w:pPr>
        <w:pStyle w:val="TextBody"/>
        <w:spacing w:lineRule="auto" w:line="273" w:before="0" w:after="0"/>
        <w:jc w:val="right"/>
        <w:rPr>
          <w:rFonts w:ascii="Times New Roman" w:hAnsi="Times New Roman"/>
          <w:sz w:val="20"/>
        </w:rPr>
      </w:pPr>
      <w:r>
        <w:rPr>
          <w:rFonts w:ascii="Times New Roman" w:hAnsi="Times New Roman"/>
          <w:b/>
          <w:sz w:val="20"/>
        </w:rPr>
        <w:t>Exhibit 32.1</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r>
        <w:rPr>
          <w:rFonts w:ascii="Times New Roman" w:hAnsi="Times New Roman"/>
          <w:b/>
          <w:sz w:val="20"/>
        </w:rPr>
        <w:t>CERTIFICATION PURSUANT TO 18 U.S.C. SECTION 1350, AS ADOPTED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SECTION 906 OF THE SARBANES-OXLEY ACT OF 2002</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connection with the Annual Report of Green Thumb Industries Inc. (the “Company”) on Form 10-K for the fiscal year ended December 31, 2021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spacing w:lineRule="auto" w:line="273" w:before="0" w:after="0"/>
        <w:jc w:val="left"/>
        <w:rPr/>
      </w:pPr>
      <w:r>
        <w:rPr/>
        <w:t>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GREEN THUMB INDUSTRIES INC.</w:t>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/s/Benjamin Kovler</w:t>
            </w:r>
          </w:p>
          <w:p>
            <w:pPr>
              <w:pStyle w:val="TableContents"/>
              <w:spacing w:lineRule="auto" w:line="252" w:before="2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 Benjamin Kovler</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Title: Chief Executive Officer</w:t>
            </w:r>
          </w:p>
        </w:tc>
      </w:tr>
    </w:tbl>
    <w:p>
      <w:pPr>
        <w:pStyle w:val="TextBody"/>
        <w:spacing w:lineRule="auto" w:line="273" w:before="240" w:after="0"/>
        <w:jc w:val="left"/>
        <w:rPr>
          <w:rFonts w:ascii="Times New Roman" w:hAnsi="Times New Roman"/>
          <w:sz w:val="20"/>
        </w:rPr>
      </w:pPr>
      <w:r>
        <w:rPr>
          <w:rFonts w:ascii="Times New Roman" w:hAnsi="Times New Roman"/>
          <w:b w:val="false"/>
          <w:sz w:val="20"/>
        </w:rPr>
        <w:t>Date: March 1, 2022</w:t>
      </w:r>
      <w:r>
        <w:rPr>
          <w:rFonts w:ascii="Times New Roman" w:hAnsi="Times New Roman"/>
          <w:sz w:val="20"/>
        </w:rPr>
        <w:t xml:space="preserve"> </w:t>
      </w:r>
    </w:p>
    <w:p>
      <w:pPr>
        <w:pStyle w:val="HorizontalLine"/>
        <w:rPr/>
      </w:pPr>
      <w:r>
        <w:rPr/>
      </w:r>
      <w:r>
        <w:br w:type="page"/>
      </w:r>
    </w:p>
    <w:p>
      <w:pPr>
        <w:pStyle w:val="TextBody"/>
        <w:spacing w:lineRule="auto" w:line="273" w:before="180" w:after="0"/>
        <w:jc w:val="left"/>
        <w:rPr/>
      </w:pPr>
      <w:bookmarkStart w:id="52" w:name="gtbif-ex32_2.htm"/>
      <w:bookmarkStart w:id="53" w:name="ksgtbifex32_2"/>
      <w:bookmarkEnd w:id="52"/>
      <w:bookmarkEnd w:id="53"/>
      <w:r>
        <w:rPr/>
        <w:t> </w:t>
      </w:r>
    </w:p>
    <w:p>
      <w:pPr>
        <w:pStyle w:val="TextBody"/>
        <w:spacing w:lineRule="auto" w:line="273" w:before="0" w:after="0"/>
        <w:jc w:val="right"/>
        <w:rPr>
          <w:rFonts w:ascii="Times New Roman" w:hAnsi="Times New Roman"/>
          <w:sz w:val="20"/>
        </w:rPr>
      </w:pPr>
      <w:r>
        <w:rPr>
          <w:rFonts w:ascii="Times New Roman" w:hAnsi="Times New Roman"/>
          <w:b/>
          <w:sz w:val="20"/>
        </w:rPr>
        <w:t>Exhibit 32.2</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r>
        <w:rPr>
          <w:rFonts w:ascii="Times New Roman" w:hAnsi="Times New Roman"/>
          <w:b/>
          <w:sz w:val="20"/>
        </w:rPr>
        <w:t>CERTIFICATION PURSUANT TO 18 U.S.C. SECTION 1350, AS ADOPTED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SECTION 906 OF THE SARBANES-OXLEY ACT OF 2002</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connection with the Annual Report of Green Thumb Industries Inc. (the “Company”) on Form 10-K for the fiscal year ended December 31, 2021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r>
        <w:rPr>
          <w:rFonts w:ascii="Times New Roman" w:hAnsi="Times New Roman"/>
          <w:sz w:val="20"/>
        </w:rPr>
        <w:t xml:space="preserve"> </w:t>
      </w:r>
    </w:p>
    <w:p>
      <w:pPr>
        <w:pStyle w:val="TextBody"/>
        <w:spacing w:lineRule="auto" w:line="273" w:before="0" w:after="0"/>
        <w:jc w:val="left"/>
        <w:rPr/>
      </w:pPr>
      <w:r>
        <w:rPr/>
        <w:t> </w:t>
      </w:r>
    </w:p>
    <w:tbl>
      <w:tblPr>
        <w:tblW w:w="3286" w:type="dxa"/>
        <w:jc w:val="left"/>
        <w:tblInd w:w="0" w:type="dxa"/>
        <w:tblCellMar>
          <w:top w:w="28" w:type="dxa"/>
          <w:left w:w="28" w:type="dxa"/>
          <w:bottom w:w="28" w:type="dxa"/>
          <w:right w:w="28" w:type="dxa"/>
        </w:tblCellMar>
      </w:tblPr>
      <w:tblGrid>
        <w:gridCol w:w="3286"/>
      </w:tblGrid>
      <w:tr>
        <w:trPr/>
        <w:tc>
          <w:tcPr>
            <w:tcW w:w="328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GREEN THUMB INDUSTRIES INC.</w:t>
            </w:r>
          </w:p>
        </w:tc>
      </w:tr>
      <w:tr>
        <w:trPr/>
        <w:tc>
          <w:tcPr>
            <w:tcW w:w="3286" w:type="dxa"/>
            <w:tcBorders/>
            <w:shd w:fill="auto" w:val="clear"/>
            <w:vAlign w:val="center"/>
          </w:tcPr>
          <w:p>
            <w:pPr>
              <w:pStyle w:val="TableContents"/>
              <w:spacing w:lineRule="auto" w:line="252" w:before="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/s/Anthony Georgiadis</w:t>
            </w:r>
          </w:p>
          <w:p>
            <w:pPr>
              <w:pStyle w:val="TableContents"/>
              <w:spacing w:lineRule="auto" w:line="252" w:before="20" w:after="0"/>
              <w:ind w:left="0" w:right="0" w:hanging="0"/>
              <w:jc w:val="left"/>
              <w:rPr/>
            </w:pPr>
            <w:r>
              <w:rPr/>
              <w:t> </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 Anthony Georgiadis</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Title: Chief Financial Officer</w:t>
            </w:r>
          </w:p>
        </w:tc>
      </w:tr>
    </w:tbl>
    <w:p>
      <w:pPr>
        <w:pStyle w:val="TextBody"/>
        <w:spacing w:lineRule="auto" w:line="273" w:before="240" w:after="0"/>
        <w:jc w:val="left"/>
        <w:rPr>
          <w:rFonts w:ascii="Times New Roman" w:hAnsi="Times New Roman"/>
          <w:sz w:val="20"/>
        </w:rPr>
      </w:pPr>
      <w:r>
        <w:rPr>
          <w:rFonts w:ascii="Times New Roman" w:hAnsi="Times New Roman"/>
          <w:b w:val="false"/>
          <w:sz w:val="20"/>
        </w:rPr>
        <w:t>Date: March 1, 2022</w:t>
      </w:r>
      <w:r>
        <w:rPr>
          <w:rFonts w:ascii="Times New Roman" w:hAnsi="Times New Roman"/>
          <w:sz w:val="20"/>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0001795139/000119312519320787/d845813dex31.htm" TargetMode="External"/><Relationship Id="rId7" Type="http://schemas.openxmlformats.org/officeDocument/2006/relationships/hyperlink" Target="https://www.sec.gov/Archives/edgar/data/0001795139/000119312519320787/d845813dex41.htm" TargetMode="External"/><Relationship Id="rId8" Type="http://schemas.openxmlformats.org/officeDocument/2006/relationships/hyperlink" Target="https://www.sec.gov/Archives/edgar/data/0001795139/000119312519320787/d845813dex101.htm" TargetMode="External"/><Relationship Id="rId9" Type="http://schemas.openxmlformats.org/officeDocument/2006/relationships/hyperlink" Target="https://www.sec.gov/Archives/edgar/data/0001795139/000119312519320787/d845813dex102.htm" TargetMode="External"/><Relationship Id="rId10" Type="http://schemas.openxmlformats.org/officeDocument/2006/relationships/hyperlink" Target="https://www.sec.gov/Archives/edgar/data/0001795139/000119312519320787/d845813dex103.htm" TargetMode="External"/><Relationship Id="rId11" Type="http://schemas.openxmlformats.org/officeDocument/2006/relationships/hyperlink" Target="https://www.sec.gov/Archives/edgar/data/0001795139/000119312519320787/d845813dex104.htm" TargetMode="External"/><Relationship Id="rId12" Type="http://schemas.openxmlformats.org/officeDocument/2006/relationships/hyperlink" Target="https://www.sec.gov/Archives/edgar/data/0001795139/000119312519320787/d845813dex105.htm" TargetMode="External"/><Relationship Id="rId13" Type="http://schemas.openxmlformats.org/officeDocument/2006/relationships/hyperlink" Target="https://www.sec.gov/Archives/edgar/data/1795139/000119312521152714/d334570dex101.htm" TargetMode="External"/><Relationship Id="rId14" Type="http://schemas.openxmlformats.org/officeDocument/2006/relationships/hyperlink" Target="https://www.sec.gov/Archives/edgar/data/0001795139/000119312519320787/d845813dex108.htm" TargetMode="External"/><Relationship Id="rId15" Type="http://schemas.openxmlformats.org/officeDocument/2006/relationships/hyperlink" Target="https://www.sec.gov/Archives/edgar/data/0001795139/000119312519320787/d845813dex109.htm" TargetMode="External"/><Relationship Id="rId16" Type="http://schemas.openxmlformats.org/officeDocument/2006/relationships/hyperlink" Target="https://www.sec.gov/Archives/edgar/data/0001795139/000119312519320787/d845813dex1010.htm" TargetMode="External"/><Relationship Id="rId17" Type="http://schemas.openxmlformats.org/officeDocument/2006/relationships/hyperlink" Target="https://www.sec.gov/Archives/edgar/data/0001795139/000119312519320787/d845813dex1010.htm" TargetMode="External"/><Relationship Id="rId18" Type="http://schemas.openxmlformats.org/officeDocument/2006/relationships/hyperlink" Target="https://www.sec.gov/Archives/edgar/data/0001795139/000119312519320787/d845813dex1012.htm" TargetMode="External"/><Relationship Id="rId19" Type="http://schemas.openxmlformats.org/officeDocument/2006/relationships/hyperlink" Target="https://www.sec.gov/Archives/edgar/data/0001795139/000119312521084882/d113558dex1013.htm" TargetMode="External"/><Relationship Id="rId20" Type="http://schemas.openxmlformats.org/officeDocument/2006/relationships/hyperlink" Target="https://www.sec.gov/Archives/edgar/data/0001795139/000119312521162641/d174526dex161.htm" TargetMode="External"/><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73186</Words>
  <CharactersWithSpaces>491700</CharactersWithSpaces>
  <Paragraphs>13153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