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62023_090916.xml.htm"/>
      <w:bookmarkStart w:id="1" w:name="ksform409262023_0909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Kovler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19"/>
        <w:gridCol w:w="790"/>
        <w:gridCol w:w="610"/>
        <w:gridCol w:w="334"/>
        <w:gridCol w:w="1202"/>
        <w:gridCol w:w="404"/>
        <w:gridCol w:w="571"/>
        <w:gridCol w:w="1124"/>
        <w:gridCol w:w="944"/>
        <w:gridCol w:w="12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62,612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Multiple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Multiple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158,130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80,642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Outsiders Capital LLC</w:t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BK 2021 Descendant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conversion of Super Voting Shares into Multiple Voting Shares pursuant to the Amended and Restated Articles of Association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Since the date of the reporting person's last ownership report, he transferred 20,000 Super Voting Shares to the reporting person's former spouse in connection with a marital settlement agreement and domestic relations order.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conversion of Multiple Voting Shares into Subordinate Voting Shares pursuant to the Amended and Restated Articles of Association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Following the above reported conversion of Multiple Voting Shares, the reporting person transferred 1,500,000 Subordinate Voting Shares to the reporting person's former spouse in connection with a marital settlement agreement and domestic relations order.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3392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736</Words>
  <Characters>4067</Characters>
  <CharactersWithSpaces>4714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