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00"/>
          </w:cols>
          <w:pgMar w:left="460" w:top="225" w:right="47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Kovler Benjamin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52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325 WEST HURON STREET SUITE 412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7"/>
                </w:rPr>
                <w:t>Green Thumb Industries Inc.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GTII/GTBIF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]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06/26/2020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193040</wp:posOffset>
            </wp:positionV>
            <wp:extent cx="6964045" cy="75476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7547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20"/>
          </w:cols>
          <w:pgMar w:left="460" w:top="225" w:right="47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center"/>
              <w:ind w:left="4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Super Voting Shares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jc w:val="center"/>
              <w:ind w:lef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06/26/2020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4"/>
                <w:vertAlign w:val="subscript"/>
              </w:rPr>
              <w:t>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11,805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GTI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II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Super Voting Shares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jc w:val="center"/>
              <w:ind w:lef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06/26/2020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11,805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GTI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II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Multiple Voting Shares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jc w:val="center"/>
              <w:ind w:lef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06/26/2020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4"/>
                <w:vertAlign w:val="subscript"/>
              </w:rPr>
              <w:t>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43,537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GTI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II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Multiple Voting Shares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jc w:val="center"/>
              <w:ind w:lef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06/26/2020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43,537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GTI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II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jc w:val="center"/>
              <w:ind w:lef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06/26/2020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4,353,700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4,353,708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GTI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II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jc w:val="center"/>
              <w:ind w:lef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06/26/2020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4,353,708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GTI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II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Super Voting Shares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06/26/2020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2,475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7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104,893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RCP23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Super Voting Shares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06/26/2020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50,088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7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54,805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RCP23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Multiple Voting Shares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06/26/2020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2,475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7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99,360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RCP23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Multiple Voting Shares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06/26/2020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49,912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7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49,448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RCP23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06/26/2020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4,991,200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7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5,048,618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RCP23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06/26/2020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4,964,037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7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84,581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RCP23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Super Voting Shares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06/26/2020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10,947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7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102,612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Super Voting Shares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jc w:val="center"/>
              <w:ind w:lef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06/26/2020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20,828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87"/>
              <w:spacing w:after="0" w:line="3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80,302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Outsiders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06/26/2020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89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(4)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7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133,391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60"/>
          </w:cols>
          <w:pgMar w:left="460" w:top="225" w:right="47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88900</wp:posOffset>
            </wp:positionV>
            <wp:extent cx="6964045" cy="25895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258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12700</wp:posOffset>
            </wp:positionH>
            <wp:positionV relativeFrom="paragraph">
              <wp:posOffset>57150</wp:posOffset>
            </wp:positionV>
            <wp:extent cx="6946900" cy="67691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676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Outsiders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Super Voting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Super Voting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-3449320</wp:posOffset>
            </wp:positionV>
            <wp:extent cx="7031355" cy="34944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49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conversion of Super Voting Shares into Multiple Voting Shares pursuant to the Amended and Restated Articles of Association of the Issuer.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distribution to the holder's investors pursuant to the terms of the holder's operating agreement.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conversion of Multiple Voting Shares into Subordinate Voting Shares pursuant to the Amended and Restated Articles of Association of the Issuer.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receipt of a distribution by RCP23, LLC and/or GTI II, LLC to its/their respective investors including the reporting person pursuant to the terms of its/their operating agreements.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Kathryn A. Lloyd,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06/29/2020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87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03392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2020-06-29T20:13:04Z</dcterms:created>
  <dcterms:modified xsi:type="dcterms:W3CDTF">2020-06-29T20:13:04Z</dcterms:modified>
</cp:coreProperties>
</file>