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60630.htm"/>
      <w:bookmarkStart w:id="1" w:name="ksgtbif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10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100" w:after="283"/>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16"/>
        </w:rPr>
        <w:t>Commission file number 000-56132</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44"/>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British Columbia</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98-1437430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incorporation or organization)</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identification no.)</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325 West Huron Street,</w:t>
            </w:r>
          </w:p>
          <w:p>
            <w:pPr>
              <w:pStyle w:val="TableContents"/>
              <w:bidi w:val="0"/>
              <w:spacing w:before="0" w:after="20"/>
              <w:jc w:val="center"/>
              <w:rPr>
                <w:rFonts w:ascii="Times New Roman" w:hAnsi="Times New Roman"/>
                <w:sz w:val="20"/>
              </w:rPr>
            </w:pPr>
            <w:r>
              <w:rPr>
                <w:rFonts w:ascii="Times New Roman" w:hAnsi="Times New Roman"/>
                <w:b/>
                <w:color w:val="000000"/>
                <w:sz w:val="16"/>
              </w:rPr>
              <w:t>Suite 700</w:t>
            </w:r>
            <w:r>
              <w:rPr>
                <w:rFonts w:ascii="Times New Roman" w:hAnsi="Times New Roman"/>
                <w:color w:val="000000"/>
                <w:sz w:val="20"/>
              </w:rPr>
              <w:t xml:space="preserve"> </w:t>
            </w:r>
            <w:r>
              <w:rPr>
                <w:rFonts w:ascii="Times New Roman" w:hAnsi="Times New Roman"/>
                <w:b/>
                <w:color w:val="000000"/>
                <w:sz w:val="16"/>
              </w:rPr>
              <w:t>Chicago, Illinois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60654</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00" w:after="283"/>
        <w:jc w:val="center"/>
        <w:rPr>
          <w:rFonts w:ascii="Times New Roman" w:hAnsi="Times New Roman"/>
          <w:sz w:val="20"/>
        </w:rPr>
      </w:pPr>
      <w:r>
        <w:rPr>
          <w:rFonts w:ascii="Times New Roman" w:hAnsi="Times New Roman"/>
          <w:b/>
          <w:color w:val="000000"/>
          <w:sz w:val="16"/>
        </w:rPr>
        <w:t>Registrant’s telephone number, including area code - (312) 471-6720</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Subordinate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Multiple Voting Shares</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Super Voting Shares</w:t>
      </w:r>
    </w:p>
    <w:p>
      <w:pPr>
        <w:pStyle w:val="TextBody"/>
        <w:bidi w:val="0"/>
        <w:jc w:val="center"/>
        <w:rPr>
          <w:rFonts w:ascii="Times New Roman" w:hAnsi="Times New Roman"/>
          <w:sz w:val="20"/>
        </w:rPr>
      </w:pPr>
      <w:r>
        <w:rPr>
          <w:rFonts w:ascii="Times New Roman" w:hAnsi="Times New Roman"/>
          <w:b/>
          <w:color w:val="000000"/>
          <w:sz w:val="12"/>
        </w:rPr>
        <w:t>(Title of each Class)</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As of July 30, 2026 there were 197,363,682</w:t>
      </w:r>
      <w:r>
        <w:rPr>
          <w:rFonts w:ascii="Times New Roman" w:hAnsi="Times New Roman"/>
          <w:color w:val="000000"/>
          <w:sz w:val="20"/>
        </w:rPr>
        <w:t xml:space="preserve"> </w:t>
      </w:r>
      <w:r>
        <w:rPr>
          <w:rFonts w:ascii="Times New Roman" w:hAnsi="Times New Roman"/>
          <w:color w:val="000000"/>
          <w:sz w:val="16"/>
        </w:rPr>
        <w:t>shares of the registrant’s Subordinate Voting Shares, 25,561</w:t>
      </w:r>
      <w:r>
        <w:rPr>
          <w:rFonts w:ascii="Times New Roman" w:hAnsi="Times New Roman"/>
          <w:color w:val="000000"/>
          <w:sz w:val="20"/>
        </w:rPr>
        <w:t xml:space="preserve"> </w:t>
      </w:r>
      <w:r>
        <w:rPr>
          <w:rFonts w:ascii="Times New Roman" w:hAnsi="Times New Roman"/>
          <w:color w:val="000000"/>
          <w:sz w:val="16"/>
        </w:rPr>
        <w:t>shares of the registrant’s Multiple Voting Shares and 186,690</w:t>
      </w:r>
      <w:r>
        <w:rPr>
          <w:rFonts w:ascii="Times New Roman" w:hAnsi="Times New Roman"/>
          <w:color w:val="000000"/>
          <w:sz w:val="20"/>
        </w:rPr>
        <w:t xml:space="preserve"> </w:t>
      </w:r>
      <w:r>
        <w:rPr>
          <w:rFonts w:ascii="Times New Roman" w:hAnsi="Times New Roman"/>
          <w:color w:val="000000"/>
          <w:sz w:val="16"/>
        </w:rPr>
        <w:t>shares of the registrant’s Super Voting Shares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86"/>
        <w:gridCol w:w="7818"/>
        <w:gridCol w:w="601"/>
      </w:tblGrid>
      <w:tr>
        <w:trPr/>
        <w:tc>
          <w:tcPr>
            <w:tcW w:w="1786" w:type="dxa"/>
            <w:tcBorders/>
            <w:vAlign w:val="center"/>
          </w:tcPr>
          <w:p>
            <w:pPr>
              <w:pStyle w:val="TableContents"/>
              <w:bidi w:val="0"/>
              <w:spacing w:before="0" w:after="283"/>
              <w:jc w:val="left"/>
              <w:rPr>
                <w:sz w:val="4"/>
                <w:szCs w:val="4"/>
              </w:rPr>
            </w:pPr>
            <w:r>
              <w:rPr>
                <w:sz w:val="4"/>
                <w:szCs w:val="4"/>
              </w:rPr>
            </w:r>
          </w:p>
        </w:tc>
        <w:tc>
          <w:tcPr>
            <w:tcW w:w="78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604"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FINANCIAL</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INFORMATION</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Balance Sheets as of June 30, 2026 and December 31, 2025</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Operations for the three and six months ended June 30, 2026 and 2025</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Changes in Shareholders’ Equity for the three and six months ended June 30, 2026 and 2025</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Cash Flows for the six months ended June 30, 2026 and 2025</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to Unaudited Interim Condensed Consolidated Financial Statements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mda">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quant_and_qual_disclosure_market_risk">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42</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trols_and_procedures">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Controls and Procedures</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42</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20"/>
              <w:ind w:left="0" w:right="0" w:firstLine="240"/>
              <w:jc w:val="left"/>
              <w:rPr>
                <w:rFonts w:ascii="Times New Roman" w:hAnsi="Times New Roman"/>
                <w:b/>
                <w:color w:val="000000"/>
                <w:sz w:val="20"/>
              </w:rPr>
            </w:pPr>
            <w:r>
              <w:rPr>
                <w:rFonts w:ascii="Times New Roman" w:hAnsi="Times New Roman"/>
                <w:b/>
                <w:color w:val="000000"/>
                <w:sz w:val="20"/>
              </w:rPr>
              <w:t>INFORMATION</w:t>
            </w:r>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_legal_proceeding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Proceedings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43</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a_risk_factors">
              <w:r>
                <w:rPr>
                  <w:rStyle w:val="InternetLink"/>
                  <w:rFonts w:ascii="Times New Roman" w:hAnsi="Times New Roman"/>
                  <w:b/>
                  <w:color w:val="0000FF"/>
                  <w:sz w:val="20"/>
                  <w:u w:val="single"/>
                </w:rPr>
                <w:t>ITEM 1A:</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43</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2_sale_of_unregistered_securi">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Unregistered Sales of Equity Securities and Use of Proceeds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43</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3_defaults_upon_senior_securi">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Defaults Upon Senior Securities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44</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4_mine_safety_disclosure">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45</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5_other_information">
              <w:r>
                <w:rPr>
                  <w:rStyle w:val="InternetLink"/>
                  <w:rFonts w:ascii="Times New Roman" w:hAnsi="Times New Roman"/>
                  <w:b/>
                  <w:color w:val="0000FF"/>
                  <w:sz w:val="20"/>
                  <w:u w:val="single"/>
                </w:rPr>
                <w:t>ITEM 5:</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Information </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45</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6_exhibits">
              <w:r>
                <w:rPr>
                  <w:rStyle w:val="InternetLink"/>
                  <w:rFonts w:ascii="Times New Roman" w:hAnsi="Times New Roman"/>
                  <w:b/>
                  <w:color w:val="0000FF"/>
                  <w:sz w:val="20"/>
                  <w:u w:val="single"/>
                </w:rPr>
                <w:t>ITEM 6:</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46</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Use of Names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Quarterly Report on Form 10-Q, unless the context otherwise requires, the terms “we,” “us,” “our,” “Company,” “Corporation” or “Green Thumb” refer to Green Thumb Industries Inc. together with its wholly-owned subsidiaries and variable interest entities. </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all references to “$” or “US$” in this document refer to United States dollars, and all references to “C$” refer to Canadian dollars. </w:t>
      </w:r>
    </w:p>
    <w:p>
      <w:pPr>
        <w:pStyle w:val="TextBody"/>
        <w:bidi w:val="0"/>
        <w:spacing w:before="360" w:after="283"/>
        <w:jc w:val="left"/>
        <w:rPr>
          <w:rFonts w:ascii="Times New Roman" w:hAnsi="Times New Roman"/>
          <w:sz w:val="20"/>
        </w:rPr>
      </w:pPr>
      <w:r>
        <w:rPr>
          <w:rFonts w:ascii="Times New Roman" w:hAnsi="Times New Roman"/>
          <w:b/>
          <w:color w:val="000000"/>
          <w:sz w:val="20"/>
        </w:rPr>
        <w:t>Disclosure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“project,”“potential,” “risk,” “anticipate,” “believe,” “plan,” “forecast,” “suggests,”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the Company carries on business; the Company faces intense competition; the Company faces competition from the illicit market as well as products that actually or purportedly comply with the Agricultural Improvement Act of 2018, as amended; the Company is dependent upon the popularity and consumer acceptance of its brand portfolio that the Company licenses from a third-party; the Company has limited trademark protection; as a cannabis business, the Company is subject to unfavorable tax treatment and may incur significant tax liability; as a cannabis company, the Company may be subject to civil asset forfeiture;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or similar claims; the Company’s products may be subject to product recalls; the Company may face unfavorable publicity or consumer perception;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Company’s business, financial condition and results of operations; the Company relies on the expertise of the Company management team and other employees experienced in the cannabis industry, and the loss of key personnel could negatively affect the Company’s business, financial condition and results of operations; the Company's voting control is concentrated; the Company’s capital structure and voting control may cause unpredictability; and sales of substantial amounts of Subordinate Voting Shares by shareholders in the public market may have an adverse effect on the market price of the Company's Subordinate Voting Shares and could affect the Company’s business and financial condition and the results of operations. These and other risks and uncertainties are described further in the “Risk Factors” section of the Company’s Annual Report on Form 10-K for the year ended December 31, 2025, and elsewhere in the Company’s filings with the SEC, which are available on the SEC’s website or at </w:t>
      </w:r>
      <w:r>
        <w:rPr>
          <w:rFonts w:ascii="Times New Roman" w:hAnsi="Times New Roman"/>
          <w:i/>
          <w:color w:val="000000"/>
          <w:sz w:val="20"/>
          <w:u w:val="single"/>
        </w:rPr>
        <w:t>https://investors.gtigrows.com</w:t>
      </w:r>
      <w:r>
        <w:rPr>
          <w:rFonts w:ascii="Times New Roman" w:hAnsi="Times New Roman"/>
          <w:i/>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balance_sheets"/>
      <w:bookmarkEnd w:id="3"/>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As of June 30, 2026 and December 31, 2025</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tbl>
      <w:tblPr>
        <w:tblW w:w="9362" w:type="dxa"/>
        <w:jc w:val="left"/>
        <w:tblInd w:w="0" w:type="dxa"/>
        <w:tblLayout w:type="fixed"/>
        <w:tblCellMar>
          <w:top w:w="28" w:type="dxa"/>
          <w:left w:w="28" w:type="dxa"/>
          <w:bottom w:w="28" w:type="dxa"/>
          <w:right w:w="28" w:type="dxa"/>
        </w:tblCellMar>
      </w:tblPr>
      <w:tblGrid>
        <w:gridCol w:w="6196"/>
        <w:gridCol w:w="146"/>
        <w:gridCol w:w="196"/>
        <w:gridCol w:w="826"/>
        <w:gridCol w:w="166"/>
        <w:gridCol w:w="146"/>
        <w:gridCol w:w="210"/>
        <w:gridCol w:w="885"/>
        <w:gridCol w:w="5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Cash and cash equivalents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Inventories, net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Prepaid expenses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Other current assets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577,171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Property and equipment, net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690,893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Operating lease right of use assets, net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 receivable from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Intangible assets, net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Goodwill</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Deposits and other assets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2,790,056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Accounts payable</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Accrued liabilities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consideration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Current portion of operating lease liabilities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Operating lease liabilities, net of current portion</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net of current portion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879,413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 Voting Shares (shares authorized, issued and outstanding at June 30, 2026:</w:t>
              <w:br/>
              <w:t>   unlimited, 195,147,381, and 195,147,381, respectively, at December 31, 2025:</w:t>
              <w:br/>
              <w:t>   unlimited, 206,629,845, and 206,629,845,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Multiple Voting Shares (shares authorized, issued and outstanding at June 30, 2026:</w:t>
              <w:br/>
              <w:t>   unlimited, 37,472</w:t>
            </w:r>
            <w:r>
              <w:rPr>
                <w:rFonts w:ascii="Times New Roman" w:hAnsi="Times New Roman"/>
                <w:color w:val="000000"/>
                <w:sz w:val="20"/>
              </w:rPr>
              <w:t> </w:t>
            </w:r>
            <w:r>
              <w:rPr>
                <w:rFonts w:ascii="Times New Roman" w:hAnsi="Times New Roman"/>
                <w:color w:val="000000"/>
                <w:sz w:val="16"/>
              </w:rPr>
              <w:t>and 37,472, respectively, at December 31, 2025:</w:t>
              <w:br/>
              <w:t>   unlimited, 37,472</w:t>
            </w:r>
            <w:r>
              <w:rPr>
                <w:rFonts w:ascii="Times New Roman" w:hAnsi="Times New Roman"/>
                <w:color w:val="000000"/>
                <w:sz w:val="20"/>
              </w:rPr>
              <w:t> </w:t>
            </w:r>
            <w:r>
              <w:rPr>
                <w:rFonts w:ascii="Times New Roman" w:hAnsi="Times New Roman"/>
                <w:color w:val="000000"/>
                <w:sz w:val="16"/>
              </w:rPr>
              <w:t>and 37,472,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Super Voting Shares (shares authorized, issued and outstanding at June 30, 2026:</w:t>
              <w:br/>
              <w:t>   unlimited, 196,690</w:t>
            </w:r>
            <w:r>
              <w:rPr>
                <w:rFonts w:ascii="Times New Roman" w:hAnsi="Times New Roman"/>
                <w:color w:val="000000"/>
                <w:sz w:val="20"/>
              </w:rPr>
              <w:t> </w:t>
            </w:r>
            <w:r>
              <w:rPr>
                <w:rFonts w:ascii="Times New Roman" w:hAnsi="Times New Roman"/>
                <w:color w:val="000000"/>
                <w:sz w:val="16"/>
              </w:rPr>
              <w:t>and 196,690, respectively, at December 31, 2025:</w:t>
              <w:br/>
              <w:t>   unlimited, 201,690</w:t>
            </w:r>
            <w:r>
              <w:rPr>
                <w:rFonts w:ascii="Times New Roman" w:hAnsi="Times New Roman"/>
                <w:color w:val="000000"/>
                <w:sz w:val="20"/>
              </w:rPr>
              <w:t> </w:t>
            </w:r>
            <w:r>
              <w:rPr>
                <w:rFonts w:ascii="Times New Roman" w:hAnsi="Times New Roman"/>
                <w:color w:val="000000"/>
                <w:sz w:val="16"/>
              </w:rPr>
              <w:t>and 201,690,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1,780,590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Contributed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of Green Thumb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1,905,431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1,910,643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2,790,056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color w:val="000000"/>
          <w:sz w:val="18"/>
        </w:rPr>
        <w:t>See Note 7 - Variable Interest Entities for amounts related to Variable Interest Entities.</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statement_of_operations"/>
      <w:bookmarkEnd w:id="4"/>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2026 and 2025</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 Except Share Amounts)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9"/>
        <w:gridCol w:w="211"/>
        <w:gridCol w:w="1180"/>
        <w:gridCol w:w="218"/>
        <w:gridCol w:w="1180"/>
        <w:gridCol w:w="146"/>
        <w:gridCol w:w="211"/>
        <w:gridCol w:w="1141"/>
        <w:gridCol w:w="211"/>
        <w:gridCol w:w="1228"/>
      </w:tblGrid>
      <w:tr>
        <w:trPr/>
        <w:tc>
          <w:tcPr>
            <w:tcW w:w="4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306,683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572,797</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(168,809)</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(283,266)</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289,531</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207,616</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117,907</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220,818</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207,616</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81,915</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(14,013)</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4,033</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(9,911)</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62,024</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52,891</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Green Thumb Industries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r>
      <w:tr>
        <w:trPr/>
        <w:tc>
          <w:tcPr>
            <w:tcW w:w="4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221,022,912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225,810,458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235,984,140</w:t>
            </w:r>
          </w:p>
        </w:tc>
      </w:tr>
      <w:tr>
        <w:trPr/>
        <w:tc>
          <w:tcPr>
            <w:tcW w:w="4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222,776,252</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229,789,640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239,097,719</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statements_of_shareholders_equity"/>
      <w:bookmarkEnd w:id="5"/>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2026 and 2025</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1"/>
        <w:gridCol w:w="196"/>
        <w:gridCol w:w="826"/>
        <w:gridCol w:w="196"/>
        <w:gridCol w:w="1066"/>
        <w:gridCol w:w="196"/>
        <w:gridCol w:w="1047"/>
        <w:gridCol w:w="196"/>
        <w:gridCol w:w="1126"/>
        <w:gridCol w:w="196"/>
        <w:gridCol w:w="1381"/>
        <w:gridCol w:w="196"/>
        <w:gridCol w:w="872"/>
      </w:tblGrid>
      <w:tr>
        <w:trPr/>
        <w:tc>
          <w:tcPr>
            <w:tcW w:w="2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April 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1,806,341</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limited liability company</w:t>
              <w:br/>
              <w:t>   unit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share settlement of equity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11,966</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(23,773)</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1,774,139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1,799,399</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1,789,080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limited liability company</w:t>
              <w:br/>
              <w:t>   unit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investment interests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deferred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22,275</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9,133</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1,774,139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1,799,399</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2026 and 2025</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3"/>
        <w:gridCol w:w="196"/>
        <w:gridCol w:w="826"/>
        <w:gridCol w:w="196"/>
        <w:gridCol w:w="1323"/>
        <w:gridCol w:w="196"/>
        <w:gridCol w:w="1017"/>
        <w:gridCol w:w="196"/>
        <w:gridCol w:w="1126"/>
        <w:gridCol w:w="196"/>
        <w:gridCol w:w="1381"/>
        <w:gridCol w:w="196"/>
        <w:gridCol w:w="873"/>
      </w:tblGrid>
      <w:tr>
        <w:trPr/>
        <w:tc>
          <w:tcPr>
            <w:tcW w:w="24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April 1,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1,789,894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1,897,049</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share settlement of equity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10,618</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and Super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(48,262)</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3,427</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1,793,227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(120,316)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185,692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1,860,776</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1,780,590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1,910,643</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share settlement of equity awards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(6,883)</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21,135</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and Super Voting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(81,559)</w:t>
            </w:r>
          </w:p>
        </w:tc>
      </w:tr>
      <w:tr>
        <w:trPr/>
        <w:tc>
          <w:tcPr>
            <w:tcW w:w="2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18,474</w:t>
            </w:r>
          </w:p>
        </w:tc>
      </w:tr>
      <w:tr>
        <w:trPr/>
        <w:tc>
          <w:tcPr>
            <w:tcW w:w="2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1,793,227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(120,316)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185,692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1,860,776</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statements_of_cash_flows"/>
      <w:bookmarkEnd w:id="6"/>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Six Months Ended June 30, 2026 and 2025</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952" w:type="dxa"/>
        <w:jc w:val="left"/>
        <w:tblInd w:w="0" w:type="dxa"/>
        <w:tblLayout w:type="fixed"/>
        <w:tblCellMar>
          <w:top w:w="28" w:type="dxa"/>
          <w:left w:w="28" w:type="dxa"/>
          <w:bottom w:w="28" w:type="dxa"/>
          <w:right w:w="28" w:type="dxa"/>
        </w:tblCellMar>
      </w:tblPr>
      <w:tblGrid>
        <w:gridCol w:w="5276"/>
        <w:gridCol w:w="146"/>
        <w:gridCol w:w="188"/>
        <w:gridCol w:w="625"/>
        <w:gridCol w:w="157"/>
        <w:gridCol w:w="151"/>
        <w:gridCol w:w="188"/>
        <w:gridCol w:w="625"/>
        <w:gridCol w:w="596"/>
      </w:tblGrid>
      <w:tr>
        <w:trPr/>
        <w:tc>
          <w:tcPr>
            <w:tcW w:w="5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 thousands)</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 attributable to Green Thumb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7,661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1,472</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65,589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59,082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25,572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finance lease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(Earnings) loss on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(6,501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Loss on divestitures of 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Reserve for obsolete inventory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22,275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Decrease (increase) in fair value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Interest on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Fair value adjustments on related party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Interest on related party convertible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Amortization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(21,439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(14,138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(17,901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(23,126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Income tax receivable and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50,760</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38,230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CASH FLOWS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104,810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130,666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(48,842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Investments in securities and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(30,122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equity investments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divestiture of a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(54,550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(98,241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Principal payments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Contributions from limited liability company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Distributions to non-controlling interest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 of Subordinate and Super Voting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(24,811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for 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net from issuance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Principal repayment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(51,956</w:t>
            </w:r>
          </w:p>
        </w:tc>
        <w:tc>
          <w:tcPr>
            <w:tcW w:w="1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(27,189</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285,282</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171,687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283,586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176,923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Six Months Ended June 30, 2026 and 2025</w:t>
      </w:r>
      <w:r>
        <w:rPr>
          <w:rFonts w:ascii="Times New Roman" w:hAnsi="Times New Roman"/>
          <w:color w:val="000000"/>
          <w:sz w:val="20"/>
        </w:rPr>
        <w:t xml:space="preserve"> </w:t>
      </w:r>
    </w:p>
    <w:p>
      <w:pPr>
        <w:pStyle w:val="TextBody"/>
        <w:pBdr>
          <w:bottom w:val="single" w:sz="6" w:space="1" w:color="000000"/>
        </w:pBdr>
        <w:bidi w:val="0"/>
        <w:jc w:val="left"/>
        <w:rPr>
          <w:rFonts w:ascii="Times New Roman" w:hAnsi="Times New Roman"/>
          <w:sz w:val="20"/>
        </w:rPr>
      </w:pPr>
      <w:r>
        <w:rPr>
          <w:rFonts w:ascii="Times New Roman" w:hAnsi="Times New Roman"/>
          <w:i/>
          <w:color w:val="000000"/>
          <w:sz w:val="20"/>
        </w:rPr>
        <w:t>(Amounts Expressed in United States Dollars)</w:t>
      </w:r>
      <w:r>
        <w:rPr>
          <w:rFonts w:ascii="Times New Roman" w:hAnsi="Times New Roman"/>
          <w:color w:val="000000"/>
          <w:sz w:val="20"/>
        </w:rPr>
        <w:t xml:space="preserve"> </w:t>
      </w:r>
    </w:p>
    <w:tbl>
      <w:tblPr>
        <w:tblW w:w="7980" w:type="dxa"/>
        <w:jc w:val="left"/>
        <w:tblInd w:w="0" w:type="dxa"/>
        <w:tblLayout w:type="fixed"/>
        <w:tblCellMar>
          <w:top w:w="28" w:type="dxa"/>
          <w:left w:w="28" w:type="dxa"/>
          <w:bottom w:w="28" w:type="dxa"/>
          <w:right w:w="28" w:type="dxa"/>
        </w:tblCellMar>
      </w:tblPr>
      <w:tblGrid>
        <w:gridCol w:w="5191"/>
        <w:gridCol w:w="146"/>
        <w:gridCol w:w="222"/>
        <w:gridCol w:w="751"/>
        <w:gridCol w:w="188"/>
        <w:gridCol w:w="166"/>
        <w:gridCol w:w="222"/>
        <w:gridCol w:w="683"/>
        <w:gridCol w:w="41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11,444</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10,588</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change in operating lease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change in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associated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to non-employee contractors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deferred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ACQUISITIONS AND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22,220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divestiture of Project Remix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consideration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14,703</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19,339</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00" w:after="283"/>
        <w:jc w:val="left"/>
        <w:rPr>
          <w:rFonts w:ascii="Times New Roman" w:hAnsi="Times New Roman"/>
          <w:b/>
          <w:color w:val="000000"/>
          <w:sz w:val="20"/>
        </w:rPr>
      </w:pPr>
      <w:bookmarkStart w:id="7" w:name="notes_to_financial_statements"/>
      <w:bookmarkEnd w:id="7"/>
      <w:r>
        <w:rPr>
          <w:rFonts w:ascii="Times New Roman" w:hAnsi="Times New Roman"/>
          <w:b/>
          <w:color w:val="000000"/>
          <w:sz w:val="20"/>
        </w:rPr>
        <w:t>1. Overview and Basis of Presentation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Green Thumb Industries Inc. (“Green Thumb,” the “Company,” “we” or “us”), a national cannabis consumer packaged goods company and retailer, promotes well-being through the power of cannabis while being committed to community and sustainable, profitable growth. Green Thumb manufactures, and distributes a portfolio of cannabis consumer packaged goods brands including &amp;Shine, Beboe, Dogwalkers, Doctor Solomon’s, Good Green, incredibles and RYTHM. The Company distributes and markets these products to third-party licensed retail cannabis stores across the United States as well as to Green Thumb's own Retail stores (which we refer to as our Retail business). The Company also owns and operates retail cannabis stores that include a national chain named RISE, which sell our products and third-party products. As of June 30, 2026, Green Thumb has revenue in fourteen markets (California, Connecticut, Florida, Illinois, Maryland, Massachusetts, Minnesota, Nevada, New Jersey, New York, Ohio, Pennsylvania, Rhode Island and Virginia), employs approximately 4,900 people and serves millions of patients and customers annually.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registered office is located at 250 Howe Street, 20</w:t>
      </w:r>
      <w:r>
        <w:rPr>
          <w:rFonts w:ascii="Times New Roman" w:hAnsi="Times New Roman"/>
          <w:color w:val="000000"/>
          <w:sz w:val="13"/>
        </w:rPr>
        <w:t>th</w:t>
      </w:r>
      <w:r>
        <w:rPr>
          <w:rFonts w:ascii="Times New Roman" w:hAnsi="Times New Roman"/>
          <w:color w:val="000000"/>
          <w:sz w:val="20"/>
        </w:rPr>
        <w:t xml:space="preserve"> Floor, Vancouver, British Columbia, V6C 3R8. The Company’s U.S. headquarters are at 325 W. Huron St., Suite 700, Chicago, IL 60654.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(b)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2025 (the “2025 Form 10-K”). In the opinion of management, the financial data presented includes all adjustments necessary to present fairly the financial position, results of operations and cash flows for the interim periods presented. Previously reported amounts have been reclassified between line items where necessary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(c)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the addition of the accounting policy for variable interest entities described below, there have been no changes to the Company’s significant accounting policies as described in Note 2 to the Company's Consolidated Financial Statements included in the 2025 Form 10-K. During the period, the Company entered into management service agreements through which it obtained variable interests in, and was determined to be the primary beneficiary of, certain entities, resulting in the consolidation of variable interest entities. As a result, the Company has added the following significant accounting policy in connection with these arrangements.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variable interest entity ("VIE") is an entity that has insufficient equity at risk to finance its activities without additional subordinated financial support, or in which the equity holders, as a group, lack the power to direct the activities that most significantly impact the entity's economic performance or do not substantially participate in the entity's gains and losses. The Company's variable interests may arise through equity investments as well as through contractual arrangements, including management and service agreements, funding commitments, and other similar arrangements. Upon entering into a contractual or other arrangement, and upon the occurrence of a reconsideration event thereafter, the Company assesses whether the arrangement gives it a variable interest in an entity and whether that entity is a VIE.</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1. Overview and Basis of Presentation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 Significant Accounting Policies </w:t>
      </w:r>
      <w:r>
        <w:rPr>
          <w:rFonts w:ascii="Times New Roman" w:hAnsi="Times New Roman"/>
          <w:b/>
          <w:i/>
          <w:color w:val="000000"/>
          <w:sz w:val="20"/>
        </w:rPr>
        <w:t>(Continued)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consolidates a VIE when it is determined to be the primary beneficiary. The primary beneficiary is the party that has both (i) the power to direct the activities that most significantly impact the VIE's economic performance and (ii) the obligation to absorb losses of, or the right to receive benefits from, the VIE that could potentially be significant to the VIE. This determination requires significant judgment and is reassessed on an ongoing basis. Where the Company concludes that it is the primary beneficiary of a VIE, it consolidates the financial results of that entity in accordance with Accounting Standards Codification (“ASC”) 810, </w:t>
      </w:r>
      <w:r>
        <w:rPr>
          <w:rFonts w:ascii="Times New Roman" w:hAnsi="Times New Roman"/>
          <w:i/>
          <w:color w:val="000000"/>
          <w:sz w:val="20"/>
        </w:rPr>
        <w:t>Consolidation</w:t>
      </w:r>
      <w:r>
        <w:rPr>
          <w:rFonts w:ascii="Times New Roman" w:hAnsi="Times New Roman"/>
          <w:color w:val="000000"/>
          <w:sz w:val="20"/>
        </w:rPr>
        <w:t>, and the equity interests held by other parties are presented as noncontrolling interests.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7 - Variable Interest Entities, for additional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(“RSUs”), stock options and warrants. As of June 30, 2026, the Company had 7,185,390 options, 9,709,007 RSUs and 243,303 warrants outstanding. As of June 30, 2025, the Company had 8,118,069 options, 11,079,048 RSUs and 1,702,347 warrants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determine diluted earnings per share, it is assumed that any proceeds from the vesting of dilutive unvested RSUs, or exercise of unvested stock options and warrants would be used to repurchase common shares at the average market price during the period. Under the treasury stock method, the diluted loss per share calculation excludes any potential conversion of stock options and convertible debt that would increase earnings per share or decrease loss per share. For the three months ended June 30, 2026, the computation of diluted earnings per share included 1,003 options and 1,752,337 RSUs. There were no dilutive warrants during the three months ended June 30, 2026, as the relevant strike prices were greater than the average stock price for the period. For the six months ended June 30, 2026, the computation of diluted earnings per share included 3,979,182 RSUs. There were no dilutive options or warrants during the six months ended June 30, 2026, as the relevant strike price was greater than the average stock price for the period. For the three months ended June 30, 2025, the computation excluded potential dilutive common share equivalents because their impact was anti-dilutive. For the six months ended June 30, 2025, the computation of diluted earnings per share included 3,113,579 RSUs. There were no dilutive options and warrants during the six months ended June 30, 2025, as the relevant strike prices were greater than the average stock price for the period. For the three and six months ended June 30, 2026, the weighted average number of anti-dilutive stock options excluded from the computation of diluted earnings per share were 463,001 and 626,423, respectively. For the three and six months ended June 30, 2025, the weighted average number of anti-dilutive stock options excluded from the computation of diluted earnings per share were 1,724,599 and 1,612,142, respectively.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1. Overview and Basis of Presentation </w:t>
      </w:r>
      <w:r>
        <w:rPr>
          <w:rFonts w:ascii="Times New Roman" w:hAnsi="Times New Roman"/>
          <w:i/>
          <w:color w:val="000000"/>
          <w:sz w:val="20"/>
        </w:rPr>
        <w:t>(Continued)</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(e) 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May 12, 2025, the Financial Accounting Standards Board (“FASB”) issued Accounting Standards Update (“ASU”) 2025-03 (“ASU 2025-03”) which revises the guidance in ASC 805, </w:t>
      </w:r>
      <w:r>
        <w:rPr>
          <w:rFonts w:ascii="Times New Roman" w:hAnsi="Times New Roman"/>
          <w:i/>
          <w:color w:val="000000"/>
          <w:sz w:val="20"/>
        </w:rPr>
        <w:t xml:space="preserve">Business Combinations </w:t>
      </w:r>
      <w:r>
        <w:rPr>
          <w:rFonts w:ascii="Times New Roman" w:hAnsi="Times New Roman"/>
          <w:color w:val="000000"/>
          <w:sz w:val="20"/>
        </w:rPr>
        <w:t>(“ASC 805”) on identifying the accounting acquirer in a business combination in which the legal acquiree is a VIE. The ASU is intended to improve comparability between business combinations that involve VIEs and those that do not. Under ASU 2025-03, a reporting entity involved in a business combination effected primarily by the exchange of equity interests must consider the factors in ASC 805 to determine which entity is the accounting acquirer regardless of whether the legal acquiree is a VIE. When considering those factors, the reporting entity can determine that a transaction in which the legal acquiree is a VIE represents a reverse acquisition (in which the legal acquirer is identified as the acquiree for accounting purposes). ASU 2025-03 is effective for fiscal years beginning after December 15, 2026, including interim periods within those fiscal years. The adoption of this standard is not expected to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reviews recently issued accounting standards on a quarterly basis and has determined there are no standards yet to be adopted which are relevant to the business for disclosure.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2. INVENTORIES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inventories include the following at June 30, 2026 and December 31, 2025: </w:t>
      </w:r>
    </w:p>
    <w:tbl>
      <w:tblPr>
        <w:tblW w:w="5435" w:type="dxa"/>
        <w:jc w:val="left"/>
        <w:tblInd w:w="0" w:type="dxa"/>
        <w:tblLayout w:type="fixed"/>
        <w:tblCellMar>
          <w:top w:w="28" w:type="dxa"/>
          <w:left w:w="28" w:type="dxa"/>
          <w:bottom w:w="28" w:type="dxa"/>
          <w:right w:w="28" w:type="dxa"/>
        </w:tblCellMar>
      </w:tblPr>
      <w:tblGrid>
        <w:gridCol w:w="2296"/>
        <w:gridCol w:w="196"/>
        <w:gridCol w:w="1156"/>
        <w:gridCol w:w="196"/>
        <w:gridCol w:w="1591"/>
      </w:tblGrid>
      <w:tr>
        <w:trPr/>
        <w:tc>
          <w:tcPr>
            <w:tcW w:w="2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and miscellaneous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12,223</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 in process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80,665</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70,007</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obsolete inventory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(5,907)</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180,981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158,288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jc w:val="left"/>
        <w:rPr/>
      </w:pPr>
      <w:r>
        <w:rPr/>
        <w:t> </w:t>
      </w:r>
    </w:p>
    <w:p>
      <w:pPr>
        <w:pStyle w:val="TextBody"/>
        <w:pBdr>
          <w:top w:val="single" w:sz="8"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2026 and December 31, 2025, property and equipment consisted of the following: </w:t>
      </w:r>
    </w:p>
    <w:p>
      <w:pPr>
        <w:pStyle w:val="TextBody"/>
        <w:bidi w:val="0"/>
        <w:jc w:val="left"/>
        <w:rPr/>
      </w:pPr>
      <w:r>
        <w:rPr/>
        <w:t> </w:t>
      </w:r>
    </w:p>
    <w:tbl>
      <w:tblPr>
        <w:tblW w:w="5810" w:type="dxa"/>
        <w:jc w:val="left"/>
        <w:tblInd w:w="0" w:type="dxa"/>
        <w:tblLayout w:type="fixed"/>
        <w:tblCellMar>
          <w:top w:w="28" w:type="dxa"/>
          <w:left w:w="28" w:type="dxa"/>
          <w:bottom w:w="28" w:type="dxa"/>
          <w:right w:w="28" w:type="dxa"/>
        </w:tblCellMar>
      </w:tblPr>
      <w:tblGrid>
        <w:gridCol w:w="2671"/>
        <w:gridCol w:w="196"/>
        <w:gridCol w:w="1156"/>
        <w:gridCol w:w="196"/>
        <w:gridCol w:w="1591"/>
      </w:tblGrid>
      <w:tr>
        <w:trPr/>
        <w:tc>
          <w:tcPr>
            <w:tcW w:w="2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Buildings 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361,898</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computers and furniture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230,532</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277,518</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35,207</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under 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22,854</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34,763</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1,013,492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969,084</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(317,784)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(278,191)</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695,708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690,893</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three and six months ended June 30, 2026 totaled $21,543 thousand and $42,273 thousand, respectively, of which $13,226 thousand and $26,455 thousand, respectively, is included in cost of goods sold. Depreciation expense for the three and six months ended June 30, 2025 totaled $17,234 thousand and $34,071 thousand, respectively, of which $10,846 thousand and $21,595 thousand, respectively, is included in 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under construction represent costs associated with construction projects related to cultivation and production facilities and retail stores. The Company capitalizes interest expense incurred during the active construction of qualifying assets, primarily cultivation and processing facilities and retail stores under development. Capitalization commences when expenditures for the asset are being made, activities necessary to prepare the asset for its intended use are in progress, and interest costs are being incurred. Capitalization ceases when the asset is substantially complete and ready for its intended use. The amount of interest capitalized is based on the weighted average rate applicable to the Company's outstanding borrowings.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cost incurred and capitalized during the three and six months ended June 30, 2026 and 2025 was as follows:</w:t>
      </w:r>
    </w:p>
    <w:p>
      <w:pPr>
        <w:pStyle w:val="TextBody"/>
        <w:bidi w:val="0"/>
        <w:jc w:val="left"/>
        <w:rPr/>
      </w:pPr>
      <w:r>
        <w:rPr/>
        <w:t> </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3091"/>
        <w:gridCol w:w="196"/>
        <w:gridCol w:w="950"/>
        <w:gridCol w:w="364"/>
        <w:gridCol w:w="950"/>
        <w:gridCol w:w="146"/>
        <w:gridCol w:w="196"/>
        <w:gridCol w:w="863"/>
        <w:gridCol w:w="281"/>
        <w:gridCol w:w="971"/>
      </w:tblGrid>
      <w:tr>
        <w:trPr/>
        <w:tc>
          <w:tcPr>
            <w:tcW w:w="30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incurred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6,438</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11,257</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 expense capitalized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expense recognized in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6,095</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11,260</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9,911</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4. INTANGIBLE ASSETS AND GOODWILL</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and December 31, 2025, intangible assets consisted of the following: </w:t>
      </w:r>
    </w:p>
    <w:tbl>
      <w:tblPr>
        <w:tblW w:w="10205" w:type="dxa"/>
        <w:jc w:val="left"/>
        <w:tblInd w:w="0" w:type="dxa"/>
        <w:tblLayout w:type="fixed"/>
        <w:tblCellMar>
          <w:top w:w="28" w:type="dxa"/>
          <w:left w:w="28" w:type="dxa"/>
          <w:bottom w:w="28" w:type="dxa"/>
          <w:right w:w="28" w:type="dxa"/>
        </w:tblCellMar>
      </w:tblPr>
      <w:tblGrid>
        <w:gridCol w:w="1343"/>
        <w:gridCol w:w="196"/>
        <w:gridCol w:w="1306"/>
        <w:gridCol w:w="196"/>
        <w:gridCol w:w="1556"/>
        <w:gridCol w:w="196"/>
        <w:gridCol w:w="957"/>
        <w:gridCol w:w="196"/>
        <w:gridCol w:w="1306"/>
        <w:gridCol w:w="196"/>
        <w:gridCol w:w="1556"/>
        <w:gridCol w:w="196"/>
        <w:gridCol w:w="1005"/>
      </w:tblGrid>
      <w:tr>
        <w:trPr/>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Licenses and permits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704,859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435,266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435,970</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3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721,429</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285,844</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435,585</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3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699,209</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262,528</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436,681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amortization expense for the three and six months ended June 30, 2026 of $11,633 thousand and $23,316 thousand, respectively. The Company recorded amortization expense for the three and six months ended June 30, 2025 of $12,437 thousand and $25,011 thousand, respectively. As of June 30, 2026 and December 31, 2025, intangible assets are carried net of accumulated impairment losses of $31,131 thousand as of each period then 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outlines the estimated annual amortization expense related to intangible assets as of June 30, 2026: </w:t>
      </w:r>
    </w:p>
    <w:p>
      <w:pPr>
        <w:pStyle w:val="TextBody"/>
        <w:bidi w:val="0"/>
        <w:spacing w:before="240" w:after="283"/>
        <w:jc w:val="left"/>
        <w:rPr/>
      </w:pPr>
      <w:r>
        <w:rPr/>
        <w:t>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Amortization</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23,604</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47,207</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47,110</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47,041</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46,999</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223,624</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435,585</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weighted average amortization period remaining for intangible assets was 9.63 years.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4. INTANGIBLE ASSETS AND GOODWILL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and December 31, 2025 the balances of goodwill, by segment, consisted of the following: </w:t>
      </w:r>
    </w:p>
    <w:p>
      <w:pPr>
        <w:pStyle w:val="TextBody"/>
        <w:bidi w:val="0"/>
        <w:spacing w:before="240" w:after="283"/>
        <w:jc w:val="left"/>
        <w:rPr/>
      </w:pPr>
      <w:r>
        <w:rPr/>
        <w:t> </w:t>
      </w:r>
    </w:p>
    <w:tbl>
      <w:tblPr>
        <w:tblW w:w="5105" w:type="dxa"/>
        <w:jc w:val="left"/>
        <w:tblInd w:w="0" w:type="dxa"/>
        <w:tblLayout w:type="fixed"/>
        <w:tblCellMar>
          <w:top w:w="28" w:type="dxa"/>
          <w:left w:w="28" w:type="dxa"/>
          <w:bottom w:w="28" w:type="dxa"/>
          <w:right w:w="28" w:type="dxa"/>
        </w:tblCellMar>
      </w:tblPr>
      <w:tblGrid>
        <w:gridCol w:w="2041"/>
        <w:gridCol w:w="196"/>
        <w:gridCol w:w="1126"/>
        <w:gridCol w:w="196"/>
        <w:gridCol w:w="1546"/>
      </w:tblGrid>
      <w:tr>
        <w:trPr/>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286,670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277,342</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packaged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314,809</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601,479</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592,151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recognized net of accumulated impairment losses of $57,372 thousand as of June 30, 2026 and December 31, 2025. During the three and six months ended June 30, 2026 and 2025, there were no conditions present that would require consideration as to whether an impairment test was necessary.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and December 31, 2025, the Company held various equity interests in cannabis-related companies as well as investments in note(s) receivable instruments that had a combined fair value of $30,347 thousand and $32,720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investments during the six months ended June 30, 2026 and year ended December 31, 2025: </w:t>
      </w:r>
    </w:p>
    <w:p>
      <w:pPr>
        <w:pStyle w:val="TextBody"/>
        <w:bidi w:val="0"/>
        <w:jc w:val="left"/>
        <w:rPr/>
      </w:pPr>
      <w:r>
        <w:rPr/>
        <w:t> </w:t>
      </w:r>
    </w:p>
    <w:tbl>
      <w:tblPr>
        <w:tblW w:w="4730" w:type="dxa"/>
        <w:jc w:val="left"/>
        <w:tblInd w:w="0" w:type="dxa"/>
        <w:tblLayout w:type="fixed"/>
        <w:tblCellMar>
          <w:top w:w="28" w:type="dxa"/>
          <w:left w:w="28" w:type="dxa"/>
          <w:bottom w:w="28" w:type="dxa"/>
          <w:right w:w="28" w:type="dxa"/>
        </w:tblCellMar>
      </w:tblPr>
      <w:tblGrid>
        <w:gridCol w:w="1666"/>
        <w:gridCol w:w="196"/>
        <w:gridCol w:w="1126"/>
        <w:gridCol w:w="196"/>
        <w:gridCol w:w="1546"/>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43,578</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(10,998)</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30,347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32,720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fair value associated with the Company's equity investments and notes receivable instruments during the three and six months ended June 30, 2026 and 2025:</w:t>
      </w:r>
    </w:p>
    <w:p>
      <w:pPr>
        <w:pStyle w:val="TextBody"/>
        <w:bidi w:val="0"/>
        <w:jc w:val="left"/>
        <w:rPr/>
      </w:pPr>
      <w:r>
        <w:rPr/>
        <w:t> </w:t>
      </w:r>
    </w:p>
    <w:tbl>
      <w:tblPr>
        <w:tblW w:w="7991" w:type="dxa"/>
        <w:jc w:val="left"/>
        <w:tblInd w:w="0" w:type="dxa"/>
        <w:tblLayout w:type="fixed"/>
        <w:tblCellMar>
          <w:top w:w="28" w:type="dxa"/>
          <w:left w:w="28" w:type="dxa"/>
          <w:bottom w:w="28" w:type="dxa"/>
          <w:right w:w="28" w:type="dxa"/>
        </w:tblCellMar>
      </w:tblPr>
      <w:tblGrid>
        <w:gridCol w:w="3466"/>
        <w:gridCol w:w="298"/>
        <w:gridCol w:w="960"/>
        <w:gridCol w:w="298"/>
        <w:gridCol w:w="709"/>
        <w:gridCol w:w="146"/>
        <w:gridCol w:w="270"/>
        <w:gridCol w:w="870"/>
        <w:gridCol w:w="270"/>
        <w:gridCol w:w="704"/>
      </w:tblGrid>
      <w:tr>
        <w:trPr/>
        <w:tc>
          <w:tcPr>
            <w:tcW w:w="34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investments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receivable instruments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on notes receivable instruments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fair value gains (losses)</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(2,304)</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(2,304)</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invests in both publicly traded and privately held cannabis and cannabis-related companies. Generally, publicly traded entities have readily determinable fair values and are classified as Level 1 investments. Meanwhile, non-publicly traded entities generally do not have readily determinable fair values and are classified as Level 3 investments. The Company has classified all of its holdings as trading securities and recorded such amounts within investments on the Company's unaudited interim condensed consolidated balance sheet.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Unrealized loss recognized on the Company's equity investments held during the three and six months ended June 30, 2026 was $1,304 thousand. There was no unrealized gain or (loss) recognized on the Company's equity investments held during the three and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held no Level 1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3 equity investments during the three and six months ended June 30, 2026 and 2025:</w:t>
      </w:r>
    </w:p>
    <w:p>
      <w:pPr>
        <w:pStyle w:val="TextBody"/>
        <w:bidi w:val="0"/>
        <w:jc w:val="left"/>
        <w:rPr/>
      </w:pPr>
      <w:r>
        <w:rPr/>
        <w:t> </w:t>
      </w:r>
    </w:p>
    <w:tbl>
      <w:tblPr>
        <w:tblW w:w="6190" w:type="dxa"/>
        <w:jc w:val="left"/>
        <w:tblInd w:w="0" w:type="dxa"/>
        <w:tblLayout w:type="fixed"/>
        <w:tblCellMar>
          <w:top w:w="28" w:type="dxa"/>
          <w:left w:w="28" w:type="dxa"/>
          <w:bottom w:w="28" w:type="dxa"/>
          <w:right w:w="28" w:type="dxa"/>
        </w:tblCellMar>
      </w:tblPr>
      <w:tblGrid>
        <w:gridCol w:w="1666"/>
        <w:gridCol w:w="273"/>
        <w:gridCol w:w="880"/>
        <w:gridCol w:w="273"/>
        <w:gridCol w:w="838"/>
        <w:gridCol w:w="146"/>
        <w:gridCol w:w="248"/>
        <w:gridCol w:w="799"/>
        <w:gridCol w:w="248"/>
        <w:gridCol w:w="819"/>
      </w:tblGrid>
      <w:tr>
        <w:trPr/>
        <w:tc>
          <w:tcPr>
            <w:tcW w:w="166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36,487</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28,471</w:t>
            </w:r>
          </w:p>
        </w:tc>
        <w:tc>
          <w:tcPr>
            <w:tcW w:w="2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36,887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28,471</w:t>
            </w:r>
          </w:p>
        </w:tc>
        <w:tc>
          <w:tcPr>
            <w:tcW w:w="2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36,887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14 - Fair Value Measurements for additional details.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Notes Receivable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invests in both publicly traded and privately held cannabis and cannabis-related companies by, among other things, providing financing through notes receivable instruments. The fair value of these notes receivable instruments include the initial investment and contractual accrued interest recorded within interest income on the unaudited interim condensed consolidated statements of operations. The Company has classified all of its notes receivable instruments as trading securities and included such amounts within investments on the Company's unaudited interim condensed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held no Level 1 notes receivable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change in the Company's Level 3 notes receivable instruments during the three and six months ended June 30, 2026 and 2025. </w:t>
      </w:r>
    </w:p>
    <w:p>
      <w:pPr>
        <w:pStyle w:val="TextBody"/>
        <w:bidi w:val="0"/>
        <w:jc w:val="left"/>
        <w:rPr/>
      </w:pPr>
      <w:r>
        <w:rPr/>
        <w:t> </w:t>
      </w:r>
    </w:p>
    <w:tbl>
      <w:tblPr>
        <w:tblW w:w="6190" w:type="dxa"/>
        <w:jc w:val="left"/>
        <w:tblInd w:w="0" w:type="dxa"/>
        <w:tblLayout w:type="fixed"/>
        <w:tblCellMar>
          <w:top w:w="28" w:type="dxa"/>
          <w:left w:w="28" w:type="dxa"/>
          <w:bottom w:w="28" w:type="dxa"/>
          <w:right w:w="28" w:type="dxa"/>
        </w:tblCellMar>
      </w:tblPr>
      <w:tblGrid>
        <w:gridCol w:w="1666"/>
        <w:gridCol w:w="289"/>
        <w:gridCol w:w="932"/>
        <w:gridCol w:w="289"/>
        <w:gridCol w:w="754"/>
        <w:gridCol w:w="146"/>
        <w:gridCol w:w="262"/>
        <w:gridCol w:w="845"/>
        <w:gridCol w:w="262"/>
        <w:gridCol w:w="745"/>
      </w:tblGrid>
      <w:tr>
        <w:trPr/>
        <w:tc>
          <w:tcPr>
            <w:tcW w:w="16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adjustments</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1,876</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1,876</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Level 3 notes receivable instruments had a stated interest rate of 10% and terms of five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14 - Fair Value Measurements for additional details.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6. ACQUISITIONS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Business Combinations:</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During the six months ended June 30, 2026, the Company obtained control of several retail cannabis operations for the purposes of expanding its retail presence. In each case, the Company obtained a controlling financial interest as the primary beneficiary of a VIE through management services agreements and related asset purchase agreements with the license-holding entities, rather than through the acquisition of equity or legal title. Each transaction was accounted for in accordance with ASC 805, </w:t>
      </w:r>
      <w:r>
        <w:rPr>
          <w:rFonts w:ascii="Times New Roman" w:hAnsi="Times New Roman"/>
          <w:i/>
          <w:color w:val="000000"/>
          <w:sz w:val="20"/>
        </w:rPr>
        <w:t>Business Combinations</w:t>
      </w:r>
      <w:r>
        <w:rPr>
          <w:rFonts w:ascii="Times New Roman" w:hAnsi="Times New Roman"/>
          <w:color w:val="000000"/>
          <w:sz w:val="20"/>
        </w:rPr>
        <w:t>, as a business combination, with results included from the date control was obtained.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most significant transaction was the acquisition of control over eight retail dispensary licenses (the “Eight Retail Stores”), for consideration consisting of cash and an acquisition payable due upon regulatory approval of the transfer of the underlying licenses. The remaining transactions were individually immaterial and have been aggregated below. The purchase price allocations are preliminary and subject to change during the measurement period, principally with respect to the valuation of intangible assets and residual goodwill. The following table summarizes the preliminary acquisition-date fair values recognized:</w:t>
      </w:r>
    </w:p>
    <w:p>
      <w:pPr>
        <w:pStyle w:val="TextBody"/>
        <w:bidi w:val="0"/>
        <w:jc w:val="left"/>
        <w:rPr/>
      </w:pPr>
      <w:r>
        <w:rPr/>
        <w:t> </w:t>
      </w:r>
    </w:p>
    <w:tbl>
      <w:tblPr>
        <w:tblW w:w="7701" w:type="dxa"/>
        <w:jc w:val="left"/>
        <w:tblInd w:w="0" w:type="dxa"/>
        <w:tblLayout w:type="fixed"/>
        <w:tblCellMar>
          <w:top w:w="28" w:type="dxa"/>
          <w:left w:w="28" w:type="dxa"/>
          <w:bottom w:w="28" w:type="dxa"/>
          <w:right w:w="28" w:type="dxa"/>
        </w:tblCellMar>
      </w:tblPr>
      <w:tblGrid>
        <w:gridCol w:w="2427"/>
        <w:gridCol w:w="378"/>
        <w:gridCol w:w="211"/>
        <w:gridCol w:w="1696"/>
        <w:gridCol w:w="211"/>
        <w:gridCol w:w="1726"/>
        <w:gridCol w:w="211"/>
        <w:gridCol w:w="841"/>
      </w:tblGrid>
      <w:tr>
        <w:trPr/>
        <w:tc>
          <w:tcPr>
            <w:tcW w:w="242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Eight Retail Stores</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Retail Stores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r>
      <w:tr>
        <w:trPr/>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280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r>
      <w:tr>
        <w:trPr/>
        <w:tc>
          <w:tcPr>
            <w:tcW w:w="280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r>
      <w:tr>
        <w:trPr/>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w:t>
            </w:r>
          </w:p>
        </w:tc>
      </w:tr>
      <w:tr>
        <w:trPr/>
        <w:tc>
          <w:tcPr>
            <w:tcW w:w="280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r>
      <w:tr>
        <w:trPr/>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and 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r>
      <w:tr>
        <w:trPr/>
        <w:tc>
          <w:tcPr>
            <w:tcW w:w="280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Licenses and permits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22,220</w:t>
            </w:r>
          </w:p>
        </w:tc>
      </w:tr>
      <w:tr>
        <w:trPr/>
        <w:tc>
          <w:tcPr>
            <w:tcW w:w="280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r>
      <w:tr>
        <w:trPr/>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r>
      <w:tr>
        <w:trPr/>
        <w:tc>
          <w:tcPr>
            <w:tcW w:w="280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35,762</w:t>
            </w:r>
          </w:p>
        </w:tc>
      </w:tr>
      <w:tr>
        <w:trPr/>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w:t>
            </w:r>
          </w:p>
        </w:tc>
      </w:tr>
      <w:tr>
        <w:trPr/>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45,090</w:t>
            </w:r>
          </w:p>
        </w:tc>
      </w:tr>
    </w:tbl>
    <w:p>
      <w:pPr>
        <w:pStyle w:val="TextBody"/>
        <w:bidi w:val="0"/>
        <w:jc w:val="left"/>
        <w:rPr/>
      </w:pPr>
      <w:r>
        <w:rPr/>
        <w:t> </w:t>
      </w:r>
    </w:p>
    <w:p>
      <w:pPr>
        <w:pStyle w:val="TextBody"/>
        <w:bidi w:val="0"/>
        <w:jc w:val="left"/>
        <w:rPr>
          <w:rFonts w:ascii="Times New Roman" w:hAnsi="Times New Roman"/>
          <w:b/>
          <w:i/>
          <w:color w:val="000000"/>
          <w:sz w:val="22"/>
        </w:rPr>
      </w:pPr>
      <w:r>
        <w:rPr>
          <w:rFonts w:ascii="Times New Roman" w:hAnsi="Times New Roman"/>
          <w:b/>
          <w:i/>
          <w:color w:val="000000"/>
          <w:sz w:val="22"/>
        </w:rPr>
        <w:t>Consideration Transferred:</w:t>
      </w:r>
    </w:p>
    <w:tbl>
      <w:tblPr>
        <w:tblW w:w="7671" w:type="dxa"/>
        <w:jc w:val="left"/>
        <w:tblInd w:w="0" w:type="dxa"/>
        <w:tblLayout w:type="fixed"/>
        <w:tblCellMar>
          <w:top w:w="28" w:type="dxa"/>
          <w:left w:w="28" w:type="dxa"/>
          <w:bottom w:w="28" w:type="dxa"/>
          <w:right w:w="28" w:type="dxa"/>
        </w:tblCellMar>
      </w:tblPr>
      <w:tblGrid>
        <w:gridCol w:w="1512"/>
        <w:gridCol w:w="1383"/>
        <w:gridCol w:w="211"/>
        <w:gridCol w:w="1696"/>
        <w:gridCol w:w="211"/>
        <w:gridCol w:w="1726"/>
        <w:gridCol w:w="211"/>
        <w:gridCol w:w="721"/>
      </w:tblGrid>
      <w:tr>
        <w:trPr/>
        <w:tc>
          <w:tcPr>
            <w:tcW w:w="151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Eight Retail Stores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Retail Stores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r>
      <w:tr>
        <w:trPr/>
        <w:tc>
          <w:tcPr>
            <w:tcW w:w="1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28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w:t>
            </w:r>
          </w:p>
        </w:tc>
      </w:tr>
      <w:tr>
        <w:trPr/>
        <w:tc>
          <w:tcPr>
            <w:tcW w:w="28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28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30,250</w:t>
            </w:r>
          </w:p>
        </w:tc>
      </w:tr>
      <w:tr>
        <w:trPr/>
        <w:tc>
          <w:tcPr>
            <w:tcW w:w="28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consideration transferred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45,090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acquired license intangible assets have a weighted-average amortization period of approximately 15 years. Goodwill reflects expected synergies from integrating the acquired operations into the Company’s existing retail network and is deductible for income tax purposes. Acquisition-related costs and the effect on pro forma results were not material.</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7. VARIABLE INTEREST ENTITIES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has entered into management service agreements in multiple states with various entities to expand its retail cannabis presence, including through the operation and acquisition of cannabis dispensary licenses. The Company has evaluated these arrangements under ASC 810, </w:t>
      </w:r>
      <w:r>
        <w:rPr>
          <w:rFonts w:ascii="Times New Roman" w:hAnsi="Times New Roman"/>
          <w:i/>
          <w:color w:val="000000"/>
          <w:sz w:val="20"/>
        </w:rPr>
        <w:t>Consolidation</w:t>
      </w:r>
      <w:r>
        <w:rPr>
          <w:rFonts w:ascii="Times New Roman" w:hAnsi="Times New Roman"/>
          <w:color w:val="000000"/>
          <w:sz w:val="20"/>
        </w:rPr>
        <w:t>, and has determined that these entities are VIEs for which the Company is the primary beneficiary and holds a controlling financial interest. The Company's direct or indirect ownership interest in these entities ranges from 0% to 45.9% as of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summarized assets and liabilities of the Company's consolidated VIEs as of June 30, 2026 and December 31, 2025. Amounts reflect only the third-party assets and liabilities of those VIEs and exclude intercompany balances eliminated in consolidation.</w:t>
      </w:r>
    </w:p>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4021"/>
        <w:gridCol w:w="146"/>
        <w:gridCol w:w="211"/>
        <w:gridCol w:w="1276"/>
        <w:gridCol w:w="211"/>
        <w:gridCol w:w="177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74,159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13,434</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1,073</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286</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8. LEASES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records real estate and equipment leases with an initial term of twelve months or more on the balance sheet. Lease agreements for some locations provide for rent escalations and renewal options. Certain real estate leases require payment for fixed and variable non-lease components, such as taxes, insurance and maintenance, as part of base rent. In those circumstances, the Company elected the practical expedient to not separate the lease components from non-lease components. </w:t>
      </w:r>
    </w:p>
    <w:p>
      <w:pPr>
        <w:pStyle w:val="TextBody"/>
        <w:bidi w:val="0"/>
        <w:jc w:val="left"/>
        <w:rPr>
          <w:rFonts w:ascii="Times New Roman" w:hAnsi="Times New Roman"/>
          <w:color w:val="000000"/>
          <w:sz w:val="20"/>
        </w:rPr>
      </w:pPr>
      <w:r>
        <w:rPr>
          <w:rFonts w:ascii="Times New Roman" w:hAnsi="Times New Roman"/>
          <w:color w:val="000000"/>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six months ended June 30, 2026, the Company recorded operating lease expense of $13,713 thousand and $27,161 thousand, respectively compared to operating lease expense of $12,804 thousand and $25,572 thousand for the three and six months ended June 30, 2025, respectively.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information related to operating leases as of June 30, 2026 and December 31, 2025 were as follows: </w:t>
      </w:r>
    </w:p>
    <w:p>
      <w:pPr>
        <w:pStyle w:val="TextBody"/>
        <w:bidi w:val="0"/>
        <w:spacing w:before="120" w:after="283"/>
        <w:jc w:val="left"/>
        <w:rPr/>
      </w:pPr>
      <w:r>
        <w:rPr/>
        <w:t> </w:t>
      </w:r>
    </w:p>
    <w:tbl>
      <w:tblPr>
        <w:tblW w:w="6340" w:type="dxa"/>
        <w:jc w:val="left"/>
        <w:tblInd w:w="0" w:type="dxa"/>
        <w:tblLayout w:type="fixed"/>
        <w:tblCellMar>
          <w:top w:w="28" w:type="dxa"/>
          <w:left w:w="28" w:type="dxa"/>
          <w:bottom w:w="28" w:type="dxa"/>
          <w:right w:w="28" w:type="dxa"/>
        </w:tblCellMar>
      </w:tblPr>
      <w:tblGrid>
        <w:gridCol w:w="3376"/>
        <w:gridCol w:w="146"/>
        <w:gridCol w:w="112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Maturities of lease liabilities for operating leases as of June 30, 2026 were as follows: </w:t>
      </w:r>
    </w:p>
    <w:p>
      <w:pPr>
        <w:pStyle w:val="TextBody"/>
        <w:bidi w:val="0"/>
        <w:jc w:val="left"/>
        <w:rPr/>
      </w:pPr>
      <w:r>
        <w:rPr/>
        <w:t> </w:t>
      </w:r>
    </w:p>
    <w:tbl>
      <w:tblPr>
        <w:tblW w:w="6592" w:type="dxa"/>
        <w:jc w:val="left"/>
        <w:tblInd w:w="0" w:type="dxa"/>
        <w:tblLayout w:type="fixed"/>
        <w:tblCellMar>
          <w:top w:w="28" w:type="dxa"/>
          <w:left w:w="28" w:type="dxa"/>
          <w:bottom w:w="28" w:type="dxa"/>
          <w:right w:w="28" w:type="dxa"/>
        </w:tblCellMar>
      </w:tblPr>
      <w:tblGrid>
        <w:gridCol w:w="3031"/>
        <w:gridCol w:w="196"/>
        <w:gridCol w:w="991"/>
        <w:gridCol w:w="196"/>
        <w:gridCol w:w="1126"/>
        <w:gridCol w:w="196"/>
        <w:gridCol w:w="856"/>
      </w:tblGrid>
      <w:tr>
        <w:trPr/>
        <w:tc>
          <w:tcPr>
            <w:tcW w:w="3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 of Lease Liability</w:t>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Remainder of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26,840</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54,362</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51,751</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48,319</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45,671</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258,431</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483,282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485,374</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(207,633)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(208,179)</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Present value of operating lease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275,649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277,195</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Finance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certain markets, the Company leases vehicles at its retail stores for residential delivery, where permitted. Many such leases are accounted for as finance leases. The terms of the vehicle leases are generally five years, do not contain renewal options, and expire at various dates through 2031. The Company's finance leases as of June 30, 2026 were not material and were included in Deposits and other assets and Other long-term liabilities on the Company's unaudited interim condensed consolidated balance sheets.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 Related Party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Mosaic Real Estate, LLC owns certain facilities leased by the Company and is owned in part by Benjamin Kovler, the Chairman and Chief Executive Officer of the Company (through KP Capital, LLC), and Anthony Georgiadis, the President and a director of the Company (through Three One Four Holdings, LLC). For the three and six months ended June 30, 2026, the Company recorded lease expense of $126 thousand and $252 thousand, respectively, compared to lease expense of $126 thousand and $252 thousand for the three and six months ended June 30, 2025, respectively, associated with these leasing arrangements.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9. NOTES PAYABLE</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2026 and December 31, 2025, notes payable consisted of the following: </w:t>
      </w:r>
    </w:p>
    <w:tbl>
      <w:tblPr>
        <w:tblW w:w="6095" w:type="dxa"/>
        <w:jc w:val="left"/>
        <w:tblInd w:w="0" w:type="dxa"/>
        <w:tblLayout w:type="fixed"/>
        <w:tblCellMar>
          <w:top w:w="28" w:type="dxa"/>
          <w:left w:w="28" w:type="dxa"/>
          <w:bottom w:w="28" w:type="dxa"/>
          <w:right w:w="28" w:type="dxa"/>
        </w:tblCellMar>
      </w:tblPr>
      <w:tblGrid>
        <w:gridCol w:w="2956"/>
        <w:gridCol w:w="196"/>
        <w:gridCol w:w="1156"/>
        <w:gridCol w:w="196"/>
        <w:gridCol w:w="1591"/>
      </w:tblGrid>
      <w:tr>
        <w:trPr/>
        <w:tc>
          <w:tcPr>
            <w:tcW w:w="2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Syndicated credit facility</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140,909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Mortgage notes</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103,987</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notes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283,009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244,896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 of notes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(18,495)</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Notes payable, net of current portion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259,283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226,401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color w:val="000000"/>
          <w:sz w:val="18"/>
        </w:rPr>
        <w:t>As of June 30, 2026 and December 31, 2025, the Credit Facility (as defined below in Section (a) of this Note 9), had an outstanding principal balance of $183,750</w:t>
      </w:r>
      <w:r>
        <w:rPr>
          <w:rFonts w:ascii="Times New Roman" w:hAnsi="Times New Roman"/>
          <w:color w:val="000000"/>
          <w:sz w:val="20"/>
        </w:rPr>
        <w:t xml:space="preserve"> </w:t>
      </w:r>
      <w:r>
        <w:rPr>
          <w:rFonts w:ascii="Times New Roman" w:hAnsi="Times New Roman"/>
          <w:color w:val="000000"/>
          <w:sz w:val="18"/>
        </w:rPr>
        <w:t>thousand and $142,500</w:t>
      </w:r>
      <w:r>
        <w:rPr>
          <w:rFonts w:ascii="Times New Roman" w:hAnsi="Times New Roman"/>
          <w:color w:val="000000"/>
          <w:sz w:val="20"/>
        </w:rPr>
        <w:t xml:space="preserve"> </w:t>
      </w:r>
      <w:r>
        <w:rPr>
          <w:rFonts w:ascii="Times New Roman" w:hAnsi="Times New Roman"/>
          <w:color w:val="000000"/>
          <w:sz w:val="18"/>
        </w:rPr>
        <w:t>thousand, respectively. The Credit Facility was issued at a discount, the carrying value of which was $1,846</w:t>
      </w:r>
      <w:r>
        <w:rPr>
          <w:rFonts w:ascii="Times New Roman" w:hAnsi="Times New Roman"/>
          <w:color w:val="000000"/>
          <w:sz w:val="20"/>
        </w:rPr>
        <w:t xml:space="preserve"> </w:t>
      </w:r>
      <w:r>
        <w:rPr>
          <w:rFonts w:ascii="Times New Roman" w:hAnsi="Times New Roman"/>
          <w:color w:val="000000"/>
          <w:sz w:val="18"/>
        </w:rPr>
        <w:t>thousand and $1,591</w:t>
      </w:r>
      <w:r>
        <w:rPr>
          <w:rFonts w:ascii="Times New Roman" w:hAnsi="Times New Roman"/>
          <w:color w:val="000000"/>
          <w:sz w:val="20"/>
        </w:rPr>
        <w:t xml:space="preserve"> </w:t>
      </w:r>
      <w:r>
        <w:rPr>
          <w:rFonts w:ascii="Times New Roman" w:hAnsi="Times New Roman"/>
          <w:color w:val="000000"/>
          <w:sz w:val="18"/>
        </w:rPr>
        <w:t>thousand as of June 30, 2026 and December 31, 2025, respectively. The Credit Facility matures on September 11, 2029.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2</w:t>
      </w:r>
      <w:r>
        <w:rPr>
          <w:rFonts w:ascii="Times New Roman" w:hAnsi="Times New Roman"/>
          <w:color w:val="000000"/>
          <w:sz w:val="20"/>
        </w:rPr>
        <w:t xml:space="preserve"> </w:t>
      </w:r>
      <w:r>
        <w:rPr>
          <w:rFonts w:ascii="Times New Roman" w:hAnsi="Times New Roman"/>
          <w:color w:val="000000"/>
          <w:sz w:val="18"/>
        </w:rPr>
        <w:t>The Company has issued mortgage notes in connection with various operating properties at an aggregate value of $112,285</w:t>
      </w:r>
      <w:r>
        <w:rPr>
          <w:rFonts w:ascii="Times New Roman" w:hAnsi="Times New Roman"/>
          <w:color w:val="000000"/>
          <w:sz w:val="20"/>
        </w:rPr>
        <w:t xml:space="preserve"> </w:t>
      </w:r>
      <w:r>
        <w:rPr>
          <w:rFonts w:ascii="Times New Roman" w:hAnsi="Times New Roman"/>
          <w:color w:val="000000"/>
          <w:sz w:val="18"/>
        </w:rPr>
        <w:t>thousand as of June 30, 2026 and December 31, 2025. The mortgage notes were issued at a discount, the carrying value of which was $694</w:t>
      </w:r>
      <w:r>
        <w:rPr>
          <w:rFonts w:ascii="Times New Roman" w:hAnsi="Times New Roman"/>
          <w:color w:val="000000"/>
          <w:sz w:val="20"/>
        </w:rPr>
        <w:t xml:space="preserve"> </w:t>
      </w:r>
      <w:r>
        <w:rPr>
          <w:rFonts w:ascii="Times New Roman" w:hAnsi="Times New Roman"/>
          <w:color w:val="000000"/>
          <w:sz w:val="18"/>
        </w:rPr>
        <w:t>thousand and $799</w:t>
      </w:r>
      <w:r>
        <w:rPr>
          <w:rFonts w:ascii="Times New Roman" w:hAnsi="Times New Roman"/>
          <w:color w:val="000000"/>
          <w:sz w:val="20"/>
        </w:rPr>
        <w:t xml:space="preserve"> </w:t>
      </w:r>
      <w:r>
        <w:rPr>
          <w:rFonts w:ascii="Times New Roman" w:hAnsi="Times New Roman"/>
          <w:color w:val="000000"/>
          <w:sz w:val="18"/>
        </w:rPr>
        <w:t>thousand, and are presented net of principal payments of $10,486</w:t>
      </w:r>
      <w:r>
        <w:rPr>
          <w:rFonts w:ascii="Times New Roman" w:hAnsi="Times New Roman"/>
          <w:color w:val="000000"/>
          <w:sz w:val="20"/>
        </w:rPr>
        <w:t xml:space="preserve"> </w:t>
      </w:r>
      <w:r>
        <w:rPr>
          <w:rFonts w:ascii="Times New Roman" w:hAnsi="Times New Roman"/>
          <w:color w:val="000000"/>
          <w:sz w:val="18"/>
        </w:rPr>
        <w:t>thousand and $7,499</w:t>
      </w:r>
      <w:r>
        <w:rPr>
          <w:rFonts w:ascii="Times New Roman" w:hAnsi="Times New Roman"/>
          <w:color w:val="000000"/>
          <w:sz w:val="20"/>
        </w:rPr>
        <w:t xml:space="preserve"> </w:t>
      </w:r>
      <w:r>
        <w:rPr>
          <w:rFonts w:ascii="Times New Roman" w:hAnsi="Times New Roman"/>
          <w:color w:val="000000"/>
          <w:sz w:val="18"/>
        </w:rPr>
        <w:t>thousand as of June 30, 2026 and December 31, 2025, respectively. These mortgage notes mature between December 31, 2028</w:t>
      </w:r>
      <w:r>
        <w:rPr>
          <w:rFonts w:ascii="Times New Roman" w:hAnsi="Times New Roman"/>
          <w:color w:val="000000"/>
          <w:sz w:val="20"/>
        </w:rPr>
        <w:t xml:space="preserve"> </w:t>
      </w:r>
      <w:r>
        <w:rPr>
          <w:rFonts w:ascii="Times New Roman" w:hAnsi="Times New Roman"/>
          <w:color w:val="000000"/>
          <w:sz w:val="18"/>
        </w:rPr>
        <w:t>and June 5, 2035</w:t>
      </w:r>
      <w:r>
        <w:rPr>
          <w:rFonts w:ascii="Times New Roman" w:hAnsi="Times New Roman"/>
          <w:color w:val="000000"/>
          <w:sz w:val="20"/>
        </w:rPr>
        <w:t xml:space="preserve"> </w:t>
      </w:r>
      <w:r>
        <w:rPr>
          <w:rFonts w:ascii="Times New Roman" w:hAnsi="Times New Roman"/>
          <w:color w:val="000000"/>
          <w:sz w:val="18"/>
        </w:rPr>
        <w:t>with interest rates - ranging between 5.00%</w:t>
      </w:r>
      <w:r>
        <w:rPr>
          <w:rFonts w:ascii="Times New Roman" w:hAnsi="Times New Roman"/>
          <w:color w:val="000000"/>
          <w:sz w:val="20"/>
        </w:rPr>
        <w:t xml:space="preserve"> </w:t>
      </w:r>
      <w:r>
        <w:rPr>
          <w:rFonts w:ascii="Times New Roman" w:hAnsi="Times New Roman"/>
          <w:color w:val="000000"/>
          <w:sz w:val="18"/>
        </w:rPr>
        <w:t>and 7.77%.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Syndicated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11, 2024, the Company entered into a $150,000 thousand syndicated credit facility led by Valley National Bank, which was amended on February 19, 2026 via Amendment No. 1 thereto to increase the total amount borrowed to $200,000 thousand (as amended, the “Credit Facility”). The Credit Facility has a maturity date of September 11, 2029 and bears interest from the date of issuance at the Secured Overnight Financing Rate plus 500 basis points, payable quarterly. As of June 30, 2026, the floating interest rate on the Credit Facility was 8.68%.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Facility includes certain covenants which require the Company to maintain a debt service coverage ratio of 1.5 to 1.0, a funded debt to Adjusted Earnings Before Interest Depreciation and Amortization (“Adjusted EBITDA”) (see “Non-GAAP Measures” below for additional information on Adjusted EBITDA) ratio no greater than 3.5 to 1.0, and a tangible net worth of at least $500 thousand. As of June 30, 2026, the Company was in compliance with all covenants associated with the Credit Facility.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Total Interest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capitalizes interest expense based on the weighted average rate applicable to the Company's outstanding borrowings. See Note 3 - Property and Equipment for additional details.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10. SHARE CAPITAL</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Authorized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following classes of share capital, with each class having no par value: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 Subordinate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 Multiple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Multiple Voting Share is entitled to 100 votes per share at shareholder meetings of the Company and is exchangeable for 100 Subordinate Voting Shares. The Company is authorized to issue an unlimited number of Multiple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(iii) Super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amounts of the issued and outstanding shares by class is as follows: </w:t>
      </w:r>
    </w:p>
    <w:p>
      <w:pPr>
        <w:pStyle w:val="TextBody"/>
        <w:bidi w:val="0"/>
        <w:spacing w:before="120" w:after="283"/>
        <w:jc w:val="left"/>
        <w:rPr/>
      </w:pPr>
      <w:r>
        <w:rPr/>
        <w:t> </w:t>
      </w:r>
    </w:p>
    <w:tbl>
      <w:tblPr>
        <w:tblW w:w="7057" w:type="dxa"/>
        <w:jc w:val="left"/>
        <w:tblInd w:w="0" w:type="dxa"/>
        <w:tblLayout w:type="fixed"/>
        <w:tblCellMar>
          <w:top w:w="28" w:type="dxa"/>
          <w:left w:w="28" w:type="dxa"/>
          <w:bottom w:w="28" w:type="dxa"/>
          <w:right w:w="28" w:type="dxa"/>
        </w:tblCellMar>
      </w:tblPr>
      <w:tblGrid>
        <w:gridCol w:w="3931"/>
        <w:gridCol w:w="146"/>
        <w:gridCol w:w="1156"/>
        <w:gridCol w:w="146"/>
        <w:gridCol w:w="706"/>
        <w:gridCol w:w="146"/>
        <w:gridCol w:w="82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Super</w:t>
              <w:br/>
              <w:t>Voting</w:t>
              <w:br/>
              <w:t>Shares</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206,629,845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201,690</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shares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to non-employee contractors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Subordinate Voting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(13,438,787)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Super Voting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195,147,381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196,690</w:t>
            </w:r>
          </w:p>
        </w:tc>
      </w:tr>
    </w:tbl>
    <w:p>
      <w:pPr>
        <w:pStyle w:val="TextBody"/>
        <w:bidi w:val="0"/>
        <w:spacing w:before="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10.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Repurchase of Subordinate Voting Shares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23, 2025, the Company's Board of Directors authorized a new share repurchase program that commenced immediately following the expiration of the Company's previous share repurchase program. The new program authorizes the Company to repurchase its Subordinate Voting Shares over a 12-month period at an aggregate cost of up to $50,000 thousand. On April 21, 2026, the Company’s Board of Directors authorized an expansion of the share repurchase program such that the Company may purchase Subordinate Voting Shares at an aggregate cost of up to $150,000 thousand.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repurchased approximately 13,438,787 Subordinate Voting Shares for approximately $77,659 thousand, at an average price of $5.78 per share.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Separately, on May 12, 2026, the Company entered into a securities purchase agreements with Benjamin Kovler, the Chairman and Chief Executive Officer and Anthony Georgiadis, the President and a Director, to purchase 2,500 Super Voting Shares from each in private transactions. The price per Super Voting Share was determined based on the closing price of $7.80 per underlying Subordinate Voting Shares as traded on the OTCQX Best Market on the date of the transaction.</w:t>
      </w:r>
    </w:p>
    <w:p>
      <w:pPr>
        <w:pStyle w:val="TextBody"/>
        <w:bidi w:val="0"/>
        <w:jc w:val="left"/>
        <w:rPr>
          <w:rFonts w:ascii="Times New Roman" w:hAnsi="Times New Roman"/>
          <w:b/>
          <w:color w:val="000000"/>
          <w:sz w:val="20"/>
        </w:rPr>
      </w:pPr>
      <w:r>
        <w:rPr>
          <w:rFonts w:ascii="Times New Roman" w:hAnsi="Times New Roman"/>
          <w:b/>
          <w:color w:val="000000"/>
          <w:sz w:val="20"/>
        </w:rPr>
        <w:t>(c)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2018, the Company established the Green Thumb Industries Inc. 2018 Stock and Incentive Plan, which was amended by Amendment No. 1, Amendment No. 2, Amendment No. 3 and Amendment No. 4 thereto (as amended, the “Plan”). The maximum number of RSUs and options outstanding under the Plan at any time shall not exceed 15% of the then issued and outstanding shares on an as-converted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 Option and RSU awards generally vest over three years, and options typically have a life of seven to ten years. Option grants under the Plan are determined by the Compensation Committee of the Company’s Board of Directors with the option price set at no less than 100% of the fair market value of a share on the date of grant.</w:t>
      </w:r>
    </w:p>
    <w:p>
      <w:pPr>
        <w:pStyle w:val="TextBody"/>
        <w:bidi w:val="0"/>
        <w:spacing w:before="1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10.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 Stock-Based Compensation</w:t>
      </w:r>
      <w:r>
        <w:rPr>
          <w:rFonts w:ascii="Times New Roman" w:hAnsi="Times New Roman"/>
          <w:color w:val="000000"/>
          <w:sz w:val="20"/>
        </w:rPr>
        <w:t xml:space="preserve">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10205" w:type="dxa"/>
        <w:jc w:val="left"/>
        <w:tblInd w:w="0" w:type="dxa"/>
        <w:tblLayout w:type="fixed"/>
        <w:tblCellMar>
          <w:top w:w="28" w:type="dxa"/>
          <w:left w:w="28" w:type="dxa"/>
          <w:bottom w:w="28" w:type="dxa"/>
          <w:right w:w="28" w:type="dxa"/>
        </w:tblCellMar>
      </w:tblPr>
      <w:tblGrid>
        <w:gridCol w:w="2784"/>
        <w:gridCol w:w="1401"/>
        <w:gridCol w:w="2485"/>
        <w:gridCol w:w="3535"/>
      </w:tblGrid>
      <w:tr>
        <w:trPr/>
        <w:tc>
          <w:tcPr>
            <w:tcW w:w="278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7,692,764</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293,217</w:t>
            </w:r>
          </w:p>
        </w:tc>
        <w:tc>
          <w:tcPr>
            <w:tcW w:w="2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(786,887)</w:t>
            </w:r>
          </w:p>
        </w:tc>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7,185,390</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6,045,234</w:t>
            </w:r>
          </w:p>
        </w:tc>
        <w:tc>
          <w:tcPr>
            <w:tcW w:w="2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permitted under ASC 718, </w:t>
      </w:r>
      <w:r>
        <w:rPr>
          <w:rFonts w:ascii="Times New Roman" w:hAnsi="Times New Roman"/>
          <w:i/>
          <w:color w:val="000000"/>
          <w:sz w:val="20"/>
        </w:rPr>
        <w:t>Stock Compensation</w:t>
      </w:r>
      <w:r>
        <w:rPr>
          <w:rFonts w:ascii="Times New Roman" w:hAnsi="Times New Roman"/>
          <w:color w:val="000000"/>
          <w:sz w:val="20"/>
        </w:rPr>
        <w:t xml:space="preserve">, the Company has made an accounting policy choice to prospectively account for forfeitures when they occur.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number of unvested RSU awards as of June 30, 2026 and December 31, 2025 and the changes during the six months ended June 30, 2026: </w:t>
      </w:r>
    </w:p>
    <w:tbl>
      <w:tblPr>
        <w:tblW w:w="8250" w:type="dxa"/>
        <w:jc w:val="left"/>
        <w:tblInd w:w="0" w:type="dxa"/>
        <w:tblLayout w:type="fixed"/>
        <w:tblCellMar>
          <w:top w:w="28" w:type="dxa"/>
          <w:left w:w="28" w:type="dxa"/>
          <w:bottom w:w="28" w:type="dxa"/>
          <w:right w:w="28" w:type="dxa"/>
        </w:tblCellMar>
      </w:tblPr>
      <w:tblGrid>
        <w:gridCol w:w="3271"/>
        <w:gridCol w:w="146"/>
        <w:gridCol w:w="1411"/>
        <w:gridCol w:w="211"/>
        <w:gridCol w:w="3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3,572,987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(1,930,044)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stock-based compensation expense for the three and six months ended June 30, 2026 and 2025 was as follows: </w:t>
      </w:r>
    </w:p>
    <w:tbl>
      <w:tblPr>
        <w:tblW w:w="8383" w:type="dxa"/>
        <w:jc w:val="left"/>
        <w:tblInd w:w="0" w:type="dxa"/>
        <w:tblLayout w:type="fixed"/>
        <w:tblCellMar>
          <w:top w:w="28" w:type="dxa"/>
          <w:left w:w="28" w:type="dxa"/>
          <w:bottom w:w="28" w:type="dxa"/>
          <w:right w:w="28" w:type="dxa"/>
        </w:tblCellMar>
      </w:tblPr>
      <w:tblGrid>
        <w:gridCol w:w="3436"/>
        <w:gridCol w:w="211"/>
        <w:gridCol w:w="980"/>
        <w:gridCol w:w="305"/>
        <w:gridCol w:w="980"/>
        <w:gridCol w:w="146"/>
        <w:gridCol w:w="211"/>
        <w:gridCol w:w="889"/>
        <w:gridCol w:w="277"/>
        <w:gridCol w:w="948"/>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18,988</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18,416</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21,135</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$62,462 thousand of total unrecognized expense related to stock-based compensation awards is expected to be recognized over a weighted-average period of 1.86 years.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11. INCOME TAX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income tax expense and effective tax rates for the three and six months ended June 30, 2026 and 2025: </w:t>
      </w:r>
    </w:p>
    <w:p>
      <w:pPr>
        <w:pStyle w:val="TextBody"/>
        <w:bidi w:val="0"/>
        <w:jc w:val="left"/>
        <w:rPr/>
      </w:pPr>
      <w:r>
        <w:rPr/>
        <w:t> </w:t>
      </w:r>
    </w:p>
    <w:tbl>
      <w:tblPr>
        <w:tblW w:w="7333" w:type="dxa"/>
        <w:jc w:val="left"/>
        <w:tblInd w:w="0" w:type="dxa"/>
        <w:tblLayout w:type="fixed"/>
        <w:tblCellMar>
          <w:top w:w="28" w:type="dxa"/>
          <w:left w:w="28" w:type="dxa"/>
          <w:bottom w:w="28" w:type="dxa"/>
          <w:right w:w="28" w:type="dxa"/>
        </w:tblCellMar>
      </w:tblPr>
      <w:tblGrid>
        <w:gridCol w:w="2386"/>
        <w:gridCol w:w="211"/>
        <w:gridCol w:w="980"/>
        <w:gridCol w:w="305"/>
        <w:gridCol w:w="980"/>
        <w:gridCol w:w="146"/>
        <w:gridCol w:w="211"/>
        <w:gridCol w:w="933"/>
        <w:gridCol w:w="267"/>
        <w:gridCol w:w="914"/>
      </w:tblGrid>
      <w:tr>
        <w:trPr/>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79,087</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62,024</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52,891</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rates for the three months ended June 30, 2026 and 2025 were based on the Company’s forecasted annualized effective tax rates and were adjusted for discrete items that occurred within the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IRS has taken the position that cannabis companies are subject to the limitations of the U.S. Internal Revenue Code of 1986, as amended (“IRC”) Section 280E under which cannabis companies are only allowed to deduct expenses directly related to sales of product. This results in permanent differences related to ordinary and necessary business expenses deemed non-allowable under IRC Section 280E. On April 23, 2026, the U.S. Department of Justice (“DOJ”) issued a final order reclassifying state legal medical cannabis to Schedule III under the Controlled Substances Act. This change, which became effective on April 28, 2026, will prospectively reduce a portion of the Company's provision for uncertain tax positions. The U.S. Department of the Treasury has not yet issued guidance on the tax consequences of this reclassification. The Company's income tax provision for the three and six months ended June 30, 2026, reflects its current interpretation of the reclassification's effect on Section 280E, which remains subject to change pending such guidance. Therefore, the effective tax rate can be highly variable and may not necessarily correlate with pre-tax income and provides for effective tax rates that are well in excess of statutory tax rates.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12. OTHER INCOME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other income (expense) was comprised of the following: </w:t>
      </w:r>
    </w:p>
    <w:p>
      <w:pPr>
        <w:pStyle w:val="TextBody"/>
        <w:bidi w:val="0"/>
        <w:jc w:val="left"/>
        <w:rPr/>
      </w:pPr>
      <w:r>
        <w:rPr/>
        <w:t> </w:t>
      </w:r>
    </w:p>
    <w:tbl>
      <w:tblPr>
        <w:tblW w:w="8443" w:type="dxa"/>
        <w:jc w:val="left"/>
        <w:tblInd w:w="0" w:type="dxa"/>
        <w:tblLayout w:type="fixed"/>
        <w:tblCellMar>
          <w:top w:w="28" w:type="dxa"/>
          <w:left w:w="28" w:type="dxa"/>
          <w:bottom w:w="28" w:type="dxa"/>
          <w:right w:w="28" w:type="dxa"/>
        </w:tblCellMar>
      </w:tblPr>
      <w:tblGrid>
        <w:gridCol w:w="3526"/>
        <w:gridCol w:w="196"/>
        <w:gridCol w:w="923"/>
        <w:gridCol w:w="286"/>
        <w:gridCol w:w="1055"/>
        <w:gridCol w:w="146"/>
        <w:gridCol w:w="196"/>
        <w:gridCol w:w="838"/>
        <w:gridCol w:w="260"/>
        <w:gridCol w:w="1017"/>
      </w:tblGrid>
      <w:tr>
        <w:trPr/>
        <w:tc>
          <w:tcPr>
            <w:tcW w:w="3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gain on divestitures of intellectual property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(11,678)</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related party warrants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warrants liability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from settlement of arbitration award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(loss) from equity method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20,745</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(14,013)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13. COMMITMENTS AND CONTINGENCIES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(a)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Claims and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is an update to the status of the previously disclosed matters as of June 30, 2026:</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color w:val="000000"/>
          <w:sz w:val="20"/>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w:t>
      </w:r>
      <w:r>
        <w:rPr>
          <w:color w:val="000000"/>
        </w:rPr>
        <w:t xml:space="preserve"> </w:t>
      </w:r>
      <w:r>
        <w:rPr>
          <w:rFonts w:ascii="Times New Roman" w:hAnsi="Times New Roman"/>
          <w:color w:val="000000"/>
          <w:sz w:val="20"/>
        </w:rPr>
        <w:t>thousand, representing unpaid rent. In addition, the court found the Company liable for interest and attorney fees in the amount of $912</w:t>
      </w:r>
      <w:r>
        <w:rPr>
          <w:color w:val="000000"/>
        </w:rPr>
        <w:t xml:space="preserve"> </w:t>
      </w:r>
      <w:r>
        <w:rPr>
          <w:rFonts w:ascii="Times New Roman" w:hAnsi="Times New Roman"/>
          <w:color w:val="000000"/>
          <w:sz w:val="20"/>
        </w:rPr>
        <w:t>thousand. On March 27, 2026, the Company and plaintiff entered into a settlement agreement whereby the Company remitted $6,750</w:t>
      </w:r>
      <w:r>
        <w:rPr>
          <w:color w:val="000000"/>
        </w:rPr>
        <w:t xml:space="preserve"> </w:t>
      </w:r>
      <w:r>
        <w:rPr>
          <w:rFonts w:ascii="Times New Roman" w:hAnsi="Times New Roman"/>
          <w:color w:val="000000"/>
          <w:sz w:val="20"/>
        </w:rPr>
        <w:t>thousand to plaintiff in full satisfaction of all claims against the Company. Upon such remittance, the matter was fully resolved.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pPr>
      <w:r>
        <w:rPr>
          <w:rFonts w:ascii="Times New Roman" w:hAnsi="Times New Roman"/>
          <w:color w:val="000000"/>
          <w:sz w:val="20"/>
        </w:rPr>
        <w:t>On February 5, 2026, the Company was notified of an arbitration award in favor of Green Thumb in relation to a 2018 agreement with Ascend Wellness Holdings Inc. (“Ascend”). On February 12, 2026, Ascend remitted $17,000</w:t>
      </w:r>
      <w:r>
        <w:rPr>
          <w:color w:val="000000"/>
        </w:rPr>
        <w:t xml:space="preserve"> </w:t>
      </w:r>
      <w:r>
        <w:rPr>
          <w:rFonts w:ascii="Times New Roman" w:hAnsi="Times New Roman"/>
          <w:color w:val="000000"/>
          <w:sz w:val="20"/>
        </w:rPr>
        <w:t xml:space="preserve">thousand to the Company in order to settle the matter in accordance with the parties' settlement agreement. For the six months ended June 30, 2026, this amount was included within other income (expense) on the unaudited interim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and December 31, 2025,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 Construction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held approximately $5,800 thousand of open construction commitments to contractors on work being performed which are generally expected to be completed within 12 months.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14. FAIR VALUE MEASUREMENTS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the following fair value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that are observable for the asset or liability, either directly or indirectly;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for the asset or liability that are not based on observable market data. </w:t>
      </w:r>
    </w:p>
    <w:p>
      <w:pPr>
        <w:pStyle w:val="TextBody"/>
        <w:bidi w:val="0"/>
        <w:spacing w:before="120" w:after="283"/>
        <w:jc w:val="left"/>
        <w:rPr>
          <w:rFonts w:ascii="Times New Roman" w:hAnsi="Times New Roman"/>
          <w:sz w:val="20"/>
        </w:rPr>
      </w:pPr>
      <w:r>
        <w:rPr>
          <w:rFonts w:ascii="Times New Roman" w:hAnsi="Times New Roman"/>
          <w:b/>
          <w:color w:val="000000"/>
          <w:sz w:val="20"/>
        </w:rPr>
        <w:t>(a)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receivable, investments, accounts payable and accrued liabilities, notes payable, warrant liability, and contingent consideration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was not practicable to estimate the fair value of the Company's long-term notes payable, which consist of the Credit Facility and mortgage notes, since there were no quoted market prices or active trading markets. The carrying amount of notes payable at June 30, 2026 and December 31, 2025 was $283,009 thousand and $244,896 thousand, respectively, which includes $23,726 thousand and $18,495 thousand, respectively, of short-term debt due within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jc w:val="left"/>
        <w:rPr/>
      </w:pPr>
      <w:r>
        <w:rPr/>
        <w:t> </w:t>
      </w:r>
    </w:p>
    <w:tbl>
      <w:tblPr>
        <w:tblW w:w="6189" w:type="dxa"/>
        <w:jc w:val="left"/>
        <w:tblInd w:w="0" w:type="dxa"/>
        <w:tblLayout w:type="fixed"/>
        <w:tblCellMar>
          <w:top w:w="28" w:type="dxa"/>
          <w:left w:w="28" w:type="dxa"/>
          <w:bottom w:w="28" w:type="dxa"/>
          <w:right w:w="28" w:type="dxa"/>
        </w:tblCellMar>
      </w:tblPr>
      <w:tblGrid>
        <w:gridCol w:w="2686"/>
        <w:gridCol w:w="196"/>
        <w:gridCol w:w="691"/>
        <w:gridCol w:w="196"/>
        <w:gridCol w:w="646"/>
        <w:gridCol w:w="196"/>
        <w:gridCol w:w="646"/>
        <w:gridCol w:w="196"/>
        <w:gridCol w:w="736"/>
      </w:tblGrid>
      <w:tr>
        <w:trPr/>
        <w:tc>
          <w:tcPr>
            <w:tcW w:w="2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283,586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30,347</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283,586</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30,347</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313,933</w:t>
            </w:r>
          </w:p>
        </w:tc>
      </w:tr>
    </w:tbl>
    <w:p>
      <w:pPr>
        <w:pStyle w:val="TextBody"/>
        <w:bidi w:val="0"/>
        <w:jc w:val="left"/>
        <w:rPr/>
      </w:pPr>
      <w:r>
        <w:rPr/>
        <w:t> </w:t>
      </w:r>
    </w:p>
    <w:tbl>
      <w:tblPr>
        <w:tblW w:w="6189" w:type="dxa"/>
        <w:jc w:val="left"/>
        <w:tblInd w:w="0" w:type="dxa"/>
        <w:tblLayout w:type="fixed"/>
        <w:tblCellMar>
          <w:top w:w="28" w:type="dxa"/>
          <w:left w:w="28" w:type="dxa"/>
          <w:bottom w:w="28" w:type="dxa"/>
          <w:right w:w="28" w:type="dxa"/>
        </w:tblCellMar>
      </w:tblPr>
      <w:tblGrid>
        <w:gridCol w:w="2686"/>
        <w:gridCol w:w="196"/>
        <w:gridCol w:w="691"/>
        <w:gridCol w:w="196"/>
        <w:gridCol w:w="646"/>
        <w:gridCol w:w="196"/>
        <w:gridCol w:w="646"/>
        <w:gridCol w:w="196"/>
        <w:gridCol w:w="736"/>
      </w:tblGrid>
      <w:tr>
        <w:trPr/>
        <w:tc>
          <w:tcPr>
            <w:tcW w:w="26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274,298</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10,984</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285,282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32,720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318,002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15. RELATED PARTY TRANSACTIONS WITH AFFILIATED ENTITIES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acquired a non-controlling financial interest in Agrify Corporation (now known as RYTHM Inc. or “RYM”) in November 2024. In connection with the transaction, Benjamin Kovler, Chairman and Chief Executive Officer and Armon Vakili, Vice President, Strategic Initiatives and Partnerships, both of Green Thumb, began serving as RYM's Chairman and Interim Chief Executive Officer and member of RYM's Board, respectively. The following is a summary of transactions between Green Thumb and RYM: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Equity Method Investment: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Company held approximately 33% ownership interest in RYM and accounted for the investment using the equity method of accounting. As of each of those periods then ended, the Company's investment in RYM had a carrying value of $161,410 thousand and $152,374 thousand, respectively. During the three and six months ended June 30, 2026 and 2025, the Company recorded earnings (losses) from its ownership interest in RYM of $119 thousand and $6,598 thousand and $(2,569) thousand and $(3,219) thousand, respectively, within other income (expense) on the Company's unaudited interim condensed consolidated statements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Notes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extended convertible notes receivable (the “May 2025 Notes” and “August 2025 Notes”) to RYM in the previous year. The following amounts were held by the Company as of as of June 30, 2026 and December 31, 2025, respectively:</w:t>
      </w:r>
    </w:p>
    <w:p>
      <w:pPr>
        <w:pStyle w:val="TextBody"/>
        <w:bidi w:val="0"/>
        <w:jc w:val="left"/>
        <w:rPr/>
      </w:pPr>
      <w:r>
        <w:rPr/>
        <w:t> </w:t>
      </w:r>
    </w:p>
    <w:tbl>
      <w:tblPr>
        <w:tblW w:w="6920" w:type="dxa"/>
        <w:jc w:val="left"/>
        <w:tblInd w:w="0" w:type="dxa"/>
        <w:tblLayout w:type="fixed"/>
        <w:tblCellMar>
          <w:top w:w="28" w:type="dxa"/>
          <w:left w:w="28" w:type="dxa"/>
          <w:bottom w:w="28" w:type="dxa"/>
          <w:right w:w="28" w:type="dxa"/>
        </w:tblCellMar>
      </w:tblPr>
      <w:tblGrid>
        <w:gridCol w:w="3781"/>
        <w:gridCol w:w="196"/>
        <w:gridCol w:w="1156"/>
        <w:gridCol w:w="196"/>
        <w:gridCol w:w="1591"/>
      </w:tblGrid>
      <w:tr>
        <w:trPr/>
        <w:tc>
          <w:tcPr>
            <w:tcW w:w="3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8"/>
              </w:rPr>
            </w:pPr>
            <w:r>
              <w:rPr>
                <w:rFonts w:ascii="Times New Roman" w:hAnsi="Times New Roman"/>
                <w:b/>
                <w:color w:val="0D0D0D"/>
                <w:sz w:val="18"/>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8"/>
              </w:rPr>
            </w:pPr>
            <w:r>
              <w:rPr>
                <w:rFonts w:ascii="Times New Roman" w:hAnsi="Times New Roman"/>
                <w:b/>
                <w:color w:val="0D0D0D"/>
                <w:sz w:val="18"/>
              </w:rPr>
              <w:t>December 31, 2025</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8"/>
              </w:rPr>
            </w:pPr>
            <w:r>
              <w:rPr>
                <w:rFonts w:ascii="Times New Roman" w:hAnsi="Times New Roman"/>
                <w:b/>
                <w:color w:val="0D0D0D"/>
                <w:sz w:val="18"/>
              </w:rPr>
              <w:t>(in thousands)</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2025 Notes - maturing November 22,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27,000</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2025 Notes - maturing February 25, 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convertible notes receivable from RYM</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27,000</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May 2025 Notes and August 2025 Notes bear interest of 10% per annum and are convertible into shares of RYM or pre-funded warrants at maturity. As of the year ended December 31, 2025, the August 2025 Notes were classified as non-current and, accordingly, were included within non-current notes receivable from related parties on the Company's unaudited interim condensed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accrued interest associated with the Company's convertible notes receivable from RYM totaled $2,400 thousand and $2,326 thousand,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15. RELATED PARTY TRANSACTIONS WITH AFFILIATED ENTITIES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Licensing and Management Services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and August 2025, Green Thumb sold its intellectual property rights in brands including RYTHM, incredibles, Beboe, Dogwalkers, Doctor Solomon's, &amp;Shine and Good Green to RYM. As part of the transactions, RYM agreed to license the intellectual property rights back to Green Thumb in exchange for a licensing fee (the “License Agreements”). During the three and six months ended June 30, 2026, the Company incurred $15,750 thousand and $24,728 thousand, respectively, in license fees that were recorded within cost of sales on the Company's unaudited interim condensed consolidated statements of operations. No such license fees were incurred during the three and six months ended June 30, 2025. As of June 30, 2026 and December 31, 2025, the Company owed RYM $5,833 thousand and $6,801 thousand, respectively in association with the License Agreements. Such amounts were included within accounts payable on the unaudited interim condensed consolidated balance sheets.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March 31, 2026, the License Agreements were amended to replace the prior revenue-based fee structure with fixed annual licensing fees of $70,000 thousand, payable in monthly installments. The fees are subject to an annual increase equal to two times a Consumer Price Index-based escalator. No other terms of the License Agreements were modified.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Separately, the Company routinely provides operational support services to RYM pursuant to two shared services agreements. As of June 30, 2026 and December 31, 2025 the Company was owed $3,774 thousand and $3,186 thousand, respectively, under the shared services agreements.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sz w:val="20"/>
        </w:rPr>
      </w:pPr>
      <w:r>
        <w:rPr>
          <w:rFonts w:ascii="Times New Roman" w:hAnsi="Times New Roman"/>
          <w:i/>
          <w:color w:val="000000"/>
          <w:sz w:val="20"/>
        </w:rPr>
        <w:t>(Amounts Expressed in United States Dollars, Except Where Stated Otherwise)</w:t>
      </w:r>
      <w:r>
        <w:rPr>
          <w:rFonts w:ascii="Times New Roman" w:hAnsi="Times New Roman"/>
          <w:color w:val="000000"/>
          <w:sz w:val="20"/>
        </w:rPr>
        <w:t xml:space="preserve"> </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16. SEGMENT REPORTING</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by segment; therefore, such information is not presented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below table presents revenues by type for the three and six months ended June 30, 2026 and 2025: </w:t>
      </w:r>
    </w:p>
    <w:p>
      <w:pPr>
        <w:pStyle w:val="TextBody"/>
        <w:bidi w:val="0"/>
        <w:spacing w:before="240" w:after="283"/>
        <w:jc w:val="left"/>
        <w:rPr/>
      </w:pPr>
      <w:r>
        <w:rPr/>
        <w:t> </w:t>
      </w:r>
    </w:p>
    <w:tbl>
      <w:tblPr>
        <w:tblW w:w="8834" w:type="dxa"/>
        <w:jc w:val="left"/>
        <w:tblInd w:w="0" w:type="dxa"/>
        <w:tblLayout w:type="fixed"/>
        <w:tblCellMar>
          <w:top w:w="28" w:type="dxa"/>
          <w:left w:w="28" w:type="dxa"/>
          <w:bottom w:w="28" w:type="dxa"/>
          <w:right w:w="28" w:type="dxa"/>
        </w:tblCellMar>
      </w:tblPr>
      <w:tblGrid>
        <w:gridCol w:w="3211"/>
        <w:gridCol w:w="211"/>
        <w:gridCol w:w="1159"/>
        <w:gridCol w:w="307"/>
        <w:gridCol w:w="1159"/>
        <w:gridCol w:w="146"/>
        <w:gridCol w:w="211"/>
        <w:gridCol w:w="1064"/>
        <w:gridCol w:w="249"/>
        <w:gridCol w:w="1117"/>
      </w:tblGrid>
      <w:tr>
        <w:trPr/>
        <w:tc>
          <w:tcPr>
            <w:tcW w:w="3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212,575</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420,635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403,956</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175,656</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343,195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339,721</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(156,957)</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(170,880)</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306,683</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606,873</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572,797</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130,157</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269,831</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204,586</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(70,786)</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(143,630)</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(191,151)</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168,809</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325,354</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283,266</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82,418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165,230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134,125</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129,616</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135,135</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(10,762)</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20,271</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137,874</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281,519</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289,531</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27,330</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19,018</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36,552</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33,176</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65,589</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59,082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assigned to the Retail segment as of June 30, 2026 and December 31, 2025 was $286,670 thousand and $277,342 thousand, respectively. Intangible assets, net assigned to the Retail segment as of June 30, 2026 and December 31, 2025 was $261,042 thousand and $251,846 thousand,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assigned to the Consumer Packaged Goods segment as of June 30, 2026 and December 31, 2025 was $314,809 thousand at each period end. Intangible assets, net assigned to the Consumer Packaged Goods segment as of June 30, 2026 and December 31, 2025 was $174,543 thousand and $184,835 thousand,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2_mda"/>
      <w:bookmarkStart w:id="9" w:name="management_discussion_and_analysis"/>
      <w:bookmarkEnd w:id="8"/>
      <w:bookmarkEnd w:id="9"/>
      <w:r>
        <w:rPr>
          <w:rFonts w:ascii="Times New Roman" w:hAnsi="Times New Roman"/>
          <w:b/>
          <w:color w:val="000000"/>
          <w:sz w:val="20"/>
        </w:rPr>
        <w:t>ITEM 2. MANAGEMENT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 discussion and analysis (“MD&amp;A”) of the financial condition and results of operations of Green Thumb Industries Inc. (the “Company” or “Green Thumb”) is for the three and six months ended June 30, 2026 and 2025. It is supplemental to, and should be read in conjunction with, the Company’s unaudited interim condensed consolidated financial statements as of June 30, 2026 and the consolidated financial statements for the year ended December 31, 2025 included in the Company’s Annual Report on Form 10-K for the year ended December 31, 2025 filed with the U.S. Securities and Exchange Commission (“SEC”) on February 25, 2026 (the “2025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2025 Form 10-K.” As a result of many factors, the Company’s actual results may differ materially from those anticipated in these forward-looking statements and information. </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Established in 2014 and headquartered in Chicago, Illinois, Green Thumb, a national cannabis consumer packaged goods company and retailer, promotes well-being through the power of cannabis while being committed to community and sustainable, profitable growth. As of June 30, 2026, Green Thumb has operations in fourteen U.S. markets, employs approximately 4,900 people and serves millions of patients and customers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Green Thumb’s core business is manufacturing, distributing and marketing a portfolio of cannabis consumer packaged goods brands, including &amp;Shine, Beboe, Dogwalkers, Doctor Solomon’s, Good Green, incredibles and RYTHM (which we refer to as our Consumer Packaged Goods business). The Company distributes and markets these products to third-party licensed retail cannabis stores across the United States as well as to Green Thumb-owned retail stores (which we refer to as our Retail business). The Company developed and acquired its consumer packaged goods brands over the course of the Company's operating history and then, in transactions that closed on May 20, 2025 and August 27, 2025, the Company, through sales of equity interests of indirectly owned subsidiaries, sold the intellectual property related to those brands to RYTHM, Inc (formerly known as Agrify Corporation, and referred to herein as “RYM”). In connection with this sale, the Company entered into licensing arrangements with RYM for the Company's continued, exclusive use of these brands for cannabis products in its existing markets (the “License Agreements”). On March 31, 2026, the License Agreements were amended to replace the original revenue-based fee structure with fixed annual licensing fees. The amendments became effective on April 1, 2026. As of June 30, 2026, the Company, owns approximately 33% of the outstanding shares of common stock of RYM and has the right to acquire additional shares that could increase the Company's ownership percentage to more than 90%. Such rights are subject to certain conditions including approval of RYM shareholders (which will be voted on at a special meeting to be held on August 10,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(of which none of these product categories are individually material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Green Thumb owns and operates a national cannabis retail chain called RISE Dispensaries that aims to bring patients and customers a variety of high-quality products at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currently are located in the fourteen states in which we operate. As of June 30, 2026, the Company had 123 open and operating Retail stores. The Company’s new store opening plans will remain fluid depending on market conditions, obtaining local licensing, construction and other permissions and subject to the Company’s capital allocation plans as described under the heading “Liquidity, Financing Activities During the Period, and Capital Resources” below.</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 Consolidated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Company’s selected consolidated financial results for the periods, and as of the dates, indicated. The (i) unaudited interim condensed consolidated statements of operations for the three and six months ended June 30, 2026 and 2025 and (ii) unaudited interim condensed consolidated balance sheets as of June 30, 2026 and December 31, 2025 have been derived from, and should be read in conjunction with, the unaudited interim condensed consolidated financial statements and accompanying notes presented in Item 1 of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38"/>
        <w:gridCol w:w="196"/>
        <w:gridCol w:w="1014"/>
        <w:gridCol w:w="197"/>
        <w:gridCol w:w="1014"/>
        <w:gridCol w:w="146"/>
        <w:gridCol w:w="196"/>
        <w:gridCol w:w="1006"/>
        <w:gridCol w:w="196"/>
        <w:gridCol w:w="1006"/>
        <w:gridCol w:w="196"/>
        <w:gridCol w:w="680"/>
        <w:gridCol w:w="498"/>
        <w:gridCol w:w="196"/>
        <w:gridCol w:w="680"/>
        <w:gridCol w:w="546"/>
      </w:tblGrid>
      <w:tr>
        <w:trPr/>
        <w:tc>
          <w:tcPr>
            <w:tcW w:w="24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306,683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606,873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572,797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13,426</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 sold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(168,809)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(325,354)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21,808</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42,088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137,874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(8,382)</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117,907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11,084</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117,907</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220,818</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207,616</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(19,466)</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(13,106)</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 and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non-controlling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(2,828)</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Green Thumb Industries Inc.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per share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per share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r>
      <w:tr>
        <w:trPr/>
        <w:tc>
          <w:tcPr>
            <w:tcW w:w="2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221,022,912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235,842,313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225,810,458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235,984,140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222,776,252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235,842,313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229,789,640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239,097,719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745" w:type="dxa"/>
        <w:jc w:val="left"/>
        <w:tblInd w:w="0" w:type="dxa"/>
        <w:tblLayout w:type="fixed"/>
        <w:tblCellMar>
          <w:top w:w="28" w:type="dxa"/>
          <w:left w:w="28" w:type="dxa"/>
          <w:bottom w:w="28" w:type="dxa"/>
          <w:right w:w="28" w:type="dxa"/>
        </w:tblCellMar>
      </w:tblPr>
      <w:tblGrid>
        <w:gridCol w:w="1606"/>
        <w:gridCol w:w="196"/>
        <w:gridCol w:w="1156"/>
        <w:gridCol w:w="196"/>
        <w:gridCol w:w="1591"/>
      </w:tblGrid>
      <w:tr>
        <w:trPr/>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2,815,413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2,790,056</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735,842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702,098</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June 30, 2026 Compared to the Three Months Ended June 30, 2025</w:t>
      </w:r>
    </w:p>
    <w:p>
      <w:pPr>
        <w:pStyle w:val="TextBody"/>
        <w:bidi w:val="0"/>
        <w:spacing w:before="120" w:after="283"/>
        <w:jc w:val="left"/>
        <w:rPr>
          <w:rFonts w:ascii="Times New Roman" w:hAnsi="Times New Roman"/>
          <w:sz w:val="20"/>
        </w:rPr>
      </w:pPr>
      <w:r>
        <w:rPr>
          <w:rFonts w:ascii="Times New Roman" w:hAnsi="Times New Roman"/>
          <w:i/>
          <w:color w:val="000000"/>
          <w:sz w:val="20"/>
        </w:rPr>
        <w:t>Revenues, net of Discounts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three months ended June 30, 2026 was $306,683 thousand, an increase of 5% from $293,257 thousand during the three months ended June 30, 2025. The increase in revenue was largely due to the launch of adult-use sales in Minnesota which began on September 17, 2025, as well as continued growth in existing markets, particularly in Connecticut, Florida and Ohio, partially offset by price compression and increased competition in select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123 Retail stores during the quarter compared to 108 in the same quarter of the prior year. Retail revenues made up 69% of total revenues during the three months ended June 30, 2026 as compared to 70% during the three months ended June 30, 2025. Since June 30, 2025, the Company opened or acquired fifteen Retail stores.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Packaged Goods revenues made up 31% of total revenues during the three months ended June 30, 2026 as compared to 30% during the three months ended June 30, 2025.</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goods sold are derived from retail purchases made by the Company from its third-party licensed producers operating within the Company's state markets and costs related to the internal cultivation and production of cannabis. Cost of goods sold for the three months ended June 30, 2026 was $168,809 thousand, an increase of 15% from $147,001 thousand for the three months ended June 30, 2025. The increase in cost of goods sold was primarily driven by RYM licensing fees of $15,750 thousand, the legalization of adult-use sales in Minnesota as described above, continued growth in existing markets, particularly in Connecticut, Florida and Ohio, and new and acquired Retail store openings since June 30,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rFonts w:ascii="Times New Roman" w:hAnsi="Times New Roman"/>
          <w:color w:val="000000"/>
          <w:sz w:val="20"/>
        </w:rPr>
      </w:pPr>
      <w:r>
        <w:rPr>
          <w:rFonts w:ascii="Times New Roman" w:hAnsi="Times New Roman"/>
          <w:color w:val="000000"/>
          <w:sz w:val="20"/>
        </w:rPr>
        <w:t>Gross profit for the three months ended June 30, 2026 was $137,874 thousand, representing a gross margin on the sale of branded cannabis flower and processed and packaged products including concentrates, edibles, topicals and other cannabis products, of 45%. This is compared to gross profit for the three months ended June 30, 2025 of $146,256 thousand, or a 50% gross margin. The decrease in gross profit was primarily attributable to an increase in RYM licensing fees and price compression in select markets.</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three months ended June 30, 2026 were $117,907 thousand, or 38% of revenues, net of discounts, an increase of $11,084 thousand compared to the same period in the prior year. Total expenses for the three months ended June 30, 2025 were $106,823 thousand or 36% of revenues, net of discounts. The increase in total expenses was primarily attributable to overall compensation and benefits of corporate staff and increased costs associated with the opening, acquisition and operation of Retail stores as described above.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other expense for the three months ended June 30, 2026 was $4,019 thousand, a favorable change of $13,106 thousand, primarily due to the loss on sale of intellectual property rights associated with Green Thumb's former brand, incredibles, to RYM during the three months ended June 30, 2025. </w:t>
      </w:r>
    </w:p>
    <w:p>
      <w:pPr>
        <w:pStyle w:val="TextBody"/>
        <w:bidi w:val="0"/>
        <w:spacing w:before="360" w:after="283"/>
        <w:jc w:val="left"/>
        <w:rPr>
          <w:rFonts w:ascii="Times New Roman" w:hAnsi="Times New Roman"/>
          <w:sz w:val="20"/>
        </w:rPr>
      </w:pPr>
      <w:r>
        <w:rPr>
          <w:rFonts w:ascii="Times New Roman" w:hAnsi="Times New Roman"/>
          <w:i/>
          <w:color w:val="000000"/>
          <w:sz w:val="20"/>
        </w:rPr>
        <w:t>Income Before Provision for Income Taxes and Non-Controlling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provision for income taxes and non-controlling interest for the three months ended June 30, 2026 was $15,948 thousand, a decrease of $6,360 thousand compared to the three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presented under the heading “Non-GAAP Measures” below, after adjusting for non-cash equity incentive compensation of $10,618 thousand and $11,966 thousand in the three months ended June 30, 2026 and 2025, respectively, and other nonoperating expenses of $4,803 thousand and $1,670 thousand in three months ended June 30, 2026 and 2025, respectively, Adjusted Earnings Before Interest Depreciation and Amortization (“Adjusted EBITDA”) was $68,564 thousand and $82,740 thousand, respectively. In addition, Adjusted EBITDA excluding the licensing fees recorded in conjunction with the Company's licensing agreement with RYM (“Normalized EBITDA”) was $84,314 thousand for the three months ended June 30, 2026. More information on Normalized EBITDA is also presented under the heading “Non-GAAP Measures” below.</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three months ended June 30, 2026, federal and state income tax expense totaled $12,521 thousand compared to expense of $21,576 thousand</w:t>
      </w:r>
      <w:r>
        <w:rPr>
          <w:rFonts w:ascii="Times New Roman" w:hAnsi="Times New Roman"/>
          <w:color w:val="FF0000"/>
          <w:sz w:val="20"/>
        </w:rPr>
        <w:t xml:space="preserve"> </w:t>
      </w:r>
      <w:r>
        <w:rPr>
          <w:rFonts w:ascii="Times New Roman" w:hAnsi="Times New Roman"/>
          <w:color w:val="000000"/>
          <w:sz w:val="20"/>
        </w:rPr>
        <w:t>for the three months ended June 30, 2025. The decrease in income tax expense was primarily due to the DOJ's final order reclassifying state legal medical cannabis to Schedule III under the Controlled Substances Act. The final order became effective on April 28, 2026.</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 Months Ended June 30, 2026 Compared to the Six Months Ended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net of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six months ended June 30, 2026 was $606,873 thousand, an increase of 6% from $572,797 thousand for the six months ended June 30, 2025. The increase in revenue was largely due to the launch of adult-use sales in Minnesota which began on September 17, 2025, as well as continued growth in existing markets, particularly in Connecticut, Florida, Ohio and New York, partially offset by price compression and increased competition in select markets.</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goods sold are derived from retail purchases made by the Company from its third-party licensed producers operating within our state markets and costs related to the internal cultivation and production of cannabis. Cost of goods sold for the six months ended June 30, 2026 was $325,354 thousand, an increase of 15% from $283,266 thousand for the six months ended June 30, 2025. The increase in cost of goods sold was primarily driven by RYM licensing fees of $24,728 thousand, legalization of adult-use sales in Minnesota as described above, continued growth in existing markets, particularly in Connecticut, Florida, Ohio and New York, and new and acquired Retail store openings since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for the six months ended June 30, 2026 was $281,519 thousand, representing a gross margin on the sale of branded cannabis flower and processed and packaged products including concentrates, edibles, topicals and other cannabis products, of 46%. This is compared to gross profit for the six months ended June 30, 2025 of $289,531 thousand or a 51% gross margin. The decrease in gross profit was primarily attributable to an increase in RYM licensing fees and price compression in select markets.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six months ended June 30, 2026 were $220,818 thousand or 36% of revenues, net of discounts, an increase of $13,202 thousand over the same period in the prior year. Total expenses for the six months ended June 30, 2025 were $207,616 thousand or 36% of revenues, net of discounts. The increase in total expenses was attributable to overall compensation and benefits of corporate staff and increased costs associated with the opening, acquisition and operation of new Retail stores as described above.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Other Income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income (expense) for the six months ended June 30, 2026 was $18,386 thousand, a favorable change of $38,277 thousand over the same period in the prior year, primarily due to a one-time arbitration settlement of $17,000 thousand and income associated with the Company's related party equity method investment in RYM during the six months ended June 30,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Income Before Provision for Income Taxes and Non-Controlling Interest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before provision for income taxes and non-controlling interest for the six months ended June 30, 2026 was $79,087 thousand, an increase of $17,063 thousand compared to the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presented under the heading “Non-GAAP Measures” below, after adjusting for non-cash equity incentive compensation of $21,135 thousand and $22,275 thousand, and other nonoperating expenses, of $5,673 thousand and $4,715 thousand in the six months ended June 30, 2026 and 2025, respectively, Adjusted EBITDA was $153,098 thousand and $167,987 thousand, respectively. In addition, Adjusted EBITDA excluding the licensing fees recorded in conjunction with the Company's licensing agreement with RYM (“Normalized EBITDA”) was $177,826 thousand for the six months ended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six months ended June 30, 2026, federal and state income tax expense totaled $60,613 thousand compared to expense of $52,891 thousand for the six months ended June 30, 2025. In computing its provision for income taxes, the Company took into consideration the DOJ's final order reclassifying state legal medical cannabis to Schedule III under the Controlled Substances Act. The change will prospectively reduce a portion of the Company's provision for uncertain tax positions. The final order became effective on April 28, 2026.</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by Segment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revenues, net of discounts by segment for the three and six months ended June 30, 2026 and 2025: </w:t>
      </w:r>
    </w:p>
    <w:p>
      <w:pPr>
        <w:pStyle w:val="TextBody"/>
        <w:bidi w:val="0"/>
        <w:spacing w:before="120" w:after="283"/>
        <w:jc w:val="left"/>
        <w:rPr/>
      </w:pPr>
      <w:r>
        <w:rPr/>
        <w:t> </w:t>
      </w:r>
    </w:p>
    <w:tbl>
      <w:tblPr>
        <w:tblW w:w="6770" w:type="dxa"/>
        <w:jc w:val="left"/>
        <w:tblInd w:w="0" w:type="dxa"/>
        <w:tblLayout w:type="fixed"/>
        <w:tblCellMar>
          <w:top w:w="28" w:type="dxa"/>
          <w:left w:w="28" w:type="dxa"/>
          <w:bottom w:w="28" w:type="dxa"/>
          <w:right w:w="28" w:type="dxa"/>
        </w:tblCellMar>
      </w:tblPr>
      <w:tblGrid>
        <w:gridCol w:w="2401"/>
        <w:gridCol w:w="196"/>
        <w:gridCol w:w="997"/>
        <w:gridCol w:w="271"/>
        <w:gridCol w:w="997"/>
        <w:gridCol w:w="196"/>
        <w:gridCol w:w="796"/>
        <w:gridCol w:w="916"/>
      </w:tblGrid>
      <w:tr>
        <w:trPr/>
        <w:tc>
          <w:tcPr>
            <w:tcW w:w="2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6,219</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(81,464)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306,683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293,257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13,426</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r>
    </w:tbl>
    <w:p>
      <w:pPr>
        <w:pStyle w:val="TextBody"/>
        <w:bidi w:val="0"/>
        <w:spacing w:before="360" w:after="283"/>
        <w:jc w:val="left"/>
        <w:rPr/>
      </w:pPr>
      <w:r>
        <w:rPr/>
        <w:t> </w:t>
      </w:r>
    </w:p>
    <w:tbl>
      <w:tblPr>
        <w:tblW w:w="6527" w:type="dxa"/>
        <w:jc w:val="left"/>
        <w:tblInd w:w="0" w:type="dxa"/>
        <w:tblLayout w:type="fixed"/>
        <w:tblCellMar>
          <w:top w:w="28" w:type="dxa"/>
          <w:left w:w="28" w:type="dxa"/>
          <w:bottom w:w="28" w:type="dxa"/>
          <w:right w:w="28" w:type="dxa"/>
        </w:tblCellMar>
      </w:tblPr>
      <w:tblGrid>
        <w:gridCol w:w="2506"/>
        <w:gridCol w:w="196"/>
        <w:gridCol w:w="923"/>
        <w:gridCol w:w="223"/>
        <w:gridCol w:w="923"/>
        <w:gridCol w:w="196"/>
        <w:gridCol w:w="788"/>
        <w:gridCol w:w="772"/>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420,635</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403,956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16,679</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343,195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3,474</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(156,957)</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(13,923)</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606,873</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572,797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34,076</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Three Months Ended June 30, 2026 Compared with the Three Months Ended June 30,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Retail segment were $212,575 thousand, an increase of $7,291 thousand, compared to the three months ended June 30, 2025. The increase in revenue was largely due to the launch of adult-use sales in Minnesota which began on September 17, 2025, as well as continued growth in existing markets, particularly in Connecticut and Florida, partially offset by price compression and increased competition in select markets.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Consumer Packaged Goods segment were $175,656 thousand, an increase of $6,219 thousand or 4%, compared to the three months ended June 30, 2025. The increase in revenue was largely due to the launch of adult-use sales in Minnesota, which began on September 17, 2025, as well as continued growth in existing markets, particularly in Ohio and New Jersey, partially offset by price compression and increased competition in select markets.</w:t>
      </w:r>
    </w:p>
    <w:p>
      <w:pPr>
        <w:pStyle w:val="TextBody"/>
        <w:bidi w:val="0"/>
        <w:spacing w:before="12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Intersegment eliminations associated with the Consumer Packaged Goods segment were $81,548 thousand, as compared to $81,464 thousand during three months ended June 30, 2025. Consumer Packaged Goods revenues, net of intersegment eliminations, made up 31% of total revenues during the three months ended June 30, 2026 as compared to 30% during the three months ended June 30, 2025.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Due to the vertically integrated nature of the business, the Company reviews its revenue at the Retail and Consumer Packaged Goods level while reviewing its operating results on a consolidated basis.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 Months Ended June 30, 2026 Compared with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Retail segment were $420,635 thousand, an increase of $16,679 thousand or 4%, compared to the six months ended June 30, 2025. The increase in Retail revenues, net of discounts, was primarily due to the launch of adult-use sales in Minnesota which began on September 17, 2025, as well as continued growth in existing markets, particularly in Connecticut and Florida, partially offset by price compression and increased competition in select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Consumer Packaged Goods segment were $343,195 thousand, an increase of $3,474 thousand or 1%, compared to the six months ended June 30, 2025. The increase in Consumer Packaged Goods revenues was primarily driven by the launch of adult-use sales in Minnesota, which began on September 17, 2025, as well as continued growth in existing markets, particularly in Connecticut, Florida, Massachusetts, New York, and Ohio, partially offset by price compression and increased competition in select markets.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Intersegment eliminations associated with the Consumer Packaged Goods segment were $156,957 thousand, a decrease of $13,923 thousand or 8% compared to the six months ended June 30, 2025. The decrease in intersegment eliminations was driven by decreased intercompany sales, primarily due to price compression and increased competition, partially offset by the launch of adult-use sales in Minnesota which began on September 17, 2025. Consumer Packaged Goods revenues, net of intersegment eliminations, made up 31% of total revenues during the six months ended June 30, 2026 as compared to 29% during the six months ended June 30, 2025. </w:t>
      </w:r>
    </w:p>
    <w:p>
      <w:pPr>
        <w:pStyle w:val="TextBody"/>
        <w:bidi w:val="0"/>
        <w:jc w:val="left"/>
        <w:rPr>
          <w:rFonts w:ascii="Times New Roman" w:hAnsi="Times New Roman"/>
          <w:color w:val="000000"/>
          <w:sz w:val="20"/>
        </w:rPr>
      </w:pPr>
      <w:r>
        <w:rPr>
          <w:rFonts w:ascii="Times New Roman" w:hAnsi="Times New Roman"/>
          <w:color w:val="000000"/>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360" w:after="283"/>
        <w:jc w:val="left"/>
        <w:rPr>
          <w:rFonts w:ascii="Times New Roman" w:hAnsi="Times New Roman"/>
          <w:sz w:val="20"/>
        </w:rPr>
      </w:pPr>
      <w:r>
        <w:rPr>
          <w:rFonts w:ascii="Times New Roman" w:hAnsi="Times New Roman"/>
          <w:b/>
          <w:color w:val="000000"/>
          <w:sz w:val="20"/>
        </w:rPr>
        <w:t>Drivers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its revenue from two revenue streams: a Consumer Packaged Goods business in which it manufactures, sells and distributes a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permitted by state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revenue was contributed from Retail and Consumer Packaged Goods sales across California, Connecticut, Florida, Illinois, Maryland, Massachusetts, Minnesota, Nevada, New Jersey, New York, Ohio, Pennsylvania, Rhode Island and Virginia. </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income taxes in the jurisdictions in which it operates, and consequently, income tax expense is a function of the allocation of taxable income by jurisdiction and the various activities that impact the timing of taxable events. The IRS has taken the position that companies that operate in the federally illegal cannabis industry, are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On April 23, 2026, the DOJ issued a final order reclassifying state legal medical cannabis to Schedule III under the Controlled Substances Act. This change will prospectively reduce a portion of the Company's provision for uncertain tax positions. Therefore, the effective tax rate can be highly variable and may not necessarily correlate with pre-tax income and provides for effective tax rates that are well in excess of statutory tax rates.</w:t>
      </w:r>
    </w:p>
    <w:p>
      <w:pPr>
        <w:pStyle w:val="TextBody"/>
        <w:bidi w:val="0"/>
        <w:spacing w:before="360" w:after="283"/>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Adjusted EBITDA and Normalized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283"/>
        <w:jc w:val="left"/>
        <w:rPr/>
      </w:pPr>
      <w:r>
        <w:rPr/>
        <w:t> </w:t>
      </w:r>
    </w:p>
    <w:tbl>
      <w:tblPr>
        <w:tblW w:w="8787" w:type="dxa"/>
        <w:jc w:val="left"/>
        <w:tblInd w:w="0" w:type="dxa"/>
        <w:tblLayout w:type="fixed"/>
        <w:tblCellMar>
          <w:top w:w="28" w:type="dxa"/>
          <w:left w:w="28" w:type="dxa"/>
          <w:bottom w:w="28" w:type="dxa"/>
          <w:right w:w="28" w:type="dxa"/>
        </w:tblCellMar>
      </w:tblPr>
      <w:tblGrid>
        <w:gridCol w:w="3871"/>
        <w:gridCol w:w="196"/>
        <w:gridCol w:w="980"/>
        <w:gridCol w:w="304"/>
        <w:gridCol w:w="980"/>
        <w:gridCol w:w="146"/>
        <w:gridCol w:w="196"/>
        <w:gridCol w:w="922"/>
        <w:gridCol w:w="250"/>
        <w:gridCol w:w="942"/>
      </w:tblGrid>
      <w:tr>
        <w:trPr/>
        <w:tc>
          <w:tcPr>
            <w:tcW w:w="3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9,133</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(4,033)</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6,095</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9,911</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60,613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52,891</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(income),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14,013</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33,176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65,589</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59,082</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before interest, taxes, depreciation and</w:t>
              <w:br/>
              <w:t>   amortization (EBITDA) (non-GAAP measure)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53,143</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126,290</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140,997</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non-cash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22,275</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transaction and other non-operating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4,803</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4,715</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 (non-GAAP measure)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68,564</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153,098</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167,987</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 fee recorded in cost of sales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15,750</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24,728</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Normalized EBITDA (non-GAAP measure)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84,314</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177,826</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167,987</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Financing Activities During the Period,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had total current liabilities of $218,795 thousand and $177,315 thousand, respectively, and cash and cash equivalents of $283,586 thousand and $274,298 thousand, respectively, to meet its current obligations. The Company had working capital of $405,522 thousand as of June 30, 2026, an increase of $5,666 thousand as compared to December 31, 2025. This increase in working capital was primarily driven by proceeds received from the increase in the Company's Credit Facility and the reclassification of the August 2025 convertible note receivable from RYM to current assets, partially offset by acquisitions as well as the repurchase of 13,438,787 Subordinate Voting Shares through the Company's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(Used in) Operating, Investing and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(used in) operating, investing and financing activities for the six months ended June 30, 2026 and 2025 were as follows: </w:t>
      </w:r>
    </w:p>
    <w:p>
      <w:pPr>
        <w:pStyle w:val="TextBody"/>
        <w:bidi w:val="0"/>
        <w:jc w:val="left"/>
        <w:rPr/>
      </w:pPr>
      <w:r>
        <w:rPr/>
        <w:t> </w:t>
      </w:r>
    </w:p>
    <w:tbl>
      <w:tblPr>
        <w:tblW w:w="6845" w:type="dxa"/>
        <w:jc w:val="left"/>
        <w:tblInd w:w="0" w:type="dxa"/>
        <w:tblLayout w:type="fixed"/>
        <w:tblCellMar>
          <w:top w:w="28" w:type="dxa"/>
          <w:left w:w="28" w:type="dxa"/>
          <w:bottom w:w="28" w:type="dxa"/>
          <w:right w:w="28" w:type="dxa"/>
        </w:tblCellMar>
      </w:tblPr>
      <w:tblGrid>
        <w:gridCol w:w="3451"/>
        <w:gridCol w:w="196"/>
        <w:gridCol w:w="2236"/>
        <w:gridCol w:w="196"/>
        <w:gridCol w:w="766"/>
      </w:tblGrid>
      <w:tr>
        <w:trPr/>
        <w:tc>
          <w:tcPr>
            <w:tcW w:w="3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provided by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130,666</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(98,241)</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2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(27,189)</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jc w:val="left"/>
        <w:rPr>
          <w:rFonts w:ascii="Times New Roman" w:hAnsi="Times New Roman"/>
          <w:color w:val="000000"/>
          <w:sz w:val="20"/>
        </w:rPr>
      </w:pPr>
      <w:r>
        <w:rPr>
          <w:rFonts w:ascii="Times New Roman" w:hAnsi="Times New Roman"/>
          <w:color w:val="000000"/>
          <w:sz w:val="20"/>
        </w:rPr>
        <w:t>The Company's net cash flows provided by operating activities for the six months ended June 30, 2026 of $104,810 thousand decreased by $25,856 thousand from $130,666 thousand for the six months ended June 30, 2025, primarily due to changes in working capital, partially offset by lower income taxes paid.</w:t>
      </w:r>
    </w:p>
    <w:p>
      <w:pPr>
        <w:pStyle w:val="TextBody"/>
        <w:bidi w:val="0"/>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net cash flows used in investing activities for the six months ended June 30, 2026 of $54,550 thousand decreased by $43,691 thousand from $98,241 thousand for the six months ended June 30, 2025, primarily due to a reduction in acquisition activity and property plant and equipment expenditure in the current period as compared to the prior period. </w:t>
      </w:r>
    </w:p>
    <w:p>
      <w:pPr>
        <w:pStyle w:val="TextBody"/>
        <w:bidi w:val="0"/>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jc w:val="left"/>
        <w:rPr>
          <w:rFonts w:ascii="Times New Roman" w:hAnsi="Times New Roman"/>
          <w:color w:val="000000"/>
          <w:sz w:val="20"/>
        </w:rPr>
      </w:pPr>
      <w:r>
        <w:rPr>
          <w:rFonts w:ascii="Times New Roman" w:hAnsi="Times New Roman"/>
          <w:color w:val="000000"/>
          <w:sz w:val="20"/>
        </w:rPr>
        <w:t>The Company's net cash flows used in financing activities for the six months ended June 30, 2026 of $51,956 thousand increased by $24,767 thousand from a use of $27,189 thousand for the six months ended June 30, 2025, primarily due to shares repurchased during the current period, partially offset by proceeds from the issuance of notes payable.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Material Commitments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Maturities of notes payable as of June 30, 2026 were as follows:</w:t>
      </w:r>
    </w:p>
    <w:p>
      <w:pPr>
        <w:pStyle w:val="TextBody"/>
        <w:bidi w:val="0"/>
        <w:spacing w:before="360" w:after="283"/>
        <w:jc w:val="left"/>
        <w:rPr/>
      </w:pPr>
      <w:r>
        <w:rPr/>
        <w:t> </w:t>
      </w:r>
    </w:p>
    <w:tbl>
      <w:tblPr>
        <w:tblW w:w="6592" w:type="dxa"/>
        <w:jc w:val="left"/>
        <w:tblInd w:w="0" w:type="dxa"/>
        <w:tblLayout w:type="fixed"/>
        <w:tblCellMar>
          <w:top w:w="28" w:type="dxa"/>
          <w:left w:w="28" w:type="dxa"/>
          <w:bottom w:w="28" w:type="dxa"/>
          <w:right w:w="28" w:type="dxa"/>
        </w:tblCellMar>
      </w:tblPr>
      <w:tblGrid>
        <w:gridCol w:w="2746"/>
        <w:gridCol w:w="196"/>
        <w:gridCol w:w="1201"/>
        <w:gridCol w:w="196"/>
        <w:gridCol w:w="1321"/>
        <w:gridCol w:w="196"/>
        <w:gridCol w:w="736"/>
      </w:tblGrid>
      <w:tr>
        <w:trPr/>
        <w:tc>
          <w:tcPr>
            <w:tcW w:w="2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Maturities of Notes Payable</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 Ending December 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Facility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 Notes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11,817</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23,866</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34,347</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173,282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 and thereafter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39,058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39,058</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maturities of notes payable </w:t>
            </w:r>
            <w:r>
              <w:rPr>
                <w:rFonts w:ascii="Times New Roman" w:hAnsi="Times New Roman"/>
                <w:b/>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183,750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101,799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285,549</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18"/>
        </w:rPr>
        <w:t>Total maturities of notes payable excludes unamortized debt discount of $1,846 thousand associated with the Credit Facility and $694 thousand associated with the mortgage notes.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or Adoption of Accounting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discussion of recently adopted/issued accounting pronouncements under Part I, Item 1, Notes to Unaudited Interim Condensed Consolidated Financial Statements, Note 1—Overview and Basis of Presentation.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to our critical accounting policies and estimates from the information provided in “Management’s Discussion and Analysis of Financial Condition and Results of Operations,” included in our 2025 Form 10-K.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quant_and_qual_disclosure_market_risk"/>
      <w:bookmarkEnd w:id="10"/>
      <w:r>
        <w:rPr>
          <w:rFonts w:ascii="Times New Roman" w:hAnsi="Times New Roman"/>
          <w:b/>
          <w:color w:val="000000"/>
          <w:sz w:val="20"/>
        </w:rPr>
        <w:t>ITEM 3. QUANTITAVE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market risk disclosures as set forth in Part II Item 7A of our 2025 Form 10-K. </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June 30, 2026.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during the second quarter of 2026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Inherent Limitations on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partii_item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reflects the status of previously disclosed matters as of June 30, 2026:</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in the amount of $912 thousand. On March 27, 2026, the Company and plaintiff entered into a settlement agreement whereby the Company remitted $6,750 thousand to plaintiff in full satisfaction of all claims against the Company. Upon such remittance, the matter was fully resolved.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5, 2026, the Company was notified of an arbitration award in favor of Green Thumb in relation to a 2018 agreement with Ascend Wellness Holdings Inc. (“Ascend”). On February 12, 2026, Ascend remitted $17,000 thousand to the Company in order to settle the matter in accordance with the parties settlement agreement. For the six months ended June 30, 2026, such amount was included within other income (expense) on the unaudited interim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and December 31, 2025,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 </w:t>
      </w:r>
    </w:p>
    <w:p>
      <w:pPr>
        <w:pStyle w:val="TextBody"/>
        <w:bidi w:val="0"/>
        <w:jc w:val="left"/>
        <w:rPr/>
      </w:pPr>
      <w:r>
        <w:rPr/>
        <w:t> </w:t>
      </w:r>
    </w:p>
    <w:p>
      <w:pPr>
        <w:pStyle w:val="TextBody"/>
        <w:bidi w:val="0"/>
        <w:spacing w:before="120" w:after="283"/>
        <w:jc w:val="left"/>
        <w:rPr>
          <w:rFonts w:ascii="Times New Roman" w:hAnsi="Times New Roman"/>
          <w:sz w:val="20"/>
        </w:rPr>
      </w:pPr>
      <w:bookmarkStart w:id="13" w:name="partii_item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our potential risks and uncertainties, see the information under the heading “Risk Factors” in our 2025 Form 10-K.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partii_item2_sale_of_unregistered_securi"/>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During the six months ended June 30, 2026, the Company issued a total of 12,575 Subordinate Voting Shares as royalty payments.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Multiple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Super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partii_item3_defaults_upon_senior_securi"/>
      <w:bookmarkEnd w:id="15"/>
      <w:r>
        <w:rPr>
          <w:rFonts w:ascii="Times New Roman" w:hAnsi="Times New Roman"/>
          <w:b/>
          <w:color w:val="000000"/>
          <w:sz w:val="20"/>
        </w:rPr>
        <w:t>Recent 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repurchases of our Subordinate Voting Shares during the six months ended June 30, 2026:</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17"/>
        <w:gridCol w:w="1505"/>
        <w:gridCol w:w="196"/>
        <w:gridCol w:w="1249"/>
        <w:gridCol w:w="2571"/>
        <w:gridCol w:w="196"/>
        <w:gridCol w:w="2871"/>
      </w:tblGrid>
      <w:tr>
        <w:trPr/>
        <w:tc>
          <w:tcPr>
            <w:tcW w:w="16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 except per share amounts)</w:t>
            </w:r>
          </w:p>
        </w:tc>
      </w:tr>
      <w:tr>
        <w:trPr/>
        <w:tc>
          <w:tcPr>
            <w:tcW w:w="1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2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Program</w:t>
            </w:r>
            <w:r>
              <w:rPr>
                <w:rFonts w:ascii="Times New Roman" w:hAnsi="Times New Roman"/>
                <w:color w:val="000000"/>
                <w:sz w:val="16"/>
              </w:rPr>
              <w:t>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January 1, 2026 through January 31, 2026</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D0D0D"/>
                <w:sz w:val="16"/>
              </w:rPr>
            </w:pPr>
            <w:r>
              <w:rPr>
                <w:rFonts w:ascii="Times New Roman" w:hAnsi="Times New Roman"/>
                <w:color w:val="0D0D0D"/>
                <w:sz w:val="16"/>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71"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D0D0D"/>
                <w:sz w:val="16"/>
              </w:rPr>
            </w:pPr>
            <w:r>
              <w:rPr>
                <w:rFonts w:ascii="Times New Roman" w:hAnsi="Times New Roman"/>
                <w:color w:val="0D0D0D"/>
                <w:sz w:val="16"/>
              </w:rPr>
              <w:t>$</w:t>
            </w:r>
          </w:p>
        </w:tc>
        <w:tc>
          <w:tcPr>
            <w:tcW w:w="2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39,900</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February 1, 2026 through February 28, 2026</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6.59</w:t>
            </w:r>
          </w:p>
        </w:tc>
        <w:tc>
          <w:tcPr>
            <w:tcW w:w="2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39,600</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March 1, 2026 through March 31, 2026</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6,000,000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5.50</w:t>
            </w:r>
          </w:p>
        </w:tc>
        <w:tc>
          <w:tcPr>
            <w:tcW w:w="2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6,000,000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6,600</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April 1, 2026 through April 30, 2026</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7,393,787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6.00</w:t>
            </w:r>
          </w:p>
        </w:tc>
        <w:tc>
          <w:tcPr>
            <w:tcW w:w="2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7,393,787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62,300</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May 1, 2026 through May 31, 2026</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71"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62,300</w:t>
            </w:r>
          </w:p>
        </w:tc>
      </w:tr>
      <w:tr>
        <w:trPr/>
        <w:tc>
          <w:tcPr>
            <w:tcW w:w="1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June 1, 2026 through June 30, 2026</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71"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62,300</w:t>
            </w:r>
          </w:p>
        </w:tc>
      </w:tr>
      <w:tr>
        <w:trPr/>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13,438,787</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1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$5.78</w:t>
            </w:r>
          </w:p>
        </w:tc>
        <w:tc>
          <w:tcPr>
            <w:tcW w:w="2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13,438,787</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28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62,300</w:t>
            </w:r>
          </w:p>
        </w:tc>
      </w:tr>
    </w:tbl>
    <w:p>
      <w:pPr>
        <w:pStyle w:val="TextBody"/>
        <w:bidi w:val="0"/>
        <w:spacing w:before="36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Effective September 23, 2025, the Company's Board of Directors authorized a new share repurchase program that commenced immediately following the expiration of the Company's previous share repurchase program. The new program authorized the Company to repurchase its Subordinate Voting Shares over a 12-month period at an aggregate cost of up to $50,000 thousand. On April 21, 2026, the Company’s Board of Directors authorized an expansion of the share repurchase program such that it may purchase Subordinate Voting Shares at an aggregate cost of up to $150,000 thousand. During the six months ended June 30, 2026, the Company repurchased 13,438,787 Subordinate Voting Shares at an average price of $5.78 per share. As of June 30, 2026, the total remaining repurchase ability of the Company was approximately $62,300 thousand.</w:t>
      </w:r>
    </w:p>
    <w:p>
      <w:pPr>
        <w:pStyle w:val="TextBody"/>
        <w:bidi w:val="0"/>
        <w:spacing w:before="120" w:after="283"/>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Separately, on May 12, 2026, the Company entered into a securities purchase agreement with Benjamin Kovler, the Chairman and Chief Executive Officer and Anthony Georgiadis, the President and a Director, to purchase 2,500 Super Voting Shares from each in private transactions. The price per Super Voting Share was determined based on the closing price of $7.80 per underlying Subordinate Voting Shares as traded on the OTCQX Best Market on the date of the transaction.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partii_item4_mine_safety_disclosur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7" w:name="partii_item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Trading Arrangements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partii_item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exhibits are filed with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9466"/>
      </w:tblGrid>
      <w:tr>
        <w:trPr/>
        <w:tc>
          <w:tcPr>
            <w:tcW w:w="739"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 Thumb Industries Inc. Amended and Restated Articles</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1_1.htm">
              <w:r>
                <w:rPr>
                  <w:rStyle w:val="InternetLink"/>
                  <w:rFonts w:ascii="Times New Roman" w:hAnsi="Times New Roman"/>
                  <w:color w:val="0000FF"/>
                  <w:sz w:val="20"/>
                  <w:u w:val="single"/>
                </w:rPr>
                <w:t>CERTIFICATE OF CHIEF EXECUTIVE OFFICER</w:t>
              </w:r>
            </w:hyperlink>
            <w:hyperlink w:anchor="gtbif-ex31_1.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1_2.htm">
              <w:r>
                <w:rPr>
                  <w:rStyle w:val="InternetLink"/>
                  <w:rFonts w:ascii="Times New Roman" w:hAnsi="Times New Roman"/>
                  <w:color w:val="0000FF"/>
                  <w:sz w:val="20"/>
                  <w:u w:val="single"/>
                </w:rPr>
                <w:t>CERTIFICATE OF CHIEF FINANCIAL OFFICER</w:t>
              </w:r>
            </w:hyperlink>
            <w:hyperlink w:anchor="gtbif-ex31_2.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2_1.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2_2.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101.Scs</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 Inline XBRL File)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*Incorporated by Reference to our Current Report on Form 8-K dated July 9 2026, filed on July 15, 2026.</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requirements of the Securities Exchange Act of 1934, the Company has duly caused this report to be signed on its behalf by the undersigned thereunto duly authorized.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4, 2026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4, 2026 </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0" w:name="gtbif-ex31_1.htm"/>
      <w:bookmarkStart w:id="21" w:name="ksgtbifex31_1"/>
      <w:bookmarkEnd w:id="20"/>
      <w:bookmarkEnd w:id="2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Benjamin Kovler,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4, 2026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gtbif-ex31_2.htm"/>
      <w:bookmarkStart w:id="23" w:name="ksgtbifex31_2"/>
      <w:bookmarkEnd w:id="22"/>
      <w:bookmarkEnd w:id="2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Mathew Faulkner,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4" w:name="gtbif-ex32_1.htm"/>
      <w:bookmarkStart w:id="25" w:name="ksgtbifex32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six months ended June 30, 2026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6" w:name="gtbif-ex32_2.htm"/>
      <w:bookmarkStart w:id="27" w:name="ksgtbifex32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six months ended June 30, 2026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19713</Words>
  <Characters>110885</Characters>
  <CharactersWithSpaces>130474</CharactersWithSpaces>
  <Paragraphs>5232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