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tbif-20260424.htm"/>
      <w:bookmarkStart w:id="1" w:name="ksgtbif20260424"/>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Filed by the Registrant </w:t>
      </w:r>
      <w:r>
        <w:rPr>
          <w:rFonts w:ascii="Times New Roman" w:hAnsi="Times New Roman"/>
          <w:color w:val="212529"/>
          <w:sz w:val="20"/>
        </w:rPr>
        <w:t>☒</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pPr>
      <w:r>
        <w:rPr>
          <w:color w:val="000000"/>
        </w:rPr>
        <w:t xml:space="preserve">☐ </w:t>
      </w:r>
      <w:r>
        <w:rPr>
          <w:rFonts w:ascii="Times New Roman" w:hAnsi="Times New Roman"/>
          <w:color w:val="000000"/>
          <w:sz w:val="20"/>
        </w:rPr>
        <w:t>Preliminary Proxy Statement</w:t>
      </w:r>
    </w:p>
    <w:p>
      <w:pPr>
        <w:pStyle w:val="TextBody"/>
        <w:bidi w:val="0"/>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jc w:val="left"/>
        <w:rPr/>
      </w:pPr>
      <w:r>
        <w:rPr>
          <w:color w:val="212529"/>
        </w:rPr>
        <w:t>☒</w:t>
      </w:r>
      <w:r>
        <w:rPr>
          <w:color w:val="000000"/>
        </w:rPr>
        <w:t xml:space="preserve"> </w:t>
      </w:r>
      <w:r>
        <w:rPr>
          <w:rFonts w:ascii="Times New Roman" w:hAnsi="Times New Roman"/>
          <w:color w:val="000000"/>
          <w:sz w:val="20"/>
        </w:rPr>
        <w:t>Definitive Proxy Statement</w:t>
      </w:r>
    </w:p>
    <w:p>
      <w:pPr>
        <w:pStyle w:val="TextBody"/>
        <w:bidi w:val="0"/>
        <w:jc w:val="left"/>
        <w:rPr/>
      </w:pPr>
      <w:r>
        <w:rPr>
          <w:color w:val="000000"/>
        </w:rPr>
        <w:t xml:space="preserve">☐ </w:t>
      </w:r>
      <w:r>
        <w:rPr>
          <w:rFonts w:ascii="Times New Roman" w:hAnsi="Times New Roman"/>
          <w:color w:val="000000"/>
          <w:sz w:val="20"/>
        </w:rPr>
        <w:t>Definitive Additional Materials</w:t>
      </w:r>
    </w:p>
    <w:p>
      <w:pPr>
        <w:pStyle w:val="TextBody"/>
        <w:bidi w:val="0"/>
        <w:jc w:val="left"/>
        <w:rPr/>
      </w:pPr>
      <w:r>
        <w:rPr>
          <w:color w:val="000000"/>
        </w:rPr>
        <w:t xml:space="preserve">☐ </w:t>
      </w:r>
      <w:r>
        <w:rPr>
          <w:rFonts w:ascii="Times New Roman" w:hAnsi="Times New Roman"/>
          <w:color w:val="000000"/>
          <w:sz w:val="20"/>
        </w:rPr>
        <w:t>Soliciting Material Pursuant to §240.14a-12</w:t>
      </w:r>
    </w:p>
    <w:p>
      <w:pPr>
        <w:pStyle w:val="TextBody"/>
        <w:pBdr>
          <w:bottom w:val="single" w:sz="8" w:space="1" w:color="000000"/>
        </w:pBdr>
        <w:bidi w:val="0"/>
        <w:spacing w:before="160" w:after="283"/>
        <w:jc w:val="center"/>
        <w:rPr>
          <w:rFonts w:ascii="Times New Roman" w:hAnsi="Times New Roman"/>
          <w:b/>
          <w:color w:val="000000"/>
          <w:sz w:val="40"/>
        </w:rPr>
      </w:pPr>
      <w:r>
        <w:rPr>
          <w:rFonts w:ascii="Times New Roman" w:hAnsi="Times New Roman"/>
          <w:b/>
          <w:color w:val="000000"/>
          <w:sz w:val="40"/>
        </w:rPr>
        <w:t>GREEN THUMB INDUSTRIES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color w:val="212529"/>
        </w:rPr>
        <w:t>☒</w:t>
      </w:r>
      <w:r>
        <w:rPr>
          <w:color w:val="000000"/>
        </w:rPr>
        <w:t xml:space="preserve"> </w:t>
      </w:r>
      <w:r>
        <w:rPr>
          <w:rFonts w:ascii="Times New Roman" w:hAnsi="Times New Roman"/>
          <w:color w:val="000000"/>
          <w:sz w:val="20"/>
        </w:rPr>
        <w:t>No fee required</w:t>
      </w:r>
    </w:p>
    <w:p>
      <w:pPr>
        <w:pStyle w:val="TextBody"/>
        <w:bidi w:val="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30765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76575" cy="3905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GREEN THUMB INDUSTRIES INC.</w:t>
      </w:r>
      <w:r>
        <w:rPr>
          <w:rFonts w:ascii="Times New Roman" w:hAnsi="Times New Roman"/>
          <w:color w:val="000000"/>
          <w:sz w:val="20"/>
        </w:rPr>
        <w:t xml:space="preserve"> </w:t>
      </w:r>
    </w:p>
    <w:p>
      <w:pPr>
        <w:pStyle w:val="TextBody"/>
        <w:bidi w:val="0"/>
        <w:spacing w:before="720" w:after="283"/>
        <w:jc w:val="center"/>
        <w:rPr>
          <w:rFonts w:ascii="Times New Roman" w:hAnsi="Times New Roman"/>
          <w:sz w:val="20"/>
        </w:rPr>
      </w:pPr>
      <w:r>
        <w:rPr>
          <w:rFonts w:ascii="Times New Roman" w:hAnsi="Times New Roman"/>
          <w:b/>
          <w:color w:val="000000"/>
          <w:sz w:val="20"/>
        </w:rPr>
        <w:t>NOTICE OF ANNUAL AND SPECIAL MEETING OF SHAREHOLDERS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GREEN THUMB INDUSTRIES INC.</w:t>
      </w:r>
      <w:r>
        <w:rPr>
          <w:rFonts w:ascii="Times New Roman" w:hAnsi="Times New Roman"/>
          <w:color w:val="000000"/>
          <w:sz w:val="20"/>
        </w:rPr>
        <w:t xml:space="preserve"> </w:t>
      </w:r>
    </w:p>
    <w:p>
      <w:pPr>
        <w:pStyle w:val="TextBody"/>
        <w:bidi w:val="0"/>
        <w:spacing w:before="560" w:after="283"/>
        <w:jc w:val="center"/>
        <w:rPr>
          <w:rFonts w:ascii="Times New Roman" w:hAnsi="Times New Roman"/>
          <w:sz w:val="20"/>
        </w:rPr>
      </w:pPr>
      <w:r>
        <w:rPr>
          <w:rFonts w:ascii="Times New Roman" w:hAnsi="Times New Roman"/>
          <w:b/>
          <w:color w:val="000000"/>
          <w:sz w:val="20"/>
        </w:rPr>
        <w:t>AND</w:t>
      </w:r>
      <w:r>
        <w:rPr>
          <w:rFonts w:ascii="Times New Roman" w:hAnsi="Times New Roman"/>
          <w:color w:val="000000"/>
          <w:sz w:val="20"/>
        </w:rPr>
        <w:t xml:space="preserve"> </w:t>
      </w:r>
    </w:p>
    <w:p>
      <w:pPr>
        <w:pStyle w:val="TextBody"/>
        <w:bidi w:val="0"/>
        <w:spacing w:before="560" w:after="283"/>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ANNUAL AND SPECIAL MEETING OF SHAREHOLDERS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xml:space="preserve">TO BE HELD ON </w:t>
      </w:r>
      <w:r>
        <w:rPr>
          <w:rFonts w:ascii="Times New Roman" w:hAnsi="Times New Roman"/>
          <w:b/>
          <w:caps/>
          <w:color w:val="000000"/>
          <w:sz w:val="20"/>
        </w:rPr>
        <w:t>June 16, 2026</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bookmarkStart w:id="2" w:name="mypage"/>
      <w:bookmarkEnd w:id="2"/>
      <w:r>
        <w:rPr>
          <w:rFonts w:ascii="Times New Roman" w:hAnsi="Times New Roman"/>
          <w:b/>
          <w:color w:val="000000"/>
          <w:sz w:val="20"/>
        </w:rPr>
        <w:t>April 27,</w:t>
      </w:r>
      <w:r>
        <w:rPr>
          <w:rFonts w:ascii="Times New Roman" w:hAnsi="Times New Roman"/>
          <w:color w:val="000000"/>
          <w:sz w:val="20"/>
        </w:rPr>
        <w:t xml:space="preserve"> </w:t>
      </w:r>
      <w:r>
        <w:rPr>
          <w:rFonts w:ascii="Times New Roman" w:hAnsi="Times New Roman"/>
          <w:b/>
          <w:color w:val="000000"/>
          <w:sz w:val="20"/>
        </w:rPr>
        <w:t>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Notice of Annual and Special Meeting of Shareholders (the “Notice”)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2026 annual and special meeting of shareholders (the “</w:t>
      </w:r>
      <w:r>
        <w:rPr>
          <w:rFonts w:ascii="Times New Roman" w:hAnsi="Times New Roman"/>
          <w:b/>
          <w:color w:val="000000"/>
          <w:sz w:val="20"/>
        </w:rPr>
        <w:t>Meeting</w:t>
      </w:r>
      <w:r>
        <w:rPr>
          <w:rFonts w:ascii="Times New Roman" w:hAnsi="Times New Roman"/>
          <w:color w:val="000000"/>
          <w:sz w:val="20"/>
        </w:rPr>
        <w:t>”) of Green Thumb Industries Inc., a British Columbia corporation (the “</w:t>
      </w:r>
      <w:r>
        <w:rPr>
          <w:rFonts w:ascii="Times New Roman" w:hAnsi="Times New Roman"/>
          <w:b/>
          <w:color w:val="000000"/>
          <w:sz w:val="20"/>
        </w:rPr>
        <w:t>Corporation</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xml:space="preserve">”), will be a virtual meeting held on June 16, 2026 beginning at 2:00 p.m. (Central time), at </w:t>
      </w:r>
      <w:r>
        <w:rPr>
          <w:rFonts w:ascii="Times New Roman" w:hAnsi="Times New Roman"/>
          <w:i/>
          <w:color w:val="000000"/>
          <w:sz w:val="20"/>
          <w:u w:val="single"/>
        </w:rPr>
        <w:t>www.virtualshareholdermeeting.com/GTBIF2026</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matters will be considered at the Meeting: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setting of the number of directors at seven;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election of directors for the forthcoming year from the nominees proposed by the board of directors of the Company (the “</w:t>
      </w:r>
      <w:r>
        <w:rPr>
          <w:rFonts w:ascii="Times New Roman" w:hAnsi="Times New Roman"/>
          <w:b/>
          <w:color w:val="000000"/>
          <w:sz w:val="20"/>
        </w:rPr>
        <w:t>Board</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on an advisory basis, of the compensation paid to the Company’s named executive officers, as disclosed in the accompanying proxy statement;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re-appointment of Baker Tilly US, LLP (“</w:t>
      </w:r>
      <w:r>
        <w:rPr>
          <w:rFonts w:ascii="Times New Roman" w:hAnsi="Times New Roman"/>
          <w:b/>
          <w:color w:val="000000"/>
          <w:sz w:val="20"/>
        </w:rPr>
        <w:t>Baker Tilly</w:t>
      </w:r>
      <w:r>
        <w:rPr>
          <w:color w:val="000000"/>
        </w:rPr>
        <w:t>”</w:t>
      </w:r>
      <w:r>
        <w:rPr>
          <w:rFonts w:ascii="Times New Roman" w:hAnsi="Times New Roman"/>
          <w:color w:val="000000"/>
          <w:sz w:val="20"/>
        </w:rPr>
        <w:t xml:space="preserve">), as auditors for the Company and the authorization of the Board to fix the auditors’ remuneration and terms of engagement;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amendment of the Company’s current articles to vary the automatic conversion provisions of the Company’s Super Voting Shares as further described in the accompanying proxy statement;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of such other business as may properly come before the Meeting or any adjournment(s) thereof. </w:t>
      </w:r>
    </w:p>
    <w:p>
      <w:pPr>
        <w:pStyle w:val="TextBody"/>
        <w:bidi w:val="0"/>
        <w:spacing w:before="240" w:after="283"/>
        <w:jc w:val="left"/>
        <w:rPr>
          <w:rFonts w:ascii="Times New Roman" w:hAnsi="Times New Roman"/>
          <w:sz w:val="20"/>
        </w:rPr>
      </w:pPr>
      <w:r>
        <w:rPr>
          <w:rFonts w:ascii="Times New Roman" w:hAnsi="Times New Roman"/>
          <w:color w:val="000000"/>
          <w:sz w:val="20"/>
        </w:rPr>
        <w:t>This Notice is accompanied by the proxy statement and the accompanying form of proxy (“</w:t>
      </w:r>
      <w:r>
        <w:rPr>
          <w:rFonts w:ascii="Times New Roman" w:hAnsi="Times New Roman"/>
          <w:b/>
          <w:color w:val="000000"/>
          <w:sz w:val="20"/>
        </w:rPr>
        <w:t>Proxy Instrument</w:t>
      </w:r>
      <w:r>
        <w:rPr>
          <w:rFonts w:ascii="Times New Roman" w:hAnsi="Times New Roman"/>
          <w:color w:val="000000"/>
          <w:sz w:val="20"/>
        </w:rPr>
        <w:t xml:space="preserve">”). As permitted by applicable securities law, the Company is using “Notice-and-Access” to deliver the proxy statement to shareholders. This means that the proxy statement is being posted online to access, rather than being mailed out. Notice-and-Access substantially reduces the Company’s printing and mailing costs and is environmentally friendly as it reduces paper and energy consumption. The proxy statement, the audited annual consolidated financial statements of the Company for the fiscal year ended December 31, 2025, together with the notes thereto, the independent auditor’s report thereon and the related management’s discussion and analysis are available on the Investors page of the Company’s website at </w:t>
      </w:r>
      <w:r>
        <w:rPr>
          <w:rFonts w:ascii="Times New Roman" w:hAnsi="Times New Roman"/>
          <w:i/>
          <w:color w:val="000000"/>
          <w:sz w:val="20"/>
          <w:u w:val="single"/>
        </w:rPr>
        <w:t>gtigrows.com</w:t>
      </w:r>
      <w:r>
        <w:rPr>
          <w:rFonts w:ascii="Times New Roman" w:hAnsi="Times New Roman"/>
          <w:color w:val="000000"/>
          <w:sz w:val="20"/>
        </w:rPr>
        <w:t>, Canada’s System for Electronic Data Analysis and Retrieval (“</w:t>
      </w:r>
      <w:r>
        <w:rPr>
          <w:rFonts w:ascii="Times New Roman" w:hAnsi="Times New Roman"/>
          <w:b/>
          <w:color w:val="000000"/>
          <w:sz w:val="20"/>
        </w:rPr>
        <w:t>SEDAR+</w:t>
      </w:r>
      <w:r>
        <w:rPr>
          <w:rFonts w:ascii="Times New Roman" w:hAnsi="Times New Roman"/>
          <w:color w:val="000000"/>
          <w:sz w:val="20"/>
        </w:rPr>
        <w:t xml:space="preserve">”) at </w:t>
      </w:r>
      <w:r>
        <w:rPr>
          <w:rFonts w:ascii="Times New Roman" w:hAnsi="Times New Roman"/>
          <w:i/>
          <w:color w:val="000000"/>
          <w:sz w:val="20"/>
          <w:u w:val="single"/>
        </w:rPr>
        <w:t>www.sedarplus.ca</w:t>
      </w:r>
      <w:r>
        <w:rPr>
          <w:rFonts w:ascii="Times New Roman" w:hAnsi="Times New Roman"/>
          <w:color w:val="000000"/>
          <w:sz w:val="20"/>
        </w:rPr>
        <w:t xml:space="preserve"> and the Securities and Exchange Commission’s website at </w:t>
      </w:r>
      <w:r>
        <w:rPr>
          <w:rFonts w:ascii="Times New Roman" w:hAnsi="Times New Roman"/>
          <w:i/>
          <w:color w:val="000000"/>
          <w:sz w:val="20"/>
          <w:u w:val="single"/>
        </w:rPr>
        <w:t>www.sec.gov</w:t>
      </w:r>
      <w:r>
        <w:rPr>
          <w:rFonts w:ascii="Times New Roman" w:hAnsi="Times New Roman"/>
          <w:color w:val="000000"/>
          <w:sz w:val="20"/>
        </w:rPr>
        <w:t xml:space="preserve">. </w:t>
      </w:r>
      <w:r>
        <w:rPr>
          <w:rFonts w:ascii="Times New Roman" w:hAnsi="Times New Roman"/>
          <w:b/>
          <w:color w:val="000000"/>
          <w:sz w:val="20"/>
        </w:rPr>
        <w:t>Shareholders will still receive a Proxy Instrument or a voting instruction form in the mail so they can vote their shares but, instead of receiving a paper copy of the proxy statement, they will receive a notice with information about how they can access the proxy statement electronically and how to request a paper copy.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record date for the determination of shareholders of the Company entitled to receive notice of and to vote at the Meeting or any adjournment(s) thereof is April 20, 2026 (the “</w:t>
      </w:r>
      <w:r>
        <w:rPr>
          <w:rFonts w:ascii="Times New Roman" w:hAnsi="Times New Roman"/>
          <w:b/>
          <w:color w:val="000000"/>
          <w:sz w:val="20"/>
        </w:rPr>
        <w:t>Record Date</w:t>
      </w:r>
      <w:r>
        <w:rPr>
          <w:rFonts w:ascii="Times New Roman" w:hAnsi="Times New Roman"/>
          <w:color w:val="000000"/>
          <w:sz w:val="20"/>
        </w:rPr>
        <w:t xml:space="preserve">”). Shareholders of the Company whose names have been entered in the register of shareholders of the Company at the close of business on the Record Date will be entitled to receive notice of and to vote at the Meeting or any adjournment(s)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shareholder of the Company may attend the Meeting live via webcast or may be represented by proxy. Registered shareholders of the Company who are unable to attend the Meeting or any adjournment(s) thereof via the webcast are requested to date, sign and return the accompanying Proxy Instrument for use at the Meeting or any adjournment(s) thereof. </w:t>
      </w:r>
    </w:p>
    <w:p>
      <w:pPr>
        <w:pStyle w:val="TextBody"/>
        <w:bidi w:val="0"/>
        <w:spacing w:before="240" w:after="283"/>
        <w:jc w:val="left"/>
        <w:rPr>
          <w:rFonts w:ascii="Times New Roman" w:hAnsi="Times New Roman"/>
          <w:sz w:val="20"/>
        </w:rPr>
      </w:pPr>
      <w:r>
        <w:rPr>
          <w:rFonts w:ascii="Times New Roman" w:hAnsi="Times New Roman"/>
          <w:color w:val="000000"/>
          <w:sz w:val="20"/>
        </w:rPr>
        <w:t>To be effective, the enclosed Proxy Instrument must be returned to our proxy tabulator, Broadridge Financial Solutions (“</w:t>
      </w:r>
      <w:r>
        <w:rPr>
          <w:rFonts w:ascii="Times New Roman" w:hAnsi="Times New Roman"/>
          <w:b/>
          <w:color w:val="000000"/>
          <w:sz w:val="20"/>
        </w:rPr>
        <w:t>Broadridge</w:t>
      </w:r>
      <w:r>
        <w:rPr>
          <w:rFonts w:ascii="Times New Roman" w:hAnsi="Times New Roman"/>
          <w:color w:val="000000"/>
          <w:sz w:val="20"/>
        </w:rPr>
        <w:t xml:space="preserve">”) by mail using the enclosed return envelope to Vote Processing, c/o Broadridge, 51 Mercedes Way, Edgewood, NY 11717. Alternatively, you may vote by Internet at www.proxyvote.com and clicking “Vote” or by calling 1-800-690-6903. All instructions are listed on the enclosed Proxy Instrument. Your proxy or voting instructions must be received in each case no later than 10:59 p.m. (Central Time) on June 12, 2026 or, if the Meeting is adjourned, at least 48 hours (excluding Saturdays, Sundays and statutory holidays in the Province of British Columbia) before the beginning of any adjournment(s) to the Meeting.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Whether or not you plan to attend the Meeting via live webcast, we encourage you to read this proxy statement and </w:t>
      </w:r>
      <w:r>
        <w:rPr>
          <w:rFonts w:ascii="Times New Roman" w:hAnsi="Times New Roman"/>
          <w:b/>
          <w:i/>
          <w:color w:val="000000"/>
          <w:sz w:val="20"/>
          <w:u w:val="single"/>
        </w:rPr>
        <w:t>promptly vote your shares</w:t>
      </w:r>
      <w:r>
        <w:rPr>
          <w:rFonts w:ascii="Times New Roman" w:hAnsi="Times New Roman"/>
          <w:color w:val="000000"/>
          <w:sz w:val="20"/>
        </w:rPr>
        <w:t>. For specific instructions on how to vote your shares, please refer to the section entitled “</w:t>
      </w:r>
      <w:r>
        <w:rPr>
          <w:rFonts w:ascii="Times New Roman" w:hAnsi="Times New Roman"/>
          <w:i/>
          <w:color w:val="000000"/>
          <w:sz w:val="20"/>
        </w:rPr>
        <w:t>How You Can Vote</w:t>
      </w:r>
      <w:r>
        <w:rPr>
          <w:rFonts w:ascii="Times New Roman" w:hAnsi="Times New Roman"/>
          <w:color w:val="000000"/>
          <w:sz w:val="20"/>
        </w:rPr>
        <w:t xml:space="preserve">” and to the instructions on your proxy or voting instruction card. </w:t>
      </w:r>
    </w:p>
    <w:p>
      <w:pPr>
        <w:pStyle w:val="TextBody"/>
        <w:bidi w:val="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DATED as of April 27, 2026</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 Order of the Board of Directors</w:t>
            </w:r>
          </w:p>
        </w:tc>
      </w:tr>
      <w:tr>
        <w:trPr/>
        <w:tc>
          <w:tcPr>
            <w:tcW w:w="4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u w:val="single"/>
              </w:rPr>
              <w:t xml:space="preserve">/s/ </w:t>
            </w:r>
            <w:r>
              <w:rPr>
                <w:rFonts w:ascii="Times New Roman" w:hAnsi="Times New Roman"/>
                <w:i/>
                <w:color w:val="000000"/>
                <w:sz w:val="20"/>
                <w:u w:val="single"/>
              </w:rPr>
              <w:t>Benjamin Kovler</w:t>
            </w:r>
          </w:p>
        </w:tc>
      </w:tr>
      <w:tr>
        <w:trPr/>
        <w:tc>
          <w:tcPr>
            <w:tcW w:w="4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Benjamin Kovler</w:t>
            </w:r>
          </w:p>
        </w:tc>
      </w:tr>
      <w:tr>
        <w:trPr/>
        <w:tc>
          <w:tcPr>
            <w:tcW w:w="4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Chief Executive Officer, Chairman and Founder</w:t>
            </w:r>
          </w:p>
        </w:tc>
      </w:tr>
    </w:tbl>
    <w:p>
      <w:pPr>
        <w:pStyle w:val="TextBody"/>
        <w:bidi w:val="0"/>
        <w:jc w:val="left"/>
        <w:rPr/>
      </w:pPr>
      <w:r>
        <w:rPr/>
        <w:t> </w:t>
      </w:r>
    </w:p>
    <w:tbl>
      <w:tblPr>
        <w:tblW w:w="9196" w:type="dxa"/>
        <w:jc w:val="left"/>
        <w:tblInd w:w="0" w:type="dxa"/>
        <w:tblLayout w:type="fixed"/>
        <w:tblCellMar>
          <w:top w:w="28" w:type="dxa"/>
          <w:left w:w="28" w:type="dxa"/>
          <w:bottom w:w="28" w:type="dxa"/>
          <w:right w:w="28" w:type="dxa"/>
        </w:tblCellMar>
      </w:tblPr>
      <w:tblGrid>
        <w:gridCol w:w="9196"/>
      </w:tblGrid>
      <w:tr>
        <w:trPr/>
        <w:tc>
          <w:tcPr>
            <w:tcW w:w="9196" w:type="dxa"/>
            <w:tcBorders/>
            <w:vAlign w:val="center"/>
          </w:tcPr>
          <w:p>
            <w:pPr>
              <w:pStyle w:val="TableContents"/>
              <w:bidi w:val="0"/>
              <w:spacing w:before="0" w:after="283"/>
              <w:jc w:val="left"/>
              <w:rPr>
                <w:sz w:val="4"/>
                <w:szCs w:val="4"/>
              </w:rPr>
            </w:pPr>
            <w:r>
              <w:rPr>
                <w:sz w:val="4"/>
                <w:szCs w:val="4"/>
              </w:rPr>
            </w:r>
          </w:p>
        </w:tc>
      </w:tr>
      <w:tr>
        <w:trPr/>
        <w:tc>
          <w:tcPr>
            <w:tcW w:w="9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80" w:after="283"/>
              <w:jc w:val="center"/>
              <w:rPr>
                <w:rFonts w:ascii="Times New Roman" w:hAnsi="Times New Roman"/>
                <w:sz w:val="20"/>
              </w:rPr>
            </w:pPr>
            <w:r>
              <w:rPr>
                <w:rFonts w:ascii="Times New Roman" w:hAnsi="Times New Roman"/>
                <w:b/>
                <w:color w:val="000000"/>
                <w:sz w:val="20"/>
              </w:rPr>
              <w:t>IMPORTANT NOTICE REGARDING THE AVAILABILITY OF PROXY MATERIALS FOR</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 xml:space="preserve">THE ANNUAL AND SPECIAL MEETING OF SHAREHOLDERS TO BE HELD ON </w:t>
            </w:r>
            <w:r>
              <w:rPr>
                <w:rFonts w:ascii="Times New Roman" w:hAnsi="Times New Roman"/>
                <w:b/>
                <w:caps/>
                <w:color w:val="000000"/>
                <w:sz w:val="20"/>
              </w:rPr>
              <w:t>June 16, 2026</w:t>
            </w:r>
            <w:r>
              <w:rPr>
                <w:rFonts w:ascii="Times New Roman" w:hAnsi="Times New Roman"/>
                <w:caps/>
                <w:color w:val="000000"/>
                <w:sz w:val="20"/>
              </w:rPr>
              <w:t xml:space="preserve"> </w:t>
            </w:r>
          </w:p>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 xml:space="preserve">The Notice of Annual and Special Meeting and Proxy Statement are available on our website at </w:t>
            </w:r>
          </w:p>
          <w:p>
            <w:pPr>
              <w:pStyle w:val="TableContents"/>
              <w:bidi w:val="0"/>
              <w:jc w:val="center"/>
              <w:rPr>
                <w:rFonts w:ascii="Times New Roman" w:hAnsi="Times New Roman"/>
                <w:sz w:val="20"/>
              </w:rPr>
            </w:pPr>
            <w:r>
              <w:rPr>
                <w:rFonts w:ascii="Times New Roman" w:hAnsi="Times New Roman"/>
                <w:i/>
                <w:color w:val="000000"/>
                <w:sz w:val="20"/>
                <w:u w:val="single"/>
              </w:rPr>
              <w:t>investors.gtigrows.com/2026proxy</w:t>
            </w:r>
            <w:r>
              <w:rPr>
                <w:rFonts w:ascii="Times New Roman" w:hAnsi="Times New Roman"/>
                <w:i/>
                <w:color w:val="000000"/>
                <w:sz w:val="20"/>
              </w:rPr>
              <w:t>.</w:t>
            </w:r>
            <w:r>
              <w:rPr>
                <w:rFonts w:ascii="Times New Roman" w:hAnsi="Times New Roman"/>
                <w:color w:val="000000"/>
                <w:sz w:val="20"/>
              </w:rPr>
              <w:t xml:space="preserve"> The 2026 Annual Report to Shareholders, which </w:t>
            </w:r>
          </w:p>
          <w:p>
            <w:pPr>
              <w:pStyle w:val="TableContents"/>
              <w:bidi w:val="0"/>
              <w:jc w:val="center"/>
              <w:rPr>
                <w:rFonts w:ascii="Times New Roman" w:hAnsi="Times New Roman"/>
                <w:color w:val="000000"/>
                <w:sz w:val="20"/>
              </w:rPr>
            </w:pPr>
            <w:r>
              <w:rPr>
                <w:rFonts w:ascii="Times New Roman" w:hAnsi="Times New Roman"/>
                <w:color w:val="000000"/>
                <w:sz w:val="20"/>
              </w:rPr>
              <w:t xml:space="preserve">includes our Annual Report on Form 10-K for the year ended December 31, 2025, is available on our website at </w:t>
            </w:r>
          </w:p>
          <w:p>
            <w:pPr>
              <w:pStyle w:val="TableContents"/>
              <w:bidi w:val="0"/>
              <w:jc w:val="center"/>
              <w:rPr>
                <w:rFonts w:ascii="Times New Roman" w:hAnsi="Times New Roman"/>
                <w:sz w:val="20"/>
              </w:rPr>
            </w:pPr>
            <w:r>
              <w:rPr>
                <w:rFonts w:ascii="Times New Roman" w:hAnsi="Times New Roman"/>
                <w:i/>
                <w:color w:val="000000"/>
                <w:sz w:val="20"/>
                <w:u w:val="single"/>
              </w:rPr>
              <w:t>investors.gtigrows.com/2026annualreport</w:t>
            </w:r>
            <w:r>
              <w:rPr>
                <w:rFonts w:ascii="Times New Roman" w:hAnsi="Times New Roman"/>
                <w:color w:val="000000"/>
                <w:sz w:val="20"/>
              </w:rPr>
              <w:t xml:space="preserve">. </w:t>
            </w:r>
          </w:p>
          <w:p>
            <w:pPr>
              <w:pStyle w:val="TableContents"/>
              <w:bidi w:val="0"/>
              <w:spacing w:before="480" w:after="283"/>
              <w:jc w:val="center"/>
              <w:rPr>
                <w:rFonts w:ascii="Times New Roman" w:hAnsi="Times New Roman"/>
                <w:sz w:val="20"/>
              </w:rPr>
            </w:pPr>
            <w:r>
              <w:rPr>
                <w:rFonts w:ascii="Times New Roman" w:hAnsi="Times New Roman"/>
                <w:b/>
                <w:color w:val="000000"/>
                <w:sz w:val="20"/>
              </w:rPr>
              <w:t>YOUR VOTE IS IMPORTANT.</w:t>
            </w:r>
            <w:r>
              <w:rPr>
                <w:rFonts w:ascii="Times New Roman" w:hAnsi="Times New Roman"/>
                <w:color w:val="000000"/>
                <w:sz w:val="20"/>
              </w:rPr>
              <w:t xml:space="preserve"> </w:t>
            </w:r>
          </w:p>
          <w:p>
            <w:pPr>
              <w:pStyle w:val="TableContents"/>
              <w:bidi w:val="0"/>
              <w:spacing w:before="120" w:after="283"/>
              <w:jc w:val="center"/>
              <w:rPr>
                <w:rFonts w:ascii="Times New Roman" w:hAnsi="Times New Roman"/>
                <w:sz w:val="20"/>
              </w:rPr>
            </w:pPr>
            <w:r>
              <w:rPr>
                <w:rFonts w:ascii="Times New Roman" w:hAnsi="Times New Roman"/>
                <w:b/>
                <w:color w:val="000000"/>
                <w:sz w:val="20"/>
              </w:rPr>
              <w:t>PLEASE VOTE YOUR PROXY OVER THE INTERNET</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BY VISITING WWW.PROXYVOTE.COM</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OR BY TELEPHONE (800) 690-6903</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MARK, SIGN, DATE AND RETURN YOUR PROXY CARD BY MAIL</w:t>
            </w:r>
            <w:r>
              <w:rPr>
                <w:rFonts w:ascii="Times New Roman" w:hAnsi="Times New Roman"/>
                <w:color w:val="000000"/>
                <w:sz w:val="20"/>
              </w:rPr>
              <w:t xml:space="preserve"> </w:t>
            </w:r>
          </w:p>
          <w:p>
            <w:pPr>
              <w:pStyle w:val="TableContents"/>
              <w:bidi w:val="0"/>
              <w:spacing w:before="0" w:after="80"/>
              <w:jc w:val="center"/>
              <w:rPr>
                <w:rFonts w:ascii="Times New Roman" w:hAnsi="Times New Roman"/>
                <w:sz w:val="20"/>
              </w:rPr>
            </w:pPr>
            <w:r>
              <w:rPr>
                <w:rFonts w:ascii="Times New Roman" w:hAnsi="Times New Roman"/>
                <w:b/>
                <w:color w:val="000000"/>
                <w:sz w:val="20"/>
              </w:rPr>
              <w:t>WHETHER OR NOT YOU PLAN TO ATTEND THE ANNUAL AND SPECIAL MEETING.</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center"/>
              <w:rPr/>
            </w:pPr>
            <w:r>
              <w:rPr/>
              <w:t> </w:t>
            </w:r>
          </w:p>
          <w:p>
            <w:pPr>
              <w:pStyle w:val="TableContents"/>
              <w:bidi w:val="0"/>
              <w:jc w:val="center"/>
              <w:rPr>
                <w:rFonts w:ascii="Times New Roman" w:hAnsi="Times New Roman"/>
                <w:sz w:val="20"/>
              </w:rPr>
            </w:pPr>
            <w:r>
              <w:rPr>
                <w:rFonts w:ascii="Times New Roman" w:hAnsi="Times New Roman"/>
                <w:b/>
                <w:i/>
                <w:color w:val="000000"/>
                <w:sz w:val="20"/>
              </w:rPr>
              <w:t xml:space="preserve">Following the virtual Annual and Special Meeting of Shareholders, all shareholders are invited to attend a reception at Garcia’s Chicago (1001 W Washington Blvd, Chicago, IL 60607) on Tuesday, June 16, 2026 at 3:30 p.m. (Central time), where food and beverages will be provided. Shareholders who arrive early may observe the virtual meeting at Garcia’s. Doors will open at 1:00 p.m. As the meeting will be entirely virtual, persons at Garcia’s will not be counted as attendees of the meeting for any purpose, and will not be permitted to ask questions or vote. Questions and voting will only take place at the official meeting location, </w:t>
            </w:r>
            <w:r>
              <w:rPr>
                <w:rFonts w:ascii="Times New Roman" w:hAnsi="Times New Roman"/>
                <w:i/>
                <w:color w:val="000000"/>
                <w:sz w:val="20"/>
                <w:u w:val="single"/>
              </w:rPr>
              <w:t>www.virtualshareholdermeeting.com/GTBIF2026</w:t>
            </w:r>
            <w:r>
              <w:rPr>
                <w:rFonts w:ascii="Times New Roman" w:hAnsi="Times New Roman"/>
                <w:i/>
                <w:color w:val="000000"/>
                <w:sz w:val="20"/>
              </w:rPr>
              <w:t xml:space="preserve">, </w:t>
            </w:r>
            <w:r>
              <w:rPr>
                <w:rFonts w:ascii="Times New Roman" w:hAnsi="Times New Roman"/>
                <w:b/>
                <w:i/>
                <w:color w:val="000000"/>
                <w:sz w:val="20"/>
              </w:rPr>
              <w:t>and in accordance with the meeting rules and procedures posted therein.</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toc"/>
      <w:bookmarkEnd w:id="3"/>
      <w:r>
        <w:rPr>
          <w:rFonts w:ascii="Times New Roman" w:hAnsi="Times New Roman"/>
          <w:b/>
          <w:color w:val="000000"/>
          <w:sz w:val="20"/>
        </w:rPr>
        <w:t>TABLE OF CONTENTS</w:t>
      </w:r>
    </w:p>
    <w:p>
      <w:pPr>
        <w:pStyle w:val="TextBody"/>
        <w:bidi w:val="0"/>
        <w:jc w:val="left"/>
        <w:rPr/>
      </w:pPr>
      <w:r>
        <w:rPr/>
        <w:t> </w:t>
      </w:r>
    </w:p>
    <w:tbl>
      <w:tblPr>
        <w:tblW w:w="10052" w:type="dxa"/>
        <w:jc w:val="left"/>
        <w:tblInd w:w="0" w:type="dxa"/>
        <w:tblLayout w:type="fixed"/>
        <w:tblCellMar>
          <w:top w:w="28" w:type="dxa"/>
          <w:left w:w="28" w:type="dxa"/>
          <w:bottom w:w="28" w:type="dxa"/>
          <w:right w:w="28" w:type="dxa"/>
        </w:tblCellMar>
      </w:tblPr>
      <w:tblGrid>
        <w:gridCol w:w="8971"/>
        <w:gridCol w:w="1081"/>
      </w:tblGrid>
      <w:tr>
        <w:trPr/>
        <w:tc>
          <w:tcPr>
            <w:tcW w:w="897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general_information_about_the_annual">
              <w:r>
                <w:rPr>
                  <w:rStyle w:val="InternetLink"/>
                  <w:rFonts w:ascii="Times New Roman" w:hAnsi="Times New Roman"/>
                  <w:color w:val="0000FF"/>
                  <w:sz w:val="20"/>
                  <w:u w:val="single"/>
                </w:rPr>
                <w:t>GENERAL INFORMATION ABOUT THE ANNUAL AND SPECIAL MEETING AND VOTING</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proxy_materials">
              <w:r>
                <w:rPr>
                  <w:rStyle w:val="InternetLink"/>
                  <w:rFonts w:ascii="Times New Roman" w:hAnsi="Times New Roman"/>
                  <w:color w:val="0000FF"/>
                  <w:sz w:val="20"/>
                  <w:u w:val="single"/>
                </w:rPr>
                <w:t>Proxy Materials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how_you_can_vote">
              <w:r>
                <w:rPr>
                  <w:rStyle w:val="InternetLink"/>
                  <w:rFonts w:ascii="Times New Roman" w:hAnsi="Times New Roman"/>
                  <w:color w:val="0000FF"/>
                  <w:sz w:val="20"/>
                  <w:u w:val="single"/>
                </w:rPr>
                <w:t>How You Can Vote</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shareholder_proposals_and_director_nomin">
              <w:r>
                <w:rPr>
                  <w:rStyle w:val="InternetLink"/>
                  <w:rFonts w:ascii="Times New Roman" w:hAnsi="Times New Roman"/>
                  <w:color w:val="0000FF"/>
                  <w:sz w:val="20"/>
                  <w:u w:val="single"/>
                </w:rPr>
                <w:t>Shareholder Proposals and Director Nominations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8</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description_of_the_company_voting_secu">
              <w:r>
                <w:rPr>
                  <w:rStyle w:val="InternetLink"/>
                  <w:rFonts w:ascii="Times New Roman" w:hAnsi="Times New Roman"/>
                  <w:color w:val="0000FF"/>
                  <w:sz w:val="20"/>
                  <w:u w:val="single"/>
                </w:rPr>
                <w:t>Description of the Company’s Voting Securities</w:t>
              </w:r>
            </w:hyperlink>
            <w:hyperlink w:anchor="description_of_the_company_voting_secu">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9</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notice_and_access">
              <w:r>
                <w:rPr>
                  <w:rStyle w:val="InternetLink"/>
                  <w:rFonts w:ascii="Times New Roman" w:hAnsi="Times New Roman"/>
                  <w:color w:val="0000FF"/>
                  <w:sz w:val="20"/>
                  <w:u w:val="single"/>
                </w:rPr>
                <w:t>Notice-and-Access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obtaining_additional_information">
              <w:r>
                <w:rPr>
                  <w:rStyle w:val="InternetLink"/>
                  <w:rFonts w:ascii="Times New Roman" w:hAnsi="Times New Roman"/>
                  <w:color w:val="0000FF"/>
                  <w:sz w:val="20"/>
                  <w:u w:val="single"/>
                </w:rPr>
                <w:t>Obtaining Additional Information</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11</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overview_of_proposals_to_be_voted_on">
              <w:r>
                <w:rPr>
                  <w:rStyle w:val="InternetLink"/>
                  <w:rFonts w:ascii="Times New Roman" w:hAnsi="Times New Roman"/>
                  <w:color w:val="0000FF"/>
                  <w:sz w:val="20"/>
                  <w:u w:val="single"/>
                </w:rPr>
                <w:t>OVERVIEW OF PROPOSALS TO BE VOTED ON</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13</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proposals_no_1_and_2_election_of_direc">
              <w:r>
                <w:rPr>
                  <w:rStyle w:val="InternetLink"/>
                  <w:rFonts w:ascii="Times New Roman" w:hAnsi="Times New Roman"/>
                  <w:color w:val="0000FF"/>
                  <w:sz w:val="20"/>
                  <w:u w:val="single"/>
                </w:rPr>
                <w:t>PROPOSALS NO. 1 AND 2—ELECTION OF DIRECTORS</w:t>
              </w:r>
            </w:hyperlink>
            <w:hyperlink w:anchor="proposals_no_1_and_2_election_of_direc">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13</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biographical_information">
              <w:r>
                <w:rPr>
                  <w:rStyle w:val="InternetLink"/>
                  <w:rFonts w:ascii="Times New Roman" w:hAnsi="Times New Roman"/>
                  <w:color w:val="0000FF"/>
                  <w:sz w:val="20"/>
                  <w:u w:val="single"/>
                </w:rPr>
                <w:t>Biographical Information</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14</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replacement_or_removal_of_directors">
              <w:r>
                <w:rPr>
                  <w:rStyle w:val="InternetLink"/>
                  <w:rFonts w:ascii="Times New Roman" w:hAnsi="Times New Roman"/>
                  <w:color w:val="0000FF"/>
                  <w:sz w:val="20"/>
                  <w:u w:val="single"/>
                </w:rPr>
                <w:t>Replacement or Removal of Directors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advance_notice_policy">
              <w:r>
                <w:rPr>
                  <w:rStyle w:val="InternetLink"/>
                  <w:rFonts w:ascii="Times New Roman" w:hAnsi="Times New Roman"/>
                  <w:color w:val="0000FF"/>
                  <w:sz w:val="20"/>
                  <w:u w:val="single"/>
                </w:rPr>
                <w:t>Advance Notice Policy</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corporate_cease_trade_orders_bankruptc">
              <w:r>
                <w:rPr>
                  <w:rStyle w:val="InternetLink"/>
                  <w:rFonts w:ascii="Times New Roman" w:hAnsi="Times New Roman"/>
                  <w:color w:val="0000FF"/>
                  <w:sz w:val="20"/>
                  <w:u w:val="single"/>
                </w:rPr>
                <w:t>Corporate Cease Trade Orders, Bankruptcies, Penalties or Sanctions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certain_relationships_related_transact">
              <w:r>
                <w:rPr>
                  <w:rStyle w:val="InternetLink"/>
                  <w:rFonts w:ascii="Times New Roman" w:hAnsi="Times New Roman"/>
                  <w:color w:val="0000FF"/>
                  <w:sz w:val="20"/>
                  <w:u w:val="single"/>
                </w:rPr>
                <w:t>Certain Relationships, Related Transactions and Policy Regarding Related Party Transactions</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18</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proposal_no_3_vote_to_approve">
              <w:r>
                <w:rPr>
                  <w:rStyle w:val="InternetLink"/>
                  <w:rFonts w:ascii="Times New Roman" w:hAnsi="Times New Roman"/>
                  <w:color w:val="0000FF"/>
                  <w:sz w:val="20"/>
                  <w:u w:val="single"/>
                </w:rPr>
                <w:t>PROPOSAL NO. 3—VOTE TO APPROVE, ON AN ADVISORY BASIS, OUR EXECUTIVE COMPENSATION</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22</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proposal_no_4_re_appointment_and_remu">
              <w:r>
                <w:rPr>
                  <w:rStyle w:val="InternetLink"/>
                  <w:rFonts w:ascii="Times New Roman" w:hAnsi="Times New Roman"/>
                  <w:color w:val="0000FF"/>
                  <w:sz w:val="20"/>
                  <w:u w:val="single"/>
                </w:rPr>
                <w:t>PROPOSAL NO. 4—RE-APPOINTMENT AND REMUNERATION OF AUDITORS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principal_audit_fees_and_services">
              <w:r>
                <w:rPr>
                  <w:rStyle w:val="InternetLink"/>
                  <w:rFonts w:ascii="Times New Roman" w:hAnsi="Times New Roman"/>
                  <w:color w:val="0000FF"/>
                  <w:sz w:val="20"/>
                  <w:u w:val="single"/>
                </w:rPr>
                <w:t>Principal Audit Fees and Services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pre_approval_policies_and_procedures">
              <w:r>
                <w:rPr>
                  <w:rStyle w:val="InternetLink"/>
                  <w:rFonts w:ascii="Times New Roman" w:hAnsi="Times New Roman"/>
                  <w:color w:val="0000FF"/>
                  <w:sz w:val="20"/>
                  <w:u w:val="single"/>
                </w:rPr>
                <w:t>Pre-Approval Policies and Procedures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audit_committee_report">
              <w:r>
                <w:rPr>
                  <w:rStyle w:val="InternetLink"/>
                  <w:rFonts w:ascii="Times New Roman" w:hAnsi="Times New Roman"/>
                  <w:color w:val="0000FF"/>
                  <w:sz w:val="20"/>
                  <w:u w:val="single"/>
                </w:rPr>
                <w:t>Audit Committee Report</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23</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proposal_no_5_vote_to_approve_amendment">
              <w:r>
                <w:rPr>
                  <w:rStyle w:val="InternetLink"/>
                  <w:rFonts w:ascii="Times New Roman" w:hAnsi="Times New Roman"/>
                  <w:color w:val="0000FF"/>
                  <w:sz w:val="20"/>
                  <w:u w:val="single"/>
                </w:rPr>
                <w:t>PROPOSAL NO. 5—VOTE TO APPROVE AMENDMENT TO THE ARTICLES</w:t>
              </w:r>
            </w:hyperlink>
            <w:hyperlink w:anchor="proposal_no_5_vote_to_approve_amendment">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25</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27</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security_based_compensation_arrangemen">
              <w:r>
                <w:rPr>
                  <w:rStyle w:val="InternetLink"/>
                  <w:rFonts w:ascii="Times New Roman" w:hAnsi="Times New Roman"/>
                  <w:color w:val="0000FF"/>
                  <w:sz w:val="20"/>
                  <w:u w:val="single"/>
                </w:rPr>
                <w:t>SECURITY BASED COMPENSATION ARRANGEMENTS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29</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equity_compensation_plan_information">
              <w:r>
                <w:rPr>
                  <w:rStyle w:val="InternetLink"/>
                  <w:rFonts w:ascii="Times New Roman" w:hAnsi="Times New Roman"/>
                  <w:color w:val="0000FF"/>
                  <w:sz w:val="20"/>
                  <w:u w:val="single"/>
                </w:rPr>
                <w:t>Equity Compensation Plan Information</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29</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summary_of_terms_and_conditions">
              <w:r>
                <w:rPr>
                  <w:rStyle w:val="InternetLink"/>
                  <w:rFonts w:ascii="Times New Roman" w:hAnsi="Times New Roman"/>
                  <w:color w:val="0000FF"/>
                  <w:sz w:val="20"/>
                  <w:u w:val="single"/>
                </w:rPr>
                <w:t>Summary of Terms and Conditions of the Incentive Plan</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29</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description_of_awards">
              <w:r>
                <w:rPr>
                  <w:rStyle w:val="InternetLink"/>
                  <w:rFonts w:ascii="Times New Roman" w:hAnsi="Times New Roman"/>
                  <w:color w:val="0000FF"/>
                  <w:sz w:val="20"/>
                  <w:u w:val="single"/>
                </w:rPr>
                <w:t>Description of Awards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30</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administration_of_the_stock_and_incenti">
              <w:r>
                <w:rPr>
                  <w:rStyle w:val="InternetLink"/>
                  <w:rFonts w:ascii="Times New Roman" w:hAnsi="Times New Roman"/>
                  <w:color w:val="0000FF"/>
                  <w:sz w:val="20"/>
                  <w:u w:val="single"/>
                </w:rPr>
                <w:t>Administration of the Stock and Incentive Plan</w:t>
              </w:r>
            </w:hyperlink>
            <w:hyperlink w:anchor="administration_of_the_stock_and_incenti">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tax_withholding">
              <w:r>
                <w:rPr>
                  <w:rStyle w:val="InternetLink"/>
                  <w:rFonts w:ascii="Times New Roman" w:hAnsi="Times New Roman"/>
                  <w:color w:val="0000FF"/>
                  <w:sz w:val="20"/>
                  <w:u w:val="single"/>
                </w:rPr>
                <w:t>Tax Withholding</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amendments_and_termination">
              <w:r>
                <w:rPr>
                  <w:rStyle w:val="InternetLink"/>
                  <w:rFonts w:ascii="Times New Roman" w:hAnsi="Times New Roman"/>
                  <w:color w:val="0000FF"/>
                  <w:sz w:val="20"/>
                  <w:u w:val="single"/>
                </w:rPr>
                <w:t>Amendments and Termination</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corporate_transactions">
              <w:r>
                <w:rPr>
                  <w:rStyle w:val="InternetLink"/>
                  <w:rFonts w:ascii="Times New Roman" w:hAnsi="Times New Roman"/>
                  <w:color w:val="0000FF"/>
                  <w:sz w:val="20"/>
                  <w:u w:val="single"/>
                </w:rPr>
                <w:t>Corporate Transactions</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32</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governance">
              <w:r>
                <w:rPr>
                  <w:rStyle w:val="InternetLink"/>
                  <w:rFonts w:ascii="Times New Roman" w:hAnsi="Times New Roman"/>
                  <w:color w:val="0000FF"/>
                  <w:sz w:val="20"/>
                  <w:u w:val="single"/>
                </w:rPr>
                <w:t>GOVERNANCE</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33</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board_of_directors">
              <w:r>
                <w:rPr>
                  <w:rStyle w:val="InternetLink"/>
                  <w:rFonts w:ascii="Times New Roman" w:hAnsi="Times New Roman"/>
                  <w:color w:val="0000FF"/>
                  <w:sz w:val="20"/>
                  <w:u w:val="single"/>
                </w:rPr>
                <w:t>Board of Directors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33</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board_committees">
              <w:r>
                <w:rPr>
                  <w:rStyle w:val="InternetLink"/>
                  <w:rFonts w:ascii="Times New Roman" w:hAnsi="Times New Roman"/>
                  <w:color w:val="0000FF"/>
                  <w:sz w:val="20"/>
                  <w:u w:val="single"/>
                </w:rPr>
                <w:t>Board Committees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35</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communications_with_the_board_of_directo">
              <w:r>
                <w:rPr>
                  <w:rStyle w:val="InternetLink"/>
                  <w:rFonts w:ascii="Times New Roman" w:hAnsi="Times New Roman"/>
                  <w:color w:val="0000FF"/>
                  <w:sz w:val="20"/>
                  <w:u w:val="single"/>
                </w:rPr>
                <w:t>Communications with the Board of Directors</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36</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executive_officers">
              <w:r>
                <w:rPr>
                  <w:rStyle w:val="InternetLink"/>
                  <w:rFonts w:ascii="Times New Roman" w:hAnsi="Times New Roman"/>
                  <w:color w:val="0000FF"/>
                  <w:sz w:val="20"/>
                  <w:u w:val="single"/>
                </w:rPr>
                <w:t>EXECUTIVE OFFICERS</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37</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compensation_discussion_and_analysis">
              <w:r>
                <w:rPr>
                  <w:rStyle w:val="InternetLink"/>
                  <w:rFonts w:ascii="Times New Roman" w:hAnsi="Times New Roman"/>
                  <w:color w:val="0000FF"/>
                  <w:sz w:val="20"/>
                  <w:u w:val="single"/>
                </w:rPr>
                <w:t>COMPENSATION DISCUSSION AND ANALYSIS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38</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executive_summary_of_executive_compensa">
              <w:r>
                <w:rPr>
                  <w:rStyle w:val="InternetLink"/>
                  <w:rFonts w:ascii="Times New Roman" w:hAnsi="Times New Roman"/>
                  <w:color w:val="0000FF"/>
                  <w:sz w:val="20"/>
                  <w:u w:val="single"/>
                </w:rPr>
                <w:t>Executive Summary of Executive Compensation</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38</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compensation_governance_and_process">
              <w:r>
                <w:rPr>
                  <w:rStyle w:val="InternetLink"/>
                  <w:rFonts w:ascii="Times New Roman" w:hAnsi="Times New Roman"/>
                  <w:color w:val="0000FF"/>
                  <w:sz w:val="20"/>
                  <w:u w:val="single"/>
                </w:rPr>
                <w:t>Compensation Governance and Process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41</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elements_of_compensation">
              <w:r>
                <w:rPr>
                  <w:rStyle w:val="InternetLink"/>
                  <w:rFonts w:ascii="Times New Roman" w:hAnsi="Times New Roman"/>
                  <w:color w:val="0000FF"/>
                  <w:sz w:val="20"/>
                  <w:u w:val="single"/>
                </w:rPr>
                <w:t>Elements of Compensation</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43</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rythm_inc_equity_awards">
              <w:bookmarkStart w:id="4" w:name="rythm"/>
              <w:bookmarkEnd w:id="4"/>
              <w:r>
                <w:rPr>
                  <w:rStyle w:val="InternetLink"/>
                  <w:rFonts w:ascii="Times New Roman" w:hAnsi="Times New Roman"/>
                  <w:color w:val="0000FF"/>
                  <w:sz w:val="20"/>
                  <w:u w:val="single"/>
                </w:rPr>
                <w:t>RYTHM, Inc. Equity Awards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48</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insider_trading_policies">
              <w:r>
                <w:rPr>
                  <w:rStyle w:val="InternetLink"/>
                  <w:rFonts w:ascii="Times New Roman" w:hAnsi="Times New Roman"/>
                  <w:color w:val="0000FF"/>
                  <w:sz w:val="20"/>
                  <w:u w:val="single"/>
                </w:rPr>
                <w:t>Insider Trading Policies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perquisites_and_other_personal_benefits">
              <w:r>
                <w:rPr>
                  <w:rStyle w:val="InternetLink"/>
                  <w:rFonts w:ascii="Times New Roman" w:hAnsi="Times New Roman"/>
                  <w:color w:val="0000FF"/>
                  <w:sz w:val="20"/>
                  <w:u w:val="single"/>
                </w:rPr>
                <w:t>Perquisites and Other Personal Benefits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employment_arrangements">
              <w:r>
                <w:rPr>
                  <w:rStyle w:val="InternetLink"/>
                  <w:rFonts w:ascii="Times New Roman" w:hAnsi="Times New Roman"/>
                  <w:color w:val="0000FF"/>
                  <w:sz w:val="20"/>
                  <w:u w:val="single"/>
                </w:rPr>
                <w:t>Employment Arrangements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retirement_benefit_plans">
              <w:r>
                <w:rPr>
                  <w:rStyle w:val="InternetLink"/>
                  <w:rFonts w:ascii="Times New Roman" w:hAnsi="Times New Roman"/>
                  <w:color w:val="0000FF"/>
                  <w:sz w:val="20"/>
                  <w:u w:val="single"/>
                </w:rPr>
                <w:t>Retirement Benefit Plans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8971"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termination_and_change_in_control">
              <w:r>
                <w:rPr>
                  <w:rStyle w:val="InternetLink"/>
                  <w:rFonts w:ascii="Times New Roman" w:hAnsi="Times New Roman"/>
                  <w:color w:val="0000FF"/>
                  <w:sz w:val="20"/>
                  <w:u w:val="single"/>
                </w:rPr>
                <w:t>Termination and Change in Control Benefits</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49</w:t>
            </w:r>
          </w:p>
        </w:tc>
      </w:tr>
      <w:tr>
        <w:trPr/>
        <w:tc>
          <w:tcPr>
            <w:tcW w:w="8971" w:type="dxa"/>
            <w:tcBorders/>
            <w:tcMar>
              <w:top w:w="0" w:type="dxa"/>
              <w:left w:w="0" w:type="dxa"/>
              <w:bottom w:w="0" w:type="dxa"/>
              <w:right w:w="0" w:type="dxa"/>
            </w:tcMar>
            <w:vAlign w:val="center"/>
          </w:tcPr>
          <w:p>
            <w:pPr>
              <w:pStyle w:val="TableContents"/>
              <w:bidi w:val="0"/>
              <w:spacing w:before="60" w:after="283"/>
              <w:jc w:val="left"/>
              <w:rPr/>
            </w:pPr>
            <w:hyperlink w:anchor="compensation_committee_report">
              <w:r>
                <w:rPr>
                  <w:rStyle w:val="InternetLink"/>
                  <w:rFonts w:ascii="Times New Roman" w:hAnsi="Times New Roman"/>
                  <w:color w:val="0000FF"/>
                  <w:sz w:val="20"/>
                  <w:u w:val="single"/>
                </w:rPr>
                <w:t>COMPENSATION COMMITTEE REPORT</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77" w:type="dxa"/>
        <w:jc w:val="left"/>
        <w:tblInd w:w="0" w:type="dxa"/>
        <w:tblLayout w:type="fixed"/>
        <w:tblCellMar>
          <w:top w:w="28" w:type="dxa"/>
          <w:left w:w="28" w:type="dxa"/>
          <w:bottom w:w="28" w:type="dxa"/>
          <w:right w:w="28" w:type="dxa"/>
        </w:tblCellMar>
      </w:tblPr>
      <w:tblGrid>
        <w:gridCol w:w="6496"/>
        <w:gridCol w:w="1081"/>
      </w:tblGrid>
      <w:tr>
        <w:trPr/>
        <w:tc>
          <w:tcPr>
            <w:tcW w:w="64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6496" w:type="dxa"/>
            <w:tcBorders/>
            <w:tcMar>
              <w:top w:w="0" w:type="dxa"/>
              <w:left w:w="0" w:type="dxa"/>
              <w:bottom w:w="0" w:type="dxa"/>
              <w:right w:w="0" w:type="dxa"/>
            </w:tcMar>
            <w:vAlign w:val="center"/>
          </w:tcPr>
          <w:p>
            <w:pPr>
              <w:pStyle w:val="TableContents"/>
              <w:bidi w:val="0"/>
              <w:spacing w:before="60" w:after="283"/>
              <w:jc w:val="left"/>
              <w:rPr/>
            </w:pPr>
            <w:hyperlink w:anchor="compensation_tables">
              <w:r>
                <w:rPr>
                  <w:rStyle w:val="InternetLink"/>
                  <w:rFonts w:ascii="Times New Roman" w:hAnsi="Times New Roman"/>
                  <w:color w:val="0000FF"/>
                  <w:sz w:val="20"/>
                  <w:u w:val="single"/>
                </w:rPr>
                <w:t>COMPENSATION TABLES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52</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summary_compensation_table">
              <w:r>
                <w:rPr>
                  <w:rStyle w:val="InternetLink"/>
                  <w:rFonts w:ascii="Times New Roman" w:hAnsi="Times New Roman"/>
                  <w:color w:val="0000FF"/>
                  <w:sz w:val="20"/>
                  <w:u w:val="single"/>
                </w:rPr>
                <w:t>Summary Compensation Table</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52</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grants_of_plan_based_awards">
              <w:r>
                <w:rPr>
                  <w:rStyle w:val="InternetLink"/>
                  <w:rFonts w:ascii="Times New Roman" w:hAnsi="Times New Roman"/>
                  <w:color w:val="0000FF"/>
                  <w:sz w:val="20"/>
                  <w:u w:val="single"/>
                </w:rPr>
                <w:t>Grant of Plan-Based Awards</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53</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outstanding_equity_awards_table">
              <w:r>
                <w:rPr>
                  <w:rStyle w:val="InternetLink"/>
                  <w:rFonts w:ascii="Times New Roman" w:hAnsi="Times New Roman"/>
                  <w:color w:val="0000FF"/>
                  <w:sz w:val="20"/>
                  <w:u w:val="single"/>
                </w:rPr>
                <w:t>Outstanding Equity Awards Table</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54</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options_exercised_and_stock_vested">
              <w:r>
                <w:rPr>
                  <w:rStyle w:val="InternetLink"/>
                  <w:rFonts w:ascii="Times New Roman" w:hAnsi="Times New Roman"/>
                  <w:color w:val="0000FF"/>
                  <w:sz w:val="20"/>
                  <w:u w:val="single"/>
                </w:rPr>
                <w:t>Options Exercised and Stock Vested</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55</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potential_payments_upon_termination">
              <w:r>
                <w:rPr>
                  <w:rStyle w:val="InternetLink"/>
                  <w:rFonts w:ascii="Times New Roman" w:hAnsi="Times New Roman"/>
                  <w:color w:val="0000FF"/>
                  <w:sz w:val="20"/>
                  <w:u w:val="single"/>
                </w:rPr>
                <w:t>Potential Payments Upon Termination or Upon Change in Control</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55</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pay_ratio">
              <w:r>
                <w:rPr>
                  <w:rStyle w:val="InternetLink"/>
                  <w:rFonts w:ascii="Times New Roman" w:hAnsi="Times New Roman"/>
                  <w:color w:val="0000FF"/>
                  <w:sz w:val="20"/>
                  <w:u w:val="single"/>
                </w:rPr>
                <w:t>Pay Ratio</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55</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pay_versus_performance_table">
              <w:r>
                <w:rPr>
                  <w:rStyle w:val="InternetLink"/>
                  <w:rFonts w:ascii="Times New Roman" w:hAnsi="Times New Roman"/>
                  <w:color w:val="0000FF"/>
                  <w:sz w:val="20"/>
                  <w:u w:val="single"/>
                </w:rPr>
                <w:t>Pay-versus-Performance Table</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57</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most_important_financial_measures_used">
              <w:r>
                <w:rPr>
                  <w:rStyle w:val="InternetLink"/>
                  <w:rFonts w:ascii="Times New Roman" w:hAnsi="Times New Roman"/>
                  <w:color w:val="0000FF"/>
                  <w:sz w:val="20"/>
                  <w:u w:val="single"/>
                </w:rPr>
                <w:t>Most Important Financial Measures Used to Determine Compensation</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58</w:t>
            </w:r>
          </w:p>
        </w:tc>
      </w:tr>
      <w:tr>
        <w:trPr/>
        <w:tc>
          <w:tcPr>
            <w:tcW w:w="6496" w:type="dxa"/>
            <w:tcBorders/>
            <w:tcMar>
              <w:top w:w="0" w:type="dxa"/>
              <w:left w:w="0" w:type="dxa"/>
              <w:bottom w:w="0" w:type="dxa"/>
              <w:right w:w="0" w:type="dxa"/>
            </w:tcMar>
            <w:vAlign w:val="center"/>
          </w:tcPr>
          <w:p>
            <w:pPr>
              <w:pStyle w:val="TableContents"/>
              <w:bidi w:val="0"/>
              <w:spacing w:before="60" w:after="283"/>
              <w:jc w:val="left"/>
              <w:rPr/>
            </w:pPr>
            <w:hyperlink w:anchor="director_compensation">
              <w:r>
                <w:rPr>
                  <w:rStyle w:val="InternetLink"/>
                  <w:rFonts w:ascii="Times New Roman" w:hAnsi="Times New Roman"/>
                  <w:color w:val="0000FF"/>
                  <w:sz w:val="20"/>
                  <w:u w:val="single"/>
                </w:rPr>
                <w:t>DIRECTOR COMPENSATION</w:t>
              </w:r>
            </w:hyperlink>
          </w:p>
        </w:tc>
        <w:tc>
          <w:tcPr>
            <w:tcW w:w="1081" w:type="dxa"/>
            <w:tcBorders/>
            <w:tcMar>
              <w:top w:w="0" w:type="dxa"/>
              <w:left w:w="0" w:type="dxa"/>
              <w:bottom w:w="0" w:type="dxa"/>
              <w:right w:w="0" w:type="dxa"/>
            </w:tcMar>
            <w:vAlign w:val="center"/>
          </w:tcPr>
          <w:p>
            <w:pPr>
              <w:pStyle w:val="TableContents"/>
              <w:bidi w:val="0"/>
              <w:spacing w:before="60" w:after="283"/>
              <w:ind w:left="0" w:right="0" w:firstLine="720"/>
              <w:jc w:val="right"/>
              <w:rPr>
                <w:rFonts w:ascii="Times New Roman" w:hAnsi="Times New Roman"/>
                <w:color w:val="000000"/>
                <w:sz w:val="20"/>
              </w:rPr>
            </w:pPr>
            <w:r>
              <w:rPr>
                <w:rFonts w:ascii="Times New Roman" w:hAnsi="Times New Roman"/>
                <w:color w:val="000000"/>
                <w:sz w:val="20"/>
              </w:rPr>
              <w:t>59</w:t>
            </w:r>
          </w:p>
        </w:tc>
      </w:tr>
      <w:tr>
        <w:trPr/>
        <w:tc>
          <w:tcPr>
            <w:tcW w:w="6496" w:type="dxa"/>
            <w:tcBorders/>
            <w:tcMar>
              <w:top w:w="0" w:type="dxa"/>
              <w:left w:w="0" w:type="dxa"/>
              <w:bottom w:w="0" w:type="dxa"/>
              <w:right w:w="0" w:type="dxa"/>
            </w:tcMar>
            <w:vAlign w:val="center"/>
          </w:tcPr>
          <w:p>
            <w:pPr>
              <w:pStyle w:val="TableContents"/>
              <w:bidi w:val="0"/>
              <w:spacing w:before="60" w:after="283"/>
              <w:ind w:left="0" w:right="0" w:firstLine="720"/>
              <w:jc w:val="left"/>
              <w:rPr/>
            </w:pPr>
            <w:hyperlink w:anchor="compensation_committee_interlocks_inside">
              <w:r>
                <w:rPr>
                  <w:rStyle w:val="InternetLink"/>
                  <w:rFonts w:ascii="Times New Roman" w:hAnsi="Times New Roman"/>
                  <w:color w:val="0000FF"/>
                  <w:sz w:val="20"/>
                  <w:u w:val="single"/>
                </w:rPr>
                <w:t>Compensation Committee Interlocks and Insider Participation</w:t>
              </w:r>
            </w:hyperlink>
            <w:hyperlink w:anchor="compensation_committee_interlocks_inside">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59</w:t>
            </w:r>
          </w:p>
        </w:tc>
      </w:tr>
      <w:tr>
        <w:trPr/>
        <w:tc>
          <w:tcPr>
            <w:tcW w:w="6496" w:type="dxa"/>
            <w:tcBorders/>
            <w:tcMar>
              <w:top w:w="0" w:type="dxa"/>
              <w:left w:w="0" w:type="dxa"/>
              <w:bottom w:w="0" w:type="dxa"/>
              <w:right w:w="0" w:type="dxa"/>
            </w:tcMar>
            <w:vAlign w:val="center"/>
          </w:tcPr>
          <w:p>
            <w:pPr>
              <w:pStyle w:val="TableContents"/>
              <w:bidi w:val="0"/>
              <w:spacing w:before="60" w:after="283"/>
              <w:jc w:val="left"/>
              <w:rPr/>
            </w:pPr>
            <w:hyperlink w:anchor="section_16_beneficial_ownership_repor">
              <w:r>
                <w:rPr>
                  <w:rStyle w:val="InternetLink"/>
                  <w:rFonts w:ascii="Times New Roman" w:hAnsi="Times New Roman"/>
                  <w:color w:val="0000FF"/>
                  <w:sz w:val="20"/>
                  <w:u w:val="single"/>
                </w:rPr>
                <w:t>SECTION 16(A) BENEFICIAL OWNERSHIP REPORTING COMPLIANCE</w:t>
              </w:r>
            </w:hyperlink>
            <w:hyperlink w:anchor="section_16_beneficial_ownership_repor">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60</w:t>
            </w:r>
          </w:p>
        </w:tc>
      </w:tr>
      <w:tr>
        <w:trPr/>
        <w:tc>
          <w:tcPr>
            <w:tcW w:w="6496" w:type="dxa"/>
            <w:tcBorders/>
            <w:tcMar>
              <w:top w:w="0" w:type="dxa"/>
              <w:left w:w="0" w:type="dxa"/>
              <w:bottom w:w="0" w:type="dxa"/>
              <w:right w:w="0" w:type="dxa"/>
            </w:tcMar>
            <w:vAlign w:val="center"/>
          </w:tcPr>
          <w:p>
            <w:pPr>
              <w:pStyle w:val="TableContents"/>
              <w:bidi w:val="0"/>
              <w:spacing w:before="60" w:after="283"/>
              <w:jc w:val="left"/>
              <w:rPr/>
            </w:pPr>
            <w:hyperlink w:anchor="approval">
              <w:r>
                <w:rPr>
                  <w:rStyle w:val="InternetLink"/>
                  <w:rFonts w:ascii="Times New Roman" w:hAnsi="Times New Roman"/>
                  <w:color w:val="0000FF"/>
                  <w:sz w:val="20"/>
                  <w:u w:val="single"/>
                </w:rPr>
                <w:t>APPROVAL</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61</w:t>
            </w:r>
          </w:p>
        </w:tc>
      </w:tr>
      <w:tr>
        <w:trPr/>
        <w:tc>
          <w:tcPr>
            <w:tcW w:w="6496" w:type="dxa"/>
            <w:tcBorders/>
            <w:tcMar>
              <w:top w:w="0" w:type="dxa"/>
              <w:left w:w="0" w:type="dxa"/>
              <w:bottom w:w="0" w:type="dxa"/>
              <w:right w:w="0" w:type="dxa"/>
            </w:tcMar>
            <w:vAlign w:val="center"/>
          </w:tcPr>
          <w:p>
            <w:pPr>
              <w:pStyle w:val="TableContents"/>
              <w:bidi w:val="0"/>
              <w:spacing w:before="60" w:after="283"/>
              <w:jc w:val="left"/>
              <w:rPr/>
            </w:pPr>
            <w:hyperlink w:anchor="appendix_a_non_gaap_financial_informati">
              <w:r>
                <w:rPr>
                  <w:rStyle w:val="InternetLink"/>
                  <w:rFonts w:ascii="Times New Roman" w:hAnsi="Times New Roman"/>
                  <w:color w:val="0000FF"/>
                  <w:sz w:val="20"/>
                  <w:u w:val="single"/>
                </w:rPr>
                <w:t>Appendix A—Non-GAAP Financial Information</w:t>
              </w:r>
            </w:hyperlink>
          </w:p>
        </w:tc>
        <w:tc>
          <w:tcPr>
            <w:tcW w:w="108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A-1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PROXY STATEMENT FOR THE 2026 ANNUAL AND SPECIAL MEETING OF SHAREHOLDERS TO BE HELD ON JUNE 16,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This proxy statement contains information about the 2026 annual and special meeting of shareholders (the “</w:t>
      </w:r>
      <w:r>
        <w:rPr>
          <w:rFonts w:ascii="Times New Roman" w:hAnsi="Times New Roman"/>
          <w:b/>
          <w:color w:val="000000"/>
          <w:sz w:val="20"/>
        </w:rPr>
        <w:t>Meeting</w:t>
      </w:r>
      <w:r>
        <w:rPr>
          <w:rFonts w:ascii="Times New Roman" w:hAnsi="Times New Roman"/>
          <w:color w:val="000000"/>
          <w:sz w:val="20"/>
        </w:rPr>
        <w:t xml:space="preserve">”) of Green Thumb Industries Inc., to be held via live webcast on June 16, 2026 beginning at 2:00 p.m. (Central time), at </w:t>
      </w:r>
      <w:r>
        <w:rPr>
          <w:rFonts w:ascii="Times New Roman" w:hAnsi="Times New Roman"/>
          <w:i/>
          <w:color w:val="000000"/>
          <w:sz w:val="20"/>
          <w:u w:val="single"/>
        </w:rPr>
        <w:t>www.virtualshareholdermeeting.com/GTBIF2026</w:t>
      </w:r>
      <w:r>
        <w:rPr>
          <w:rFonts w:ascii="Times New Roman" w:hAnsi="Times New Roman"/>
          <w:color w:val="000000"/>
          <w:sz w:val="20"/>
        </w:rPr>
        <w:t>. The board of directors (the “</w:t>
      </w:r>
      <w:r>
        <w:rPr>
          <w:rFonts w:ascii="Times New Roman" w:hAnsi="Times New Roman"/>
          <w:b/>
          <w:color w:val="000000"/>
          <w:sz w:val="20"/>
        </w:rPr>
        <w:t>Board</w:t>
      </w:r>
      <w:r>
        <w:rPr>
          <w:rFonts w:ascii="Times New Roman" w:hAnsi="Times New Roman"/>
          <w:color w:val="000000"/>
          <w:sz w:val="20"/>
        </w:rPr>
        <w:t>”) of the Company is using this proxy statement to solicit proxies for use at the Meeting. Unless the context otherwise requires, references to “</w:t>
      </w:r>
      <w:r>
        <w:rPr>
          <w:rFonts w:ascii="Times New Roman" w:hAnsi="Times New Roman"/>
          <w:b/>
          <w:color w:val="000000"/>
          <w:sz w:val="20"/>
        </w:rPr>
        <w:t>we</w:t>
      </w:r>
      <w:r>
        <w:rPr>
          <w:rFonts w:ascii="Times New Roman" w:hAnsi="Times New Roman"/>
          <w:color w:val="000000"/>
          <w:sz w:val="20"/>
        </w:rPr>
        <w:t>,” “</w:t>
      </w:r>
      <w:r>
        <w:rPr>
          <w:rFonts w:ascii="Times New Roman" w:hAnsi="Times New Roman"/>
          <w:b/>
          <w:color w:val="000000"/>
          <w:sz w:val="20"/>
        </w:rPr>
        <w:t>us</w:t>
      </w:r>
      <w:r>
        <w:rPr>
          <w:rFonts w:ascii="Times New Roman" w:hAnsi="Times New Roman"/>
          <w:color w:val="000000"/>
          <w:sz w:val="20"/>
        </w:rPr>
        <w:t>,” “</w:t>
      </w:r>
      <w:r>
        <w:rPr>
          <w:rFonts w:ascii="Times New Roman" w:hAnsi="Times New Roman"/>
          <w:b/>
          <w:color w:val="000000"/>
          <w:sz w:val="20"/>
        </w:rPr>
        <w:t>our</w:t>
      </w:r>
      <w:r>
        <w:rPr>
          <w:rFonts w:ascii="Times New Roman" w:hAnsi="Times New Roman"/>
          <w:color w:val="000000"/>
          <w:sz w:val="20"/>
        </w:rPr>
        <w:t>,” “</w:t>
      </w:r>
      <w:r>
        <w:rPr>
          <w:rFonts w:ascii="Times New Roman" w:hAnsi="Times New Roman"/>
          <w:b/>
          <w:color w:val="000000"/>
          <w:sz w:val="20"/>
        </w:rPr>
        <w:t>Company</w:t>
      </w:r>
      <w:r>
        <w:rPr>
          <w:rFonts w:ascii="Times New Roman" w:hAnsi="Times New Roman"/>
          <w:color w:val="000000"/>
          <w:sz w:val="20"/>
        </w:rPr>
        <w:t>,” “</w:t>
      </w:r>
      <w:r>
        <w:rPr>
          <w:rFonts w:ascii="Times New Roman" w:hAnsi="Times New Roman"/>
          <w:b/>
          <w:color w:val="000000"/>
          <w:sz w:val="20"/>
        </w:rPr>
        <w:t>Corporation</w:t>
      </w:r>
      <w:r>
        <w:rPr>
          <w:rFonts w:ascii="Times New Roman" w:hAnsi="Times New Roman"/>
          <w:color w:val="000000"/>
          <w:sz w:val="20"/>
        </w:rPr>
        <w:t>” or “</w:t>
      </w:r>
      <w:r>
        <w:rPr>
          <w:rFonts w:ascii="Times New Roman" w:hAnsi="Times New Roman"/>
          <w:b/>
          <w:color w:val="000000"/>
          <w:sz w:val="20"/>
        </w:rPr>
        <w:t>Green Thumb</w:t>
      </w:r>
      <w:r>
        <w:rPr>
          <w:rFonts w:ascii="Times New Roman" w:hAnsi="Times New Roman"/>
          <w:color w:val="000000"/>
          <w:sz w:val="20"/>
        </w:rPr>
        <w:t xml:space="preserve">” or similar terms refers to Green Thumb Industries Inc. together with its wholly-owned subsidiaries. The mailing address of our principal executive offices is 325 West Huron Street, Suite 700, Chicago, Illinois 60654.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properly submitted proxies will be voted in accordance with the instructions contained in those proxies. If no instructions are specified, the proxies will be voted in accordance with the recommendation of our Board with respect to each of the matters set forth in the accompanying Notice of Meeting. You may revoke it at any time up to and including the two business days preceding the day of the Meeting by giving our Corporate Secretary written notice to that effect or at the Meeting by providing written notice to our Chair to that effect. </w:t>
      </w:r>
    </w:p>
    <w:p>
      <w:pPr>
        <w:pStyle w:val="TextBody"/>
        <w:bidi w:val="0"/>
        <w:spacing w:before="240" w:after="283"/>
        <w:jc w:val="left"/>
        <w:rPr>
          <w:rFonts w:ascii="Times New Roman" w:hAnsi="Times New Roman"/>
          <w:sz w:val="20"/>
        </w:rPr>
      </w:pPr>
      <w:r>
        <w:rPr>
          <w:rFonts w:ascii="Times New Roman" w:hAnsi="Times New Roman"/>
          <w:color w:val="000000"/>
          <w:sz w:val="20"/>
        </w:rPr>
        <w:t>We made this proxy statement and our Annual Report on Form 10-K for the fiscal year ended December 31, 2025 (the “</w:t>
      </w:r>
      <w:r>
        <w:rPr>
          <w:rFonts w:ascii="Times New Roman" w:hAnsi="Times New Roman"/>
          <w:b/>
          <w:color w:val="000000"/>
          <w:sz w:val="20"/>
        </w:rPr>
        <w:t>2025 Form 10-K</w:t>
      </w:r>
      <w:r>
        <w:rPr>
          <w:rFonts w:ascii="Times New Roman" w:hAnsi="Times New Roman"/>
          <w:color w:val="000000"/>
          <w:sz w:val="20"/>
        </w:rPr>
        <w:t xml:space="preserve">”) available to shareholders on April 27, 2026. </w:t>
      </w:r>
    </w:p>
    <w:p>
      <w:pPr>
        <w:pStyle w:val="TextBody"/>
        <w:bidi w:val="0"/>
        <w:spacing w:before="360" w:after="283"/>
        <w:jc w:val="center"/>
        <w:rPr>
          <w:rFonts w:ascii="Times New Roman" w:hAnsi="Times New Roman"/>
          <w:sz w:val="20"/>
        </w:rPr>
      </w:pPr>
      <w:r>
        <w:rPr>
          <w:rFonts w:ascii="Times New Roman" w:hAnsi="Times New Roman"/>
          <w:b/>
          <w:color w:val="000000"/>
          <w:sz w:val="20"/>
        </w:rPr>
        <w:t>Important Notice Regarding the Availability of Proxy Materials for the Annual and Special Meeting of Shareholders to be Held on June 16,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This proxy statement and our 2025 Form 10-K are available for viewing, printing and downloading at </w:t>
      </w:r>
      <w:r>
        <w:rPr>
          <w:rFonts w:ascii="Times New Roman" w:hAnsi="Times New Roman"/>
          <w:b/>
          <w:i/>
          <w:color w:val="000000"/>
          <w:sz w:val="20"/>
        </w:rPr>
        <w:t>www.proxyvote.com</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 copy of our 2025 Form 10-K, as filed with the U.S. Securities and Exchange Commission (“</w:t>
      </w:r>
      <w:r>
        <w:rPr>
          <w:rFonts w:ascii="Times New Roman" w:hAnsi="Times New Roman"/>
          <w:b/>
          <w:color w:val="000000"/>
          <w:sz w:val="20"/>
        </w:rPr>
        <w:t>SEC</w:t>
      </w:r>
      <w:r>
        <w:rPr>
          <w:rFonts w:ascii="Times New Roman" w:hAnsi="Times New Roman"/>
          <w:color w:val="000000"/>
          <w:sz w:val="20"/>
        </w:rPr>
        <w:t xml:space="preserve">”) on February 25, 2026, except for exhibits, will be furnished without charge to any shareholder upon written request to our Corporate Secretary at investorrelations@gtigrows.com. This proxy statement and our 2025 Form 10-K are also available on the Investors page of our website at </w:t>
      </w:r>
      <w:r>
        <w:rPr>
          <w:rFonts w:ascii="Times New Roman" w:hAnsi="Times New Roman"/>
          <w:i/>
          <w:color w:val="000000"/>
          <w:sz w:val="20"/>
          <w:u w:val="single"/>
        </w:rPr>
        <w:t>gtigrows.com</w:t>
      </w:r>
      <w:r>
        <w:rPr>
          <w:rFonts w:ascii="Times New Roman" w:hAnsi="Times New Roman"/>
          <w:color w:val="000000"/>
          <w:sz w:val="20"/>
        </w:rPr>
        <w:t xml:space="preserve">, the SEC’s website at </w:t>
      </w:r>
      <w:r>
        <w:rPr>
          <w:rFonts w:ascii="Times New Roman" w:hAnsi="Times New Roman"/>
          <w:i/>
          <w:color w:val="000000"/>
          <w:sz w:val="20"/>
          <w:u w:val="single"/>
        </w:rPr>
        <w:t>www.sec.gov</w:t>
      </w:r>
      <w:r>
        <w:rPr>
          <w:rFonts w:ascii="Times New Roman" w:hAnsi="Times New Roman"/>
          <w:color w:val="000000"/>
          <w:sz w:val="20"/>
        </w:rPr>
        <w:t xml:space="preserve"> and SEDAR+ at </w:t>
      </w:r>
      <w:r>
        <w:rPr>
          <w:rFonts w:ascii="Times New Roman" w:hAnsi="Times New Roman"/>
          <w:i/>
          <w:color w:val="000000"/>
          <w:sz w:val="20"/>
          <w:u w:val="single"/>
        </w:rPr>
        <w:t>www.sedarplus.ca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general_information_about_the_annual"/>
      <w:bookmarkEnd w:id="5"/>
      <w:r>
        <w:rPr>
          <w:rFonts w:ascii="Times New Roman" w:hAnsi="Times New Roman"/>
          <w:b/>
          <w:color w:val="000000"/>
          <w:sz w:val="20"/>
        </w:rPr>
        <w:t>GENERAL INFORMATION ABOUT THE ANNUAL AND SPECIAL MEETING AND VOTING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6" w:name="proxy_materials"/>
      <w:bookmarkEnd w:id="6"/>
      <w:r>
        <w:rPr>
          <w:rFonts w:ascii="Times New Roman" w:hAnsi="Times New Roman"/>
          <w:b/>
          <w:color w:val="000000"/>
          <w:sz w:val="20"/>
        </w:rPr>
        <w:t>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Why am I receiving these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using this proxy statement to solicit proxies for use at the Meeting to be held via live webcast on June 16, 2026 and is making these materials available by posting them online to access, rather than mailing them out unless requested by a shareholder. The cost of any solicitation will be borne by the Company. Proxies may also be solicited personally by employees of the Company at nominal cost to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shareholder, you are invited to attend the Meeting and are entitled and requested to vote on the business items described in this proxy statement. This proxy statement is furnished in connection with the solicitation of proxies by or on behalf of management of the Company and the Board. This proxy statement is designed to assist you in voting your shares and includes information that we are required to provide under the rules of the SEC and applicable Canadian securities laws. </w:t>
      </w:r>
    </w:p>
    <w:p>
      <w:pPr>
        <w:pStyle w:val="TextBody"/>
        <w:bidi w:val="0"/>
        <w:spacing w:before="240" w:after="283"/>
        <w:jc w:val="left"/>
        <w:rPr>
          <w:rFonts w:ascii="Times New Roman" w:hAnsi="Times New Roman"/>
          <w:sz w:val="20"/>
        </w:rPr>
      </w:pPr>
      <w:r>
        <w:rPr>
          <w:rFonts w:ascii="Times New Roman" w:hAnsi="Times New Roman"/>
          <w:color w:val="000000"/>
          <w:sz w:val="20"/>
        </w:rPr>
        <w:t>These proxy materials are being sent to both registered and non-registered shareholders. In some instances, the Company has distributed copies of the Notice, the proxy statement and the accompanying Proxy Instrument (collectively, the “</w:t>
      </w:r>
      <w:r>
        <w:rPr>
          <w:rFonts w:ascii="Times New Roman" w:hAnsi="Times New Roman"/>
          <w:b/>
          <w:color w:val="000000"/>
          <w:sz w:val="20"/>
        </w:rPr>
        <w:t>Documents</w:t>
      </w:r>
      <w:r>
        <w:rPr>
          <w:rFonts w:ascii="Times New Roman" w:hAnsi="Times New Roman"/>
          <w:color w:val="000000"/>
          <w:sz w:val="20"/>
        </w:rPr>
        <w:t>”) to clearing agencies, securities dealers, banks and trust companies, or their nominees (collectively “</w:t>
      </w:r>
      <w:r>
        <w:rPr>
          <w:rFonts w:ascii="Times New Roman" w:hAnsi="Times New Roman"/>
          <w:b/>
          <w:color w:val="000000"/>
          <w:sz w:val="20"/>
        </w:rPr>
        <w:t>Intermediaries</w:t>
      </w:r>
      <w:r>
        <w:rPr>
          <w:rFonts w:ascii="Times New Roman" w:hAnsi="Times New Roman"/>
          <w:color w:val="000000"/>
          <w:sz w:val="20"/>
        </w:rPr>
        <w:t>”, and each an “</w:t>
      </w:r>
      <w:r>
        <w:rPr>
          <w:rFonts w:ascii="Times New Roman" w:hAnsi="Times New Roman"/>
          <w:b/>
          <w:color w:val="000000"/>
          <w:sz w:val="20"/>
        </w:rPr>
        <w:t>Intermediary</w:t>
      </w:r>
      <w:r>
        <w:rPr>
          <w:rFonts w:ascii="Times New Roman" w:hAnsi="Times New Roman"/>
          <w:color w:val="000000"/>
          <w:sz w:val="20"/>
        </w:rPr>
        <w:t>”) for onward distribution to non-registered shareholders whose shares are held by or in the custody of those Intermediaries (“</w:t>
      </w:r>
      <w:r>
        <w:rPr>
          <w:rFonts w:ascii="Times New Roman" w:hAnsi="Times New Roman"/>
          <w:b/>
          <w:color w:val="000000"/>
          <w:sz w:val="20"/>
        </w:rPr>
        <w:t>Non-registered Shareholders</w:t>
      </w:r>
      <w:r>
        <w:rPr>
          <w:rFonts w:ascii="Times New Roman" w:hAnsi="Times New Roman"/>
          <w:color w:val="000000"/>
          <w:sz w:val="20"/>
        </w:rPr>
        <w:t>” or “</w:t>
      </w:r>
      <w:r>
        <w:rPr>
          <w:rFonts w:ascii="Times New Roman" w:hAnsi="Times New Roman"/>
          <w:b/>
          <w:color w:val="000000"/>
          <w:sz w:val="20"/>
        </w:rPr>
        <w:t>beneficial owners</w:t>
      </w:r>
      <w:r>
        <w:rPr>
          <w:rFonts w:ascii="Times New Roman" w:hAnsi="Times New Roman"/>
          <w:color w:val="000000"/>
          <w:sz w:val="20"/>
        </w:rPr>
        <w:t xml:space="preserve">”). The Intermediaries are required to forward the Documents to Non-registered Shareholders.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Solicitation of proxies from Non-registered Shareholders will be carried out by Intermediaries, or by the Company if the names and addresses of Non-registered Shareholders are provided by the Intermediaries.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Non-registered Shareholders who have received the Documents from their Intermediary should follow the directions of their Intermediary with respect to the procedure to be followed for voting at the Meeting. Generally, Non-registered Shareholders will either: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provided with a form of proxy executed by the Intermediary but otherwise uncompleted. The Non-registered Shareholder may complete the proxy and return it directly to our proxy tabulator, Broadridge Financial Solutions;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provided with a request for voting instructions. The Intermediary is required to send the Company an executed form of proxy completed in accordance with any voting instructions received by the Intermediary. </w:t>
      </w:r>
    </w:p>
    <w:p>
      <w:pPr>
        <w:pStyle w:val="TextBody"/>
        <w:bidi w:val="0"/>
        <w:spacing w:before="240" w:after="283"/>
        <w:jc w:val="left"/>
        <w:rPr>
          <w:rFonts w:ascii="Times New Roman" w:hAnsi="Times New Roman"/>
          <w:sz w:val="20"/>
        </w:rPr>
      </w:pPr>
      <w:r>
        <w:rPr>
          <w:rFonts w:ascii="Times New Roman" w:hAnsi="Times New Roman"/>
          <w:color w:val="000000"/>
          <w:sz w:val="20"/>
        </w:rPr>
        <w:t>If you are a Non-registered Shareholder (beneficial owner), the Company or its agent has sent these materials to your Intermediary in accordance with applicable securities regulatory requirements. Your Intermediary is responsible for: (i) delivering the Documents to you; and (ii) executing your proper voting instructions. Non-registered Shareholders who have elected to receive the Documents by electronic delivery (“</w:t>
      </w:r>
      <w:r>
        <w:rPr>
          <w:rFonts w:ascii="Times New Roman" w:hAnsi="Times New Roman"/>
          <w:b/>
          <w:color w:val="000000"/>
          <w:sz w:val="20"/>
        </w:rPr>
        <w:t>e-Delivery</w:t>
      </w:r>
      <w:r>
        <w:rPr>
          <w:rFonts w:ascii="Times New Roman" w:hAnsi="Times New Roman"/>
          <w:color w:val="000000"/>
          <w:sz w:val="20"/>
        </w:rPr>
        <w:t xml:space="preserve">”) will have received e-mail notification from the Intermediary that the Documents are available electronically on the Company’s website. Please return your voting instructions as specified in the request for voting instructions.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ind w:left="0" w:right="0" w:firstLine="122"/>
              <w:jc w:val="left"/>
              <w:rPr>
                <w:rFonts w:ascii="Times New Roman" w:hAnsi="Times New Roman"/>
                <w:sz w:val="20"/>
              </w:rPr>
            </w:pPr>
            <w:r>
              <w:rPr>
                <w:rFonts w:ascii="Times New Roman" w:hAnsi="Times New Roman"/>
                <w:b/>
                <w:color w:val="000000"/>
                <w:sz w:val="20"/>
              </w:rPr>
              <w:t>Receiving Future Meeting Materials by Email</w:t>
            </w:r>
            <w:r>
              <w:rPr>
                <w:rFonts w:ascii="Times New Roman" w:hAnsi="Times New Roman"/>
                <w:color w:val="000000"/>
                <w:sz w:val="20"/>
              </w:rPr>
              <w:t xml:space="preserve"> </w:t>
            </w:r>
          </w:p>
          <w:p>
            <w:pPr>
              <w:pStyle w:val="TableContents"/>
              <w:bidi w:val="0"/>
              <w:spacing w:before="120" w:after="283"/>
              <w:ind w:left="0" w:right="0" w:firstLine="122"/>
              <w:jc w:val="left"/>
              <w:rPr>
                <w:rFonts w:ascii="Times New Roman" w:hAnsi="Times New Roman"/>
                <w:sz w:val="20"/>
              </w:rPr>
            </w:pPr>
            <w:r>
              <w:rPr>
                <w:rFonts w:ascii="Times New Roman" w:hAnsi="Times New Roman"/>
                <w:color w:val="000000"/>
                <w:sz w:val="20"/>
              </w:rPr>
              <w:t xml:space="preserve">eDelivery ensures that shareholders receive documents faster, helps reduce printing and postage expenses and creates less paper waste. Shareholders who wish to enroll in e-Delivery may sign up at </w:t>
            </w:r>
            <w:r>
              <w:rPr>
                <w:rFonts w:ascii="Times New Roman" w:hAnsi="Times New Roman"/>
                <w:i/>
                <w:color w:val="000000"/>
                <w:sz w:val="20"/>
                <w:u w:val="single"/>
              </w:rPr>
              <w:t>www.proxyvote.com</w:t>
            </w:r>
            <w:r>
              <w:rPr>
                <w:rFonts w:ascii="Times New Roman" w:hAnsi="Times New Roman"/>
                <w:color w:val="000000"/>
                <w:sz w:val="20"/>
              </w:rPr>
              <w:t xml:space="preserve">.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What is included in the 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proxy materials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Notice of Meeting;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proxy statement for the Meeting;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Proxy Instrument or voting instruction card;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2025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What information is contained in this proxy statement?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this proxy statement relates to the proposals to be voted on at the Meeting, the voting process, our Board and its committees, corporate governance, the compensation of our directors and executive officers and other required information. </w:t>
      </w:r>
    </w:p>
    <w:p>
      <w:pPr>
        <w:pStyle w:val="TextBody"/>
        <w:bidi w:val="0"/>
        <w:spacing w:before="360" w:after="283"/>
        <w:jc w:val="left"/>
        <w:rPr>
          <w:rFonts w:ascii="Times New Roman" w:hAnsi="Times New Roman"/>
          <w:sz w:val="20"/>
        </w:rPr>
      </w:pPr>
      <w:r>
        <w:rPr>
          <w:rFonts w:ascii="Times New Roman" w:hAnsi="Times New Roman"/>
          <w:b/>
          <w:i/>
          <w:color w:val="000000"/>
          <w:sz w:val="20"/>
        </w:rPr>
        <w:t>I share an address with another shareholder, and we received only one paper copy of the proxy materials. How may I obtain an additional copy?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you share an address with another shareholder, you may receive only one set of proxy materials unless you have provided contrary instructions. If you wish to receive a separate set of the materials, please request the additional copy by contacting our Corporate Secretary at </w:t>
      </w:r>
      <w:r>
        <w:rPr>
          <w:rFonts w:ascii="Times New Roman" w:hAnsi="Times New Roman"/>
          <w:i/>
          <w:color w:val="000000"/>
          <w:sz w:val="20"/>
          <w:u w:val="single"/>
        </w:rPr>
        <w:t>investorrelations@gtigrows.com</w:t>
      </w:r>
      <w:r>
        <w:rPr>
          <w:rFonts w:ascii="Times New Roman" w:hAnsi="Times New Roman"/>
          <w:color w:val="000000"/>
          <w:sz w:val="20"/>
        </w:rPr>
        <w:t xml:space="preserve"> or by calling us at (312) 471-6720.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separate set of the materials will be sent promptly following receipt of your request.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shareholder of record and wish to receive a separate set of proxy materials in the future, or if you have received multiple sets of proxy materials and would like to receive only one set in the future, please contact Broadridge Financial Solutions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Broadridge </w:t>
      </w:r>
    </w:p>
    <w:p>
      <w:pPr>
        <w:pStyle w:val="TextBody"/>
        <w:bidi w:val="0"/>
        <w:jc w:val="center"/>
        <w:rPr>
          <w:rFonts w:ascii="Times New Roman" w:hAnsi="Times New Roman"/>
          <w:color w:val="000000"/>
          <w:sz w:val="20"/>
        </w:rPr>
      </w:pPr>
      <w:r>
        <w:rPr>
          <w:rFonts w:ascii="Times New Roman" w:hAnsi="Times New Roman"/>
          <w:color w:val="000000"/>
          <w:sz w:val="20"/>
        </w:rPr>
        <w:t xml:space="preserve">51 Mercedes Way </w:t>
      </w:r>
    </w:p>
    <w:p>
      <w:pPr>
        <w:pStyle w:val="TextBody"/>
        <w:bidi w:val="0"/>
        <w:jc w:val="center"/>
        <w:rPr>
          <w:rFonts w:ascii="Times New Roman" w:hAnsi="Times New Roman"/>
          <w:color w:val="000000"/>
          <w:sz w:val="20"/>
        </w:rPr>
      </w:pPr>
      <w:r>
        <w:rPr>
          <w:rFonts w:ascii="Times New Roman" w:hAnsi="Times New Roman"/>
          <w:color w:val="000000"/>
          <w:sz w:val="20"/>
        </w:rPr>
        <w:t xml:space="preserve">Edgewood, NY 11717 </w:t>
      </w:r>
    </w:p>
    <w:p>
      <w:pPr>
        <w:pStyle w:val="TextBody"/>
        <w:bidi w:val="0"/>
        <w:jc w:val="center"/>
        <w:rPr>
          <w:rFonts w:ascii="Times New Roman" w:hAnsi="Times New Roman"/>
          <w:color w:val="000000"/>
          <w:sz w:val="20"/>
        </w:rPr>
      </w:pPr>
      <w:r>
        <w:rPr>
          <w:rFonts w:ascii="Times New Roman" w:hAnsi="Times New Roman"/>
          <w:color w:val="000000"/>
          <w:sz w:val="20"/>
        </w:rPr>
        <w:t xml:space="preserve">1-866-540-7095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beneficial owner of shares and you wish to receive a separate set of proxy materials in the future, or if you have received multiple sets of proxy materials and would like to receive only one set in the future, please contact your bank or broker directly.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Shareholders also may write to, or email us, at the address below to request a separate copy of the proxy materials: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Green Thumb Industries Inc. </w:t>
      </w:r>
    </w:p>
    <w:p>
      <w:pPr>
        <w:pStyle w:val="TextBody"/>
        <w:bidi w:val="0"/>
        <w:jc w:val="center"/>
        <w:rPr>
          <w:rFonts w:ascii="Times New Roman" w:hAnsi="Times New Roman"/>
          <w:color w:val="000000"/>
          <w:sz w:val="20"/>
        </w:rPr>
      </w:pPr>
      <w:r>
        <w:rPr>
          <w:rFonts w:ascii="Times New Roman" w:hAnsi="Times New Roman"/>
          <w:color w:val="000000"/>
          <w:sz w:val="20"/>
        </w:rPr>
        <w:t xml:space="preserve">Attn: Corporate Secretary </w:t>
      </w:r>
    </w:p>
    <w:p>
      <w:pPr>
        <w:pStyle w:val="TextBody"/>
        <w:bidi w:val="0"/>
        <w:jc w:val="center"/>
        <w:rPr>
          <w:rFonts w:ascii="Times New Roman" w:hAnsi="Times New Roman"/>
          <w:color w:val="000000"/>
          <w:sz w:val="20"/>
        </w:rPr>
      </w:pPr>
      <w:r>
        <w:rPr>
          <w:rFonts w:ascii="Times New Roman" w:hAnsi="Times New Roman"/>
          <w:color w:val="000000"/>
          <w:sz w:val="20"/>
        </w:rPr>
        <w:t xml:space="preserve">325 West Huron Street, Suite 700 </w:t>
      </w:r>
    </w:p>
    <w:p>
      <w:pPr>
        <w:pStyle w:val="TextBody"/>
        <w:bidi w:val="0"/>
        <w:jc w:val="center"/>
        <w:rPr>
          <w:rFonts w:ascii="Times New Roman" w:hAnsi="Times New Roman"/>
          <w:color w:val="000000"/>
          <w:sz w:val="20"/>
        </w:rPr>
      </w:pPr>
      <w:r>
        <w:rPr>
          <w:rFonts w:ascii="Times New Roman" w:hAnsi="Times New Roman"/>
          <w:color w:val="000000"/>
          <w:sz w:val="20"/>
        </w:rPr>
        <w:t xml:space="preserve">Chicago, Illinois 60654 </w:t>
      </w:r>
    </w:p>
    <w:p>
      <w:pPr>
        <w:pStyle w:val="TextBody"/>
        <w:bidi w:val="0"/>
        <w:jc w:val="center"/>
        <w:rPr>
          <w:rFonts w:ascii="Times New Roman" w:hAnsi="Times New Roman"/>
          <w:sz w:val="20"/>
        </w:rPr>
      </w:pPr>
      <w:r>
        <w:rPr>
          <w:rFonts w:ascii="Times New Roman" w:hAnsi="Times New Roman"/>
          <w:color w:val="000000"/>
          <w:sz w:val="20"/>
          <w:u w:val="single"/>
        </w:rPr>
        <w:t>investorrelations@gtigrows.com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Who pays the cost of soliciting proxies for the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bear the cost of solicitation. This solicitation of proxies is being made to shareholders by mail, but may be supplemented by telephone or other personal contact.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not reimburse Intermediaries for forwarding proxy materials to objecting beneficial owners and such objecting beneficial owners will not receive proxy materials unless their Intermediaries assume the cost of delivery. </w:t>
      </w:r>
    </w:p>
    <w:p>
      <w:pPr>
        <w:pStyle w:val="TextBody"/>
        <w:bidi w:val="0"/>
        <w:spacing w:before="360" w:after="283"/>
        <w:jc w:val="left"/>
        <w:rPr>
          <w:rFonts w:ascii="Times New Roman" w:hAnsi="Times New Roman"/>
          <w:sz w:val="20"/>
        </w:rPr>
      </w:pPr>
      <w:r>
        <w:rPr>
          <w:rFonts w:ascii="Times New Roman" w:hAnsi="Times New Roman"/>
          <w:b/>
          <w:i/>
          <w:color w:val="000000"/>
          <w:sz w:val="20"/>
        </w:rPr>
        <w:t>What items of business will be voted on at the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business items to be voted on at the Meeting are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the number of directors at seven;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 the directors for the forthcoming year from the nominees proposed by the Board;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Approve, on an advisory basis, the compensation paid to the Company’s named executive officers, as disclosed in this proxy statement (which we refer to as the “</w:t>
      </w:r>
      <w:r>
        <w:rPr>
          <w:rFonts w:ascii="Times New Roman" w:hAnsi="Times New Roman"/>
          <w:b/>
          <w:color w:val="000000"/>
          <w:sz w:val="20"/>
        </w:rPr>
        <w:t>Say-on-Pay Proposal</w:t>
      </w:r>
      <w:r>
        <w:rPr>
          <w:color w:val="000000"/>
        </w:rPr>
        <w: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Re-appoint Baker Tilly as auditors for the Company and the authorization of the Board to fix the auditors’ remuneration and terms of engagement;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Approve the amendment of the Company’s current Amended and Restated Articles (the “</w:t>
      </w:r>
      <w:r>
        <w:rPr>
          <w:rFonts w:ascii="Times New Roman" w:hAnsi="Times New Roman"/>
          <w:b/>
          <w:color w:val="000000"/>
          <w:sz w:val="20"/>
        </w:rPr>
        <w:t>Existing Articles”</w:t>
      </w:r>
      <w:r>
        <w:rPr>
          <w:rFonts w:ascii="Times New Roman" w:hAnsi="Times New Roman"/>
          <w:color w:val="000000"/>
          <w:sz w:val="20"/>
        </w:rPr>
        <w:t xml:space="preserve">) to vary the automatic conversion provisions of the Company’s Super Voting Shares contained in Section 28.1(7)(b) of the Existing Articles, such that automatic conversion of Super Voting Shares is triggered when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initial holder’s holdings fall to 25%, instead of 50%, of the original number of such shares held (the “</w:t>
      </w:r>
      <w:r>
        <w:rPr>
          <w:rFonts w:ascii="Times New Roman" w:hAnsi="Times New Roman"/>
          <w:b/>
          <w:color w:val="000000"/>
          <w:sz w:val="20"/>
        </w:rPr>
        <w:t>Amendment Proposal</w:t>
      </w:r>
      <w:r>
        <w:rPr>
          <w:color w:val="000000"/>
        </w:rPr>
        <w:t>”</w:t>
      </w:r>
      <w:r>
        <w:rPr>
          <w:rFonts w:ascii="Times New Roman" w:hAnsi="Times New Roman"/>
          <w:color w:val="000000"/>
          <w:sz w:val="20"/>
        </w:rPr>
        <w:t>); and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 such other business as may properly come before the Meeting or any adjournment(s) thereof. </w:t>
      </w:r>
    </w:p>
    <w:p>
      <w:pPr>
        <w:pStyle w:val="TextBody"/>
        <w:bidi w:val="0"/>
        <w:spacing w:before="360" w:after="283"/>
        <w:jc w:val="left"/>
        <w:rPr>
          <w:rFonts w:ascii="Times New Roman" w:hAnsi="Times New Roman"/>
          <w:sz w:val="20"/>
        </w:rPr>
      </w:pPr>
      <w:r>
        <w:rPr>
          <w:rFonts w:ascii="Times New Roman" w:hAnsi="Times New Roman"/>
          <w:b/>
          <w:i/>
          <w:color w:val="000000"/>
          <w:sz w:val="20"/>
        </w:rPr>
        <w:t>What are my voting choices?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You may vote “</w:t>
      </w:r>
      <w:r>
        <w:rPr>
          <w:rFonts w:ascii="Times New Roman" w:hAnsi="Times New Roman"/>
          <w:b/>
          <w:color w:val="000000"/>
          <w:sz w:val="20"/>
          <w:u w:val="single"/>
        </w:rPr>
        <w:t>FOR</w:t>
      </w:r>
      <w:r>
        <w:rPr>
          <w:rFonts w:ascii="Times New Roman" w:hAnsi="Times New Roman"/>
          <w:color w:val="000000"/>
          <w:sz w:val="20"/>
        </w:rPr>
        <w:t>” or “</w:t>
      </w:r>
      <w:r>
        <w:rPr>
          <w:rFonts w:ascii="Times New Roman" w:hAnsi="Times New Roman"/>
          <w:b/>
          <w:color w:val="000000"/>
          <w:sz w:val="20"/>
          <w:u w:val="single"/>
        </w:rPr>
        <w:t>AGAINST</w:t>
      </w:r>
      <w:r>
        <w:rPr>
          <w:rFonts w:ascii="Times New Roman" w:hAnsi="Times New Roman"/>
          <w:color w:val="000000"/>
          <w:sz w:val="20"/>
        </w:rPr>
        <w:t>” for the setting of the number of directors at seven; “</w:t>
      </w:r>
      <w:r>
        <w:rPr>
          <w:rFonts w:ascii="Times New Roman" w:hAnsi="Times New Roman"/>
          <w:b/>
          <w:color w:val="000000"/>
          <w:sz w:val="20"/>
          <w:u w:val="single"/>
        </w:rPr>
        <w:t>FOR</w:t>
      </w:r>
      <w:r>
        <w:rPr>
          <w:rFonts w:ascii="Times New Roman" w:hAnsi="Times New Roman"/>
          <w:color w:val="000000"/>
          <w:sz w:val="20"/>
        </w:rPr>
        <w:t>” or “</w:t>
      </w:r>
      <w:r>
        <w:rPr>
          <w:rFonts w:ascii="Times New Roman" w:hAnsi="Times New Roman"/>
          <w:b/>
          <w:color w:val="000000"/>
          <w:sz w:val="20"/>
          <w:u w:val="single"/>
        </w:rPr>
        <w:t>WITHHOLD</w:t>
      </w:r>
      <w:r>
        <w:rPr>
          <w:rFonts w:ascii="Times New Roman" w:hAnsi="Times New Roman"/>
          <w:color w:val="000000"/>
          <w:sz w:val="20"/>
        </w:rPr>
        <w:t>” for the election of each director nominee; “</w:t>
      </w:r>
      <w:r>
        <w:rPr>
          <w:rFonts w:ascii="Times New Roman" w:hAnsi="Times New Roman"/>
          <w:b/>
          <w:color w:val="000000"/>
          <w:sz w:val="20"/>
          <w:u w:val="single"/>
        </w:rPr>
        <w:t>FOR</w:t>
      </w:r>
      <w:r>
        <w:rPr>
          <w:rFonts w:ascii="Times New Roman" w:hAnsi="Times New Roman"/>
          <w:color w:val="000000"/>
          <w:sz w:val="20"/>
        </w:rPr>
        <w:t>,” “</w:t>
      </w:r>
      <w:r>
        <w:rPr>
          <w:rFonts w:ascii="Times New Roman" w:hAnsi="Times New Roman"/>
          <w:b/>
          <w:color w:val="000000"/>
          <w:sz w:val="20"/>
          <w:u w:val="single"/>
        </w:rPr>
        <w:t>AGAINST</w:t>
      </w:r>
      <w:r>
        <w:rPr>
          <w:rFonts w:ascii="Times New Roman" w:hAnsi="Times New Roman"/>
          <w:color w:val="000000"/>
          <w:sz w:val="20"/>
        </w:rPr>
        <w:t>” OR “</w:t>
      </w:r>
      <w:r>
        <w:rPr>
          <w:rFonts w:ascii="Times New Roman" w:hAnsi="Times New Roman"/>
          <w:b/>
          <w:color w:val="000000"/>
          <w:sz w:val="20"/>
          <w:u w:val="single"/>
        </w:rPr>
        <w:t>ABSTAIN</w:t>
      </w:r>
      <w:r>
        <w:rPr>
          <w:rFonts w:ascii="Times New Roman" w:hAnsi="Times New Roman"/>
          <w:color w:val="000000"/>
          <w:sz w:val="20"/>
        </w:rPr>
        <w:t>” for the Say-on-Pay Proposal; “</w:t>
      </w:r>
      <w:r>
        <w:rPr>
          <w:rFonts w:ascii="Times New Roman" w:hAnsi="Times New Roman"/>
          <w:b/>
          <w:color w:val="000000"/>
          <w:sz w:val="20"/>
          <w:u w:val="single"/>
        </w:rPr>
        <w:t>FOR</w:t>
      </w:r>
      <w:r>
        <w:rPr>
          <w:rFonts w:ascii="Times New Roman" w:hAnsi="Times New Roman"/>
          <w:color w:val="000000"/>
          <w:sz w:val="20"/>
        </w:rPr>
        <w:t>” or “</w:t>
      </w:r>
      <w:r>
        <w:rPr>
          <w:rFonts w:ascii="Times New Roman" w:hAnsi="Times New Roman"/>
          <w:b/>
          <w:color w:val="000000"/>
          <w:sz w:val="20"/>
          <w:u w:val="single"/>
        </w:rPr>
        <w:t>WITHHOLD</w:t>
      </w:r>
      <w:r>
        <w:rPr>
          <w:rFonts w:ascii="Times New Roman" w:hAnsi="Times New Roman"/>
          <w:color w:val="000000"/>
          <w:sz w:val="20"/>
        </w:rPr>
        <w:t>” for the re-appointment of Baker Tilly as auditors for the ensuing year and the authorization of the Board to fix the auditor’s remuneration and set the terms of engagement; and “</w:t>
      </w:r>
      <w:r>
        <w:rPr>
          <w:rFonts w:ascii="Times New Roman" w:hAnsi="Times New Roman"/>
          <w:b/>
          <w:color w:val="000000"/>
          <w:sz w:val="20"/>
          <w:u w:val="single"/>
        </w:rPr>
        <w:t>FOR</w:t>
      </w:r>
      <w:r>
        <w:rPr>
          <w:rFonts w:ascii="Times New Roman" w:hAnsi="Times New Roman"/>
          <w:color w:val="000000"/>
          <w:sz w:val="20"/>
        </w:rPr>
        <w:t>,” “</w:t>
      </w:r>
      <w:r>
        <w:rPr>
          <w:rFonts w:ascii="Times New Roman" w:hAnsi="Times New Roman"/>
          <w:b/>
          <w:color w:val="000000"/>
          <w:sz w:val="20"/>
          <w:u w:val="single"/>
        </w:rPr>
        <w:t>AGAINST</w:t>
      </w:r>
      <w:r>
        <w:rPr>
          <w:rFonts w:ascii="Times New Roman" w:hAnsi="Times New Roman"/>
          <w:color w:val="000000"/>
          <w:sz w:val="20"/>
        </w:rPr>
        <w:t>” or “</w:t>
      </w:r>
      <w:r>
        <w:rPr>
          <w:rFonts w:ascii="Times New Roman" w:hAnsi="Times New Roman"/>
          <w:b/>
          <w:color w:val="000000"/>
          <w:sz w:val="20"/>
          <w:u w:val="single"/>
        </w:rPr>
        <w:t>ABSTAIN</w:t>
      </w:r>
      <w:r>
        <w:rPr>
          <w:rFonts w:ascii="Times New Roman" w:hAnsi="Times New Roman"/>
          <w:color w:val="000000"/>
          <w:sz w:val="20"/>
        </w:rPr>
        <w:t xml:space="preserve">” for the Amendment Proposal. </w:t>
      </w:r>
    </w:p>
    <w:p>
      <w:pPr>
        <w:pStyle w:val="TextBody"/>
        <w:bidi w:val="0"/>
        <w:spacing w:before="360" w:after="283"/>
        <w:jc w:val="left"/>
        <w:rPr>
          <w:rFonts w:ascii="Times New Roman" w:hAnsi="Times New Roman"/>
          <w:sz w:val="20"/>
        </w:rPr>
      </w:pPr>
      <w:r>
        <w:rPr>
          <w:rFonts w:ascii="Times New Roman" w:hAnsi="Times New Roman"/>
          <w:b/>
          <w:i/>
          <w:color w:val="000000"/>
          <w:sz w:val="20"/>
        </w:rPr>
        <w:t>How does the Board recommend that I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Board recommends that you vote your shares “</w:t>
      </w:r>
      <w:r>
        <w:rPr>
          <w:rFonts w:ascii="Times New Roman" w:hAnsi="Times New Roman"/>
          <w:b/>
          <w:color w:val="000000"/>
          <w:sz w:val="20"/>
          <w:u w:val="single"/>
        </w:rPr>
        <w:t>FOR</w:t>
      </w:r>
      <w:r>
        <w:rPr>
          <w:rFonts w:ascii="Times New Roman" w:hAnsi="Times New Roman"/>
          <w:color w:val="000000"/>
          <w:sz w:val="20"/>
        </w:rPr>
        <w:t>” the setting of the number of directors at seven; “</w:t>
      </w:r>
      <w:r>
        <w:rPr>
          <w:rFonts w:ascii="Times New Roman" w:hAnsi="Times New Roman"/>
          <w:b/>
          <w:color w:val="000000"/>
          <w:sz w:val="20"/>
          <w:u w:val="single"/>
        </w:rPr>
        <w:t>FOR</w:t>
      </w:r>
      <w:r>
        <w:rPr>
          <w:rFonts w:ascii="Times New Roman" w:hAnsi="Times New Roman"/>
          <w:color w:val="000000"/>
          <w:sz w:val="20"/>
        </w:rPr>
        <w:t>” each of its nominees for election to the Board; “</w:t>
      </w:r>
      <w:r>
        <w:rPr>
          <w:rFonts w:ascii="Times New Roman" w:hAnsi="Times New Roman"/>
          <w:b/>
          <w:color w:val="000000"/>
          <w:sz w:val="20"/>
          <w:u w:val="single"/>
        </w:rPr>
        <w:t>FOR</w:t>
      </w:r>
      <w:r>
        <w:rPr>
          <w:rFonts w:ascii="Times New Roman" w:hAnsi="Times New Roman"/>
          <w:color w:val="000000"/>
          <w:sz w:val="20"/>
        </w:rPr>
        <w:t>” the Say-on-Pay Proposal; and “</w:t>
      </w:r>
      <w:r>
        <w:rPr>
          <w:rFonts w:ascii="Times New Roman" w:hAnsi="Times New Roman"/>
          <w:b/>
          <w:color w:val="000000"/>
          <w:sz w:val="20"/>
          <w:u w:val="single"/>
        </w:rPr>
        <w:t>FOR</w:t>
      </w:r>
      <w:r>
        <w:rPr>
          <w:rFonts w:ascii="Times New Roman" w:hAnsi="Times New Roman"/>
          <w:color w:val="000000"/>
          <w:sz w:val="20"/>
        </w:rPr>
        <w:t>” the re-appointment of Baker Tilly, as auditors for fiscal 2025 and the authorization of the Board to fix the auditor’s remuneration and set the terms of engagement; and the independent members of our Board recommend that you vote “</w:t>
      </w:r>
      <w:r>
        <w:rPr>
          <w:rFonts w:ascii="Times New Roman" w:hAnsi="Times New Roman"/>
          <w:b/>
          <w:color w:val="000000"/>
          <w:sz w:val="20"/>
          <w:u w:val="single"/>
        </w:rPr>
        <w:t>FOR</w:t>
      </w:r>
      <w:r>
        <w:rPr>
          <w:rFonts w:ascii="Times New Roman" w:hAnsi="Times New Roman"/>
          <w:color w:val="000000"/>
          <w:sz w:val="20"/>
        </w:rPr>
        <w:t xml:space="preserve">” the Amendment Proposal. </w:t>
      </w:r>
    </w:p>
    <w:p>
      <w:pPr>
        <w:pStyle w:val="TextBody"/>
        <w:bidi w:val="0"/>
        <w:spacing w:before="360" w:after="283"/>
        <w:jc w:val="left"/>
        <w:rPr>
          <w:rFonts w:ascii="Times New Roman" w:hAnsi="Times New Roman"/>
          <w:sz w:val="20"/>
        </w:rPr>
      </w:pPr>
      <w:r>
        <w:rPr>
          <w:rFonts w:ascii="Times New Roman" w:hAnsi="Times New Roman"/>
          <w:b/>
          <w:i/>
          <w:color w:val="000000"/>
          <w:sz w:val="20"/>
        </w:rPr>
        <w:t>What vote is required to approve each item?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conduct business at the Meeting, the quorum of shareholders is one person who holds, or who represents by proxy one or more shareholders who in the aggregate hold, at least 5% of the issued shares entitled to be voted at the Meeting. </w:t>
      </w:r>
    </w:p>
    <w:p>
      <w:pPr>
        <w:pStyle w:val="TextBody"/>
        <w:bidi w:val="0"/>
        <w:spacing w:before="240" w:after="283"/>
        <w:jc w:val="left"/>
        <w:rPr>
          <w:rFonts w:ascii="Times New Roman" w:hAnsi="Times New Roman"/>
          <w:sz w:val="20"/>
        </w:rPr>
      </w:pPr>
      <w:r>
        <w:rPr>
          <w:rFonts w:ascii="Times New Roman" w:hAnsi="Times New Roman"/>
          <w:color w:val="000000"/>
          <w:sz w:val="20"/>
        </w:rPr>
        <w:t>If you indicate “</w:t>
      </w:r>
      <w:r>
        <w:rPr>
          <w:rFonts w:ascii="Times New Roman" w:hAnsi="Times New Roman"/>
          <w:b/>
          <w:color w:val="000000"/>
          <w:sz w:val="20"/>
          <w:u w:val="single"/>
        </w:rPr>
        <w:t>WITHHOLD</w:t>
      </w:r>
      <w:r>
        <w:rPr>
          <w:rFonts w:ascii="Times New Roman" w:hAnsi="Times New Roman"/>
          <w:color w:val="000000"/>
          <w:sz w:val="20"/>
        </w:rPr>
        <w:t xml:space="preserve">” in respect to the election of directors, your vote will be counted for purposes of determining the presence or absence of a quorum for the transaction of business at the Meeting. As described below, broker non-votes will be counted for determining the presence or absence of a quorum for the transaction of business at the Meeting, but will not be considered votes cast with respect to the election of any director nominee or on any other proposal. Abstentions will also not be treated as votes cast and will not be counted in the determination of the outcome of the Say-on-Pay Proposal, the Amendment Proposal or any other proposal.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0"/>
        <w:gridCol w:w="290"/>
        <w:gridCol w:w="6865"/>
      </w:tblGrid>
      <w:tr>
        <w:trPr/>
        <w:tc>
          <w:tcPr>
            <w:tcW w:w="3050"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865" w:type="dxa"/>
            <w:tcBorders/>
            <w:shd w:fill="FFFFFF" w:val="clear"/>
            <w:vAlign w:val="center"/>
          </w:tcPr>
          <w:p>
            <w:pPr>
              <w:pStyle w:val="TableContents"/>
              <w:bidi w:val="0"/>
              <w:spacing w:before="0" w:after="283"/>
              <w:jc w:val="left"/>
              <w:rPr>
                <w:sz w:val="4"/>
                <w:szCs w:val="4"/>
              </w:rPr>
            </w:pPr>
            <w:r>
              <w:rPr>
                <w:sz w:val="4"/>
                <w:szCs w:val="4"/>
              </w:rPr>
            </w:r>
          </w:p>
        </w:tc>
      </w:tr>
      <w:tr>
        <w:trPr/>
        <w:tc>
          <w:tcPr>
            <w:tcW w:w="30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Proposal</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6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Required Vote</w:t>
            </w:r>
          </w:p>
        </w:tc>
      </w:tr>
      <w:tr>
        <w:trPr/>
        <w:tc>
          <w:tcPr>
            <w:tcW w:w="305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 Set the number of directors at seven</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the votes cast on the proposal</w:t>
            </w:r>
          </w:p>
        </w:tc>
      </w:tr>
      <w:tr>
        <w:trPr/>
        <w:tc>
          <w:tcPr>
            <w:tcW w:w="3050" w:type="dxa"/>
            <w:tcBorders/>
            <w:shd w:fill="FCEABC"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2. Election of directors</w:t>
            </w:r>
          </w:p>
        </w:tc>
        <w:tc>
          <w:tcPr>
            <w:tcW w:w="290" w:type="dxa"/>
            <w:tcBorders/>
            <w:shd w:fill="FCEABC"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865"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Plurality of the votes cast</w:t>
            </w:r>
          </w:p>
        </w:tc>
      </w:tr>
      <w:tr>
        <w:trPr/>
        <w:tc>
          <w:tcPr>
            <w:tcW w:w="305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 Approve, on an advisory basis, the compensation of the named executive</w:t>
            </w:r>
          </w:p>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officers, as disclosed in this Proxy Statement</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the votes cast on the proposal</w:t>
            </w:r>
          </w:p>
        </w:tc>
      </w:tr>
      <w:tr>
        <w:trPr/>
        <w:tc>
          <w:tcPr>
            <w:tcW w:w="3050" w:type="dxa"/>
            <w:tcBorders/>
            <w:shd w:fill="FCEABC"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4. Re-appointment and remuneration of auditors</w:t>
            </w:r>
          </w:p>
        </w:tc>
        <w:tc>
          <w:tcPr>
            <w:tcW w:w="290" w:type="dxa"/>
            <w:tcBorders/>
            <w:shd w:fill="FCEABC"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865"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the votes cast on the proposal</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5. Approve the Amendment Proposal, as described in this Proxy Statement</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66 2/3% of the votes cast on the proposal by all shareholders, voting as a single class, and (ii) a simple majority of affirmative votes cast at the Meeting, excluding votes cast by the “Initial Holders” (as defined in Proposal No. 5 below)</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What happens if additional items are presented at the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this proxy statement, management of the Company knows of no such amendments, variations or other matters to come before the Meeting. However, if other matters properly come before the Meeting, it is the intention of the persons named in the enclosed Proxy Instrument to vote such proxy according to their best judgment. </w:t>
      </w:r>
    </w:p>
    <w:p>
      <w:pPr>
        <w:pStyle w:val="TextBody"/>
        <w:bidi w:val="0"/>
        <w:spacing w:before="360" w:after="283"/>
        <w:jc w:val="left"/>
        <w:rPr>
          <w:rFonts w:ascii="Times New Roman" w:hAnsi="Times New Roman"/>
          <w:sz w:val="20"/>
        </w:rPr>
      </w:pPr>
      <w:r>
        <w:rPr>
          <w:rFonts w:ascii="Times New Roman" w:hAnsi="Times New Roman"/>
          <w:b/>
          <w:i/>
          <w:color w:val="000000"/>
          <w:sz w:val="20"/>
        </w:rPr>
        <w:t>Where can I find the voting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expect to announce preliminary voting results at the Meeting and to publish final results in a current report on Form 8-K that we will file with the SEC promptly following the Meeting. The Form 8-K will also be available on SEDAR+ and on the Investors page of our website </w:t>
      </w:r>
      <w:r>
        <w:rPr>
          <w:rFonts w:ascii="Times New Roman" w:hAnsi="Times New Roman"/>
          <w:i/>
          <w:color w:val="000000"/>
          <w:sz w:val="20"/>
          <w:u w:val="single"/>
        </w:rPr>
        <w:t>gtigrows.com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how_you_can_vote"/>
      <w:bookmarkEnd w:id="7"/>
      <w:r>
        <w:rPr>
          <w:rFonts w:ascii="Times New Roman" w:hAnsi="Times New Roman"/>
          <w:b/>
          <w:color w:val="000000"/>
          <w:sz w:val="20"/>
        </w:rPr>
        <w:t>How You Can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What shares can I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are entitled to vote all shares owned by you on the Record Date, including (1) shares held directly in your name as the shareholder of record and (2) shares held for you as the beneficial owner through an Intermediary. On the Record Date, there were 808 shareholders of record holding (i) 202,467,229 Subordinate Voting Shares; (ii) 37,472 Multiple Voting Shares; and (iii) 201,690 Super Voting Shares.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REGISTERED SHAREHOLDERS HAVE THE RIGHT TO APPOINT A PERSON TO REPRESENT THEM AT THE MEETING OTHER THAN THE PERSON(S) DESIGNATED IN THE PROXY INSTRUMENT </w:t>
      </w:r>
      <w:r>
        <w:rPr>
          <w:rFonts w:ascii="Times New Roman" w:hAnsi="Times New Roman"/>
          <w:color w:val="000000"/>
          <w:sz w:val="20"/>
        </w:rPr>
        <w:t xml:space="preserve">either by striking out the names of the persons designated in the Proxy Instrument and by inserting the name of the person or company to be appointed in the space provided in the Proxy Instrument or by completing another proper form of proxy and, in either case, delivering the completed proxy to Broadridge by mail using the enclosed return envelope to Vote Processing, c/o Broadridge, 51 Mercedes Way, Edgewood, NY 11717. Alternatively, you may vote by Internet at </w:t>
      </w:r>
      <w:r>
        <w:rPr>
          <w:rFonts w:ascii="Times New Roman" w:hAnsi="Times New Roman"/>
          <w:i/>
          <w:color w:val="000000"/>
          <w:sz w:val="20"/>
          <w:u w:val="single"/>
        </w:rPr>
        <w:t>www.proxyvote.com</w:t>
      </w:r>
      <w:r>
        <w:rPr>
          <w:rFonts w:ascii="Times New Roman" w:hAnsi="Times New Roman"/>
          <w:color w:val="000000"/>
          <w:sz w:val="20"/>
        </w:rPr>
        <w:t xml:space="preserve"> and clicking “Vote” or by calling 1-800-690-6903. </w:t>
      </w:r>
    </w:p>
    <w:p>
      <w:pPr>
        <w:pStyle w:val="TextBody"/>
        <w:bidi w:val="0"/>
        <w:spacing w:before="360" w:after="283"/>
        <w:jc w:val="left"/>
        <w:rPr>
          <w:rFonts w:ascii="Times New Roman" w:hAnsi="Times New Roman"/>
          <w:sz w:val="20"/>
        </w:rPr>
      </w:pPr>
      <w:r>
        <w:rPr>
          <w:rFonts w:ascii="Times New Roman" w:hAnsi="Times New Roman"/>
          <w:b/>
          <w:i/>
          <w:color w:val="000000"/>
          <w:sz w:val="20"/>
        </w:rPr>
        <w:t>What is the difference between holding shares as a shareholder of record and as a beneficial owner?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of our shareholders hold their shares through an Intermediary, such as a bank, broker or other nominee rather than having the shares registered directly in their own name. Summarized below are some distinctions between shares held of record and those owned beneficially. </w:t>
      </w:r>
    </w:p>
    <w:p>
      <w:pPr>
        <w:pStyle w:val="TextBody"/>
        <w:bidi w:val="0"/>
        <w:spacing w:before="360" w:after="283"/>
        <w:jc w:val="left"/>
        <w:rPr>
          <w:rFonts w:ascii="Times New Roman" w:hAnsi="Times New Roman"/>
          <w:sz w:val="20"/>
        </w:rPr>
      </w:pPr>
      <w:r>
        <w:rPr>
          <w:rFonts w:ascii="Times New Roman" w:hAnsi="Times New Roman"/>
          <w:i/>
          <w:color w:val="000000"/>
          <w:sz w:val="20"/>
        </w:rPr>
        <w:t>Shareholder of Record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your shares are registered directly in your name with our transfer agent, Odyssey Trust Company, you are the shareholder of record of the shares. As the shareholder of record, you have the right to grant a proxy to vote your shares to representatives from the Company or to another person, or to vote your shares electronically at the Meeting. You have received a proxy card to use in voting your shares either by mail or email. </w:t>
      </w:r>
    </w:p>
    <w:p>
      <w:pPr>
        <w:pStyle w:val="TextBody"/>
        <w:bidi w:val="0"/>
        <w:spacing w:before="360" w:after="283"/>
        <w:jc w:val="left"/>
        <w:rPr>
          <w:rFonts w:ascii="Times New Roman" w:hAnsi="Times New Roman"/>
          <w:sz w:val="20"/>
        </w:rPr>
      </w:pPr>
      <w:r>
        <w:rPr>
          <w:rFonts w:ascii="Times New Roman" w:hAnsi="Times New Roman"/>
          <w:i/>
          <w:color w:val="000000"/>
          <w:sz w:val="20"/>
        </w:rPr>
        <w:t>Beneficial Owner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your shares are held through an Intermediary such as a bank, broker, plan trustee or other nominee, it is likely that they are registered in the name of the Intermediary and you are the beneficial owner of shares held in street name.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the beneficial owner of shares held for your account, you have the right to direct the registered holder to vote your shares as you instruct, and you also are invited to attend the Meeting. Your Intermediary has provided a voting instruction card for you to use in directing how your shares are to be voted. However, since a beneficial owner is not the shareholder of record, you may not vote your shares electronically at the Meeting, or any adjournment(s) or postponement(s) thereof, unless you obtain a legal proxy from the registered holder of the shares giving you the right to do so. </w:t>
      </w:r>
    </w:p>
    <w:p>
      <w:pPr>
        <w:pStyle w:val="TextBody"/>
        <w:bidi w:val="0"/>
        <w:spacing w:before="360" w:after="283"/>
        <w:jc w:val="left"/>
        <w:rPr>
          <w:rFonts w:ascii="Times New Roman" w:hAnsi="Times New Roman"/>
          <w:sz w:val="20"/>
        </w:rPr>
      </w:pPr>
      <w:r>
        <w:rPr>
          <w:rFonts w:ascii="Times New Roman" w:hAnsi="Times New Roman"/>
          <w:b/>
          <w:i/>
          <w:color w:val="000000"/>
          <w:sz w:val="20"/>
        </w:rPr>
        <w:t>How can I vote at the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may vote electronically at the Meeting or any adjournment(s) or postponement(s) thereof, those shares that you hold in your name as the shareholder of record. You may vote electronically at the Meeting or any adjournment(s) or postponement(s) thereof, shares for which you are the beneficial owner only by obtaining a legal proxy giving you the right to vote the shares from the Intermediary that is the registered holder of your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you plan to attend the Meeting, we recommend that you also submit your proxy or voting instructions in advance as described below, so that your vote will be counted if you later decide not to attend. </w:t>
      </w:r>
    </w:p>
    <w:p>
      <w:pPr>
        <w:pStyle w:val="TextBody"/>
        <w:bidi w:val="0"/>
        <w:spacing w:before="360" w:after="283"/>
        <w:jc w:val="left"/>
        <w:rPr>
          <w:rFonts w:ascii="Times New Roman" w:hAnsi="Times New Roman"/>
          <w:sz w:val="20"/>
        </w:rPr>
      </w:pPr>
      <w:r>
        <w:rPr>
          <w:rFonts w:ascii="Times New Roman" w:hAnsi="Times New Roman"/>
          <w:b/>
          <w:i/>
          <w:color w:val="000000"/>
          <w:sz w:val="20"/>
        </w:rPr>
        <w:t>How can I vote without attending the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you hold your shares as a shareholder of record or as a beneficial owner, you may direct how your shares are to be voted without attending the Meeting or any adjournment(s) or postponement(s) thereof. If you are a shareholder of record, you may vote by submitting a proxy. If you hold shares as a beneficial owner, you may vote by submitting voting instructions to the registered owner of your shares. Each registered shareholder submitting a proxy has the right to appoint one or more proxy holders (but not more than five) to represent the shareholder at the Meeting to the extent and with the powers conferred by the proxy.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directions on how to vote, please refer to the following instructions and those included on your proxy or voting instruction card. A proxy form will not be valid unless completed and deposited in accordance with the instructions set out in the proxy form. </w:t>
      </w:r>
    </w:p>
    <w:p>
      <w:pPr>
        <w:pStyle w:val="TextBody"/>
        <w:bidi w:val="0"/>
        <w:spacing w:before="360" w:after="283"/>
        <w:jc w:val="left"/>
        <w:rPr>
          <w:rFonts w:ascii="Times New Roman" w:hAnsi="Times New Roman"/>
          <w:sz w:val="20"/>
        </w:rPr>
      </w:pPr>
      <w:r>
        <w:rPr>
          <w:rFonts w:ascii="Times New Roman" w:hAnsi="Times New Roman"/>
          <w:i/>
          <w:color w:val="000000"/>
          <w:sz w:val="20"/>
        </w:rPr>
        <w:t>Voting by Internet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may vote over the Internet by following the instructions on the proxy or voting instruction card. </w:t>
      </w:r>
    </w:p>
    <w:p>
      <w:pPr>
        <w:pStyle w:val="TextBody"/>
        <w:bidi w:val="0"/>
        <w:spacing w:before="360" w:after="283"/>
        <w:jc w:val="left"/>
        <w:rPr>
          <w:rFonts w:ascii="Times New Roman" w:hAnsi="Times New Roman"/>
          <w:sz w:val="20"/>
        </w:rPr>
      </w:pPr>
      <w:r>
        <w:rPr>
          <w:rFonts w:ascii="Times New Roman" w:hAnsi="Times New Roman"/>
          <w:i/>
          <w:color w:val="000000"/>
          <w:sz w:val="20"/>
        </w:rPr>
        <w:t>Voting by Mail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may vote by mail by signing, dating and returning their proxy or voting instruction card to our proxy tabulator, Broadridge, at the following address: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Vote Processing, c/o Broadridge </w:t>
      </w:r>
    </w:p>
    <w:p>
      <w:pPr>
        <w:pStyle w:val="TextBody"/>
        <w:bidi w:val="0"/>
        <w:jc w:val="center"/>
        <w:rPr>
          <w:rFonts w:ascii="Times New Roman" w:hAnsi="Times New Roman"/>
          <w:color w:val="000000"/>
          <w:sz w:val="20"/>
        </w:rPr>
      </w:pPr>
      <w:r>
        <w:rPr>
          <w:rFonts w:ascii="Times New Roman" w:hAnsi="Times New Roman"/>
          <w:color w:val="000000"/>
          <w:sz w:val="20"/>
        </w:rPr>
        <w:t xml:space="preserve">51 Mercedes Way </w:t>
      </w:r>
    </w:p>
    <w:p>
      <w:pPr>
        <w:pStyle w:val="TextBody"/>
        <w:bidi w:val="0"/>
        <w:jc w:val="center"/>
        <w:rPr>
          <w:rFonts w:ascii="Times New Roman" w:hAnsi="Times New Roman"/>
          <w:color w:val="000000"/>
          <w:sz w:val="20"/>
        </w:rPr>
      </w:pPr>
      <w:r>
        <w:rPr>
          <w:rFonts w:ascii="Times New Roman" w:hAnsi="Times New Roman"/>
          <w:color w:val="000000"/>
          <w:sz w:val="20"/>
        </w:rPr>
        <w:t xml:space="preserve">Edgewood, NY 11717 </w:t>
      </w:r>
    </w:p>
    <w:p>
      <w:pPr>
        <w:pStyle w:val="TextBody"/>
        <w:bidi w:val="0"/>
        <w:spacing w:before="360" w:after="283"/>
        <w:jc w:val="left"/>
        <w:rPr>
          <w:rFonts w:ascii="Times New Roman" w:hAnsi="Times New Roman"/>
          <w:sz w:val="20"/>
        </w:rPr>
      </w:pPr>
      <w:r>
        <w:rPr>
          <w:rFonts w:ascii="Times New Roman" w:hAnsi="Times New Roman"/>
          <w:b/>
          <w:i/>
          <w:color w:val="000000"/>
          <w:sz w:val="20"/>
        </w:rPr>
        <w:t>How do I attend the virtual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year’s Meeting will again be a completely virtual meeting of shareholders, which will be conducted via live webcast. You are entitled to participate in the Meeting only if you were a registered shareholder as of the close of business on April 20, 2026 or if you hold a valid proxy to vote at the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will be able to attend the Meeting online and submit your questions during the Meeting by visiting </w:t>
      </w:r>
      <w:r>
        <w:rPr>
          <w:rFonts w:ascii="Times New Roman" w:hAnsi="Times New Roman"/>
          <w:i/>
          <w:color w:val="000000"/>
          <w:sz w:val="20"/>
          <w:u w:val="single"/>
        </w:rPr>
        <w:t>www.virtualshareholdermeeting.com/GTBIF2026</w:t>
      </w:r>
      <w:r>
        <w:rPr>
          <w:rFonts w:ascii="Times New Roman" w:hAnsi="Times New Roman"/>
          <w:color w:val="000000"/>
          <w:sz w:val="20"/>
        </w:rPr>
        <w:t xml:space="preserve">. You will also be able to vote your shares electronically at the Meeting. To participate, you will need your 16-digit control number that is included in your proxy materials, on your proxy card, or on the instructions that accompanied your proxy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Meeting will begin promptly at 2:00 p.m., Central time. We encourage you to access the Meeting prior to the start time. Online access will open at 1:45 p.m., Central time, and you should allow ample time to log in to the Meeting webcast and test your computer audio system. Technical assistance will be available if you have difficulty logging into the Meeting via a telephone number that will be posted on the login page to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recommend that you carefully review the procedures needed to gain admission in advance. If you do not comply with the procedures described here for attending the Meeting online, you will not be able to participate online. </w:t>
      </w:r>
    </w:p>
    <w:p>
      <w:pPr>
        <w:pStyle w:val="TextBody"/>
        <w:bidi w:val="0"/>
        <w:spacing w:before="360" w:after="283"/>
        <w:jc w:val="left"/>
        <w:rPr>
          <w:rFonts w:ascii="Times New Roman" w:hAnsi="Times New Roman"/>
          <w:sz w:val="20"/>
        </w:rPr>
      </w:pPr>
      <w:r>
        <w:rPr>
          <w:rFonts w:ascii="Times New Roman" w:hAnsi="Times New Roman"/>
          <w:b/>
          <w:i/>
          <w:color w:val="000000"/>
          <w:sz w:val="20"/>
        </w:rPr>
        <w:t>What will I need to attend the virtual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you were a shareholder of record as of the close of business on April 20, 2026, or you hold a valid proxy for the Meeting, you may attend the Meeting, vote, and submit a question during the Meeting by visiting </w:t>
      </w:r>
      <w:r>
        <w:rPr>
          <w:rFonts w:ascii="Times New Roman" w:hAnsi="Times New Roman"/>
          <w:i/>
          <w:color w:val="000000"/>
          <w:sz w:val="20"/>
        </w:rPr>
        <w:t>www.virtualshareholdermeeting.com/GTBIF2026</w:t>
      </w:r>
      <w:r>
        <w:rPr>
          <w:rFonts w:ascii="Times New Roman" w:hAnsi="Times New Roman"/>
          <w:color w:val="000000"/>
          <w:sz w:val="20"/>
        </w:rPr>
        <w:t xml:space="preserve"> and using your 16-digit control number to enter the Meeting. If you are not a shareholder of record but hold shares as a beneficial owner in street name, you may join the Meeting as a guest or by obtaining a proxy from the owner of record. If you do not comply with the procedures outlined above, you will not be admitted to the virtual Meeting. </w:t>
      </w:r>
    </w:p>
    <w:p>
      <w:pPr>
        <w:pStyle w:val="TextBody"/>
        <w:bidi w:val="0"/>
        <w:spacing w:before="360" w:after="283"/>
        <w:jc w:val="left"/>
        <w:rPr>
          <w:rFonts w:ascii="Times New Roman" w:hAnsi="Times New Roman"/>
          <w:sz w:val="20"/>
        </w:rPr>
      </w:pPr>
      <w:r>
        <w:rPr>
          <w:rFonts w:ascii="Times New Roman" w:hAnsi="Times New Roman"/>
          <w:b/>
          <w:i/>
          <w:color w:val="000000"/>
          <w:sz w:val="20"/>
        </w:rPr>
        <w:t>Will I be able to attend the Meeting without a 16-digit control number?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Yes, you may register to attend the Meeting as a guest, but you will not be able to submit questions or comments and will not be able to vote at the Meeting without your 16-digit control number. </w:t>
      </w:r>
    </w:p>
    <w:p>
      <w:pPr>
        <w:pStyle w:val="TextBody"/>
        <w:bidi w:val="0"/>
        <w:spacing w:before="360" w:after="283"/>
        <w:jc w:val="left"/>
        <w:rPr>
          <w:rFonts w:ascii="Times New Roman" w:hAnsi="Times New Roman"/>
          <w:sz w:val="20"/>
        </w:rPr>
      </w:pPr>
      <w:r>
        <w:rPr>
          <w:rFonts w:ascii="Times New Roman" w:hAnsi="Times New Roman"/>
          <w:b/>
          <w:i/>
          <w:color w:val="000000"/>
          <w:sz w:val="20"/>
        </w:rPr>
        <w:t>Why a virtual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excited to again embrace virtual meeting technology, which we believe provides expanded access, improved communications and cost and time savings for our shareholders and the Company. A virtual meeting enables increased shareholder attendance and participation from locations around the world. We believe the cost and time savings afforded by a virtual meeting encourages more shareholders to attend the Meeting and is the most appropriate format for our shareholders and other Meeting attendees.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will be able to attend the Meeting online and submit your questions or comments during the Meeting by visiting </w:t>
      </w:r>
      <w:r>
        <w:rPr>
          <w:rFonts w:ascii="Times New Roman" w:hAnsi="Times New Roman"/>
          <w:i/>
          <w:color w:val="000000"/>
          <w:sz w:val="20"/>
          <w:u w:val="single"/>
        </w:rPr>
        <w:t>www.virtualshareholdermeeting.com/GTBIF2026</w:t>
      </w:r>
      <w:r>
        <w:rPr>
          <w:rFonts w:ascii="Times New Roman" w:hAnsi="Times New Roman"/>
          <w:color w:val="000000"/>
          <w:sz w:val="20"/>
        </w:rPr>
        <w:t xml:space="preserve">. You will also be able to vote your shares electronically at the Meeting. We encourage you to vote your shares prior to the Meeting to ensure they are represented. Even if you submit a vote prior to the Meeting, you will have an opportunity to vote again during the Meeting and automatically revoke your earlier vote. </w:t>
      </w:r>
    </w:p>
    <w:p>
      <w:pPr>
        <w:pStyle w:val="TextBody"/>
        <w:bidi w:val="0"/>
        <w:spacing w:before="360" w:after="283"/>
        <w:jc w:val="left"/>
        <w:rPr>
          <w:rFonts w:ascii="Times New Roman" w:hAnsi="Times New Roman"/>
          <w:sz w:val="20"/>
        </w:rPr>
      </w:pPr>
      <w:r>
        <w:rPr>
          <w:rFonts w:ascii="Times New Roman" w:hAnsi="Times New Roman"/>
          <w:b/>
          <w:i/>
          <w:color w:val="000000"/>
          <w:sz w:val="20"/>
        </w:rPr>
        <w:t>What if during the check-in period or during the Meeting I have technical difficulties or trouble accessing the virtual meeting website?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will have technicians ready to assist you with any technical difficulties you may have accessing the virtual Meeting. If you encounter any difficulties accessing the virtual Meeting during check-in or during the Meeting, please call the technical support number that will be posted on the virtual Meeting login page (</w:t>
      </w:r>
      <w:r>
        <w:rPr>
          <w:rFonts w:ascii="Times New Roman" w:hAnsi="Times New Roman"/>
          <w:i/>
          <w:color w:val="000000"/>
          <w:sz w:val="20"/>
          <w:u w:val="single"/>
        </w:rPr>
        <w:t>www.virtualshareholdermeeting.com/GTBIF2026</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How do I submit questions for the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Shareholders who wish to submit questions or comments may do so during the live webcast of the Meeting at </w:t>
      </w:r>
      <w:r>
        <w:rPr>
          <w:rFonts w:ascii="Times New Roman" w:hAnsi="Times New Roman"/>
          <w:i/>
          <w:color w:val="000000"/>
          <w:sz w:val="20"/>
          <w:u w:val="single"/>
        </w:rPr>
        <w:t>www.virtualshareholdermeeting.com/GTBIF2026</w:t>
      </w:r>
      <w:r>
        <w:rPr>
          <w:rFonts w:ascii="Times New Roman" w:hAnsi="Times New Roman"/>
          <w:i/>
          <w:color w:val="000000"/>
          <w:sz w:val="20"/>
        </w:rPr>
        <w:t xml:space="preserve">. </w:t>
      </w:r>
      <w:r>
        <w:rPr>
          <w:rFonts w:ascii="Times New Roman" w:hAnsi="Times New Roman"/>
          <w:color w:val="000000"/>
          <w:sz w:val="20"/>
        </w:rPr>
        <w:t xml:space="preserve">Instructions will be available on the virtual Meeting site and technical assistance will be available. </w:t>
      </w:r>
    </w:p>
    <w:p>
      <w:pPr>
        <w:pStyle w:val="TextBody"/>
        <w:bidi w:val="0"/>
        <w:spacing w:before="360" w:after="283"/>
        <w:jc w:val="left"/>
        <w:rPr>
          <w:rFonts w:ascii="Times New Roman" w:hAnsi="Times New Roman"/>
          <w:sz w:val="20"/>
        </w:rPr>
      </w:pPr>
      <w:r>
        <w:rPr>
          <w:rFonts w:ascii="Times New Roman" w:hAnsi="Times New Roman"/>
          <w:b/>
          <w:i/>
          <w:color w:val="000000"/>
          <w:sz w:val="20"/>
        </w:rPr>
        <w:t>How will my shares be voted?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Shares represented by properly executed proxies in favor of persons designated in the printed portion of the enclosed Proxy Instrument </w:t>
      </w:r>
      <w:r>
        <w:rPr>
          <w:rFonts w:ascii="Times New Roman" w:hAnsi="Times New Roman"/>
          <w:b/>
          <w:color w:val="000000"/>
          <w:sz w:val="20"/>
        </w:rPr>
        <w:t xml:space="preserve">WILL, UNLESS OTHERWISE INDICATED, BE VOTED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 xml:space="preserve">THE SETTING OF THE NUMBER OF DIRECTORS AT SEVEN,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 xml:space="preserve">THE ELECTION OF EACH DIRECTOR NOMINEE,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 xml:space="preserve">THE SAY-ON-PAY PROPOSAL,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 xml:space="preserve">THE RE-APPOINTMENT OF BAKER TILLY US, LLP AS THE AUDITORS OF THE COMPANY AND FOR THE AUTHORIZATION OF THE BOARD TO FIX THE AUDITORS’ REMUNERATION AND TERMS OF ENGAGEMENT, AND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AMENDMENT PROPOSAL</w:t>
      </w:r>
      <w:r>
        <w:rPr>
          <w:rFonts w:ascii="Times New Roman" w:hAnsi="Times New Roman"/>
          <w:color w:val="000000"/>
          <w:sz w:val="20"/>
        </w:rPr>
        <w:t xml:space="preserve">. The shares represented by the Proxy Instrument will be voted or withheld from voting in accordance with the instructions of the shareholder on any ballot that may be called for and, if the shareholder specifies a choice with respect to any matter to be acted upon, the shares will be voted accordingly. The enclosed Proxy Instrument confers discretionary authority on the persons named therein with respect to amendments or variations to matters identified in the Notice or other matters which may properly come before the Meeting. As of the date of this proxy statement, management of the Company knows of no such amendments, variations or other matters to come before the Meeting. However, if other matters properly come before the Meeting, it is the intention of the persons named in the enclosed Proxy Instrument to vote such proxy according to their best judgment. </w:t>
      </w:r>
    </w:p>
    <w:p>
      <w:pPr>
        <w:pStyle w:val="TextBody"/>
        <w:bidi w:val="0"/>
        <w:spacing w:before="360" w:after="283"/>
        <w:jc w:val="left"/>
        <w:rPr>
          <w:rFonts w:ascii="Times New Roman" w:hAnsi="Times New Roman"/>
          <w:sz w:val="20"/>
        </w:rPr>
      </w:pPr>
      <w:r>
        <w:rPr>
          <w:rFonts w:ascii="Times New Roman" w:hAnsi="Times New Roman"/>
          <w:b/>
          <w:i/>
          <w:color w:val="000000"/>
          <w:sz w:val="20"/>
        </w:rPr>
        <w:t>Will shares I hold in my brokerage account be voted if I do not provide timely voting instructions?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your shares are held through a brokerage firm, they will be voted as you instruct on the voting instruction card provided by your broker. If you sign and return your card without giving specific instructions, your shares will be voted in accordance with the recommendations of our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do not return your voting instruction card on a timely basis, your broker will have the authority to vote your brokerage shares only on the proposal to re-appoint our auditor. Your broker will be prohibited from voting your shares without your instructions on setting the number of directors, the election of directors, the Say-on-Pay Proposal, the Amendment Proposal and on any other proposal. These “broker non-votes” will be counted only for the purpose of determining whether a quorum is present at the Meeting and not as votes cast. Such broker non-votes will have no effect on the outcome of the matter as they will not be deemed to be shares cast. </w:t>
      </w:r>
    </w:p>
    <w:p>
      <w:pPr>
        <w:pStyle w:val="TextBody"/>
        <w:bidi w:val="0"/>
        <w:spacing w:before="360" w:after="283"/>
        <w:jc w:val="left"/>
        <w:rPr>
          <w:rFonts w:ascii="Times New Roman" w:hAnsi="Times New Roman"/>
          <w:sz w:val="20"/>
        </w:rPr>
      </w:pPr>
      <w:r>
        <w:rPr>
          <w:rFonts w:ascii="Times New Roman" w:hAnsi="Times New Roman"/>
          <w:b/>
          <w:i/>
          <w:color w:val="000000"/>
          <w:sz w:val="20"/>
        </w:rPr>
        <w:t>Will shares that I own as a shareholder of record be voted if I do not timely return my proxy card?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Shares that you own as a shareholder of record will be voted as you instruct on your proxy card. If you sign and return your proxy card without giving specific instructions, they will be voted in accordance with the procedure set out above under the heading “</w:t>
      </w:r>
      <w:r>
        <w:rPr>
          <w:rFonts w:ascii="Times New Roman" w:hAnsi="Times New Roman"/>
          <w:i/>
          <w:color w:val="000000"/>
          <w:sz w:val="20"/>
        </w:rPr>
        <w:t>How will my shares be voted?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If you do not timely return your proxy card, your shares will not be voted unless you or your proxy holder attends the Meeting via the live webcast and any adjournment(s) or postponement(s) thereof and votes electronically submitted during the Meeting as described above under the heading “</w:t>
      </w:r>
      <w:r>
        <w:rPr>
          <w:rFonts w:ascii="Times New Roman" w:hAnsi="Times New Roman"/>
          <w:i/>
          <w:color w:val="000000"/>
          <w:sz w:val="20"/>
        </w:rPr>
        <w:t>How can I vote at the Meeting?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When is the deadline to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hold shares as the shareholder of record, your vote by proxy must be received before 10:59 p.m. (Central time) on June 12, 2026 or 48 hours prior to any adjournment(s) of the Meeting or must be deposited at the Meeting with the chairman of the Meeting before the commencement of the Meeting or any adjournment(s)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hold shares as a beneficial owner, please follow the voting instructions provided by your Intermediary. </w:t>
      </w:r>
    </w:p>
    <w:p>
      <w:pPr>
        <w:pStyle w:val="TextBody"/>
        <w:bidi w:val="0"/>
        <w:spacing w:before="360" w:after="283"/>
        <w:jc w:val="left"/>
        <w:rPr>
          <w:rFonts w:ascii="Times New Roman" w:hAnsi="Times New Roman"/>
          <w:sz w:val="20"/>
        </w:rPr>
      </w:pPr>
      <w:r>
        <w:rPr>
          <w:rFonts w:ascii="Times New Roman" w:hAnsi="Times New Roman"/>
          <w:b/>
          <w:i/>
          <w:color w:val="000000"/>
          <w:sz w:val="20"/>
        </w:rPr>
        <w:t>May I change or revoke my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shareholder who has given a proxy pursuant to this solicitation may revoke it at any time up to and including the second business day preceding the day of the Meeting or any adjournment(s) thereof at which the proxy is to be used: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an instrument in writing executed by the shareholder or by his, her or its attorney authorized in writing and either delivered to the attention of the Corporate Secretary of the Company by mail using the enclosed return envelope to Vote Processing, c/o Broadridge, 51 Mercedes Way, Edgewood, NY 11717;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delivering written notice of such revocation to the chairman of the Meeting prior to the commencement of the Meeting on the day of the Meeting or any adjournment(s) thereof,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any other manner permitted by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shares you hold as a beneficial owner, you may change your vote by timely submitting new voting instructions to your Intermediary (which revokes your earlier instructions), or, if you have obtained a legal proxy from the Intermediary giving you the right to vote your shares, by attending the Meeting and voting via the live webcast. </w:t>
      </w:r>
    </w:p>
    <w:p>
      <w:pPr>
        <w:pStyle w:val="TextBody"/>
        <w:bidi w:val="0"/>
        <w:spacing w:before="360" w:after="283"/>
        <w:jc w:val="left"/>
        <w:rPr>
          <w:rFonts w:ascii="Times New Roman" w:hAnsi="Times New Roman"/>
          <w:sz w:val="20"/>
        </w:rPr>
      </w:pPr>
      <w:bookmarkStart w:id="8" w:name="shareholder_proposals_and_director_nomin"/>
      <w:bookmarkEnd w:id="8"/>
      <w:r>
        <w:rPr>
          <w:rFonts w:ascii="Times New Roman" w:hAnsi="Times New Roman"/>
          <w:b/>
          <w:color w:val="000000"/>
          <w:sz w:val="20"/>
        </w:rPr>
        <w:t>Shareholder Proposals and Director Nominations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What is the deadline to submit shareholder proposals to be included in the proxy materials for next year’s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is subject to the rules of both the SEC under the Securities Exchange Act of 1934, as amended (the “</w:t>
      </w:r>
      <w:r>
        <w:rPr>
          <w:rFonts w:ascii="Times New Roman" w:hAnsi="Times New Roman"/>
          <w:b/>
          <w:color w:val="000000"/>
          <w:sz w:val="20"/>
        </w:rPr>
        <w:t>Exchange Act</w:t>
      </w:r>
      <w:r>
        <w:rPr>
          <w:rFonts w:ascii="Times New Roman" w:hAnsi="Times New Roman"/>
          <w:color w:val="000000"/>
          <w:sz w:val="20"/>
        </w:rPr>
        <w:t>”), and provisions of the Business Corporations Act (British Columbia) (“</w:t>
      </w:r>
      <w:r>
        <w:rPr>
          <w:rFonts w:ascii="Times New Roman" w:hAnsi="Times New Roman"/>
          <w:b/>
          <w:color w:val="000000"/>
          <w:sz w:val="20"/>
        </w:rPr>
        <w:t>BCBCA</w:t>
      </w:r>
      <w:r>
        <w:rPr>
          <w:rFonts w:ascii="Times New Roman" w:hAnsi="Times New Roman"/>
          <w:color w:val="000000"/>
          <w:sz w:val="20"/>
        </w:rPr>
        <w:t xml:space="preserve">”) with respect to shareholder proposals, as well as the Existing Articles. As clearly indicated under the BCBCA and SEC rules under the Exchange Act, simply submitting a shareholder proposal does not guarantee its inclusion in the proxy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Shareholder proposals submitted pursuant to SEC rules under the Exchange Act for inclusion in the Company’s proxy materials for next year’s annual meeting must be received by our Corporate Secretary no later than the close of business (Central time) on December 30, 2026 and must be submitted to our Corporate Secretary at Green Thumb Industries Inc., 325 West Huron Street, Suite 700, Chicago, Illinois 60654. Such proposals must also comply with all applicable provisions of Rule 14a-8 under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BCBCA also sets out the requirements for a valid proposal and provides for the rights and obligations of the Company and the submitter upon a valid proposal being made. Proposals submitted under the applicable provisions of the BCBCA that a shareholder intends to present at next year’s annual meeting and wishes to be considered for inclusion in the Company’s proxy statement and form of proxy relating to next year’s annual meeting must be received at least three (3) months before the anniversary of the Company’s last annual general meeting (March 16, 2027). Such proposals must also comply with all applicable provisions of the BCBCA and the regulations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Proposals that are not timely submitted or are submitted to the incorrect address or other than to the attention of our Corporate Secretary may, at our discretion, be excluded from our proxy materials. </w:t>
      </w:r>
    </w:p>
    <w:p>
      <w:pPr>
        <w:pStyle w:val="TextBody"/>
        <w:bidi w:val="0"/>
        <w:spacing w:before="240" w:after="283"/>
        <w:jc w:val="left"/>
        <w:rPr>
          <w:rFonts w:ascii="Times New Roman" w:hAnsi="Times New Roman"/>
          <w:sz w:val="20"/>
        </w:rPr>
      </w:pPr>
      <w:r>
        <w:rPr>
          <w:rFonts w:ascii="Times New Roman" w:hAnsi="Times New Roman"/>
          <w:color w:val="000000"/>
          <w:sz w:val="20"/>
        </w:rPr>
        <w:t>See below under the heading “</w:t>
      </w:r>
      <w:r>
        <w:rPr>
          <w:rFonts w:ascii="Times New Roman" w:hAnsi="Times New Roman"/>
          <w:i/>
          <w:color w:val="000000"/>
          <w:sz w:val="20"/>
        </w:rPr>
        <w:t>How may I nominate director candidates or present other business for consideration at a meeting?</w:t>
      </w:r>
      <w:r>
        <w:rPr>
          <w:rFonts w:ascii="Times New Roman" w:hAnsi="Times New Roman"/>
          <w:color w:val="000000"/>
          <w:sz w:val="20"/>
        </w:rPr>
        <w:t xml:space="preserve">” for a description of the procedures through which shareholders may nominate director candidates for consideration.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How may I nominate director candidates or present other business for consideration at a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Shareholders who wish to (1) submit director nominees for consideration or (2) present other items of business directly at next year’s annual meeting must give written notice of their intention to do so, in accordance with the deadlines described below, to our Corporate Secretary at the address set forth below under the heading “</w:t>
      </w:r>
      <w:r>
        <w:rPr>
          <w:rFonts w:ascii="Times New Roman" w:hAnsi="Times New Roman"/>
          <w:i/>
          <w:color w:val="000000"/>
          <w:sz w:val="20"/>
        </w:rPr>
        <w:t>What if I have additional questions or how do I obtain additional copies of this proxy statement or voting materials?</w:t>
      </w:r>
      <w:r>
        <w:rPr>
          <w:rFonts w:ascii="Times New Roman" w:hAnsi="Times New Roman"/>
          <w:color w:val="000000"/>
          <w:sz w:val="20"/>
        </w:rPr>
        <w:t>” Any such notice also must include the information required by the Articles (which may be obtained as provided below under the heading “</w:t>
      </w:r>
      <w:r>
        <w:rPr>
          <w:rFonts w:ascii="Times New Roman" w:hAnsi="Times New Roman"/>
          <w:i/>
          <w:color w:val="000000"/>
          <w:sz w:val="20"/>
        </w:rPr>
        <w:t>How may I obtain financial and other information about Green Thumb Industries Inc.?</w:t>
      </w:r>
      <w:r>
        <w:rPr>
          <w:rFonts w:ascii="Times New Roman" w:hAnsi="Times New Roman"/>
          <w:color w:val="000000"/>
          <w:sz w:val="20"/>
        </w:rPr>
        <w:t xml:space="preserve">”) and must be updated and supplemented as provided in the Articles.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Written notice of director nominees must be received, in the case of an annual meeting, not less than thirty (30) days prior to the date of the annual meeting of shareholders; provided, however, that if the annual meeting of shareholders is to be held on a date that is less than fifty (50) days after the date on which the initial public announcement of the date of the annual meeting of shareholders was made, notice by the nominating shareholder may be made not later than the close of business on the tenth (10</w:t>
      </w:r>
      <w:r>
        <w:rPr>
          <w:rFonts w:ascii="Times New Roman" w:hAnsi="Times New Roman"/>
          <w:color w:val="000000"/>
          <w:sz w:val="10"/>
        </w:rPr>
        <w:t>th</w:t>
      </w:r>
      <w:r>
        <w:rPr>
          <w:rFonts w:ascii="Times New Roman" w:hAnsi="Times New Roman"/>
          <w:color w:val="000000"/>
          <w:sz w:val="20"/>
        </w:rPr>
        <w:t>) day following such public announcement, provided that, if Notice-and-Access (as defined in Canadian National Instrument 54-101—</w:t>
      </w:r>
      <w:r>
        <w:rPr>
          <w:rFonts w:ascii="Times New Roman" w:hAnsi="Times New Roman"/>
          <w:i/>
          <w:color w:val="000000"/>
          <w:sz w:val="20"/>
        </w:rPr>
        <w:t>Communication with</w:t>
      </w:r>
      <w:r>
        <w:rPr>
          <w:rFonts w:ascii="Times New Roman" w:hAnsi="Times New Roman"/>
          <w:color w:val="000000"/>
          <w:sz w:val="20"/>
        </w:rPr>
        <w:t xml:space="preserve"> </w:t>
      </w:r>
      <w:r>
        <w:rPr>
          <w:rFonts w:ascii="Times New Roman" w:hAnsi="Times New Roman"/>
          <w:i/>
          <w:color w:val="000000"/>
          <w:sz w:val="20"/>
        </w:rPr>
        <w:t>Beneficial Owners of Securities of a Reporting Issuer</w:t>
      </w:r>
      <w:r>
        <w:rPr>
          <w:rFonts w:ascii="Times New Roman" w:hAnsi="Times New Roman"/>
          <w:color w:val="000000"/>
          <w:sz w:val="20"/>
        </w:rPr>
        <w:t xml:space="preserve"> (“</w:t>
      </w:r>
      <w:r>
        <w:rPr>
          <w:rFonts w:ascii="Times New Roman" w:hAnsi="Times New Roman"/>
          <w:b/>
          <w:color w:val="000000"/>
          <w:sz w:val="20"/>
        </w:rPr>
        <w:t>NI 54-101</w:t>
      </w:r>
      <w:r>
        <w:rPr>
          <w:rFonts w:ascii="Times New Roman" w:hAnsi="Times New Roman"/>
          <w:color w:val="000000"/>
          <w:sz w:val="20"/>
        </w:rPr>
        <w:t>”)) is used for delivery of proxy related materials in respect of a meeting described above, and the date of such first public announcement in respect of the meeting is not less than 50 days prior to the date of the applicable meeting, the notice must be received not later than the close of business on the 40th day before the applicable meeting. See “</w:t>
      </w:r>
      <w:r>
        <w:rPr>
          <w:rFonts w:ascii="Times New Roman" w:hAnsi="Times New Roman"/>
          <w:i/>
          <w:color w:val="000000"/>
          <w:sz w:val="20"/>
        </w:rPr>
        <w:t>Advance Notice Policy</w:t>
      </w:r>
      <w:r>
        <w:rPr>
          <w:rFonts w:ascii="Times New Roman" w:hAnsi="Times New Roman"/>
          <w:color w:val="000000"/>
          <w:sz w:val="20"/>
        </w:rPr>
        <w:t xml:space="preserve">” under “Proposals No. 1 and 2—Election of Directors” in this proxy statement. </w:t>
      </w:r>
    </w:p>
    <w:p>
      <w:pPr>
        <w:pStyle w:val="TextBody"/>
        <w:bidi w:val="0"/>
        <w:spacing w:before="360" w:after="283"/>
        <w:jc w:val="left"/>
        <w:rPr>
          <w:rFonts w:ascii="Times New Roman" w:hAnsi="Times New Roman"/>
          <w:sz w:val="20"/>
        </w:rPr>
      </w:pPr>
      <w:r>
        <w:rPr>
          <w:rFonts w:ascii="Times New Roman" w:hAnsi="Times New Roman"/>
          <w:b/>
          <w:i/>
          <w:color w:val="000000"/>
          <w:sz w:val="20"/>
        </w:rPr>
        <w:t>How may I recommend candidates to serve as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Shareholders may recommend director candidates for consideration by the Board by writing to our Corporate Secretary at the address set forth below under the heading “</w:t>
      </w:r>
      <w:r>
        <w:rPr>
          <w:rFonts w:ascii="Times New Roman" w:hAnsi="Times New Roman"/>
          <w:i/>
          <w:color w:val="000000"/>
          <w:sz w:val="20"/>
        </w:rPr>
        <w:t>What if I have additional questions or how do I obtain additional copies of this proxy statement or voting materials?</w:t>
      </w:r>
      <w:r>
        <w:rPr>
          <w:rFonts w:ascii="Times New Roman" w:hAnsi="Times New Roman"/>
          <w:color w:val="000000"/>
          <w:sz w:val="20"/>
        </w:rPr>
        <w:t>” in accordance with the notice provisions described above under the heading “</w:t>
      </w:r>
      <w:r>
        <w:rPr>
          <w:rFonts w:ascii="Times New Roman" w:hAnsi="Times New Roman"/>
          <w:i/>
          <w:color w:val="000000"/>
          <w:sz w:val="20"/>
        </w:rPr>
        <w:t>How may I nominate director candidates or present other business for consideration at a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To be in proper written form, such notice must set forth the nominee’s (i) name, age, business and residential address and principal occupation or employment for the past five (5) years; and (ii) his or her direct or indirect beneficial ownership in, or control or direction over, any class or series of securities of the Company, including the number or principal amount and such other information on the nominee and the nominating shareholder as set forth in the Articles, which may be obtained in accordance with the instructions below under the heading “</w:t>
      </w:r>
      <w:r>
        <w:rPr>
          <w:rFonts w:ascii="Times New Roman" w:hAnsi="Times New Roman"/>
          <w:i/>
          <w:color w:val="000000"/>
          <w:sz w:val="20"/>
        </w:rPr>
        <w:t>How may I obtain financial and other information about Green Thumb Industries Inc.?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9" w:name="description_of_the_company_voting_secu"/>
      <w:bookmarkEnd w:id="9"/>
      <w:r>
        <w:rPr>
          <w:rFonts w:ascii="Times New Roman" w:hAnsi="Times New Roman"/>
          <w:b/>
          <w:color w:val="000000"/>
          <w:sz w:val="20"/>
        </w:rPr>
        <w:t>Description of the Company’s Voting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an unlimited number of Subordinate Voting Shares, an unlimited number of Multiple Voting Shares and an unlimited number of Super Voting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20, 2026, the Record Date, there were 808 shareholders of record holding (i) 202,467,229 Subordinate Voting Shares; (ii) 37,472 Multiple Voting Shares; and (iii) 201,690 Super Voting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Subordinate Voting Shares and Multiple Voting Shares are “restricted securities” within the meaning of such term under applicable Canadian securities laws. Under Canadian securities laws, a “restricted security” means an equity security of a reporting issuer if, among other things, there is another class of securities of the reporting issuer that carries a greater number of votes per security relative to the equity security. As of the Record Date, the Subordinate Voting Shares represent approximately 49.6% of voting rights attached to outstanding securities of the Company, the Multiple Voting Shares represent approximately 0.9% of voting rights attached to outstanding securities of the Company, and the Super Voting Shares represent approximately 49.5% of voting rights attached to outstanding securities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number of equity shares assuming all are converted into Subordinate Voting Shares as of the Record Date would be 226,383,429.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Subordinate Voting Shares are entitled to notice of and to attend any meeting of the shareholders of the Company, except a meeting of which only holders of another particular class or series of shares of the Company have the right to vote. At each such meeting, holders of Subordinate Voting Shares are entitled to one vote in respect of each Subordinate Voting Share held.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Multiple Voting Shares are entitled to notice of and to attend any meeting of the shareholders of the Company, except a meeting of which only holders of another particular class or series of shares of the Company have the right to vote. At each such meeting, holders of Multiple Voting Shares are entitled to one vote in respect of each Subordinate Voting Share into which such Multiple Voting Share could then be converted (currently 100 votes per Multiple Voting Share held).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Holders of Super Voting Shares are entitled to notice of and to attend any meeting of the shareholders of the Company, except a meeting of which only holders of another particular class or series of shares of the Company have the right to vote. At each such meeting, holders of Super Voting Shares are entitled to 1,000 votes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2025 Form 10-K, filed with the SEC on February 25, 2026, provides further information regarding our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as set out below, to the knowledge of the directors and officers of the Company, as of April 20, 2026, no person beneficially owns or exercises control over, directly or indirectly, more than 10% of the outstanding voting securities of the Company: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2"/>
        <w:gridCol w:w="146"/>
        <w:gridCol w:w="156"/>
        <w:gridCol w:w="651"/>
        <w:gridCol w:w="146"/>
        <w:gridCol w:w="146"/>
        <w:gridCol w:w="263"/>
        <w:gridCol w:w="679"/>
        <w:gridCol w:w="226"/>
        <w:gridCol w:w="146"/>
        <w:gridCol w:w="239"/>
        <w:gridCol w:w="568"/>
        <w:gridCol w:w="146"/>
        <w:gridCol w:w="146"/>
        <w:gridCol w:w="279"/>
        <w:gridCol w:w="663"/>
        <w:gridCol w:w="146"/>
        <w:gridCol w:w="146"/>
        <w:gridCol w:w="179"/>
        <w:gridCol w:w="737"/>
        <w:gridCol w:w="146"/>
        <w:gridCol w:w="146"/>
        <w:gridCol w:w="307"/>
        <w:gridCol w:w="635"/>
        <w:gridCol w:w="226"/>
        <w:gridCol w:w="146"/>
        <w:gridCol w:w="304"/>
        <w:gridCol w:w="785"/>
        <w:gridCol w:w="280"/>
      </w:tblGrid>
      <w:tr>
        <w:trPr/>
        <w:tc>
          <w:tcPr>
            <w:tcW w:w="1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Name of Shareholder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br/>
              <w:t>Super</w:t>
              <w:br/>
              <w:t>Voting</w:t>
              <w:br/>
              <w:t>Shares</w:t>
              <w:br/>
              <w:t>Owned,</w:t>
              <w:br/>
              <w:t>Controlled</w:t>
              <w:br/>
              <w:t>or Directed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 of</w:t>
              <w:br/>
              <w:t>Outstanding</w:t>
              <w:br/>
              <w:t>Super</w:t>
              <w:br/>
              <w:t>Voting</w:t>
              <w:br/>
              <w:t>Shares</w:t>
              <w:br/>
              <w:t>Owned,</w:t>
              <w:br/>
              <w:t>Controlled</w:t>
              <w:br/>
              <w:t>or Directed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br/>
              <w:t>Multiple</w:t>
              <w:br/>
              <w:t>Voting</w:t>
              <w:br/>
              <w:t>Shares</w:t>
              <w:br/>
              <w:t>Owned,</w:t>
              <w:br/>
              <w:t>Controlled</w:t>
              <w:br/>
              <w:t>or Directed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 of</w:t>
              <w:br/>
              <w:t>Outstanding</w:t>
              <w:br/>
              <w:t>Multiple</w:t>
              <w:br/>
              <w:t>Voting</w:t>
              <w:br/>
              <w:t>Shares</w:t>
              <w:br/>
              <w:t>Owned,</w:t>
              <w:br/>
              <w:t>Controlled</w:t>
              <w:br/>
              <w:t>or Directed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br/>
              <w:t>Subordinate</w:t>
              <w:br/>
              <w:t>Voting</w:t>
              <w:br/>
              <w:t>Shares</w:t>
              <w:br/>
              <w:t>Owned,</w:t>
              <w:br/>
              <w:t>Controlled</w:t>
              <w:br/>
              <w:t>or Directed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 of</w:t>
              <w:br/>
              <w:t>Outstanding</w:t>
              <w:br/>
              <w:t>Subordinate</w:t>
              <w:br/>
              <w:t>Voting</w:t>
              <w:br/>
              <w:t>Shares</w:t>
              <w:br/>
              <w:t>Owned,</w:t>
              <w:br/>
              <w:t>Controlled</w:t>
              <w:br/>
              <w:t>or Directed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 of</w:t>
              <w:br/>
              <w:t>Votes</w:t>
              <w:br/>
              <w:t>Attaching to all</w:t>
              <w:br/>
              <w:t>Outstanding</w:t>
              <w:br/>
              <w:t>Shares</w:t>
              <w:br/>
              <w:t>Owned,</w:t>
              <w:br/>
              <w:t>Controlled</w:t>
              <w:br/>
              <w:t>or Directed</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Benjamin Kovler</w:t>
            </w:r>
            <w:r>
              <w:rPr>
                <w:rFonts w:ascii="Times New Roman" w:hAnsi="Times New Roman"/>
                <w:color w:val="000000"/>
                <w:sz w:val="10"/>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140,754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w:t>
            </w:r>
          </w:p>
        </w:tc>
        <w:tc>
          <w:tcPr>
            <w:tcW w:w="22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735,908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2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w:t>
            </w:r>
          </w:p>
        </w:tc>
        <w:tc>
          <w:tcPr>
            <w:tcW w:w="28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6"/>
          <w:u w:val="single"/>
        </w:rPr>
        <w:t>Note</w:t>
      </w:r>
      <w:r>
        <w:rPr>
          <w:rFonts w:ascii="Times New Roman" w:hAnsi="Times New Roman"/>
          <w:b/>
          <w:color w:val="000000"/>
          <w:sz w:val="16"/>
        </w:rPr>
        <w:t>:</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Comprised of Subordinate Voting Shares, Multiple Voting Shares and Super Voting Shares either (i) held, directly or indirectly, by Mr. Kovler, his associates and/or certain other related entities and trusts, or (ii) over which Mr. Kovler exercises direction or control, and (iii) which Mr. Kovler, his associates and/or certain other related entities and trusts have the right to acquire within 60 days of April 20, 2026. </w:t>
      </w:r>
    </w:p>
    <w:p>
      <w:pPr>
        <w:pStyle w:val="TextBody"/>
        <w:bidi w:val="0"/>
        <w:spacing w:before="360" w:after="283"/>
        <w:jc w:val="left"/>
        <w:rPr>
          <w:rFonts w:ascii="Times New Roman" w:hAnsi="Times New Roman"/>
          <w:sz w:val="20"/>
        </w:rPr>
      </w:pPr>
      <w:r>
        <w:rPr>
          <w:rFonts w:ascii="Times New Roman" w:hAnsi="Times New Roman"/>
          <w:b/>
          <w:i/>
          <w:color w:val="000000"/>
          <w:sz w:val="20"/>
        </w:rPr>
        <w:t>Take-Over Bid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Under applicable Canadian law, an offer to purchase Super Voting Shares would not necessarily require that an offer be made to purchase Subordinate Voting Shares or Multiple Voting Shares. In accordance with the rules applicable to most senior issuers in Canada, in the event of a take-over bid, the holders of Subordinate Voting Shares or of Multiple Voting Shares will be entitled to participate on an equal footing with holders of Super Voting Shares. The owners of all the outstanding Super Voting Shares entered into a customary coattail agreement with the Company and a trustee (the “</w:t>
      </w:r>
      <w:r>
        <w:rPr>
          <w:rFonts w:ascii="Times New Roman" w:hAnsi="Times New Roman"/>
          <w:b/>
          <w:color w:val="000000"/>
          <w:sz w:val="20"/>
        </w:rPr>
        <w:t>Coattail Agreement</w:t>
      </w:r>
      <w:r>
        <w:rPr>
          <w:rFonts w:ascii="Times New Roman" w:hAnsi="Times New Roman"/>
          <w:color w:val="000000"/>
          <w:sz w:val="20"/>
        </w:rPr>
        <w:t xml:space="preserve">”). The Coattail Agreement contains provisions customary in Canada for dual class, listed corporations designed to prevent transactions that otherwise would deprive the holders of Subordinate Voting Shares or Multiple Voting Shares of rights under applicable take-over bid legislation to which they would have been entitled if the Super Voting Shares had been Subordinate Voting Shares or Multiple Voting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undertakings in the Coattail Agreement do not apply to prevent a sale by any initial holder of Super Voting Shares if concurrently an offer is made to purchase Subordinate Voting Shares and Multiple Voting Shares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offers a price per Subordinate Voting Share or Multiple Voting Share (on an as converted to Subordinate Voting Share basis) at least as high as the highest price per share paid pursuant to the take-over bid for the Super Voting Shares (on an as converted to Subordinate Voting Share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provides that the percentage of outstanding Subordinate Voting Shares or Multiple Voting Shares to be taken up (exclusive of shares owned immediately prior to the offer by the offeror or persons acting jointly or in concert with the offeror) is at least as high as the percentage of Super Voting Shares to be sold (exclusive of Super Voting Shares owned immediately prior to the offer by the offeror and persons acting jointly or in concert with the offeror);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has no condition attached other than the right not to take up and pay for Subordinate Voting Shares or Multiple Voting Shares tendered if no shares are purchased pursuant to the offer for Super Voting Shares;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 in all other material respects identical to the offer for Super Voting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Coattail Agreement does not prevent the transfer of Super Voting Shares by an initial holder to a Permitted Holder (as that term is defined in the Existing Articles). The conversion of Super Voting Shares into Multiple Voting Shares, whether or not such Multiple Voting Shares are subsequently sold or converted into Subordinate Voting Shares, would not constitute a disposition of Super Voting Shares for the purposes of the Coattail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Coattail Agreement, any disposition of Super Voting Shares (including a transfer to a pledgee as security) by a holder of Super Voting Shares party to the agreement will be conditional upon the transferee or pledgee becoming a party to the Coattail Agreement, to the extent such transferred Super Voting Shares are not automatically converted into Multiple Voting Shares in accordance with the Existing Articles.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Coattail Agreement contains provisions for authorizing action by the trustee to enforce the rights under the Coattail Agreement on behalf of the holders of the Subordinate Voting Shares or of the Multiple Voting Shares. The obligation of the trustee to take such action is conditional on the Company or holders of the Subordinate Voting Shares or of the Multiple Voting Shares, as the case may be, providing such funds and indemnity as the trustee may require. No holder of Subordinate Voting Shares or of Multiple Voting Shares, as the case may be, has the right, other than through the trustee, to institute any action or proceeding or to exercise any other remedy to enforce any rights arising under the Coattail Agreement unless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trustee fails to act on a request authorized by holders of not less than 10% of the outstanding Subordinate Voting Shares or of Multiple Voting Shares, as the case may be, and reasonable funds and indemnity have been provided to the trustee. The Company has agreed to pay the reasonable costs of any action that may be taken in good faith by holders of Subordinate Voting Shares or of Multiple Voting Shares, as the case may be, pursuant to the Coattail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Coattail Agreement provides that it may not be amended, and no provision thereof may be waived, unless, prior to giving effect to such amendment or waiver, the following have been obtained: (i) the consent of any applicable securities regulatory authority in Canada; and (ii) the approval of at least 66 2/3% of the votes cast by holders of Subordinate Voting Shares and 66 2/3% of the votes cast by holders of Multiple Voting Shares excluding votes attached to Subordinate Voting Shares and to Multiple Voting Shares, if any, held by the initial holders, their affiliates and any persons who have an agreement to purchase Super Voting Shares on terms which would constitute a sale or disposition for purposes of the Coattail Agreement other than as permitted thereby.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provision of the Coattail Agreement limits the rights of any holders of Subordinate Voting Shares or of Multiple Voting Shares under applicable law. </w:t>
      </w:r>
    </w:p>
    <w:p>
      <w:pPr>
        <w:pStyle w:val="TextBody"/>
        <w:bidi w:val="0"/>
        <w:spacing w:before="360" w:after="283"/>
        <w:jc w:val="left"/>
        <w:rPr>
          <w:rFonts w:ascii="Times New Roman" w:hAnsi="Times New Roman"/>
          <w:sz w:val="20"/>
        </w:rPr>
      </w:pPr>
      <w:bookmarkStart w:id="10" w:name="notice_and_access"/>
      <w:bookmarkEnd w:id="10"/>
      <w:r>
        <w:rPr>
          <w:rFonts w:ascii="Times New Roman" w:hAnsi="Times New Roman"/>
          <w:b/>
          <w:color w:val="000000"/>
          <w:sz w:val="20"/>
        </w:rPr>
        <w:t>Notice-and-Access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is using the “Notice-and-Access” provisions of applicable securities laws under Rule 14a-16 under the Exchange Act and in NI 54-101 and Canadian National Instrument 51-102—</w:t>
      </w:r>
      <w:r>
        <w:rPr>
          <w:rFonts w:ascii="Times New Roman" w:hAnsi="Times New Roman"/>
          <w:i/>
          <w:color w:val="000000"/>
          <w:sz w:val="20"/>
        </w:rPr>
        <w:t>Continuous Disclosure Obligations</w:t>
      </w:r>
      <w:r>
        <w:rPr>
          <w:rFonts w:ascii="Times New Roman" w:hAnsi="Times New Roman"/>
          <w:color w:val="000000"/>
          <w:sz w:val="20"/>
        </w:rPr>
        <w:t xml:space="preserve">, for distribution of the Meeting materials to shareholders. Under Notice-and-Access, companies may post electronic versions of such materials on a website for investor access and review and will make such documents available in hard copy upon request at no cost. Notice-and-Access substantially reduces the Company’s printing and mailing costs and is environmentally friendly as it reduces paper and energy consumption. The proxy statement, the 2025 Form 10-K, together with the notes thereto, and the independent auditor’s report thereon and the related management’s discussion and analysis are available on the Investors page of our website at </w:t>
      </w:r>
      <w:r>
        <w:rPr>
          <w:rFonts w:ascii="Times New Roman" w:hAnsi="Times New Roman"/>
          <w:i/>
          <w:color w:val="000000"/>
          <w:sz w:val="20"/>
          <w:u w:val="single"/>
        </w:rPr>
        <w:t>gtigrows.com</w:t>
      </w:r>
      <w:r>
        <w:rPr>
          <w:rFonts w:ascii="Times New Roman" w:hAnsi="Times New Roman"/>
          <w:color w:val="000000"/>
          <w:sz w:val="20"/>
        </w:rPr>
        <w:t xml:space="preserve">, SEDAR+ under the Company’s profile at </w:t>
      </w:r>
      <w:r>
        <w:rPr>
          <w:rFonts w:ascii="Times New Roman" w:hAnsi="Times New Roman"/>
          <w:i/>
          <w:color w:val="000000"/>
          <w:sz w:val="20"/>
          <w:u w:val="single"/>
        </w:rPr>
        <w:t>www.sedarplus.ca</w:t>
      </w:r>
      <w:r>
        <w:rPr>
          <w:rFonts w:ascii="Times New Roman" w:hAnsi="Times New Roman"/>
          <w:color w:val="000000"/>
          <w:sz w:val="20"/>
        </w:rPr>
        <w:t xml:space="preserve"> and the SEC’s website at </w:t>
      </w:r>
      <w:r>
        <w:rPr>
          <w:rFonts w:ascii="Times New Roman" w:hAnsi="Times New Roman"/>
          <w:i/>
          <w:color w:val="000000"/>
          <w:sz w:val="20"/>
          <w:u w:val="single"/>
        </w:rPr>
        <w:t>www.sec.gov</w:t>
      </w:r>
      <w:r>
        <w:rPr>
          <w:rFonts w:ascii="Times New Roman" w:hAnsi="Times New Roman"/>
          <w:color w:val="000000"/>
          <w:sz w:val="20"/>
        </w:rPr>
        <w:t xml:space="preserve">. The Company has elected not to use the procedure known as “stratification” in relation to its use of the “Notice-and-Access” rules. </w:t>
      </w:r>
    </w:p>
    <w:p>
      <w:pPr>
        <w:pStyle w:val="TextBody"/>
        <w:bidi w:val="0"/>
        <w:spacing w:before="360" w:after="283"/>
        <w:jc w:val="left"/>
        <w:rPr>
          <w:rFonts w:ascii="Times New Roman" w:hAnsi="Times New Roman"/>
          <w:sz w:val="20"/>
        </w:rPr>
      </w:pPr>
      <w:bookmarkStart w:id="11" w:name="obtaining_additional_information"/>
      <w:bookmarkEnd w:id="11"/>
      <w:r>
        <w:rPr>
          <w:rFonts w:ascii="Times New Roman" w:hAnsi="Times New Roman"/>
          <w:b/>
          <w:color w:val="000000"/>
          <w:sz w:val="20"/>
        </w:rPr>
        <w:t>Obtaining Additional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How may I obtain financial and other information about Green Thumb Industries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consolidated financial statements are included in our 2025 Form 10-K. We filed our 2025 Form 10-K with the SEC, 100 F Street, N.E., Washington, D.C. 20549, on February 25, 2026. We will furnish a copy of our 2025 Form 10-K (as amended, excluding exhibits, except those that are specifically requested) without charge to any shareholder who so requests by writing to our Corporate Secretary at the address below under the heading in “</w:t>
      </w:r>
      <w:r>
        <w:rPr>
          <w:rFonts w:ascii="Times New Roman" w:hAnsi="Times New Roman"/>
          <w:i/>
          <w:color w:val="000000"/>
          <w:sz w:val="20"/>
        </w:rPr>
        <w:t>What if I have additional questions or how do I obtain additional copies of this proxy statement or voting materials?</w:t>
      </w:r>
      <w:r>
        <w:rPr>
          <w:rFonts w:ascii="Times New Roman" w:hAnsi="Times New Roman"/>
          <w:color w:val="000000"/>
          <w:sz w:val="20"/>
        </w:rPr>
        <w:t xml:space="preserve">” Our 2025 Form 10-K is also available free of charge on the Investors page of our website at </w:t>
      </w:r>
      <w:r>
        <w:rPr>
          <w:rFonts w:ascii="Times New Roman" w:hAnsi="Times New Roman"/>
          <w:i/>
          <w:color w:val="000000"/>
          <w:sz w:val="20"/>
          <w:u w:val="single"/>
        </w:rPr>
        <w:t>gtigrows.com</w:t>
      </w:r>
      <w:r>
        <w:rPr>
          <w:rFonts w:ascii="Times New Roman" w:hAnsi="Times New Roman"/>
          <w:color w:val="000000"/>
          <w:sz w:val="20"/>
        </w:rPr>
        <w:t xml:space="preserve">, on the SEC’s website at </w:t>
      </w:r>
      <w:r>
        <w:rPr>
          <w:rFonts w:ascii="Times New Roman" w:hAnsi="Times New Roman"/>
          <w:i/>
          <w:color w:val="000000"/>
          <w:sz w:val="20"/>
          <w:u w:val="single"/>
        </w:rPr>
        <w:t>www.sec.gov</w:t>
      </w:r>
      <w:r>
        <w:rPr>
          <w:rFonts w:ascii="Times New Roman" w:hAnsi="Times New Roman"/>
          <w:color w:val="000000"/>
          <w:sz w:val="20"/>
        </w:rPr>
        <w:t xml:space="preserve">, and on SEDAR+ under the Company’s profile at </w:t>
      </w:r>
      <w:r>
        <w:rPr>
          <w:rFonts w:ascii="Times New Roman" w:hAnsi="Times New Roman"/>
          <w:i/>
          <w:color w:val="000000"/>
          <w:sz w:val="20"/>
          <w:u w:val="single"/>
        </w:rPr>
        <w:t>www.sedarplus.ca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writing to us, shareholders also may obtain, without charge, a copy of the Existing Articles, code of conduct and Board standing committee charters. </w:t>
      </w:r>
    </w:p>
    <w:p>
      <w:pPr>
        <w:pStyle w:val="TextBody"/>
        <w:bidi w:val="0"/>
        <w:spacing w:before="360" w:after="283"/>
        <w:jc w:val="left"/>
        <w:rPr>
          <w:rFonts w:ascii="Times New Roman" w:hAnsi="Times New Roman"/>
          <w:sz w:val="20"/>
        </w:rPr>
      </w:pPr>
      <w:r>
        <w:rPr>
          <w:rFonts w:ascii="Times New Roman" w:hAnsi="Times New Roman"/>
          <w:b/>
          <w:i/>
          <w:color w:val="000000"/>
          <w:sz w:val="20"/>
        </w:rPr>
        <w:t>What if I have questions for the Company’s transfer agent?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are a shareholder of record and have questions concerning share certificates, ownership transfer or other matters relating to your share account, please contact our transfer agent at the following address: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Odyssey Trust Co. </w:t>
      </w:r>
    </w:p>
    <w:p>
      <w:pPr>
        <w:pStyle w:val="TextBody"/>
        <w:bidi w:val="0"/>
        <w:jc w:val="center"/>
        <w:rPr>
          <w:rFonts w:ascii="Times New Roman" w:hAnsi="Times New Roman"/>
          <w:color w:val="000000"/>
          <w:sz w:val="20"/>
        </w:rPr>
      </w:pPr>
      <w:r>
        <w:rPr>
          <w:rFonts w:ascii="Times New Roman" w:hAnsi="Times New Roman"/>
          <w:color w:val="000000"/>
          <w:sz w:val="20"/>
        </w:rPr>
        <w:t xml:space="preserve">Trader’s Bank Building, Suite 1100 </w:t>
      </w:r>
    </w:p>
    <w:p>
      <w:pPr>
        <w:pStyle w:val="TextBody"/>
        <w:bidi w:val="0"/>
        <w:jc w:val="center"/>
        <w:rPr>
          <w:rFonts w:ascii="Times New Roman" w:hAnsi="Times New Roman"/>
          <w:color w:val="000000"/>
          <w:sz w:val="20"/>
        </w:rPr>
      </w:pPr>
      <w:r>
        <w:rPr>
          <w:rFonts w:ascii="Times New Roman" w:hAnsi="Times New Roman"/>
          <w:color w:val="000000"/>
          <w:sz w:val="20"/>
        </w:rPr>
        <w:t xml:space="preserve">67 Yonge Street </w:t>
      </w:r>
    </w:p>
    <w:p>
      <w:pPr>
        <w:pStyle w:val="TextBody"/>
        <w:bidi w:val="0"/>
        <w:jc w:val="center"/>
        <w:rPr>
          <w:rFonts w:ascii="Times New Roman" w:hAnsi="Times New Roman"/>
          <w:color w:val="000000"/>
          <w:sz w:val="20"/>
        </w:rPr>
      </w:pPr>
      <w:r>
        <w:rPr>
          <w:rFonts w:ascii="Times New Roman" w:hAnsi="Times New Roman"/>
          <w:color w:val="000000"/>
          <w:sz w:val="20"/>
        </w:rPr>
        <w:t xml:space="preserve">Toronto, ON M5E 1J8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What if I have additional questions or how do I obtain additional copies of this proxy statement or voting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have additional questions or need additional copies of this proxy statement or voting materials, please contact us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Green Thumb Industries Inc. </w:t>
      </w:r>
    </w:p>
    <w:p>
      <w:pPr>
        <w:pStyle w:val="TextBody"/>
        <w:bidi w:val="0"/>
        <w:jc w:val="center"/>
        <w:rPr>
          <w:rFonts w:ascii="Times New Roman" w:hAnsi="Times New Roman"/>
          <w:color w:val="000000"/>
          <w:sz w:val="20"/>
        </w:rPr>
      </w:pPr>
      <w:r>
        <w:rPr>
          <w:rFonts w:ascii="Times New Roman" w:hAnsi="Times New Roman"/>
          <w:color w:val="000000"/>
          <w:sz w:val="20"/>
        </w:rPr>
        <w:t xml:space="preserve">Attn: Corporate Secretary </w:t>
      </w:r>
    </w:p>
    <w:p>
      <w:pPr>
        <w:pStyle w:val="TextBody"/>
        <w:bidi w:val="0"/>
        <w:jc w:val="center"/>
        <w:rPr>
          <w:rFonts w:ascii="Times New Roman" w:hAnsi="Times New Roman"/>
          <w:color w:val="000000"/>
          <w:sz w:val="20"/>
        </w:rPr>
      </w:pPr>
      <w:r>
        <w:rPr>
          <w:rFonts w:ascii="Times New Roman" w:hAnsi="Times New Roman"/>
          <w:color w:val="000000"/>
          <w:sz w:val="20"/>
        </w:rPr>
        <w:t xml:space="preserve">325 West Huron Street, Suite 700 </w:t>
      </w:r>
    </w:p>
    <w:p>
      <w:pPr>
        <w:pStyle w:val="TextBody"/>
        <w:bidi w:val="0"/>
        <w:jc w:val="center"/>
        <w:rPr>
          <w:rFonts w:ascii="Times New Roman" w:hAnsi="Times New Roman"/>
          <w:color w:val="000000"/>
          <w:sz w:val="20"/>
        </w:rPr>
      </w:pPr>
      <w:r>
        <w:rPr>
          <w:rFonts w:ascii="Times New Roman" w:hAnsi="Times New Roman"/>
          <w:color w:val="000000"/>
          <w:sz w:val="20"/>
        </w:rPr>
        <w:t xml:space="preserve">Chicago, Illinois 60654 </w:t>
      </w:r>
    </w:p>
    <w:p>
      <w:pPr>
        <w:pStyle w:val="TextBody"/>
        <w:bidi w:val="0"/>
        <w:jc w:val="center"/>
        <w:rPr>
          <w:rFonts w:ascii="Times New Roman" w:hAnsi="Times New Roman"/>
          <w:sz w:val="20"/>
        </w:rPr>
      </w:pPr>
      <w:r>
        <w:rPr>
          <w:rFonts w:ascii="Times New Roman" w:hAnsi="Times New Roman"/>
          <w:color w:val="000000"/>
          <w:sz w:val="20"/>
          <w:u w:val="single"/>
        </w:rPr>
        <w:t>investorrelations@gtigrows.com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overview_of_proposals_to_be_voted_on"/>
      <w:bookmarkEnd w:id="12"/>
      <w:r>
        <w:rPr>
          <w:rFonts w:ascii="Times New Roman" w:hAnsi="Times New Roman"/>
          <w:b/>
          <w:color w:val="000000"/>
          <w:sz w:val="20"/>
        </w:rPr>
        <w:t>OVERVIEW OF PROPOSALS TO BE VOTED 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All proposals herein are included in this proxy statement at the direction of our Board. Our Board unanimously recommends that you vote “</w:t>
      </w:r>
      <w:r>
        <w:rPr>
          <w:rFonts w:ascii="Times New Roman" w:hAnsi="Times New Roman"/>
          <w:b/>
          <w:color w:val="000000"/>
          <w:sz w:val="20"/>
          <w:u w:val="single"/>
        </w:rPr>
        <w:t>FOR</w:t>
      </w:r>
      <w:r>
        <w:rPr>
          <w:rFonts w:ascii="Times New Roman" w:hAnsi="Times New Roman"/>
          <w:color w:val="000000"/>
          <w:sz w:val="20"/>
        </w:rPr>
        <w:t>” the setting of the number of directors at seven, the election of the director nominees and the compensation of our named executive officers in Proposals No. 1, 2 and 3, “</w:t>
      </w:r>
      <w:r>
        <w:rPr>
          <w:rFonts w:ascii="Times New Roman" w:hAnsi="Times New Roman"/>
          <w:b/>
          <w:color w:val="000000"/>
          <w:sz w:val="20"/>
          <w:u w:val="single"/>
        </w:rPr>
        <w:t>FOR</w:t>
      </w:r>
      <w:r>
        <w:rPr>
          <w:rFonts w:ascii="Times New Roman" w:hAnsi="Times New Roman"/>
          <w:color w:val="000000"/>
          <w:sz w:val="20"/>
        </w:rPr>
        <w:t>” the re-appointment and remuneration of auditors in Proposal No. 4, and “</w:t>
      </w:r>
      <w:r>
        <w:rPr>
          <w:rFonts w:ascii="Times New Roman" w:hAnsi="Times New Roman"/>
          <w:b/>
          <w:color w:val="000000"/>
          <w:sz w:val="20"/>
          <w:u w:val="single"/>
        </w:rPr>
        <w:t>FOR</w:t>
      </w:r>
      <w:r>
        <w:rPr>
          <w:rFonts w:ascii="Times New Roman" w:hAnsi="Times New Roman"/>
          <w:color w:val="000000"/>
          <w:sz w:val="20"/>
        </w:rPr>
        <w:t xml:space="preserve">” the Amendment Proposal in Proposal No. 5. </w:t>
      </w:r>
    </w:p>
    <w:p>
      <w:pPr>
        <w:pStyle w:val="TextBody"/>
        <w:bidi w:val="0"/>
        <w:spacing w:before="240" w:after="283"/>
        <w:jc w:val="center"/>
        <w:rPr>
          <w:rFonts w:ascii="Times New Roman" w:hAnsi="Times New Roman"/>
          <w:sz w:val="20"/>
        </w:rPr>
      </w:pPr>
      <w:bookmarkStart w:id="13" w:name="proposals_no_1_and_2_election_of_direc"/>
      <w:bookmarkEnd w:id="13"/>
      <w:r>
        <w:rPr>
          <w:rFonts w:ascii="Times New Roman" w:hAnsi="Times New Roman"/>
          <w:b/>
          <w:color w:val="000000"/>
          <w:sz w:val="20"/>
        </w:rPr>
        <w:t>PROPOSALS NO. 1 AND</w:t>
      </w:r>
      <w:r>
        <w:rPr>
          <w:rFonts w:ascii="Times New Roman" w:hAnsi="Times New Roman"/>
          <w:color w:val="000000"/>
          <w:sz w:val="20"/>
        </w:rPr>
        <w:t xml:space="preserve"> </w:t>
      </w:r>
      <w:r>
        <w:rPr>
          <w:rFonts w:ascii="Times New Roman" w:hAnsi="Times New Roman"/>
          <w:b/>
          <w:color w:val="000000"/>
          <w:sz w:val="20"/>
        </w:rPr>
        <w:t>2—ELECTION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Articles provide that the number of directors should not be fewer than three directors. There are currently seven directors of the Company. It is proposed to fix the number of directors at seven and that seven directors be elected at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proposes to nominate at the Meeting the persons whose names are set forth in the table below, each to serve as a director of the Company until the next meeting of shareholders at which the election of directors is considered, or until his/her successor is duly elected or appointed, unless he/she resigns, is removed or becomes disqualified in accordance with the Articles or the BCBCA. The persons named in the accompanying Proxy Instrument intend to vote for the election of such persons at the Meeting, unless otherwise directed. Management does not contemplate that any of the nominees will be unable to serve as a director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out the name of each current director, each of whom is proposed by the Board to be nominated for election as a director of the Company at the Meeting, and each of their respective positions and the period during which such person has been a director of the Company.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0"/>
        <w:gridCol w:w="146"/>
        <w:gridCol w:w="146"/>
        <w:gridCol w:w="316"/>
        <w:gridCol w:w="146"/>
        <w:gridCol w:w="146"/>
        <w:gridCol w:w="4662"/>
        <w:gridCol w:w="146"/>
        <w:gridCol w:w="1517"/>
        <w:gridCol w:w="146"/>
        <w:gridCol w:w="1084"/>
      </w:tblGrid>
      <w:tr>
        <w:trPr/>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of Residence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Dawn Wilson Barnes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Audit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Georgia, 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r>
      <w:tr>
        <w:trPr/>
        <w:tc>
          <w:tcPr>
            <w:tcW w:w="17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Georgiadis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2"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and President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Florida, USA</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Goldman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Audit Committee member, Compensation Committee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Illinois, 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r>
      <w:tr>
        <w:trPr/>
        <w:tc>
          <w:tcPr>
            <w:tcW w:w="17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2"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Founder, Chairman of the Board and Chief Executive Officer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Illinois, USA</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Ethan Nadelmann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Compensation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r>
      <w:tr>
        <w:trPr/>
        <w:tc>
          <w:tcPr>
            <w:tcW w:w="17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Reisin</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2"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Audit Committee Chair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Florida, USA</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(Buchan) 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Audit Committee member, Compensation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California, 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4" w:name="toc79560_10"/>
      <w:bookmarkEnd w:id="14"/>
      <w:r>
        <w:rPr>
          <w:rFonts w:ascii="Times New Roman" w:hAnsi="Times New Roman"/>
          <w:b/>
          <w:color w:val="000000"/>
          <w:sz w:val="20"/>
        </w:rPr>
        <w:t>Biographical</w:t>
      </w:r>
      <w:bookmarkStart w:id="15" w:name="biographical_information"/>
      <w:bookmarkEnd w:id="15"/>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with the Company’s ongoing effort to maintain a highly qualified, independent Board with relevant expertise to guide the Company going forward, the Board believes a broad range of characteristics, including skills and experience, as well as diversity and demographic factors are important considerations in selecting director nominees. The nominees for election, whose information appears below, reflect those efforts. Following is a summary of key qualifications each nominee brings to the Board and the biographies of the nominees for the Board.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25"/>
        <w:gridCol w:w="146"/>
        <w:gridCol w:w="601"/>
        <w:gridCol w:w="146"/>
        <w:gridCol w:w="901"/>
        <w:gridCol w:w="146"/>
        <w:gridCol w:w="781"/>
        <w:gridCol w:w="146"/>
        <w:gridCol w:w="616"/>
        <w:gridCol w:w="146"/>
        <w:gridCol w:w="931"/>
        <w:gridCol w:w="146"/>
        <w:gridCol w:w="541"/>
        <w:gridCol w:w="146"/>
        <w:gridCol w:w="587"/>
      </w:tblGrid>
      <w:tr>
        <w:trPr/>
        <w:tc>
          <w:tcPr>
            <w:tcW w:w="422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7" w:type="dxa"/>
            <w:tcBorders/>
            <w:shd w:fill="FFFFFF" w:val="clear"/>
            <w:vAlign w:val="center"/>
          </w:tcPr>
          <w:p>
            <w:pPr>
              <w:pStyle w:val="TableContents"/>
              <w:bidi w:val="0"/>
              <w:spacing w:before="0" w:after="283"/>
              <w:jc w:val="left"/>
              <w:rPr>
                <w:sz w:val="4"/>
                <w:szCs w:val="4"/>
              </w:rPr>
            </w:pPr>
            <w:r>
              <w:rPr>
                <w:sz w:val="4"/>
                <w:szCs w:val="4"/>
              </w:rPr>
            </w:r>
          </w:p>
        </w:tc>
      </w:tr>
      <w:tr>
        <w:trPr/>
        <w:tc>
          <w:tcPr>
            <w:tcW w:w="4225" w:type="dxa"/>
            <w:tcBorders>
              <w:top w:val="single" w:sz="18" w:space="0" w:color="026937"/>
              <w:left w:val="single" w:sz="6" w:space="0" w:color="000000"/>
            </w:tcBorders>
            <w:shd w:fill="026937"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pPr>
            <w:r>
              <w:rPr/>
              <w:t> </w:t>
            </w:r>
          </w:p>
        </w:tc>
        <w:tc>
          <w:tcPr>
            <w:tcW w:w="901"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pPr>
            <w:r>
              <w:rPr/>
              <w:t> </w:t>
            </w:r>
          </w:p>
        </w:tc>
        <w:tc>
          <w:tcPr>
            <w:tcW w:w="616"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pPr>
            <w:r>
              <w:rPr/>
              <w:t> </w:t>
            </w:r>
          </w:p>
        </w:tc>
        <w:tc>
          <w:tcPr>
            <w:tcW w:w="541"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18" w:space="0" w:color="026937"/>
            </w:tcBorders>
            <w:shd w:fill="026937" w:val="clear"/>
            <w:tcMar>
              <w:left w:w="0" w:type="dxa"/>
              <w:bottom w:w="0" w:type="dxa"/>
              <w:right w:w="0" w:type="dxa"/>
            </w:tcMar>
            <w:vAlign w:val="center"/>
          </w:tcPr>
          <w:p>
            <w:pPr>
              <w:pStyle w:val="TableContents"/>
              <w:bidi w:val="0"/>
              <w:spacing w:before="0" w:after="283"/>
              <w:jc w:val="left"/>
              <w:rPr/>
            </w:pPr>
            <w:r>
              <w:rPr/>
              <w:t> </w:t>
            </w:r>
          </w:p>
        </w:tc>
        <w:tc>
          <w:tcPr>
            <w:tcW w:w="587" w:type="dxa"/>
            <w:tcBorders>
              <w:top w:val="single" w:sz="18" w:space="0" w:color="026937"/>
              <w:right w:val="single" w:sz="6" w:space="0" w:color="026937"/>
            </w:tcBorders>
            <w:shd w:fill="026937"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225" w:type="dxa"/>
            <w:tcBorders>
              <w:left w:val="single" w:sz="6" w:space="0" w:color="000000"/>
              <w:bottom w:val="single" w:sz="18" w:space="0" w:color="026937"/>
            </w:tcBorders>
            <w:shd w:fill="026937" w:val="clear"/>
            <w:tcMar>
              <w:top w:w="0" w:type="dxa"/>
              <w:right w:w="0" w:type="dxa"/>
            </w:tcMar>
            <w:vAlign w:val="center"/>
          </w:tcPr>
          <w:p>
            <w:pPr>
              <w:pStyle w:val="TableContents"/>
              <w:bidi w:val="0"/>
              <w:spacing w:before="0" w:after="20"/>
              <w:jc w:val="center"/>
              <w:rPr>
                <w:rFonts w:ascii="Times New Roman" w:hAnsi="Times New Roman"/>
                <w:b/>
                <w:color w:val="F2F2F2"/>
                <w:sz w:val="16"/>
              </w:rPr>
            </w:pPr>
            <w:r>
              <w:rPr>
                <w:rFonts w:ascii="Times New Roman" w:hAnsi="Times New Roman"/>
                <w:b/>
                <w:color w:val="F2F2F2"/>
                <w:sz w:val="16"/>
              </w:rPr>
              <w:t>Qualification</w:t>
            </w:r>
          </w:p>
        </w:tc>
        <w:tc>
          <w:tcPr>
            <w:tcW w:w="146"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rFonts w:ascii="Times New Roman" w:hAnsi="Times New Roman"/>
                <w:b/>
                <w:color w:val="F2F2F2"/>
                <w:sz w:val="16"/>
              </w:rPr>
            </w:pPr>
            <w:r>
              <w:rPr>
                <w:rFonts w:ascii="Times New Roman" w:hAnsi="Times New Roman"/>
                <w:b/>
                <w:color w:val="F2F2F2"/>
                <w:sz w:val="16"/>
              </w:rPr>
              <w:t>Barnes</w:t>
            </w:r>
          </w:p>
        </w:tc>
        <w:tc>
          <w:tcPr>
            <w:tcW w:w="146"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rFonts w:ascii="Times New Roman" w:hAnsi="Times New Roman"/>
                <w:b/>
                <w:color w:val="F2F2F2"/>
                <w:sz w:val="16"/>
              </w:rPr>
            </w:pPr>
            <w:r>
              <w:rPr>
                <w:rFonts w:ascii="Times New Roman" w:hAnsi="Times New Roman"/>
                <w:b/>
                <w:color w:val="F2F2F2"/>
                <w:sz w:val="16"/>
              </w:rPr>
              <w:t>Georgiadis</w:t>
            </w:r>
          </w:p>
        </w:tc>
        <w:tc>
          <w:tcPr>
            <w:tcW w:w="146"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rFonts w:ascii="Times New Roman" w:hAnsi="Times New Roman"/>
                <w:b/>
                <w:color w:val="F2F2F2"/>
                <w:sz w:val="16"/>
              </w:rPr>
            </w:pPr>
            <w:r>
              <w:rPr>
                <w:rFonts w:ascii="Times New Roman" w:hAnsi="Times New Roman"/>
                <w:b/>
                <w:color w:val="F2F2F2"/>
                <w:sz w:val="16"/>
              </w:rPr>
              <w:t>Goldman</w:t>
            </w:r>
          </w:p>
        </w:tc>
        <w:tc>
          <w:tcPr>
            <w:tcW w:w="146"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rFonts w:ascii="Times New Roman" w:hAnsi="Times New Roman"/>
                <w:b/>
                <w:color w:val="F2F2F2"/>
                <w:sz w:val="16"/>
              </w:rPr>
            </w:pPr>
            <w:r>
              <w:rPr>
                <w:rFonts w:ascii="Times New Roman" w:hAnsi="Times New Roman"/>
                <w:b/>
                <w:color w:val="F2F2F2"/>
                <w:sz w:val="16"/>
              </w:rPr>
              <w:t>Kovler</w:t>
            </w:r>
          </w:p>
        </w:tc>
        <w:tc>
          <w:tcPr>
            <w:tcW w:w="146"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rFonts w:ascii="Times New Roman" w:hAnsi="Times New Roman"/>
                <w:b/>
                <w:color w:val="F2F2F2"/>
                <w:sz w:val="16"/>
              </w:rPr>
            </w:pPr>
            <w:r>
              <w:rPr>
                <w:rFonts w:ascii="Times New Roman" w:hAnsi="Times New Roman"/>
                <w:b/>
                <w:color w:val="F2F2F2"/>
                <w:sz w:val="16"/>
              </w:rPr>
              <w:t>Nadelmann</w:t>
            </w:r>
          </w:p>
        </w:tc>
        <w:tc>
          <w:tcPr>
            <w:tcW w:w="146"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pPr>
            <w:r>
              <w:rPr/>
              <w:t> </w:t>
            </w:r>
          </w:p>
        </w:tc>
        <w:tc>
          <w:tcPr>
            <w:tcW w:w="541"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rFonts w:ascii="Times New Roman" w:hAnsi="Times New Roman"/>
                <w:b/>
                <w:color w:val="F2F2F2"/>
                <w:sz w:val="16"/>
              </w:rPr>
            </w:pPr>
            <w:r>
              <w:rPr>
                <w:rFonts w:ascii="Times New Roman" w:hAnsi="Times New Roman"/>
                <w:b/>
                <w:color w:val="F2F2F2"/>
                <w:sz w:val="16"/>
              </w:rPr>
              <w:t>Reisin</w:t>
            </w:r>
          </w:p>
        </w:tc>
        <w:tc>
          <w:tcPr>
            <w:tcW w:w="146" w:type="dxa"/>
            <w:tcBorders>
              <w:bottom w:val="single" w:sz="18" w:space="0" w:color="026937"/>
            </w:tcBorders>
            <w:shd w:fill="026937" w:val="clear"/>
            <w:tcMar>
              <w:top w:w="0" w:type="dxa"/>
              <w:left w:w="0" w:type="dxa"/>
              <w:right w:w="0" w:type="dxa"/>
            </w:tcMar>
            <w:vAlign w:val="center"/>
          </w:tcPr>
          <w:p>
            <w:pPr>
              <w:pStyle w:val="TableContents"/>
              <w:bidi w:val="0"/>
              <w:spacing w:before="0" w:after="283"/>
              <w:jc w:val="center"/>
              <w:rPr/>
            </w:pPr>
            <w:r>
              <w:rPr/>
              <w:t> </w:t>
            </w:r>
          </w:p>
        </w:tc>
        <w:tc>
          <w:tcPr>
            <w:tcW w:w="587" w:type="dxa"/>
            <w:tcBorders>
              <w:bottom w:val="single" w:sz="18" w:space="0" w:color="026937"/>
              <w:right w:val="single" w:sz="6" w:space="0" w:color="026937"/>
            </w:tcBorders>
            <w:shd w:fill="026937" w:val="clear"/>
            <w:tcMar>
              <w:top w:w="0" w:type="dxa"/>
              <w:left w:w="0" w:type="dxa"/>
            </w:tcMar>
            <w:vAlign w:val="center"/>
          </w:tcPr>
          <w:p>
            <w:pPr>
              <w:pStyle w:val="TableContents"/>
              <w:bidi w:val="0"/>
              <w:spacing w:before="0" w:after="283"/>
              <w:ind w:left="0" w:right="0" w:firstLine="106"/>
              <w:jc w:val="center"/>
              <w:rPr>
                <w:rFonts w:ascii="Times New Roman" w:hAnsi="Times New Roman"/>
                <w:b/>
                <w:color w:val="F2F2F2"/>
                <w:sz w:val="16"/>
              </w:rPr>
            </w:pPr>
            <w:r>
              <w:rPr>
                <w:rFonts w:ascii="Times New Roman" w:hAnsi="Times New Roman"/>
                <w:b/>
                <w:color w:val="F2F2F2"/>
                <w:sz w:val="16"/>
              </w:rPr>
              <w:t>Ross</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6"/>
              <w:jc w:val="center"/>
              <w:rPr/>
            </w:pPr>
            <w:r>
              <w:rPr/>
              <w:t> </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6"/>
              <w:jc w:val="left"/>
              <w:rPr>
                <w:rFonts w:ascii="Times New Roman" w:hAnsi="Times New Roman"/>
                <w:color w:val="000000"/>
                <w:sz w:val="18"/>
              </w:rPr>
            </w:pPr>
            <w:r>
              <w:rPr>
                <w:rFonts w:ascii="Times New Roman" w:hAnsi="Times New Roman"/>
                <w:color w:val="000000"/>
                <w:sz w:val="18"/>
              </w:rPr>
              <w:t>Independence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6"/>
              <w:jc w:val="center"/>
              <w:rPr>
                <w:color w:val="026937"/>
              </w:rPr>
            </w:pPr>
            <w:r>
              <w:rPr>
                <w:color w:val="026937"/>
              </w:rPr>
              <w:t>●</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rFonts w:ascii="Times New Roman" w:hAnsi="Times New Roman"/>
                <w:color w:val="000000"/>
                <w:sz w:val="18"/>
              </w:rPr>
            </w:pPr>
            <w:r>
              <w:rPr>
                <w:rFonts w:ascii="Times New Roman" w:hAnsi="Times New Roman"/>
                <w:color w:val="000000"/>
                <w:sz w:val="18"/>
              </w:rPr>
              <w:t>Core business skills, including financial and strategic planning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center"/>
              <w:rPr>
                <w:color w:val="026937"/>
              </w:rPr>
            </w:pPr>
            <w:r>
              <w:rPr>
                <w:color w:val="026937"/>
              </w:rPr>
              <w:t>●</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6"/>
              <w:jc w:val="left"/>
              <w:rPr>
                <w:rFonts w:ascii="Times New Roman" w:hAnsi="Times New Roman"/>
                <w:color w:val="000000"/>
                <w:sz w:val="18"/>
              </w:rPr>
            </w:pPr>
            <w:r>
              <w:rPr>
                <w:rFonts w:ascii="Times New Roman" w:hAnsi="Times New Roman"/>
                <w:color w:val="000000"/>
                <w:sz w:val="18"/>
              </w:rPr>
              <w:t>Real estate planning, development and transactions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rFonts w:ascii="Times New Roman" w:hAnsi="Times New Roman"/>
                <w:color w:val="000000"/>
                <w:sz w:val="18"/>
              </w:rPr>
            </w:pPr>
            <w:r>
              <w:rPr>
                <w:rFonts w:ascii="Times New Roman" w:hAnsi="Times New Roman"/>
                <w:color w:val="000000"/>
                <w:sz w:val="18"/>
              </w:rPr>
              <w:t>Operating and management experience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center"/>
              <w:rPr>
                <w:color w:val="026937"/>
              </w:rPr>
            </w:pPr>
            <w:r>
              <w:rPr>
                <w:color w:val="026937"/>
              </w:rPr>
              <w:t>●</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6"/>
              <w:jc w:val="left"/>
              <w:rPr>
                <w:rFonts w:ascii="Times New Roman" w:hAnsi="Times New Roman"/>
                <w:color w:val="000000"/>
                <w:sz w:val="18"/>
              </w:rPr>
            </w:pPr>
            <w:r>
              <w:rPr>
                <w:rFonts w:ascii="Times New Roman" w:hAnsi="Times New Roman"/>
                <w:color w:val="000000"/>
                <w:sz w:val="18"/>
              </w:rPr>
              <w:t>Finance, financial reporting and analysis expertise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6"/>
              <w:jc w:val="center"/>
              <w:rPr>
                <w:color w:val="026937"/>
              </w:rPr>
            </w:pPr>
            <w:r>
              <w:rPr>
                <w:color w:val="026937"/>
              </w:rPr>
              <w:t>●</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rFonts w:ascii="Times New Roman" w:hAnsi="Times New Roman"/>
                <w:color w:val="000000"/>
                <w:sz w:val="18"/>
              </w:rPr>
            </w:pPr>
            <w:r>
              <w:rPr>
                <w:rFonts w:ascii="Times New Roman" w:hAnsi="Times New Roman"/>
                <w:color w:val="000000"/>
                <w:sz w:val="18"/>
              </w:rPr>
              <w:t>Cannabis industry expertise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center"/>
              <w:rPr>
                <w:color w:val="026937"/>
              </w:rPr>
            </w:pPr>
            <w:r>
              <w:rPr>
                <w:color w:val="026937"/>
              </w:rPr>
              <w:t>●</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6"/>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18"/>
              </w:rPr>
            </w:pPr>
            <w:r>
              <w:rPr>
                <w:rFonts w:ascii="Times New Roman" w:hAnsi="Times New Roman"/>
                <w:color w:val="000000"/>
                <w:sz w:val="18"/>
              </w:rPr>
              <w:t>Marketing and branding expertise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center"/>
              <w:rPr>
                <w:color w:val="026937"/>
              </w:rPr>
            </w:pPr>
            <w:r>
              <w:rPr>
                <w:color w:val="026937"/>
              </w:rPr>
              <w:t>●</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18"/>
              </w:rPr>
            </w:pPr>
            <w:r>
              <w:rPr>
                <w:rFonts w:ascii="Times New Roman" w:hAnsi="Times New Roman"/>
                <w:color w:val="000000"/>
                <w:sz w:val="18"/>
              </w:rPr>
              <w:t>CEO experience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center"/>
              <w:rPr>
                <w:color w:val="026937"/>
              </w:rPr>
            </w:pPr>
            <w:r>
              <w:rPr>
                <w:color w:val="026937"/>
              </w:rPr>
              <w:t>●</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18"/>
              </w:rPr>
            </w:pPr>
            <w:r>
              <w:rPr>
                <w:rFonts w:ascii="Times New Roman" w:hAnsi="Times New Roman"/>
                <w:color w:val="000000"/>
                <w:sz w:val="18"/>
              </w:rPr>
              <w:t>Accounting and auditing expertise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center"/>
              <w:rPr>
                <w:color w:val="026937"/>
              </w:rPr>
            </w:pPr>
            <w:r>
              <w:rPr>
                <w:color w:val="026937"/>
              </w:rPr>
              <w:t>●</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18"/>
              </w:rPr>
            </w:pPr>
            <w:r>
              <w:rPr>
                <w:rFonts w:ascii="Times New Roman" w:hAnsi="Times New Roman"/>
                <w:color w:val="000000"/>
                <w:sz w:val="18"/>
              </w:rPr>
              <w:t>Capital markets expertise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center"/>
              <w:rPr>
                <w:color w:val="026937"/>
              </w:rPr>
            </w:pPr>
            <w:r>
              <w:rPr>
                <w:color w:val="026937"/>
              </w:rPr>
              <w:t>●</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18"/>
              </w:rPr>
            </w:pPr>
            <w:r>
              <w:rPr>
                <w:rFonts w:ascii="Times New Roman" w:hAnsi="Times New Roman"/>
                <w:color w:val="000000"/>
                <w:sz w:val="18"/>
              </w:rPr>
              <w:t>Community involvement and social impact experience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center"/>
              <w:rPr>
                <w:color w:val="026937"/>
              </w:rPr>
            </w:pPr>
            <w:r>
              <w:rPr>
                <w:color w:val="026937"/>
              </w:rPr>
              <w:t>●</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18"/>
              </w:rPr>
            </w:pPr>
            <w:r>
              <w:rPr>
                <w:rFonts w:ascii="Times New Roman" w:hAnsi="Times New Roman"/>
                <w:color w:val="000000"/>
                <w:sz w:val="18"/>
              </w:rPr>
              <w:t>Diversity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center"/>
              <w:rPr>
                <w:color w:val="026937"/>
              </w:rPr>
            </w:pPr>
            <w:r>
              <w:rPr>
                <w:color w:val="026937"/>
              </w:rPr>
              <w:t>●</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18"/>
              </w:rPr>
            </w:pPr>
            <w:r>
              <w:rPr>
                <w:rFonts w:ascii="Times New Roman" w:hAnsi="Times New Roman"/>
                <w:color w:val="000000"/>
                <w:sz w:val="18"/>
              </w:rPr>
              <w:t>High-growth company expertise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center"/>
              <w:rPr>
                <w:color w:val="026937"/>
              </w:rPr>
            </w:pPr>
            <w:r>
              <w:rPr>
                <w:color w:val="026937"/>
              </w:rPr>
              <w:t>●</w:t>
            </w:r>
          </w:p>
        </w:tc>
      </w:tr>
      <w:tr>
        <w:trPr/>
        <w:tc>
          <w:tcPr>
            <w:tcW w:w="4225"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18"/>
              </w:rPr>
            </w:pPr>
            <w:r>
              <w:rPr>
                <w:rFonts w:ascii="Times New Roman" w:hAnsi="Times New Roman"/>
                <w:color w:val="000000"/>
                <w:sz w:val="18"/>
              </w:rPr>
              <w:t>Drug policy expertise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color w:val="026937"/>
              </w:rPr>
            </w:pPr>
            <w:r>
              <w:rPr>
                <w:color w:val="026937"/>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4225" w:type="dxa"/>
            <w:tcBorders/>
            <w:shd w:fill="E5E5E5"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sz w:val="4"/>
                <w:szCs w:val="4"/>
              </w:rPr>
            </w:pPr>
            <w:r>
              <w:rPr>
                <w:sz w:val="4"/>
                <w:szCs w:val="4"/>
              </w:rPr>
            </w:r>
          </w:p>
        </w:tc>
        <w:tc>
          <w:tcPr>
            <w:tcW w:w="8447" w:type="dxa"/>
            <w:tcBorders/>
            <w:vAlign w:val="center"/>
          </w:tcPr>
          <w:p>
            <w:pPr>
              <w:pStyle w:val="TableContents"/>
              <w:bidi w:val="0"/>
              <w:spacing w:before="0" w:after="283"/>
              <w:jc w:val="left"/>
              <w:rPr>
                <w:sz w:val="4"/>
                <w:szCs w:val="4"/>
              </w:rPr>
            </w:pPr>
            <w:r>
              <w:rPr>
                <w:sz w:val="4"/>
                <w:szCs w:val="4"/>
              </w:rPr>
            </w:r>
          </w:p>
        </w:tc>
      </w:tr>
      <w:tr>
        <w:trPr/>
        <w:tc>
          <w:tcPr>
            <w:tcW w:w="1758" w:type="dxa"/>
            <w:tcBorders/>
            <w:tcMar>
              <w:top w:w="0" w:type="dxa"/>
              <w:left w:w="0" w:type="dxa"/>
              <w:bottom w:w="0" w:type="dxa"/>
              <w:right w:w="0"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Dawn Wilson Barnes</w:t>
            </w:r>
          </w:p>
          <w:p>
            <w:pPr>
              <w:pStyle w:val="TableContents"/>
              <w:bidi w:val="0"/>
              <w:jc w:val="left"/>
              <w:rPr/>
            </w:pPr>
            <w:r>
              <w:rPr/>
              <w:t> </w:t>
            </w:r>
          </w:p>
          <w:p>
            <w:pPr>
              <w:pStyle w:val="TableContents"/>
              <w:bidi w:val="0"/>
              <w:spacing w:before="0" w:after="20"/>
              <w:jc w:val="left"/>
              <w:rPr/>
            </w:pPr>
            <w:r>
              <w:rPr/>
              <w:drawing>
                <wp:inline distT="0" distB="0" distL="0" distR="0">
                  <wp:extent cx="1047750" cy="1047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1047750"/>
                          </a:xfrm>
                          <a:prstGeom prst="rect">
                            <a:avLst/>
                          </a:prstGeom>
                        </pic:spPr>
                      </pic:pic>
                    </a:graphicData>
                  </a:graphic>
                </wp:inline>
              </w:drawing>
            </w:r>
          </w:p>
        </w:tc>
        <w:tc>
          <w:tcPr>
            <w:tcW w:w="844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Dawn Wilson Barnes has served as a Director since January 2023. Since April 2004, Ms. Barnes has served as the President and Founder of Aurora Bay Capital, an Atlanta-based financial services firm that provides institutional marketing and consulting services to firms seeking growth capital. Ms. Barnes began her financial services career at J.P. Morgan Securities, Inc. in Private Finance and the Equities Division. She later transitioned to Goldman Sachs &amp; Co. as Vice President in the Investment Management Division where she managed $2 billion in multi-asset class investment portfolios in the firm’s Private Wealth Management Group. She began her professional career in the Corporate Financial Audit Department of Honeywell, Inc. performing financial and operational audits of Honeywell divisions and subsidiaries across the U.S. and Europe. While in this role, Ms. Barnes also sat for and passed the Uniform CPA Examination in the State of Minnesota. Ms. Barnes graduated from The University of Michigan with a BBA in Accounting and earned her MBA in Finance and Entrepreneurial Management from The Wharton School of the University of Pennsylvania. She holds Series 7, 63, 66, 79 and 50 registrations and is a Registered Representative of Young America Capital, LLC. </w:t>
            </w:r>
          </w:p>
          <w:p>
            <w:pPr>
              <w:pStyle w:val="TableContents"/>
              <w:bidi w:val="0"/>
              <w:spacing w:before="120" w:after="283"/>
              <w:jc w:val="left"/>
              <w:rPr>
                <w:rFonts w:ascii="Times New Roman" w:hAnsi="Times New Roman"/>
                <w:sz w:val="20"/>
              </w:rPr>
            </w:pPr>
            <w:r>
              <w:rPr>
                <w:rFonts w:ascii="Times New Roman" w:hAnsi="Times New Roman"/>
                <w:i/>
                <w:color w:val="000000"/>
                <w:sz w:val="20"/>
              </w:rPr>
              <w:t>Key experience, qualifications, attributes and skills:</w:t>
            </w:r>
            <w:r>
              <w:rPr>
                <w:rFonts w:ascii="Times New Roman" w:hAnsi="Times New Roman"/>
                <w:color w:val="000000"/>
                <w:sz w:val="20"/>
              </w:rPr>
              <w:t> Ms. Barnes’ specific qualifications, experience, skills and expertise include: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Core business skills, including financial and strategic planning;</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Operating and management experience;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Audit and accounting expertise; and</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Finance and financial reporting expertise.</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4"/>
        <w:gridCol w:w="8451"/>
      </w:tblGrid>
      <w:tr>
        <w:trPr/>
        <w:tc>
          <w:tcPr>
            <w:tcW w:w="1754" w:type="dxa"/>
            <w:tcBorders/>
            <w:vAlign w:val="center"/>
          </w:tcPr>
          <w:p>
            <w:pPr>
              <w:pStyle w:val="TableContents"/>
              <w:bidi w:val="0"/>
              <w:spacing w:before="0" w:after="283"/>
              <w:jc w:val="left"/>
              <w:rPr>
                <w:sz w:val="4"/>
                <w:szCs w:val="4"/>
              </w:rPr>
            </w:pPr>
            <w:r>
              <w:rPr>
                <w:sz w:val="4"/>
                <w:szCs w:val="4"/>
              </w:rPr>
            </w:r>
          </w:p>
        </w:tc>
        <w:tc>
          <w:tcPr>
            <w:tcW w:w="8451" w:type="dxa"/>
            <w:tcBorders/>
            <w:vAlign w:val="center"/>
          </w:tcPr>
          <w:p>
            <w:pPr>
              <w:pStyle w:val="TableContents"/>
              <w:bidi w:val="0"/>
              <w:spacing w:before="0" w:after="283"/>
              <w:jc w:val="left"/>
              <w:rPr>
                <w:sz w:val="4"/>
                <w:szCs w:val="4"/>
              </w:rPr>
            </w:pPr>
            <w:r>
              <w:rPr>
                <w:sz w:val="4"/>
                <w:szCs w:val="4"/>
              </w:rPr>
            </w:r>
          </w:p>
        </w:tc>
      </w:tr>
      <w:tr>
        <w:trPr/>
        <w:tc>
          <w:tcPr>
            <w:tcW w:w="1754" w:type="dxa"/>
            <w:tcBorders/>
            <w:tcMar>
              <w:top w:w="0" w:type="dxa"/>
              <w:left w:w="0" w:type="dxa"/>
              <w:bottom w:w="0" w:type="dxa"/>
              <w:right w:w="0"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Anthony Georgiadis</w:t>
            </w:r>
          </w:p>
          <w:p>
            <w:pPr>
              <w:pStyle w:val="TableContents"/>
              <w:bidi w:val="0"/>
              <w:spacing w:before="0" w:after="20"/>
              <w:jc w:val="left"/>
              <w:rPr/>
            </w:pPr>
            <w:r>
              <w:rPr/>
              <w:drawing>
                <wp:inline distT="0" distB="0" distL="0" distR="0">
                  <wp:extent cx="1047750" cy="1047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 cy="1047750"/>
                          </a:xfrm>
                          <a:prstGeom prst="rect">
                            <a:avLst/>
                          </a:prstGeom>
                        </pic:spPr>
                      </pic:pic>
                    </a:graphicData>
                  </a:graphic>
                </wp:inline>
              </w:drawing>
            </w:r>
          </w:p>
        </w:tc>
        <w:tc>
          <w:tcPr>
            <w:tcW w:w="845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Anthony Georgiadis has served on our Board since January 2017. He assumed the role of President as of January 1, 2023, after joining us in May 2015 as a managing partner and then holding the role of Chief Financial Officer from January 2017 until becoming President. In 2005, Anthony co-founded and, until he joined our Company, acted as Chief Operating Officer of Wendover Art Group, one of the largest domestic wall decor manufacturers in North America. Previously, he worked as an investment associate for CIVC Partners, a $1.5 billion private equity firm, and as a mergers and acquisitions analyst for Bowles Hollowell Conner &amp; Co. Anthony is an avid supporter of Students for Sensible Drug Policy, the Drug Policy Alliance, the Marijuana Policy Project and the Special Operations Warriors Foundation. Anthony graduated </w:t>
            </w:r>
            <w:r>
              <w:rPr>
                <w:rFonts w:ascii="Times New Roman" w:hAnsi="Times New Roman"/>
                <w:i/>
                <w:color w:val="000000"/>
                <w:sz w:val="20"/>
              </w:rPr>
              <w:t>magna cum laude</w:t>
            </w:r>
            <w:r>
              <w:rPr>
                <w:rFonts w:ascii="Times New Roman" w:hAnsi="Times New Roman"/>
                <w:color w:val="000000"/>
                <w:sz w:val="20"/>
              </w:rPr>
              <w:t> from Bucknell University with a degree in finance and a minor in mathematics.</w:t>
            </w:r>
          </w:p>
          <w:p>
            <w:pPr>
              <w:pStyle w:val="TableContents"/>
              <w:bidi w:val="0"/>
              <w:spacing w:before="120" w:after="283"/>
              <w:jc w:val="left"/>
              <w:rPr>
                <w:rFonts w:ascii="Times New Roman" w:hAnsi="Times New Roman"/>
                <w:sz w:val="20"/>
              </w:rPr>
            </w:pPr>
            <w:r>
              <w:rPr>
                <w:rFonts w:ascii="Times New Roman" w:hAnsi="Times New Roman"/>
                <w:i/>
                <w:color w:val="000000"/>
                <w:sz w:val="20"/>
              </w:rPr>
              <w:t>Key experience, qualifications, attributes and skills:</w:t>
            </w:r>
            <w:r>
              <w:rPr>
                <w:rFonts w:ascii="Times New Roman" w:hAnsi="Times New Roman"/>
                <w:color w:val="000000"/>
                <w:sz w:val="20"/>
              </w:rPr>
              <w:t> Mr. Georgiadis’ specific qualifications, experience, skills and expertise include: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Core business skills, including financial and strategic planning;</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Operating and management experience;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 deep understanding of the cannabis industry; and</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Finance, financial reporting and analysis expertise.</w:t>
            </w:r>
          </w:p>
        </w:tc>
      </w:tr>
    </w:tbl>
    <w:tbl>
      <w:tblPr>
        <w:tblW w:w="10205" w:type="dxa"/>
        <w:jc w:val="left"/>
        <w:tblInd w:w="0" w:type="dxa"/>
        <w:tblLayout w:type="fixed"/>
        <w:tblCellMar>
          <w:top w:w="28" w:type="dxa"/>
          <w:left w:w="28" w:type="dxa"/>
          <w:bottom w:w="28" w:type="dxa"/>
          <w:right w:w="28" w:type="dxa"/>
        </w:tblCellMar>
      </w:tblPr>
      <w:tblGrid>
        <w:gridCol w:w="1751"/>
        <w:gridCol w:w="8454"/>
      </w:tblGrid>
      <w:tr>
        <w:trPr/>
        <w:tc>
          <w:tcPr>
            <w:tcW w:w="1751" w:type="dxa"/>
            <w:tcBorders/>
            <w:vAlign w:val="center"/>
          </w:tcPr>
          <w:p>
            <w:pPr>
              <w:pStyle w:val="TableContents"/>
              <w:bidi w:val="0"/>
              <w:spacing w:before="0" w:after="283"/>
              <w:jc w:val="left"/>
              <w:rPr>
                <w:sz w:val="4"/>
                <w:szCs w:val="4"/>
              </w:rPr>
            </w:pPr>
            <w:r>
              <w:rPr>
                <w:sz w:val="4"/>
                <w:szCs w:val="4"/>
              </w:rPr>
            </w:r>
          </w:p>
        </w:tc>
        <w:tc>
          <w:tcPr>
            <w:tcW w:w="8454" w:type="dxa"/>
            <w:tcBorders/>
            <w:vAlign w:val="center"/>
          </w:tcPr>
          <w:p>
            <w:pPr>
              <w:pStyle w:val="TableContents"/>
              <w:bidi w:val="0"/>
              <w:spacing w:before="0" w:after="283"/>
              <w:jc w:val="left"/>
              <w:rPr>
                <w:sz w:val="4"/>
                <w:szCs w:val="4"/>
              </w:rPr>
            </w:pPr>
            <w:r>
              <w:rPr>
                <w:sz w:val="4"/>
                <w:szCs w:val="4"/>
              </w:rPr>
            </w:r>
          </w:p>
        </w:tc>
      </w:tr>
      <w:tr>
        <w:trPr/>
        <w:tc>
          <w:tcPr>
            <w:tcW w:w="1751" w:type="dxa"/>
            <w:tcBorders/>
            <w:tcMar>
              <w:top w:w="0" w:type="dxa"/>
              <w:left w:w="0" w:type="dxa"/>
              <w:bottom w:w="0" w:type="dxa"/>
              <w:right w:w="0"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Jeffrey Goldman</w:t>
            </w:r>
          </w:p>
          <w:p>
            <w:pPr>
              <w:pStyle w:val="TableContents"/>
              <w:bidi w:val="0"/>
              <w:spacing w:before="0" w:after="20"/>
              <w:jc w:val="left"/>
              <w:rPr/>
            </w:pPr>
            <w:r>
              <w:rPr/>
              <w:drawing>
                <wp:inline distT="0" distB="0" distL="0" distR="0">
                  <wp:extent cx="1047750" cy="1047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 cy="1047750"/>
                          </a:xfrm>
                          <a:prstGeom prst="rect">
                            <a:avLst/>
                          </a:prstGeom>
                        </pic:spPr>
                      </pic:pic>
                    </a:graphicData>
                  </a:graphic>
                </wp:inline>
              </w:drawing>
            </w:r>
          </w:p>
        </w:tc>
        <w:tc>
          <w:tcPr>
            <w:tcW w:w="845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Jeffrey Goldman joined Green Thumb as a Director in October 2022. Since October 1998, Mr. Goldman has served as Vice President of Carol’s Cookies, Inc., a family-owned business founded in 1979 by his mother, where he has delivered double-digit growth annually by successfully partnering with Fortune 500 companies such as Whole Foods Market, Sprouts and Sysco Foodservice. In addition to his leadership role with Carol’s Cookies, from 1999 until 2018, Mr. Goldman served as Vice President of Reed-Union Corporation, the former owner and marketer of top selling automotive appearance products, which he left after orchestrating the sale of its brands to Energizer Holdings. At Reed-Union, he led domestic as well as international sales, helping to make its Nu Finish brand the top-selling brand in its category in the U.S., Canada and Australia. Mr. Goldman also serves as an active member of the board of directors of the Gastrointestinal Research Foundation and of the Judd Goldman Adaptive Sailing Program, which annually helps teach 1,000 people with disabilities how to sail on the open waters of Lake Michigan. He graduated summa cum laude from Tulane University with a degree in Psychology. </w:t>
            </w:r>
          </w:p>
          <w:p>
            <w:pPr>
              <w:pStyle w:val="TableContents"/>
              <w:bidi w:val="0"/>
              <w:spacing w:before="120" w:after="283"/>
              <w:jc w:val="left"/>
              <w:rPr>
                <w:rFonts w:ascii="Times New Roman" w:hAnsi="Times New Roman"/>
                <w:sz w:val="20"/>
              </w:rPr>
            </w:pPr>
            <w:r>
              <w:rPr>
                <w:rFonts w:ascii="Times New Roman" w:hAnsi="Times New Roman"/>
                <w:i/>
                <w:color w:val="000000"/>
                <w:sz w:val="20"/>
              </w:rPr>
              <w:t>Key experience, qualifications, attributes and skills:</w:t>
            </w:r>
            <w:r>
              <w:rPr>
                <w:rFonts w:ascii="Times New Roman" w:hAnsi="Times New Roman"/>
                <w:color w:val="000000"/>
                <w:sz w:val="20"/>
              </w:rPr>
              <w:t> Mr. Goldman’s specific qualifications, experience, skills and expertise include: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Core business skills, including financial and strategic planning;</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Marketing expertise and a deep understanding of brand development;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Operating and management experience; and</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Finance, financial reporting and analysis expertise.</w:t>
            </w:r>
          </w:p>
        </w:tc>
      </w:tr>
    </w:tbl>
    <w:tbl>
      <w:tblPr>
        <w:tblW w:w="10205" w:type="dxa"/>
        <w:jc w:val="left"/>
        <w:tblInd w:w="0" w:type="dxa"/>
        <w:tblLayout w:type="fixed"/>
        <w:tblCellMar>
          <w:top w:w="28" w:type="dxa"/>
          <w:left w:w="28" w:type="dxa"/>
          <w:bottom w:w="28" w:type="dxa"/>
          <w:right w:w="28" w:type="dxa"/>
        </w:tblCellMar>
      </w:tblPr>
      <w:tblGrid>
        <w:gridCol w:w="1751"/>
        <w:gridCol w:w="8454"/>
      </w:tblGrid>
      <w:tr>
        <w:trPr/>
        <w:tc>
          <w:tcPr>
            <w:tcW w:w="1751" w:type="dxa"/>
            <w:tcBorders/>
            <w:vAlign w:val="center"/>
          </w:tcPr>
          <w:p>
            <w:pPr>
              <w:pStyle w:val="TableContents"/>
              <w:bidi w:val="0"/>
              <w:spacing w:before="0" w:after="283"/>
              <w:jc w:val="left"/>
              <w:rPr>
                <w:sz w:val="4"/>
                <w:szCs w:val="4"/>
              </w:rPr>
            </w:pPr>
            <w:r>
              <w:rPr>
                <w:sz w:val="4"/>
                <w:szCs w:val="4"/>
              </w:rPr>
            </w:r>
          </w:p>
        </w:tc>
        <w:tc>
          <w:tcPr>
            <w:tcW w:w="8454" w:type="dxa"/>
            <w:tcBorders/>
            <w:vAlign w:val="center"/>
          </w:tcPr>
          <w:p>
            <w:pPr>
              <w:pStyle w:val="TableContents"/>
              <w:bidi w:val="0"/>
              <w:spacing w:before="0" w:after="283"/>
              <w:jc w:val="left"/>
              <w:rPr>
                <w:sz w:val="4"/>
                <w:szCs w:val="4"/>
              </w:rPr>
            </w:pPr>
            <w:r>
              <w:rPr>
                <w:sz w:val="4"/>
                <w:szCs w:val="4"/>
              </w:rPr>
            </w:r>
          </w:p>
        </w:tc>
      </w:tr>
      <w:tr>
        <w:trPr/>
        <w:tc>
          <w:tcPr>
            <w:tcW w:w="1751" w:type="dxa"/>
            <w:tcBorders/>
            <w:tcMar>
              <w:top w:w="0" w:type="dxa"/>
              <w:left w:w="0" w:type="dxa"/>
              <w:bottom w:w="0" w:type="dxa"/>
              <w:right w:w="0"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Benjamin Kovler</w:t>
            </w:r>
          </w:p>
          <w:p>
            <w:pPr>
              <w:pStyle w:val="TableContents"/>
              <w:bidi w:val="0"/>
              <w:spacing w:before="0" w:after="20"/>
              <w:jc w:val="left"/>
              <w:rPr/>
            </w:pPr>
            <w:r>
              <w:rPr/>
              <w:drawing>
                <wp:inline distT="0" distB="0" distL="0" distR="0">
                  <wp:extent cx="1047750" cy="1047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 cy="1047750"/>
                          </a:xfrm>
                          <a:prstGeom prst="rect">
                            <a:avLst/>
                          </a:prstGeom>
                        </pic:spPr>
                      </pic:pic>
                    </a:graphicData>
                  </a:graphic>
                </wp:inline>
              </w:drawing>
            </w:r>
          </w:p>
        </w:tc>
        <w:tc>
          <w:tcPr>
            <w:tcW w:w="8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Benjamin Kovler founded Green Thumb Industries Inc. in 2014. He has been Chairman since 2014 and Chief Executive Officer from 2014 through year-end 2017 and since August 2018. As of November 5, 2024, Mr. Kovler also serves as Interim CEO and Chairman of RYTHM, Inc. (formerly Agrify Corporation). In his capacity as Interim CEO, he also serves as principal executive, and until March 24, 2025, as chief financial and accounting officer. Mr, Kovler is frequently featured as a cannabis industry thought leader in media outlets such as Bloomberg, Barron’s, Business Insider, CNBC and Forbes. He previously served on the boards of directors of Springbig, Inc., a cannabis marketing platform from January 2018 until December 2022, and The Cann + Botl Company, a privately held cannabis-infused beverage company, from December 2020 to December 2022. He is also co-founder of Invest For Kids, a not-for-profit organization that hosts an annual investment ideas conference to benefit underserved young people in Chicago. Founded in 2009, Invest For Kids has raised nearly $25 million, 100% of which has supported over 120 organizations dedicated to improving the lives of Chicago’s youth. Benjamin brings his extensive experience managing complex operating companies and deep commitment to philanthropy. He earned a Bachelor of Arts in philosophy, politics and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economics from Pomona College and a Master of Business Administration in accounting and finance from The University of Chicago.</w:t>
            </w:r>
          </w:p>
          <w:p>
            <w:pPr>
              <w:pStyle w:val="TableContents"/>
              <w:bidi w:val="0"/>
              <w:spacing w:before="120" w:after="283"/>
              <w:jc w:val="left"/>
              <w:rPr>
                <w:rFonts w:ascii="Times New Roman" w:hAnsi="Times New Roman"/>
                <w:sz w:val="20"/>
              </w:rPr>
            </w:pPr>
            <w:r>
              <w:rPr>
                <w:rFonts w:ascii="Times New Roman" w:hAnsi="Times New Roman"/>
                <w:i/>
                <w:color w:val="000000"/>
                <w:sz w:val="20"/>
              </w:rPr>
              <w:t>Key experience, qualifications, attributes and skills:</w:t>
            </w:r>
            <w:r>
              <w:rPr>
                <w:rFonts w:ascii="Times New Roman" w:hAnsi="Times New Roman"/>
                <w:color w:val="000000"/>
                <w:sz w:val="20"/>
              </w:rPr>
              <w:t> Mr. Kovler’s specific qualifications, experience, skills and expertise include: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Core business skills, including financial and strategic planning;</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Capital markets expertise;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 deep understanding of our company and the industry; and</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Operating and management experience.</w:t>
            </w:r>
          </w:p>
        </w:tc>
      </w:tr>
    </w:tbl>
    <w:tbl>
      <w:tblPr>
        <w:tblW w:w="10205" w:type="dxa"/>
        <w:jc w:val="left"/>
        <w:tblInd w:w="0" w:type="dxa"/>
        <w:tblLayout w:type="fixed"/>
        <w:tblCellMar>
          <w:top w:w="28" w:type="dxa"/>
          <w:left w:w="28" w:type="dxa"/>
          <w:bottom w:w="28" w:type="dxa"/>
          <w:right w:w="28" w:type="dxa"/>
        </w:tblCellMar>
      </w:tblPr>
      <w:tblGrid>
        <w:gridCol w:w="1751"/>
        <w:gridCol w:w="8454"/>
      </w:tblGrid>
      <w:tr>
        <w:trPr/>
        <w:tc>
          <w:tcPr>
            <w:tcW w:w="1751" w:type="dxa"/>
            <w:tcBorders/>
            <w:vAlign w:val="center"/>
          </w:tcPr>
          <w:p>
            <w:pPr>
              <w:pStyle w:val="TableContents"/>
              <w:bidi w:val="0"/>
              <w:spacing w:before="0" w:after="283"/>
              <w:jc w:val="left"/>
              <w:rPr>
                <w:sz w:val="4"/>
                <w:szCs w:val="4"/>
              </w:rPr>
            </w:pPr>
            <w:r>
              <w:rPr>
                <w:sz w:val="4"/>
                <w:szCs w:val="4"/>
              </w:rPr>
            </w:r>
          </w:p>
        </w:tc>
        <w:tc>
          <w:tcPr>
            <w:tcW w:w="8454" w:type="dxa"/>
            <w:tcBorders/>
            <w:vAlign w:val="center"/>
          </w:tcPr>
          <w:p>
            <w:pPr>
              <w:pStyle w:val="TableContents"/>
              <w:bidi w:val="0"/>
              <w:spacing w:before="0" w:after="283"/>
              <w:jc w:val="left"/>
              <w:rPr>
                <w:sz w:val="4"/>
                <w:szCs w:val="4"/>
              </w:rPr>
            </w:pPr>
            <w:r>
              <w:rPr>
                <w:sz w:val="4"/>
                <w:szCs w:val="4"/>
              </w:rPr>
            </w:r>
          </w:p>
        </w:tc>
      </w:tr>
      <w:tr>
        <w:trPr/>
        <w:tc>
          <w:tcPr>
            <w:tcW w:w="1751" w:type="dxa"/>
            <w:tcBorders/>
            <w:tcMar>
              <w:top w:w="0" w:type="dxa"/>
              <w:left w:w="0" w:type="dxa"/>
              <w:bottom w:w="0" w:type="dxa"/>
              <w:right w:w="0"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Ethan Nadelmann</w:t>
            </w:r>
          </w:p>
          <w:p>
            <w:pPr>
              <w:pStyle w:val="TableContents"/>
              <w:bidi w:val="0"/>
              <w:spacing w:before="0" w:after="20"/>
              <w:jc w:val="left"/>
              <w:rPr/>
            </w:pPr>
            <w:r>
              <w:rPr/>
              <w:drawing>
                <wp:inline distT="0" distB="0" distL="0" distR="0">
                  <wp:extent cx="1047750" cy="1047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 cy="1047750"/>
                          </a:xfrm>
                          <a:prstGeom prst="rect">
                            <a:avLst/>
                          </a:prstGeom>
                        </pic:spPr>
                      </pic:pic>
                    </a:graphicData>
                  </a:graphic>
                </wp:inline>
              </w:drawing>
            </w:r>
          </w:p>
        </w:tc>
        <w:tc>
          <w:tcPr>
            <w:tcW w:w="8454"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Ethan Nadelmann joined the Green Thumb board as Director in April 2023. Mr. Nadelmann has been deeply involved in cannabis policy and cannabis policy reform advocacy for over 35 years. He is the founder, host and executive producer of PSYCHOACTIVE, a podcast addressing cannabis and other drug issues. He is the founder of both the Drug Policy Alliance, a nonprofit organization where he was executive director from 2000 until 2017, and, prior to that, The Lindesmith Center, an Open Society Institute project that he directed from 1994 to 2000. He has been responsible for transforming public and elite opinion as well as state, federal and foreign cannabis and other drug policies through assorted advocacy efforts, including overseeing ballot initiatives and legislative efforts in the USA to legalize cannabis for medical and adult use purposes. Mr. Nadelmann co-founded the International Harm Reduction Development program of the Open Society Foundations (“OSF”) and served on its advisory board as well as that of the OSF’s Global Drug Policy Program. He served as a professor of politics and public affairs at Princeton University from 1987 to 1994. Mr. Nadelmann is the author of two books on the internationalization of criminal law enforcement (</w:t>
            </w:r>
            <w:r>
              <w:rPr>
                <w:rFonts w:ascii="Times New Roman" w:hAnsi="Times New Roman"/>
                <w:i/>
                <w:color w:val="000000"/>
                <w:sz w:val="20"/>
              </w:rPr>
              <w:t xml:space="preserve">Cops Across Borders </w:t>
            </w:r>
            <w:r>
              <w:rPr>
                <w:rFonts w:ascii="Times New Roman" w:hAnsi="Times New Roman"/>
                <w:color w:val="000000"/>
                <w:sz w:val="20"/>
              </w:rPr>
              <w:t xml:space="preserve">and, with Peter Andreas, </w:t>
            </w:r>
            <w:r>
              <w:rPr>
                <w:rFonts w:ascii="Times New Roman" w:hAnsi="Times New Roman"/>
                <w:i/>
                <w:color w:val="000000"/>
                <w:sz w:val="20"/>
              </w:rPr>
              <w:t>Policing the Globe</w:t>
            </w:r>
            <w:r>
              <w:rPr>
                <w:rFonts w:ascii="Times New Roman" w:hAnsi="Times New Roman"/>
                <w:color w:val="000000"/>
                <w:sz w:val="20"/>
              </w:rPr>
              <w:t>) and has published in top academic journals, policy journals and political publications. Mr. Nadelmann received his BA, JD, and PhD from Harvard University and a master’s degree in international relations from the London School of Economics.</w:t>
            </w:r>
          </w:p>
          <w:p>
            <w:pPr>
              <w:pStyle w:val="TableContents"/>
              <w:bidi w:val="0"/>
              <w:spacing w:before="120" w:after="283"/>
              <w:jc w:val="left"/>
              <w:rPr>
                <w:rFonts w:ascii="Times New Roman" w:hAnsi="Times New Roman"/>
                <w:sz w:val="20"/>
              </w:rPr>
            </w:pPr>
            <w:r>
              <w:rPr>
                <w:rFonts w:ascii="Times New Roman" w:hAnsi="Times New Roman"/>
                <w:i/>
                <w:color w:val="000000"/>
                <w:sz w:val="20"/>
              </w:rPr>
              <w:t>Key experience, qualifications, attributes and skills:</w:t>
            </w:r>
            <w:r>
              <w:rPr>
                <w:rFonts w:ascii="Times New Roman" w:hAnsi="Times New Roman"/>
                <w:color w:val="000000"/>
                <w:sz w:val="20"/>
              </w:rPr>
              <w:t> Mr. Nadelmann’s specific qualifications, experience, skills and expertise include: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Cannabis industry expertise;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Drug policy expertise and advocacy; and</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Operating and management experience.</w:t>
            </w:r>
          </w:p>
        </w:tc>
      </w:tr>
    </w:tbl>
    <w:tbl>
      <w:tblPr>
        <w:tblW w:w="10205" w:type="dxa"/>
        <w:jc w:val="left"/>
        <w:tblInd w:w="0" w:type="dxa"/>
        <w:tblLayout w:type="fixed"/>
        <w:tblCellMar>
          <w:top w:w="28" w:type="dxa"/>
          <w:left w:w="28" w:type="dxa"/>
          <w:bottom w:w="28" w:type="dxa"/>
          <w:right w:w="28" w:type="dxa"/>
        </w:tblCellMar>
      </w:tblPr>
      <w:tblGrid>
        <w:gridCol w:w="2006"/>
        <w:gridCol w:w="8199"/>
      </w:tblGrid>
      <w:tr>
        <w:trPr/>
        <w:tc>
          <w:tcPr>
            <w:tcW w:w="2006" w:type="dxa"/>
            <w:tcBorders/>
            <w:vAlign w:val="center"/>
          </w:tcPr>
          <w:p>
            <w:pPr>
              <w:pStyle w:val="TableContents"/>
              <w:bidi w:val="0"/>
              <w:spacing w:before="0" w:after="283"/>
              <w:jc w:val="left"/>
              <w:rPr>
                <w:sz w:val="4"/>
                <w:szCs w:val="4"/>
              </w:rPr>
            </w:pPr>
            <w:r>
              <w:rPr>
                <w:sz w:val="4"/>
                <w:szCs w:val="4"/>
              </w:rPr>
            </w:r>
          </w:p>
        </w:tc>
        <w:tc>
          <w:tcPr>
            <w:tcW w:w="8199"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00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b/>
                <w:i/>
                <w:color w:val="000000"/>
                <w:sz w:val="20"/>
              </w:rPr>
            </w:pPr>
            <w:r>
              <w:rPr>
                <w:rFonts w:ascii="Times New Roman" w:hAnsi="Times New Roman"/>
                <w:b/>
                <w:i/>
                <w:color w:val="000000"/>
                <w:sz w:val="20"/>
              </w:rPr>
              <w:t>Richard Reisin</w:t>
            </w:r>
          </w:p>
          <w:p>
            <w:pPr>
              <w:pStyle w:val="TableContents"/>
              <w:bidi w:val="0"/>
              <w:spacing w:before="0" w:after="20"/>
              <w:ind w:left="0" w:right="0" w:firstLine="240"/>
              <w:jc w:val="left"/>
              <w:rPr/>
            </w:pPr>
            <w:r>
              <w:rPr/>
              <w:drawing>
                <wp:inline distT="0" distB="0" distL="0" distR="0">
                  <wp:extent cx="1057275" cy="1057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57275" cy="1057275"/>
                          </a:xfrm>
                          <a:prstGeom prst="rect">
                            <a:avLst/>
                          </a:prstGeom>
                        </pic:spPr>
                      </pic:pic>
                    </a:graphicData>
                  </a:graphic>
                </wp:inline>
              </w:drawing>
            </w:r>
          </w:p>
        </w:tc>
        <w:tc>
          <w:tcPr>
            <w:tcW w:w="819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Richard Reisin joined the Green Thumb board as a Director in September 2023, and became chair of the Audit Committee in December 2023. From July 2015 to November 2020, Mr. Reisin served as Executive Vice President and Director at Carylon Corporation, a national organization of industry-leading, regional operating companies that offer a wide range of specialized services including sewer maintenance, industrial services, and water management for municipalities, utilities, and industrial companies. Prior to that, beginning in 1997, Mr. Reisin was a CPA at Ostrow Reisin Berk &amp; Abrams, Ltd., where he specialized in accounting, audit, tax, and consulting services for privately held businesses in a variety of industries including construction, distribution, broker dealers, manufacturing, and service businesses, ultimately serving as a Director until June 2015. Due to his detailed, proactive approach to providing unique solutions, Mr. Reisin was named a FIVE STAR Wealth Manager by Chicago magazine in 2010, 2011, 2012, 2013 and 2014. Mr. Reisin graduated from Indiana University with a Bachelor of Science in Finance. </w:t>
            </w:r>
          </w:p>
          <w:p>
            <w:pPr>
              <w:pStyle w:val="TableContents"/>
              <w:bidi w:val="0"/>
              <w:spacing w:before="120" w:after="283"/>
              <w:jc w:val="left"/>
              <w:rPr>
                <w:rFonts w:ascii="Times New Roman" w:hAnsi="Times New Roman"/>
                <w:sz w:val="20"/>
              </w:rPr>
            </w:pPr>
            <w:r>
              <w:rPr>
                <w:rFonts w:ascii="Times New Roman" w:hAnsi="Times New Roman"/>
                <w:i/>
                <w:color w:val="000000"/>
                <w:sz w:val="20"/>
              </w:rPr>
              <w:t>Key experience, qualifications, attributes and skills:</w:t>
            </w:r>
            <w:r>
              <w:rPr>
                <w:rFonts w:ascii="Times New Roman" w:hAnsi="Times New Roman"/>
                <w:color w:val="000000"/>
                <w:sz w:val="20"/>
              </w:rPr>
              <w:t> Mr. Reisin’s specific qualifications, experience, skills and expertise include: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Core business skills, including financial and strategic planning;</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Audit and accounting experience; and</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Operating and management experience.</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2"/>
        <w:gridCol w:w="8433"/>
      </w:tblGrid>
      <w:tr>
        <w:trPr/>
        <w:tc>
          <w:tcPr>
            <w:tcW w:w="1772" w:type="dxa"/>
            <w:tcBorders/>
            <w:vAlign w:val="center"/>
          </w:tcPr>
          <w:p>
            <w:pPr>
              <w:pStyle w:val="TableContents"/>
              <w:bidi w:val="0"/>
              <w:spacing w:before="0" w:after="283"/>
              <w:jc w:val="left"/>
              <w:rPr>
                <w:sz w:val="4"/>
                <w:szCs w:val="4"/>
              </w:rPr>
            </w:pPr>
            <w:r>
              <w:rPr>
                <w:sz w:val="4"/>
                <w:szCs w:val="4"/>
              </w:rPr>
            </w:r>
          </w:p>
        </w:tc>
        <w:tc>
          <w:tcPr>
            <w:tcW w:w="8433" w:type="dxa"/>
            <w:tcBorders/>
            <w:vAlign w:val="center"/>
          </w:tcPr>
          <w:p>
            <w:pPr>
              <w:pStyle w:val="TableContents"/>
              <w:bidi w:val="0"/>
              <w:spacing w:before="0" w:after="283"/>
              <w:jc w:val="left"/>
              <w:rPr>
                <w:sz w:val="4"/>
                <w:szCs w:val="4"/>
              </w:rPr>
            </w:pPr>
            <w:r>
              <w:rPr>
                <w:sz w:val="4"/>
                <w:szCs w:val="4"/>
              </w:rPr>
            </w:r>
          </w:p>
        </w:tc>
      </w:tr>
      <w:tr>
        <w:trPr/>
        <w:tc>
          <w:tcPr>
            <w:tcW w:w="1772" w:type="dxa"/>
            <w:tcBorders/>
            <w:tcMar>
              <w:top w:w="0" w:type="dxa"/>
              <w:left w:w="0" w:type="dxa"/>
              <w:bottom w:w="0" w:type="dxa"/>
              <w:right w:w="0"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Hannah (Buchan) Ross</w:t>
            </w:r>
          </w:p>
          <w:p>
            <w:pPr>
              <w:pStyle w:val="TableContents"/>
              <w:bidi w:val="0"/>
              <w:spacing w:before="0" w:after="20"/>
              <w:jc w:val="left"/>
              <w:rPr/>
            </w:pPr>
            <w:r>
              <w:rPr/>
              <w:drawing>
                <wp:inline distT="0" distB="0" distL="0" distR="0">
                  <wp:extent cx="1047750" cy="1047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 cy="1047750"/>
                          </a:xfrm>
                          <a:prstGeom prst="rect">
                            <a:avLst/>
                          </a:prstGeom>
                        </pic:spPr>
                      </pic:pic>
                    </a:graphicData>
                  </a:graphic>
                </wp:inline>
              </w:drawing>
            </w:r>
          </w:p>
        </w:tc>
        <w:tc>
          <w:tcPr>
            <w:tcW w:w="843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Hannah (Buchan) Ross joined the Green Thumb board as a Director in September 2023. She currently serves as the Chief Executive Officer of Edie Parker, a lifestyle brand merging the worlds of fashion and cannabis, a role she assumed in 2025 after serving as Chief Operating Officer since 2022. Since December 2017, Ms. Ross has also been a Partner at Beehouse LLC, an investment firm focused on the U.S. legal cannabis industry. From September 2020 to February 2021, she served as the interim Chief Executive Officer for Lowell Herb Co. She has nearly a decade of experience investing in public and private cannabis companies across various growth stages and capital structures, beginning her career in the Investment Banking Division at Goldman Sachs. Ms. Ross is a member of the Forbes 30 Under 30 class of 2022. She has served on the boards of Beehouse Justice Initiative and the Edie Parker Foundation, both 501(c)(3) status organizations focused on healing the harms caused by the unequal enforcement of cannabis prohibition, since September 2019 and September 2022, respectively. Ms. Ross received a Bachelor of Arts, magna cum laude, from the University of Pennsylvania.</w:t>
            </w:r>
          </w:p>
          <w:p>
            <w:pPr>
              <w:pStyle w:val="TableContents"/>
              <w:bidi w:val="0"/>
              <w:spacing w:before="120" w:after="283"/>
              <w:jc w:val="left"/>
              <w:rPr>
                <w:rFonts w:ascii="Times New Roman" w:hAnsi="Times New Roman"/>
                <w:sz w:val="20"/>
              </w:rPr>
            </w:pPr>
            <w:r>
              <w:rPr>
                <w:rFonts w:ascii="Times New Roman" w:hAnsi="Times New Roman"/>
                <w:i/>
                <w:color w:val="000000"/>
                <w:sz w:val="20"/>
              </w:rPr>
              <w:t>Key experience, qualifications, attributes and skills:</w:t>
            </w:r>
            <w:r>
              <w:rPr>
                <w:rFonts w:ascii="Times New Roman" w:hAnsi="Times New Roman"/>
                <w:color w:val="000000"/>
                <w:sz w:val="20"/>
              </w:rPr>
              <w:t> Ms. Ross’ specific qualifications, experience, skills and expertise include: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Core business skills, including financial and strategic planning;</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Cannabis industry experience;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Capital markets experience;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Finance, financial reporting and analysis expertise; and</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Operating and management experience.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persons named in the accompanying Proxy Instrument (if named and absent contrary directions) intend to vote the shares represented thereby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 xml:space="preserve">(i) setting the number of directors at seven and (ii) the election of each of the aforementioned named nominees unless otherwise instructed on a properly executed and validly deposited proxy. </w:t>
      </w:r>
      <w:r>
        <w:rPr>
          <w:rFonts w:ascii="Times New Roman" w:hAnsi="Times New Roman"/>
          <w:color w:val="000000"/>
          <w:sz w:val="20"/>
        </w:rPr>
        <w:t xml:space="preserve">Management of the Company does not contemplate that any nominees named above will be unable to serve as a director but, if that should occur for any reason prior to the Meeting, the persons named in the enclosed form of proxy reserve the right to vote for another nominee at their discretion. </w:t>
      </w:r>
    </w:p>
    <w:p>
      <w:pPr>
        <w:pStyle w:val="TextBody"/>
        <w:bidi w:val="0"/>
        <w:spacing w:before="360" w:after="283"/>
        <w:jc w:val="left"/>
        <w:rPr>
          <w:rFonts w:ascii="Times New Roman" w:hAnsi="Times New Roman"/>
          <w:sz w:val="20"/>
        </w:rPr>
      </w:pPr>
      <w:bookmarkStart w:id="16" w:name="replacement_or_removal_of_directors"/>
      <w:bookmarkEnd w:id="16"/>
      <w:r>
        <w:rPr>
          <w:rFonts w:ascii="Times New Roman" w:hAnsi="Times New Roman"/>
          <w:b/>
          <w:color w:val="000000"/>
          <w:sz w:val="20"/>
        </w:rPr>
        <w:t>Replacement or Removal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directors are elected or appointed to fill casual vacancies or vacancies arising from the removal of directors, in both instances whether by shareholders or directors, the directors shall hold office until the remainder of the unexpired portion of the term of the departed director that was replaced. </w:t>
      </w:r>
    </w:p>
    <w:p>
      <w:pPr>
        <w:pStyle w:val="TextBody"/>
        <w:bidi w:val="0"/>
        <w:spacing w:before="360" w:after="283"/>
        <w:jc w:val="left"/>
        <w:rPr>
          <w:rFonts w:ascii="Times New Roman" w:hAnsi="Times New Roman"/>
          <w:sz w:val="20"/>
        </w:rPr>
      </w:pPr>
      <w:bookmarkStart w:id="17" w:name="advance_notice_policy"/>
      <w:bookmarkEnd w:id="17"/>
      <w:r>
        <w:rPr>
          <w:rFonts w:ascii="Times New Roman" w:hAnsi="Times New Roman"/>
          <w:b/>
          <w:color w:val="000000"/>
          <w:sz w:val="20"/>
        </w:rPr>
        <w:t>Advance Notice Policy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Articles include an advance notice policy for the nomination for election of directors (the “</w:t>
      </w:r>
      <w:r>
        <w:rPr>
          <w:rFonts w:ascii="Times New Roman" w:hAnsi="Times New Roman"/>
          <w:b/>
          <w:color w:val="000000"/>
          <w:sz w:val="20"/>
        </w:rPr>
        <w:t>Advance Notice Policy</w:t>
      </w:r>
      <w:r>
        <w:rPr>
          <w:rFonts w:ascii="Times New Roman" w:hAnsi="Times New Roman"/>
          <w:color w:val="000000"/>
          <w:sz w:val="20"/>
        </w:rPr>
        <w:t>”). The Advance Notice Policy provides that any shareholder seeking to nominate a candidate for election as a director (a “</w:t>
      </w:r>
      <w:r>
        <w:rPr>
          <w:rFonts w:ascii="Times New Roman" w:hAnsi="Times New Roman"/>
          <w:b/>
          <w:color w:val="000000"/>
          <w:sz w:val="20"/>
        </w:rPr>
        <w:t>Nominating Shareholder</w:t>
      </w:r>
      <w:r>
        <w:rPr>
          <w:rFonts w:ascii="Times New Roman" w:hAnsi="Times New Roman"/>
          <w:color w:val="000000"/>
          <w:sz w:val="20"/>
        </w:rPr>
        <w:t xml:space="preserve">”) at any annual meeting of the shareholders, or at any special meeting of shareholders if one of the purposes for which the special meeting was called was the election of directors, must give timely notice thereof in proper written form to our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timely, a Nominating Shareholder’s notice must be made: (i) in the case of an annual meeting of shareholders (including an annual and special meeting), not less than thirty (30) days prior to the date of the annual meeting of shareholders, provided, however, that in the event that the annual meeting of shareholders is to be held on a date that is less than fifty (50) days after the date on which the first public announcement of the meeting was made, notice by the Nominating Shareholder may be made not later than the close of business on the tenth (10th) day following the date of such first public announcement; and (ii) in the case of a special meeting of shareholders (which is not also an annual meeting) called for the purpose of electing directors (whether or not called for other purposes as well), not later than the close of business on the fifteenth (15th) day following the day on which the first public announcement of the date of the special meeting of shareholders was made, provided that, in either instance, if Notice-and-Access (as defined in NI 54-101) is used for delivery of proxy related materials in respect of a meeting described above, and the date of such first public announcement in respect of the meeting is not less than 50 days prior to the date of the applicable meeting, the notice must be received not later than the close of business on the 40th day before the applicable meeting. The Articles also prescribe the proper written form for a Nominating Shareholder’s notice.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satisfying the requirements under the Articles described above, to comply with the universal proxy rules under the Exchange Act, any shareholder who intends to solicit proxies in support of director nominees other than the Board’s nominees must provide notice that sets forth the information required by Rule 14a-19 under the Exchange Act no later than April 15, 2026. However, if the date of the 2026 Annual General Meeting is more than 30 days before or after the anniversary of the date of the Meeting, then such notice must be delivered by the later of (x) the 10th day following the day we first publicly announce the date of the 2026 Annual General Meeting and (y) the date which is 60 days prior to the date of the 2026 Annual General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chairman of the meeting shall have the power and duty to determine whether a nomination was made in accordance with the notice procedures set forth in the Articles and, if any proposed nomination is not in compliance with such provisions, the discretion to declare that such defective nomination will be disregarded.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the Board may, in their sole discretion, waive any requirement in the Advance Notice Policy. </w:t>
      </w:r>
    </w:p>
    <w:p>
      <w:pPr>
        <w:pStyle w:val="TextBody"/>
        <w:bidi w:val="0"/>
        <w:spacing w:before="360" w:after="283"/>
        <w:jc w:val="left"/>
        <w:rPr>
          <w:rFonts w:ascii="Times New Roman" w:hAnsi="Times New Roman"/>
          <w:sz w:val="20"/>
        </w:rPr>
      </w:pPr>
      <w:bookmarkStart w:id="18" w:name="corporate_cease_trade_orders_bankruptc"/>
      <w:bookmarkEnd w:id="18"/>
      <w:r>
        <w:rPr>
          <w:rFonts w:ascii="Times New Roman" w:hAnsi="Times New Roman"/>
          <w:b/>
          <w:color w:val="000000"/>
          <w:sz w:val="20"/>
        </w:rPr>
        <w:t>Corporate Cease Trade Orders, Bankruptcies Penalties or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To the Company’s knowledge, no proposed director is or, within the ten (10) years prior to the date of this proxy statement, has been, a director, Chief Executive Officer or Chief Financial Officer of any company (including the Company) that: (i) while that person was acting in that capacity was the subject of a cease trade order or similar order, or an order that denied the relevant company access to any exemption under securities legislation, for a period of more than thirty (30) consecutive days (an “</w:t>
      </w:r>
      <w:r>
        <w:rPr>
          <w:rFonts w:ascii="Times New Roman" w:hAnsi="Times New Roman"/>
          <w:b/>
          <w:color w:val="000000"/>
          <w:sz w:val="20"/>
        </w:rPr>
        <w:t>order</w:t>
      </w:r>
      <w:r>
        <w:rPr>
          <w:rFonts w:ascii="Times New Roman" w:hAnsi="Times New Roman"/>
          <w:color w:val="000000"/>
          <w:sz w:val="20"/>
        </w:rPr>
        <w:t xml:space="preserve">”); or (ii) after that person ceased acting in that capacity, was subject to an order, which resulted from an event that occurred while that person was acting in the capacity of director, Chief Executive Officer or Chief Financial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Company’s knowledge, no proposed director is or, within the ten (10) years prior to the date hereof, has been,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Company’s knowledge, no proposed director has, during the ten (10) years prior to the date hereof, become bankrupt, made a proposal under any legislation relating to bankruptcy or insolvency, or became subject to or instituted any proceedings, arrangement or compromise with creditors, or had a receiver, receiver manager or trustee appointed to hold assets of the proposed director. </w:t>
      </w:r>
    </w:p>
    <w:p>
      <w:pPr>
        <w:pStyle w:val="TextBody"/>
        <w:bidi w:val="0"/>
        <w:spacing w:before="360" w:after="283"/>
        <w:jc w:val="left"/>
        <w:rPr>
          <w:rFonts w:ascii="Times New Roman" w:hAnsi="Times New Roman"/>
          <w:sz w:val="20"/>
        </w:rPr>
      </w:pPr>
      <w:bookmarkStart w:id="19" w:name="certain_relationships_related_transact"/>
      <w:bookmarkEnd w:id="19"/>
      <w:r>
        <w:rPr>
          <w:rFonts w:ascii="Times New Roman" w:hAnsi="Times New Roman"/>
          <w:b/>
          <w:color w:val="000000"/>
          <w:sz w:val="20"/>
        </w:rPr>
        <w:t>Certain Relationships, Related Transactions and Policy Regarding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Policy Regarding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certain of its subsidiaries from time-to-time enter into transactions with certain “related parties.” The Company has adopted a Related Party Transactions Policy, which requires that employees, officers and directors report to the General Counsel (or chief legal officer) any activity that would cause or appear to cause a conflict of interest on his or her part. Related parties include any person who is or was (since the beginning of the last fiscal year, even if such person does not presently serve in that role) an executive officer, director or nominee for director of the Company, any shareholder owning more than 5% of any class of the Company’s voting securities or an immediate family member, as defined in the Related Party Transactions Policy, of any such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Related Party Transactions Policy, a related party transaction includes any transaction, arrangement or relationship, or any series of similar transactions, arrangements or relationships, in which: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or any of its subsidiaries is or will be a participant;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amount involved will or may be expected to exceed $120,000 in any fiscal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related party has or will have a direct or indirect material interest.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Related Party Transactions Policy, any potential related party transaction that requires approval will be reviewed by the audit committee of the Board (the “</w:t>
      </w:r>
      <w:r>
        <w:rPr>
          <w:rFonts w:ascii="Times New Roman" w:hAnsi="Times New Roman"/>
          <w:b/>
          <w:color w:val="000000"/>
          <w:sz w:val="20"/>
        </w:rPr>
        <w:t>Audit Committee</w:t>
      </w:r>
      <w:r>
        <w:rPr>
          <w:rFonts w:ascii="Times New Roman" w:hAnsi="Times New Roman"/>
          <w:color w:val="000000"/>
          <w:sz w:val="20"/>
        </w:rPr>
        <w:t xml:space="preserve">”), and the Audit Committee will consider such factors as it deems appropriate to determine whether to approve, ratify or disapprove the related party transaction. The Audit Committee may approve the related party transaction only if it determines in good faith that, under all of the circumstances, the transaction is in the best interests of the Company and its shareholders.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Relationships and Related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compensation arrangements discussed under “Compensation Discussion and Analysis,” “Compensation Tables” and “Director Compensation,” below, since January 1, 2025, the Company has entered into or maintained the following related party transactions: </w:t>
      </w:r>
    </w:p>
    <w:p>
      <w:pPr>
        <w:pStyle w:val="TextBody"/>
        <w:bidi w:val="0"/>
        <w:spacing w:before="240" w:after="283"/>
        <w:jc w:val="left"/>
        <w:rPr>
          <w:rFonts w:ascii="Times New Roman" w:hAnsi="Times New Roman"/>
          <w:sz w:val="20"/>
        </w:rPr>
      </w:pPr>
      <w:r>
        <w:rPr>
          <w:rFonts w:ascii="Times New Roman" w:hAnsi="Times New Roman"/>
          <w:i/>
          <w:color w:val="000000"/>
          <w:sz w:val="20"/>
        </w:rPr>
        <w:t>Lease Agreements.</w:t>
      </w:r>
      <w:r>
        <w:rPr>
          <w:rFonts w:ascii="Times New Roman" w:hAnsi="Times New Roman"/>
          <w:color w:val="000000"/>
          <w:sz w:val="20"/>
        </w:rPr>
        <w:t xml:space="preserve"> During 2025, the Company has continued or entered into several related party transactions with respect to lease agreements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Mosaic Real Estate, LLC owns a building located at 7900 Fenton Street, Silver Spring, Maryland and leased to GTI Maryland, LLC, which operates a RISE Dispensary in the building. The lease commenced on June 14, 2017 for a 7-year term, which was extended to 10 years in March of 2021, and rent payments were approximately $277,200 for the year ended December 31, 2025. Mosaic Real Estate, LLC is owned in part by Benjamin Kovler, our Chairman and Chief Executive Officer (through a wholly-owned entity), and Anthony Georgiadis, our President and director (through a wholly-owned entity).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Mosaic Real Estate Sparks, LLC owns a building located at 9650 Pyramid Highway, Sparks, Nevada and leased to JG Retail Services NV, LLC, an entity that has entered into a services agreement for GTI Nevada, LLC to operate a RISE Dispensary in the building. The lease commenced on July 21, 2017 for a 15-year term, and rent payments were approximately $307,600 for the year ended December 31, 2025. Mosaic Real Estate Sparks, LLC is owned in part by Mr. Georgiadis (through a wholly-owned entity). The Company has an option to purchase the building at a pre-determined price.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Transactions with RYTHM, Inc. (formerly known as Agrify Corporation, and referred to herein as “</w:t>
      </w:r>
      <w:r>
        <w:rPr>
          <w:rFonts w:ascii="Times New Roman" w:hAnsi="Times New Roman"/>
          <w:b/>
          <w:i/>
          <w:color w:val="000000"/>
          <w:sz w:val="20"/>
        </w:rPr>
        <w:t>RYM</w:t>
      </w:r>
      <w:r>
        <w:rPr>
          <w:rFonts w:ascii="Times New Roman" w:hAnsi="Times New Roman"/>
          <w:color w:val="000000"/>
          <w:sz w:val="20"/>
        </w:rPr>
        <w:t>”</w:t>
      </w:r>
      <w:r>
        <w:rPr>
          <w:rFonts w:ascii="Times New Roman" w:hAnsi="Times New Roman"/>
          <w:i/>
          <w:color w:val="000000"/>
          <w:sz w:val="20"/>
        </w:rPr>
        <w:t xml:space="preserve">). </w:t>
      </w:r>
      <w:r>
        <w:rPr>
          <w:rFonts w:ascii="Times New Roman" w:hAnsi="Times New Roman"/>
          <w:color w:val="000000"/>
          <w:sz w:val="20"/>
        </w:rPr>
        <w:t xml:space="preserve">On November 5, 2024, the Company, through its indirect wholly-owned subsidiary RSLGH, LLC </w:t>
      </w:r>
      <w:r>
        <w:rPr>
          <w:rFonts w:ascii="Times New Roman" w:hAnsi="Times New Roman"/>
          <w:color w:val="000000"/>
          <w:sz w:val="19"/>
        </w:rPr>
        <w:t>(“</w:t>
      </w:r>
      <w:r>
        <w:rPr>
          <w:rFonts w:ascii="Times New Roman" w:hAnsi="Times New Roman"/>
          <w:b/>
          <w:color w:val="000000"/>
          <w:sz w:val="19"/>
        </w:rPr>
        <w:t>RSLGH</w:t>
      </w:r>
      <w:r>
        <w:rPr>
          <w:rFonts w:ascii="Times New Roman" w:hAnsi="Times New Roman"/>
          <w:color w:val="000000"/>
          <w:sz w:val="20"/>
        </w:rPr>
        <w:t>”</w:t>
      </w:r>
      <w:r>
        <w:rPr>
          <w:rFonts w:ascii="Times New Roman" w:hAnsi="Times New Roman"/>
          <w:color w:val="000000"/>
          <w:sz w:val="19"/>
        </w:rPr>
        <w:t>)</w:t>
      </w:r>
      <w:r>
        <w:rPr>
          <w:rFonts w:ascii="Times New Roman" w:hAnsi="Times New Roman"/>
          <w:color w:val="000000"/>
          <w:sz w:val="20"/>
        </w:rPr>
        <w:t xml:space="preserve"> purchased a significant equity interest and pre-funded warrants in RYM, a Nevada corporation with common stock traded on Nasdaq. RYM’s board of directors appointed Mr. Kovler as its Chairman and Interim Chief Executive Officer. In addition, RYM’s board of directors also appointed Armon Vakili, our Vice President - Strategic Initiatives and Partnership, as a director. As part of the transaction, the Company also acquired warrants that would allow the Company to extend its ownership stake if exercised, subject to certain beneficial ownership limitations, all of which remained outstanding as of December 31, 2025. The Company, through its subsidiaries, currently holds approximately 33% of RYM’s outstanding shares of common stock and beneficially owns 49.99% of RYM’s common stock, taking into account beneficial ownership limitations contained in the warrants and convertible notes held by subsidiaries of the Company. Of the approximately 10.9 million RYM warrants outstanding as of December 31, 2025, approximately 9.8 million are held by subsidiaries of the Company, subject to 49.99% beneficial ownership limitations, with exercise or conversion, as applicable, subject to RYM stockholder approval under the applicable Nasdaq listing rules, to the extent required. Of the approximately 3.0 million RYM shares or pre-funded warrants that would be issuable upon the conversion (excluding interest) of the RYM Notes (defined below) outstanding as of December 31, 2025, approximately 2.7 million are held by subsidiaries of the Company, subject to 49.99% beneficial ownership limitations, with exercise also subject to RYM stockholder approval under the applicable Nasdaq listing rules, to the extent required. The outstanding warrants are entitled to pro rata participation in dividends and other distributions to holders of Common Stock. The Company engaged in the following transactions with RYM in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November 2024 Convertible Note. </w:t>
      </w:r>
      <w:r>
        <w:rPr>
          <w:rFonts w:ascii="Times New Roman" w:hAnsi="Times New Roman"/>
          <w:color w:val="000000"/>
          <w:sz w:val="20"/>
        </w:rPr>
        <w:t>On November 5, 2024, RSLGH extended a convertible secured note to RYM (the “</w:t>
      </w:r>
      <w:r>
        <w:rPr>
          <w:rFonts w:ascii="Times New Roman" w:hAnsi="Times New Roman"/>
          <w:b/>
          <w:color w:val="000000"/>
          <w:sz w:val="20"/>
        </w:rPr>
        <w:t>November 2024 RYM Note</w:t>
      </w:r>
      <w:r>
        <w:rPr>
          <w:color w:val="000000"/>
        </w:rPr>
        <w:t>”</w:t>
      </w:r>
      <w:r>
        <w:rPr>
          <w:rFonts w:ascii="Times New Roman" w:hAnsi="Times New Roman"/>
          <w:color w:val="000000"/>
          <w:sz w:val="20"/>
        </w:rPr>
        <w:t xml:space="preserve">), with an original principal amount of $10 million, bearing interest at 10% per annum, with a maturity date of November 5, 2025. On May 22, 2025, RSLGH and RYM amended the November 2024 RYM Note (the “November 2024 Amendment”) to, among other things, permit RSLGH to elect, subject to any required approvals under Nasdaq listing rules, to receive pre-funded warrants in lieu of shares of common stock upon conversion of the November 2024 RYM Note at a conversion price equal to the existing conversion price under the November 2024 RYM Note of $3.158 less the $0.001 exercise price of each pre-funded warrant. On November 3, 2025, RLSGH elected to convert the November 2024 RYM Note and $175,000 of accrued interest thereon into pre-funded warrants at a conversion price of $3.157 per warrant, convertible into 3,222,997 shares of RYM common stock at an exercise price of $0.001 per share. The pre-funded warrants are subject to a 49.99% beneficial ownership limitation, with exercise also subject to RYM stockholder approval under the applicable Nasdaq listing rules, to the extent required.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May 2025 Convertible Note. </w:t>
      </w:r>
      <w:r>
        <w:rPr>
          <w:rFonts w:ascii="Times New Roman" w:hAnsi="Times New Roman"/>
          <w:color w:val="000000"/>
          <w:sz w:val="20"/>
        </w:rPr>
        <w:t>On May 22, 2025, RSLGH extended a convertible secured note (the “</w:t>
      </w:r>
      <w:r>
        <w:rPr>
          <w:rFonts w:ascii="Times New Roman" w:hAnsi="Times New Roman"/>
          <w:b/>
          <w:color w:val="000000"/>
          <w:sz w:val="20"/>
        </w:rPr>
        <w:t>May 2025 RYM Note</w:t>
      </w:r>
      <w:r>
        <w:rPr>
          <w:color w:val="000000"/>
        </w:rPr>
        <w:t>”</w:t>
      </w:r>
      <w:r>
        <w:rPr>
          <w:rFonts w:ascii="Times New Roman" w:hAnsi="Times New Roman"/>
          <w:color w:val="000000"/>
          <w:sz w:val="20"/>
        </w:rPr>
        <w:t xml:space="preserve">) to RYM with an original principal amount of $27 million, bearing interest at 10% per annum. The May 2025 RYM Note may be converted into RYM common stock at a conversion price of $23.529 per share or, at the election of RSLGH, into pre-funded warrants at a conversion price of $23.53 per share, subject to certain customary conditions. The May 2025 RYM Note is subject to a 49.99% beneficial ownership limitation with exercise also subject to RYM stockholder approval under the applicable Nasdaq listing rules, to the extent required.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August 2025 Convertible Note. </w:t>
      </w:r>
      <w:r>
        <w:rPr>
          <w:rFonts w:ascii="Times New Roman" w:hAnsi="Times New Roman"/>
          <w:color w:val="000000"/>
          <w:sz w:val="20"/>
        </w:rPr>
        <w:t>On August 25, 2025, RSLGH extended a convertible secured note (the “</w:t>
      </w:r>
      <w:r>
        <w:rPr>
          <w:rFonts w:ascii="Times New Roman" w:hAnsi="Times New Roman"/>
          <w:b/>
          <w:color w:val="000000"/>
          <w:sz w:val="20"/>
        </w:rPr>
        <w:t>August 2025 RYM Note</w:t>
      </w:r>
      <w:r>
        <w:rPr>
          <w:color w:val="000000"/>
        </w:rPr>
        <w:t xml:space="preserve">” </w:t>
      </w:r>
      <w:r>
        <w:rPr>
          <w:rFonts w:ascii="Times New Roman" w:hAnsi="Times New Roman"/>
          <w:color w:val="000000"/>
          <w:sz w:val="20"/>
        </w:rPr>
        <w:t>and together with the November 2024 RYM Note and the May 2025 RYM Note, the “</w:t>
      </w:r>
      <w:r>
        <w:rPr>
          <w:rFonts w:ascii="Times New Roman" w:hAnsi="Times New Roman"/>
          <w:b/>
          <w:color w:val="000000"/>
          <w:sz w:val="20"/>
        </w:rPr>
        <w:t>RYM Notes</w:t>
      </w:r>
      <w:r>
        <w:rPr>
          <w:color w:val="000000"/>
        </w:rPr>
        <w:t>”</w:t>
      </w:r>
      <w:r>
        <w:rPr>
          <w:rFonts w:ascii="Times New Roman" w:hAnsi="Times New Roman"/>
          <w:color w:val="000000"/>
          <w:sz w:val="20"/>
        </w:rPr>
        <w:t xml:space="preserve">) to RYM with an original principal amount of $45 million. The August 2025 RYM Note bears interest at 10% per annum, which, at the election of the holder may be payable in cash, common stock or pre-funded warrants with an exercise price of $0.001 per share. The August 2025 RYM Note may be converted into RYM common stock at a conversion price of $29.475 per share or, at the election of the holder, into pre-funded warrants at a conversion price of $29.474 per share, subject to certain conditions. The August 2025 RYM Note is subject to a 49.99% beneficial ownership limitation with exercise also subject to RYM stockholder approval under the applicable Nasdaq listing rules, to the extent required.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Interest Payments on the RYM Convertible Notes. </w:t>
      </w:r>
      <w:r>
        <w:rPr>
          <w:rFonts w:ascii="Times New Roman" w:hAnsi="Times New Roman"/>
          <w:color w:val="000000"/>
          <w:sz w:val="20"/>
        </w:rPr>
        <w:t xml:space="preserve">On September 1, 2025, RSLGH received 11,373 pre-funded warrants from RYM as payment of interest pursuant to the November 2025 RYM Note and 31,772 pre-funded warrants of RYM as payment of interest pursuant to the May 2025 RYM Note, in each case, subject to a 49.99% beneficial ownership limitation and with exercise being subject to RYM stockholder approval under applicable Nasdaq listing rules, to the extent required.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Shared Services Agreement.</w:t>
      </w:r>
      <w:r>
        <w:rPr>
          <w:color w:val="000000"/>
        </w:rPr>
        <w:t xml:space="preserve"> </w:t>
      </w:r>
      <w:r>
        <w:rPr>
          <w:rFonts w:ascii="Times New Roman" w:hAnsi="Times New Roman"/>
          <w:color w:val="000000"/>
          <w:sz w:val="20"/>
        </w:rPr>
        <w:t>In connection with the Company’s investment in RYM, Vision Management Services, LLC (“</w:t>
      </w:r>
      <w:r>
        <w:rPr>
          <w:rFonts w:ascii="Times New Roman" w:hAnsi="Times New Roman"/>
          <w:b/>
          <w:color w:val="000000"/>
          <w:sz w:val="20"/>
        </w:rPr>
        <w:t>VMS</w:t>
      </w:r>
      <w:r>
        <w:rPr>
          <w:color w:val="000000"/>
        </w:rPr>
        <w:t>”</w:t>
      </w:r>
      <w:r>
        <w:rPr>
          <w:rFonts w:ascii="Times New Roman" w:hAnsi="Times New Roman"/>
          <w:color w:val="000000"/>
          <w:sz w:val="20"/>
        </w:rPr>
        <w:t>), a wholly-owned subsidiary of the Company, entered into two Shared Services Agreements with RYM (the “</w:t>
      </w:r>
      <w:r>
        <w:rPr>
          <w:rFonts w:ascii="Times New Roman" w:hAnsi="Times New Roman"/>
          <w:b/>
          <w:color w:val="000000"/>
          <w:sz w:val="20"/>
        </w:rPr>
        <w:t>Service Agreements</w:t>
      </w:r>
      <w:r>
        <w:rPr>
          <w:color w:val="000000"/>
        </w:rPr>
        <w:t>”</w:t>
      </w:r>
      <w:r>
        <w:rPr>
          <w:rFonts w:ascii="Times New Roman" w:hAnsi="Times New Roman"/>
          <w:color w:val="000000"/>
          <w:sz w:val="20"/>
        </w:rPr>
        <w:t>) whereby VMS agreed to provide corporate and operational support to RYM, including the services of a chief financial officer, in exchange for fees based on the services provided. For 2025, VMS provided services to RYM valued at $9.3 million in salary charges and $1.2 million in net non-salary chargeback expenses. The Services Agreements are each for a term of one year, and are terminable by either party on 90 days’ notice for any or no reason, and will automatically renew for successive one year terms unless terminated by either party upon 30 days’ notice prior to the end of the applicable term. VMS assigned its rights to receive any payments made to it under the Shared Services Agreements that are made in RYM equity to RSLGH. On October 20, 2025,</w:t>
      </w:r>
      <w:r>
        <w:rPr>
          <w:color w:val="000000"/>
        </w:rPr>
        <w:t xml:space="preserve"> </w:t>
      </w:r>
      <w:r>
        <w:rPr>
          <w:rFonts w:ascii="Times New Roman" w:hAnsi="Times New Roman"/>
          <w:color w:val="000000"/>
          <w:sz w:val="20"/>
        </w:rPr>
        <w:t xml:space="preserve">RSLGH received 141,343 pre-funded warrants from RYM as payment of amounts due pursuant to the Service Agreements, subject to a 49.99% beneficial ownership limitation and with exercise being subject to RYM stockholder approval under applicable Nasdaq listing rules, to the extent required.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Brand Intellectual Property Transactions. </w:t>
      </w:r>
      <w:r>
        <w:rPr>
          <w:rFonts w:ascii="Times New Roman" w:hAnsi="Times New Roman"/>
          <w:color w:val="000000"/>
          <w:sz w:val="20"/>
        </w:rPr>
        <w:t xml:space="preserve">On May 20, 2025, the Company sold to RYM an indirect wholly-owned subsidiary whose assets primarily included intellectual property rights to the </w:t>
      </w:r>
      <w:r>
        <w:rPr>
          <w:rFonts w:ascii="Times New Roman" w:hAnsi="Times New Roman"/>
          <w:i/>
          <w:color w:val="000000"/>
          <w:sz w:val="20"/>
        </w:rPr>
        <w:t xml:space="preserve">incredibles </w:t>
      </w:r>
      <w:r>
        <w:rPr>
          <w:rFonts w:ascii="Times New Roman" w:hAnsi="Times New Roman"/>
          <w:color w:val="000000"/>
          <w:sz w:val="20"/>
        </w:rPr>
        <w:t xml:space="preserve">brand for $5,075,000. Under the purchase agreement governing the transaction, either party can cause the Company’s subsidiary to repurchase the property sold within five years of the date of the closing of the sale upon certain specified circumstances. The purchase agreement also includes rights of first refusal in favor of the Company following closing. Immediately following that sale, the Company and RYM, each through wholly-owned subsidiaries, entered into a license agreement for the Company’s exclusive use of certain intellectual property rights to use the </w:t>
      </w:r>
      <w:r>
        <w:rPr>
          <w:rFonts w:ascii="Times New Roman" w:hAnsi="Times New Roman"/>
          <w:i/>
          <w:color w:val="000000"/>
          <w:sz w:val="20"/>
        </w:rPr>
        <w:t xml:space="preserve">incredibles </w:t>
      </w:r>
      <w:r>
        <w:rPr>
          <w:rFonts w:ascii="Times New Roman" w:hAnsi="Times New Roman"/>
          <w:color w:val="000000"/>
          <w:sz w:val="20"/>
        </w:rPr>
        <w:t>brand in connection with the Company’s existing business in exchange for a monthly fee, payable in cash, based on sales of products using the licensed intellectual property (the “</w:t>
      </w:r>
      <w:r>
        <w:rPr>
          <w:rFonts w:ascii="Times New Roman" w:hAnsi="Times New Roman"/>
          <w:b/>
          <w:color w:val="000000"/>
          <w:sz w:val="20"/>
        </w:rPr>
        <w:t>incredibles License Agreement</w:t>
      </w:r>
      <w:r>
        <w:rPr>
          <w:color w:val="000000"/>
        </w:rPr>
        <w:t>”</w:t>
      </w:r>
      <w:r>
        <w:rPr>
          <w:rFonts w:ascii="Times New Roman" w:hAnsi="Times New Roman"/>
          <w:color w:val="000000"/>
          <w:sz w:val="20"/>
        </w:rPr>
        <w:t xml:space="preserve">). Also immediately following the sale, the Company and RYM, each through wholly-owned subsidiaries, entered into license agreements pursuant to which the Company’s subsidiaries granted RYM’s subsidiaries exclusive licenses to use the Company’s Beboe and RYTHM brands in connection with the production, marketing and sale of hemp-derived products in exchange for a monthly license fee based on sales of products using the licensed intellectual property, which license agreements were terminated on August 27,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August 27, 2025, the Company sold to RYM an indirect wholly-owned subsidiary whose assets primarily included intellectual property rights to additional of the Company’s consumer packaged goods brands, including RYTHM, Beboe, Dogwalkers, Doctor Solomon’s, &amp;Shine and Good Green for $50,000,000 (the “</w:t>
      </w:r>
      <w:r>
        <w:rPr>
          <w:rFonts w:ascii="Times New Roman" w:hAnsi="Times New Roman"/>
          <w:b/>
          <w:color w:val="000000"/>
          <w:sz w:val="20"/>
        </w:rPr>
        <w:t>CPG Brands</w:t>
      </w:r>
      <w:r>
        <w:rPr>
          <w:rFonts w:ascii="Times New Roman" w:hAnsi="Times New Roman"/>
          <w:color w:val="000000"/>
          <w:sz w:val="20"/>
        </w:rPr>
        <w:t>”). Under the purchase agreement governing the transaction, either party can cause the Company’s subsidiary to repurchase the property sold within five years of the date of the closing of the sale upon certain specified circumstances. The purchase agreement also includes rights of first refusal in favor of the Company following closing. Immediately following that sale, the Company and RYM, each through wholly-owned subsidiaries, entered into a license agreement for the Company’s exclusive use of certain intellectual property rights to use the CPG Brands in connection with the Company’s existing business in exchange for a monthly fee, payable in cash, based on sales of products using the licensed intellectual property (the “</w:t>
      </w:r>
      <w:r>
        <w:rPr>
          <w:rFonts w:ascii="Times New Roman" w:hAnsi="Times New Roman"/>
          <w:b/>
          <w:color w:val="000000"/>
          <w:sz w:val="20"/>
        </w:rPr>
        <w:t>CPG Brands License Agreement</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incurred expenses of $7.8 million under these license agreements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April 1, 2026, the applicable subsidiaries of the Company and RYM amended the incredibles License Agreement and CPG Brands License Agreement to change the fees paid thereunder such that the fees payable by the Company under the incredibles License Agreement will consist of an annual cash fee of $6,000,000 payable in monthly installments and under the CPG Brands License Agreement will consist of an annual cash fee of $64,000,000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payable in monthly installments. The annual fees under both agreements will be increased on January 1 of each year during their respective terms, based on two times the amount of published consumer price index changes during the applicable period, subject to a maximum year-over-year increase of 10%.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Purchase of Super Voting Shares</w:t>
      </w:r>
      <w:r>
        <w:rPr>
          <w:rFonts w:ascii="Times New Roman" w:hAnsi="Times New Roman"/>
          <w:color w:val="000000"/>
          <w:sz w:val="20"/>
        </w:rPr>
        <w:t>. On December 28, 2025, the Company purchased 2,500 Super Voting Shares of the Company from Mr. Kovler, and 2,500 Super Voting Shares from Mr. Georgiadis, at a price of $798.8 per share, which was the equivalent of $7.988 per underlying Subordinate Voting Share, the then-current market price of a Subordinate Voting Share. The total purchase price paid to each Mr. Kovler and Mr. Georgiadis was $1,997,000.</w:t>
      </w:r>
    </w:p>
    <w:p>
      <w:pPr>
        <w:pStyle w:val="TextBody"/>
        <w:bidi w:val="0"/>
        <w:spacing w:before="360" w:after="283"/>
        <w:jc w:val="left"/>
        <w:rPr>
          <w:rFonts w:ascii="Times New Roman" w:hAnsi="Times New Roman"/>
          <w:sz w:val="20"/>
        </w:rPr>
      </w:pPr>
      <w:r>
        <w:rPr>
          <w:rFonts w:ascii="Times New Roman" w:hAnsi="Times New Roman"/>
          <w:b/>
          <w:i/>
          <w:color w:val="000000"/>
          <w:sz w:val="20"/>
        </w:rPr>
        <w:t>Indebtedness of Directors, Executive Officers and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individual who is, or at any time during the most recently completed fiscal year of the Company was, a director or executive officer of the Company, and no proposed nominee for election as a director of the Company, or any associate of any such director, executive officer or proposed nominee: (i) is or at any time since the beginning of the Company’s most recently completed fiscal year has been, indebted to the Company or any of its subsidiaries; or (ii) whose indebtedness to another entity is, or at any time since the beginning of the Company’s most recently completed fiscal year has been, the subject of a guarantee, support agreement, letter of credit or other similar arrangement or understanding provided by the Company or any of its subsidiaries. </w:t>
      </w:r>
    </w:p>
    <w:p>
      <w:pPr>
        <w:pStyle w:val="TextBody"/>
        <w:bidi w:val="0"/>
        <w:spacing w:before="360" w:after="283"/>
        <w:jc w:val="left"/>
        <w:rPr>
          <w:rFonts w:ascii="Times New Roman" w:hAnsi="Times New Roman"/>
          <w:sz w:val="20"/>
        </w:rPr>
      </w:pPr>
      <w:r>
        <w:rPr>
          <w:rFonts w:ascii="Times New Roman" w:hAnsi="Times New Roman"/>
          <w:b/>
          <w:i/>
          <w:color w:val="000000"/>
          <w:sz w:val="20"/>
        </w:rPr>
        <w:t>Requirements under the Business Corporations Act (British Columbia)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BCBCA, directors and officers are required to act honestly and in good faith with a view to the best interests of the Company. Under the BCBCA, subject to certain limited exceptions, a director who holds a disclosable interest in a material contract or transaction into which we have entered or propose to enter shall not vote on any directors’ resolution to approve the contract or transaction. A director or officer has a disclosable interest in a material contract or transaction if the director or officer: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 a party to the contract or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 a director or officer, or an individual acting in a similar capacity, of a party to the contract or transaction;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has a material interest in a party to the contract or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as a matter of practice, directors or officers who have disclosed a material interest in any contract or transaction that the Board is considering will not take part in any Board discussion respecting that contract or transaction. If such directors participate in the discussions, they would abstain from voting on any matters relating to matters in which they have disclosed a disclosable interest.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Interests of Management of the Company and Others in Material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than as described elsewhere in this proxy statement, there are no material interests, direct or indirect, of any of our directors or executive officers, any shareholder that beneficially owns, or controls or directs (directly or indirectly), more than 10% of any class or series of our outstanding voting securities, or any associate or affiliate of any of the foregoing persons, in any transaction within the year ended December 31, 2025 that has materially affected or is reasonably expected to materially affect the Company or its subsidiaries. </w:t>
      </w:r>
    </w:p>
    <w:p>
      <w:pPr>
        <w:pStyle w:val="TextBody"/>
        <w:bidi w:val="0"/>
        <w:spacing w:before="240" w:after="283"/>
        <w:jc w:val="left"/>
        <w:rPr>
          <w:rFonts w:ascii="Times New Roman" w:hAnsi="Times New Roman"/>
          <w:sz w:val="20"/>
        </w:rPr>
      </w:pPr>
      <w:r>
        <w:rPr>
          <w:rFonts w:ascii="Times New Roman" w:hAnsi="Times New Roman"/>
          <w:b/>
          <w:color w:val="000000"/>
          <w:sz w:val="20"/>
        </w:rPr>
        <w:t>OUR BOARD UNANIMOUSLY RECOMMENDS THAT YOU VOTE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SETTING OF THE NUMBER OF DIRECTORS AT SEVEN AND THE ELECTION OF EACH OF THE DIRECTOR NOMINEES NAMED IN PROPOSALS NO. 1 AND 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proposal_no_3_vote_to_approve"/>
      <w:bookmarkEnd w:id="20"/>
      <w:r>
        <w:rPr>
          <w:rFonts w:ascii="Times New Roman" w:hAnsi="Times New Roman"/>
          <w:b/>
          <w:color w:val="000000"/>
          <w:sz w:val="20"/>
        </w:rPr>
        <w:t>PROPOSAL NO. 3 – VOTE TO APPROVE, ON AN ADVISORY BASIS,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OUR 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executive compensation program and policies are designed to align the interests of management with the long-term interests of our shareholders. The Company strives to provide clear and concise disclosure regarding its approach to compensation and to demonstrate how executive compensation is linked to the performance of the Company. Detailed information regarding our executive compensation program and policies, as well as the compensation of the NEOs (as that term is defined under “Compensation Discussion and Analysis” below) is set out below in the section entitled “Compensation Discussion and Analysis” and “Compensation Tables” below. We urge shareholders to read these sections including the related narrative and tabular compensation disclosure included in this proxy statement. </w:t>
      </w:r>
    </w:p>
    <w:p>
      <w:pPr>
        <w:pStyle w:val="TextBody"/>
        <w:bidi w:val="0"/>
        <w:spacing w:before="240" w:after="283"/>
        <w:jc w:val="left"/>
        <w:rPr>
          <w:rFonts w:ascii="Times New Roman" w:hAnsi="Times New Roman"/>
          <w:sz w:val="20"/>
        </w:rPr>
      </w:pPr>
      <w:r>
        <w:rPr>
          <w:rFonts w:ascii="Times New Roman" w:hAnsi="Times New Roman"/>
          <w:color w:val="000000"/>
          <w:sz w:val="20"/>
        </w:rPr>
        <w:t>As required by Section 14A of the Exchange Act, we are seeking a vote on an advisory (non-binding) basis to approve the compensation of the NEOs as disclosed in this proxy statement. This proposal, commonly known as a “say-on-pay” proposal (and sometimes referred to herein as the “</w:t>
      </w:r>
      <w:r>
        <w:rPr>
          <w:rFonts w:ascii="Times New Roman" w:hAnsi="Times New Roman"/>
          <w:b/>
          <w:color w:val="000000"/>
          <w:sz w:val="20"/>
        </w:rPr>
        <w:t>Say-on-Pay Proposal</w:t>
      </w:r>
      <w:r>
        <w:rPr>
          <w:rFonts w:ascii="Times New Roman" w:hAnsi="Times New Roman"/>
          <w:color w:val="000000"/>
          <w:sz w:val="20"/>
        </w:rPr>
        <w:t xml:space="preserve">”), gives shareholders the opportunity to endorse or not endorse the Company’s executive compensation program and policies.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Meeting, shareholders will be asked to approve, on an advisory (non-binding) basis, a resolution in the form set out below, subject to such amendments, variations or additions as may be approved at the Meeting, to approve the Company’s executive compensation program and policies.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text of the resolution to be submitted to shareholders at the Meeting is set out below: </w:t>
      </w:r>
    </w:p>
    <w:p>
      <w:pPr>
        <w:pStyle w:val="TextBody"/>
        <w:bidi w:val="0"/>
        <w:spacing w:before="120" w:after="283"/>
        <w:jc w:val="left"/>
        <w:rPr/>
      </w:pPr>
      <w:r>
        <w:rPr>
          <w:color w:val="000000"/>
        </w:rPr>
        <w:t>“</w:t>
      </w:r>
      <w:r>
        <w:rPr>
          <w:rFonts w:ascii="Times New Roman" w:hAnsi="Times New Roman"/>
          <w:b/>
          <w:color w:val="000000"/>
          <w:sz w:val="20"/>
        </w:rPr>
        <w:t>BE IT RESOLVED THAT</w:t>
      </w:r>
      <w:r>
        <w:rPr>
          <w:rFonts w:ascii="Times New Roman" w:hAnsi="Times New Roman"/>
          <w:color w:val="000000"/>
          <w:sz w:val="20"/>
        </w:rPr>
        <w:t xml:space="preserve"> the compensation paid to the Company’s named executive officers, as disclosed pursuant to the compensation disclosure rules of the Securities and Exchange Commission, including the Compensation Discussion and Analysis, compensation tables and related narrative discussion contained in the Company’s proxy statement for the Company’s 2026 Annual and Special Meeting of Shareholders, is hereby approved on a non-binding advisory basis.” </w:t>
      </w:r>
    </w:p>
    <w:p>
      <w:pPr>
        <w:pStyle w:val="TextBody"/>
        <w:bidi w:val="0"/>
        <w:spacing w:before="360" w:after="283"/>
        <w:jc w:val="left"/>
        <w:rPr>
          <w:rFonts w:ascii="Times New Roman" w:hAnsi="Times New Roman"/>
          <w:sz w:val="20"/>
        </w:rPr>
      </w:pPr>
      <w:r>
        <w:rPr>
          <w:rFonts w:ascii="Times New Roman" w:hAnsi="Times New Roman"/>
          <w:b/>
          <w:color w:val="000000"/>
          <w:sz w:val="20"/>
        </w:rPr>
        <w:t>Required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may select “For”, “Against” or “Abstain” with respect to the Say-on-Pay Proposal. The affirmative vote of a simple majority of the votes cast, in person or by proxy, will constitute approval of the Say-on-Pay Proposal. </w:t>
      </w:r>
    </w:p>
    <w:p>
      <w:pPr>
        <w:pStyle w:val="TextBody"/>
        <w:bidi w:val="0"/>
        <w:spacing w:before="240" w:after="283"/>
        <w:jc w:val="left"/>
        <w:rPr>
          <w:rFonts w:ascii="Times New Roman" w:hAnsi="Times New Roman"/>
          <w:sz w:val="20"/>
        </w:rPr>
      </w:pPr>
      <w:r>
        <w:rPr>
          <w:rFonts w:ascii="Times New Roman" w:hAnsi="Times New Roman"/>
          <w:color w:val="000000"/>
          <w:sz w:val="20"/>
        </w:rPr>
        <w:t>While this advisory vote on the compensation of the NEOs is not binding on the Company, the Board or the compensation committee of the Board (“</w:t>
      </w:r>
      <w:r>
        <w:rPr>
          <w:rFonts w:ascii="Times New Roman" w:hAnsi="Times New Roman"/>
          <w:b/>
          <w:color w:val="000000"/>
          <w:sz w:val="20"/>
        </w:rPr>
        <w:t>Compensation Committee</w:t>
      </w:r>
      <w:r>
        <w:rPr>
          <w:rFonts w:ascii="Times New Roman" w:hAnsi="Times New Roman"/>
          <w:color w:val="000000"/>
          <w:sz w:val="20"/>
        </w:rPr>
        <w:t xml:space="preserve">”), we value the opinions of our shareholders. Accordingly, the Board and the Compensation Committee will consider the outcome of this advisory vote when considering future compensation policies, procedures and decisions with respect to our NEOs. The Company expects to hold its next “say-on-pay” vote at its 2026 annual meeting of shareholders.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UNANIMOUSLY RECOMMENDS THAT YOU VOTE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SAY-ON-PAY PROPOSAL</w:t>
      </w:r>
      <w:r>
        <w:rPr>
          <w:rFonts w:ascii="Times New Roman" w:hAnsi="Times New Roman"/>
          <w:color w:val="000000"/>
          <w:sz w:val="20"/>
        </w:rPr>
        <w:t xml:space="preserve">. </w:t>
      </w:r>
      <w:r>
        <w:rPr>
          <w:rFonts w:ascii="Times New Roman" w:hAnsi="Times New Roman"/>
          <w:b/>
          <w:color w:val="000000"/>
          <w:sz w:val="20"/>
        </w:rPr>
        <w:t>Unless otherwise instructed, the persons designated in the enclosed proxy card intend to vote “FOR” the Say-on-Pay Proposal.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proposal_no_4_re_appointment_and_remu"/>
      <w:bookmarkEnd w:id="21"/>
      <w:r>
        <w:rPr>
          <w:rFonts w:ascii="Times New Roman" w:hAnsi="Times New Roman"/>
          <w:b/>
          <w:color w:val="000000"/>
          <w:sz w:val="20"/>
        </w:rPr>
        <w:t>PROPOSAL NO. 4 – RE-APPOINTMENT AND REMUNERATION OF AUDITORS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The members of our Audit Committee and our Board believe the re-appointment of Baker Tilly US, LLP (“Baker Tilly”) as our auditor is in the best interests of the Company and our shareholders. Ratification requires the receipt of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votes constituting a majority of the shares cast by the shareholders who vote in respect of this proposal. Representatives of Baker Tilly are expected to attend the Meeting, will have an opportunity to make a statement if they so desire and will be available to respond to appropriate questions.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2" w:name="principal_audit_fees_and_services"/>
      <w:bookmarkEnd w:id="22"/>
      <w:r>
        <w:rPr>
          <w:rFonts w:ascii="Times New Roman" w:hAnsi="Times New Roman"/>
          <w:b/>
          <w:color w:val="000000"/>
          <w:sz w:val="20"/>
        </w:rPr>
        <w:t>Principal Audit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Baker Tilly has served as our independent registered public accounting firm since May 13, 2021. The engagement of Baker Tilly was approved by the Audit Committee and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fees billed by our independent auditors, Baker Tilly, for the fiscal years ended December 31, 2025 and December 31, 2024 are detailed in the table below.</w:t>
      </w:r>
    </w:p>
    <w:p>
      <w:pPr>
        <w:pStyle w:val="TextBody"/>
        <w:bidi w:val="0"/>
        <w:jc w:val="left"/>
        <w:rPr/>
      </w:pPr>
      <w:r>
        <w:rPr/>
        <w:t> </w:t>
      </w:r>
    </w:p>
    <w:tbl>
      <w:tblPr>
        <w:tblW w:w="4449" w:type="dxa"/>
        <w:jc w:val="left"/>
        <w:tblInd w:w="0" w:type="dxa"/>
        <w:tblLayout w:type="fixed"/>
        <w:tblCellMar>
          <w:top w:w="28" w:type="dxa"/>
          <w:left w:w="28" w:type="dxa"/>
          <w:bottom w:w="28" w:type="dxa"/>
          <w:right w:w="28" w:type="dxa"/>
        </w:tblCellMar>
      </w:tblPr>
      <w:tblGrid>
        <w:gridCol w:w="1666"/>
        <w:gridCol w:w="146"/>
        <w:gridCol w:w="146"/>
        <w:gridCol w:w="931"/>
        <w:gridCol w:w="146"/>
        <w:gridCol w:w="146"/>
        <w:gridCol w:w="146"/>
        <w:gridCol w:w="931"/>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1,729,895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1,429,942</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 Paid</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1,729,895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1,429,942</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6"/>
          <w:u w:val="single"/>
        </w:rPr>
        <w:t>Notes</w:t>
      </w:r>
      <w:r>
        <w:rPr>
          <w:rFonts w:ascii="Times New Roman" w:hAnsi="Times New Roman"/>
          <w:b/>
          <w:color w:val="000000"/>
          <w:sz w:val="16"/>
        </w:rPr>
        <w:t>:</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Fees not included in audit fees that are billed by the auditor for assurance and related services that are reasonably related to the performance of the audit of the financial statements. </w:t>
      </w:r>
    </w:p>
    <w:p>
      <w:pPr>
        <w:pStyle w:val="TextBody"/>
        <w:bidi w:val="0"/>
        <w:spacing w:before="360" w:after="283"/>
        <w:jc w:val="left"/>
        <w:rPr>
          <w:rFonts w:ascii="Times New Roman" w:hAnsi="Times New Roman"/>
          <w:sz w:val="20"/>
        </w:rPr>
      </w:pPr>
      <w:bookmarkStart w:id="23" w:name="pre_approval_policies_and_procedures"/>
      <w:bookmarkEnd w:id="23"/>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Committee has established a policy of reviewing, in advance, and either approving or not approving, all audit, audit-related, tax and other non-audit services that our auditor provides to us. This policy requires that all services received from our auditor be approved in advance by the Audit Committee. The Audit Committee has delegated pre-approval responsibility to the Chair of the Audit Committee with respect to non-audit related fees and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has determined that the provision of the services as set out above is compatible with the maintaining of our auditor’s independence in the conduct of their auditing functions. </w:t>
      </w:r>
    </w:p>
    <w:p>
      <w:pPr>
        <w:pStyle w:val="TextBody"/>
        <w:bidi w:val="0"/>
        <w:spacing w:before="360" w:after="283"/>
        <w:jc w:val="left"/>
        <w:rPr>
          <w:rFonts w:ascii="Times New Roman" w:hAnsi="Times New Roman"/>
          <w:sz w:val="20"/>
        </w:rPr>
      </w:pPr>
      <w:bookmarkStart w:id="24" w:name="audit_committee_report"/>
      <w:bookmarkEnd w:id="24"/>
      <w:r>
        <w:rPr>
          <w:rFonts w:ascii="Times New Roman" w:hAnsi="Times New Roman"/>
          <w:b/>
          <w:color w:val="000000"/>
          <w:sz w:val="20"/>
        </w:rPr>
        <w:t>Audit Committee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material in this report is not “soliciting material,” is not deemed “filed” with the SEC, and is not to be incorporated by reference into any filing by Green Thumb Industries Inc. under the Securities Act of 1933, as amended, or the Exchange Act.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primary purpose of the Audit Committee is to assist the Company’s Board in fulfilling its responsibilities for oversight of financial, audit and accounting matters. The Audit Committee reviews the financial reports and other financial information provided by the Company to regulatory authorities and its shareholders, as well as reviews the Company’s system of internal controls regarding finance and accounting, including auditing, accounting and financial reporting processes. </w:t>
      </w:r>
    </w:p>
    <w:p>
      <w:pPr>
        <w:pStyle w:val="TextBody"/>
        <w:bidi w:val="0"/>
        <w:spacing w:before="240" w:after="283"/>
        <w:jc w:val="left"/>
        <w:rPr>
          <w:rFonts w:ascii="Times New Roman" w:hAnsi="Times New Roman"/>
          <w:sz w:val="20"/>
        </w:rPr>
      </w:pPr>
      <w:r>
        <w:rPr>
          <w:rFonts w:ascii="Times New Roman" w:hAnsi="Times New Roman"/>
          <w:color w:val="000000"/>
          <w:sz w:val="20"/>
        </w:rPr>
        <w:t>The Audit Committee has reviewed and discussed with our management and Baker Tilly US, LLP (“</w:t>
      </w:r>
      <w:r>
        <w:rPr>
          <w:rFonts w:ascii="Times New Roman" w:hAnsi="Times New Roman"/>
          <w:b/>
          <w:color w:val="000000"/>
          <w:sz w:val="20"/>
        </w:rPr>
        <w:t>Baker Tilly</w:t>
      </w:r>
      <w:r>
        <w:rPr>
          <w:rFonts w:ascii="Times New Roman" w:hAnsi="Times New Roman"/>
          <w:color w:val="000000"/>
          <w:sz w:val="20"/>
        </w:rPr>
        <w:t xml:space="preserve">”), the Company’s independent registered public accounting firm, our audited financial statements and management’s and Baker Tilly’s evaluations of our internal control over financial reporting. Further, the Audit Committee has discussed with Baker Tilly the matters required to be discussed under applicable auditing standards, including Auditing Standard No. 1301. In addition, the Audit Committee discussed with Baker Tilly its independence, and received from Baker Tilly the written disclosures and the letter required by applicable requirements of the Public Company Accounting Oversight Board. Finally, the Audit Committee discussed with Baker Tilly, with and without management present, the scope and results of Baker Tilly’s audit of such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these reviews and discussions, the Audit Committee recommended to the Board that such audited financial statements be included in the Company’s Annual Report on Form 10-K for the year ended December 31, 2025. </w:t>
      </w:r>
    </w:p>
    <w:p>
      <w:pPr>
        <w:pStyle w:val="TextBody"/>
        <w:bidi w:val="0"/>
        <w:spacing w:before="240" w:after="283"/>
        <w:jc w:val="left"/>
        <w:rPr>
          <w:rFonts w:ascii="Times New Roman" w:hAnsi="Times New Roman"/>
          <w:sz w:val="20"/>
        </w:rPr>
      </w:pPr>
      <w:r>
        <w:rPr>
          <w:rFonts w:ascii="Times New Roman" w:hAnsi="Times New Roman"/>
          <w:i/>
          <w:color w:val="000000"/>
          <w:sz w:val="20"/>
        </w:rPr>
        <w:t>Audit Committee of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Richard Reisin (Chair) </w:t>
      </w:r>
    </w:p>
    <w:p>
      <w:pPr>
        <w:pStyle w:val="TextBody"/>
        <w:bidi w:val="0"/>
        <w:jc w:val="left"/>
        <w:rPr>
          <w:rFonts w:ascii="Times New Roman" w:hAnsi="Times New Roman"/>
          <w:color w:val="000000"/>
          <w:sz w:val="20"/>
        </w:rPr>
      </w:pPr>
      <w:r>
        <w:rPr>
          <w:rFonts w:ascii="Times New Roman" w:hAnsi="Times New Roman"/>
          <w:color w:val="000000"/>
          <w:sz w:val="20"/>
        </w:rPr>
        <w:t xml:space="preserve">Dawn Wilson Barnes </w:t>
      </w:r>
    </w:p>
    <w:p>
      <w:pPr>
        <w:pStyle w:val="TextBody"/>
        <w:bidi w:val="0"/>
        <w:jc w:val="left"/>
        <w:rPr>
          <w:rFonts w:ascii="Times New Roman" w:hAnsi="Times New Roman"/>
          <w:color w:val="000000"/>
          <w:sz w:val="20"/>
        </w:rPr>
      </w:pPr>
      <w:r>
        <w:rPr>
          <w:rFonts w:ascii="Times New Roman" w:hAnsi="Times New Roman"/>
          <w:color w:val="000000"/>
          <w:sz w:val="20"/>
        </w:rPr>
        <w:t xml:space="preserve">Jeffrey Goldman </w:t>
      </w:r>
    </w:p>
    <w:p>
      <w:pPr>
        <w:pStyle w:val="TextBody"/>
        <w:bidi w:val="0"/>
        <w:jc w:val="left"/>
        <w:rPr>
          <w:rFonts w:ascii="Times New Roman" w:hAnsi="Times New Roman"/>
          <w:color w:val="000000"/>
          <w:sz w:val="20"/>
        </w:rPr>
      </w:pPr>
      <w:r>
        <w:rPr>
          <w:rFonts w:ascii="Times New Roman" w:hAnsi="Times New Roman"/>
          <w:color w:val="000000"/>
          <w:sz w:val="20"/>
        </w:rPr>
        <w:t xml:space="preserve">Hannah (Buchan) Ross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UNANIMOUSLY RECOMMENDS THAT YOU VOTE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 xml:space="preserve">THE RESOLUTION RE-APPOINTING BAKER TILLY AS AUDITORS FOR THE COMPANY AND THE AUTHORIZATION OF THE BOARD TO FIX THE AUDITORS’ REMUNERATION AND TERMS OF ENGAGEMENT. The persons named in the accompanying Proxy Instrument (if named and absent contrary directions) intend to vote the shares represented thereby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resolution re-appointing Baker Tilly as auditors of the Company for the ensuing year and to authorize the directors to fix Baker Tilly’s remuneration and terms of engagement.</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proposal_no_5_vote_to_approve_amendment"/>
      <w:bookmarkEnd w:id="25"/>
      <w:r>
        <w:rPr>
          <w:rFonts w:ascii="Times New Roman" w:hAnsi="Times New Roman"/>
          <w:b/>
          <w:color w:val="000000"/>
          <w:sz w:val="20"/>
        </w:rPr>
        <w:t>PROPOSAL NO. 5 – VOTE TO APPROVE AMENDMENT TO THE COMPANY’S ARTICLES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The Company proposes to amend the Existing Articles to vary the automatic conversion provisions of the Super Voting Shares, as further described below (the “</w:t>
      </w:r>
      <w:r>
        <w:rPr>
          <w:rFonts w:ascii="Times New Roman" w:hAnsi="Times New Roman"/>
          <w:b/>
          <w:color w:val="000000"/>
          <w:sz w:val="20"/>
        </w:rPr>
        <w:t>Amended Articles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Proposed Amendment to the Articles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the date hereof, 201,690 Super Voting Shares are issued and outstanding, all of which are held by “Initial Holders” (as that term is defined in the Existing Articles).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Section 28.1(7)(b) of the Existing Articles provides that each Super Voting Share held by an Initial Holder shall be automatically converted into one Multiple Voting Share if, at any time, the aggregate number of Super Voting Shares held by such Initial Holder and such Initial Holder’s predecessor or transferor, permitted transferees and permitted successors is less than 50% of the Super Voting Shares beneficially owned, directly or indirectly, by such Initial Holder as at June 12, 2018, being the date of completion of the business combination between the Company, VCP23, LLC and GTI Finco Inc. (the “</w:t>
      </w:r>
      <w:r>
        <w:rPr>
          <w:rFonts w:ascii="Times New Roman" w:hAnsi="Times New Roman"/>
          <w:b/>
          <w:color w:val="000000"/>
          <w:sz w:val="20"/>
        </w:rPr>
        <w:t>Automatic Conversion Threshold</w:t>
      </w:r>
      <w:r>
        <w:rPr>
          <w:rFonts w:ascii="Times New Roman" w:hAnsi="Times New Roman"/>
          <w:color w:val="000000"/>
          <w:sz w:val="20"/>
        </w:rPr>
        <w:t>”). Super Voting Shares and Multiple Voting Shares are economically equivalent, except that one Super Voting Share holds 10 times the number of votes at a meeting of shareholders of the Company compared to one Multiple Voting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proposed Amended Articles will amend the Existing Articles such that the Automatic Conversion Threshold will be changed from 50% to 25% (the “</w:t>
      </w:r>
      <w:r>
        <w:rPr>
          <w:rFonts w:ascii="Times New Roman" w:hAnsi="Times New Roman"/>
          <w:b/>
          <w:color w:val="000000"/>
          <w:sz w:val="20"/>
        </w:rPr>
        <w:t>Amendment</w:t>
      </w:r>
      <w:r>
        <w:rPr>
          <w:rFonts w:ascii="Times New Roman" w:hAnsi="Times New Roman"/>
          <w:color w:val="000000"/>
          <w:sz w:val="20"/>
        </w:rPr>
        <w:t xml:space="preserve">”). There are no other amendments contemplated in the Amended Articles.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the date hereof, Benjamin Kovler, Anthony Georgiadis and Andrew Grossman, all of whom are members of the Company’s management team, are Initial Holders under the Existing Articles, and each such person beneficially owns over 50% of the Super Voting Shares that they initially beneficially owned, directly or indirectly, as of June 12, 2018. (For complete details of the shareholdings of the Initial Holders, see the information set forth under “Security Ownership of Certain Beneficial Owners and Management” below.) The Amendment, if approved, would permit the Initial Holders to effectuate ownership changes in their Super Voting Shares, without their remaining Super Voting Shares being automatically converted into Multiple Voting Shares, provided such Initial Holder continues to hold 25% of the Super Voting Shares originally issued to them.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Both the Audit Committee of the Board and the independent members of the Board have determined that the Amendment is in the best interest of the Company. In connection with its review, the Audit Committee of the Board and the independent members of the Board considered: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pPr>
      <w:r>
        <w:rPr>
          <w:rFonts w:ascii="Times New Roman" w:hAnsi="Times New Roman"/>
          <w:color w:val="000000"/>
          <w:sz w:val="20"/>
        </w:rPr>
        <w:t xml:space="preserve">potential alternatives to the Amendment, including maintaining the </w:t>
      </w:r>
      <w:r>
        <w:rPr>
          <w:rFonts w:ascii="Times New Roman" w:hAnsi="Times New Roman"/>
          <w:i/>
          <w:color w:val="000000"/>
          <w:sz w:val="20"/>
        </w:rPr>
        <w:t xml:space="preserve">status quo </w:t>
      </w:r>
      <w:r>
        <w:rPr>
          <w:rFonts w:ascii="Times New Roman" w:hAnsi="Times New Roman"/>
          <w:color w:val="000000"/>
          <w:sz w:val="20"/>
        </w:rPr>
        <w:t xml:space="preserve">as well as different automatic conversion thresholds;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benefits to the Company associated with potentially preserving the class of Super Voting Share for a longer period of time, including reinforcing the Company’s unique culture and entrepreneurial spirit and providing employees with assurance of continuity of this culture going into the future during a time of turbulence and regulatory uncertainty in our industry, while providing the Initial Holders with greater flexibility for financial and estate planning;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existing coattail provisions which significantly limit any control premium attached to the class of Super Voting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fact that the Amendment does not change the existing voting make-up of the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analysis provided by management of the Company that indicates the Amendment will not have a material financial impact on the holders of the Subordinate Voting Shares and the Multiple Voting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recently completed sales of Super Voting Shares which attracted no premium to the underlying market value of the Subordinate Voting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to encourage further orderly conversions and/or sales of Super Voting Shares while preserving the existing capital structure of the Company;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other considerations as such directors deemed fit.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Amendment Proposal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the Meeting, shareholders will be asked to approve a special resolution in the form set out below, subject to such amendments, variations or additions as may be approved at the Meeting, to approve the Amended Articles. If the resolution approving the Amended Articles is approved by the shareholders, it is expected that the Amended Articles will be implemented forthwith.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text of the resolution to be submitted to shareholders at the Meeting is set out below: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0"/>
        </w:rPr>
        <w:t>BE IT RESOLVED as a special resolution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The articles of the Company be altered by varying the special rights and restrictions attached to the Super Voting Shares by changing the percentage set out in Section 28.1(7)(b) from 50% to 25%;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notice of articles of the Company be altered to reflect the alteration to the articles of the Company referenced above;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The alteration to the articles of the Company referenced above shall not take effect until the notice of articles of the Company has been altered to reflect such alteration to the articles of the Company;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Any director or officer of the Company is hereby authorized and directed, acting for, in the name of and on behalf of the Company, to execute or cause to be executed, under the seal of the Company or otherwise, and to deliver or to cause to be delivered, all such documents, agreements and instruments, and to do or to cause to be done all such other acts and things, as such person determines to be necessary or desirable or required by any regulatory authority in order to carry out the intent of this resolution and the matters authorized hereby, such determination to be conclusively evidenced by the execution and delivery of such document, agreement or instrument or the doing of any such act or thing;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Notwithstanding that this special resolution has been duly passed by the shareholders of the Company, the board of directors of the Company is hereby authorized, at its discretion, to determine at any time to proceed or not proceed with the Amendment without further approval of the shareholders of the Company.”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Required Vote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may select “For”, “Against” or “Abstain” with respect to the Amendment. In order to be passed, the special resolution authorizing the Amendment must be approved by (i) not less than 66 2/3% of the votes cast upon such resolution by all shareholders, voting as a single class, present or represented by proxy at the Meeting; and (ii) a simple majority of affirmative votes cast at the Meeting, excluding votes cast by the Initial 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THE INDEPENDENT MEMBERS OF THE BOARD UNANIMOUSLY RECOMMEND THAT YOU VOTE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AMENDMENT.</w:t>
      </w:r>
      <w:r>
        <w:rPr>
          <w:rFonts w:ascii="Times New Roman" w:hAnsi="Times New Roman"/>
          <w:color w:val="000000"/>
          <w:sz w:val="20"/>
        </w:rPr>
        <w:t xml:space="preserve"> Unless otherwise instructed, the persons designated in the enclosed proxy card intend to vote “</w:t>
      </w:r>
      <w:r>
        <w:rPr>
          <w:rFonts w:ascii="Times New Roman" w:hAnsi="Times New Roman"/>
          <w:b/>
          <w:color w:val="000000"/>
          <w:sz w:val="20"/>
        </w:rPr>
        <w:t>FOR</w:t>
      </w:r>
      <w:r>
        <w:rPr>
          <w:rFonts w:ascii="Times New Roman" w:hAnsi="Times New Roman"/>
          <w:color w:val="000000"/>
          <w:sz w:val="20"/>
        </w:rPr>
        <w:t>” the Amendment.</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security_ownership_of_certain_beneficial"/>
      <w:bookmarkEnd w:id="26"/>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beneficial ownership of the Company’s Subordinate Voting Shares, Multiple Voting Shares and Super Voting Shares as of April 20, 2026 for (i) each member of the Board of Directors, (ii) each NEO (as defined under “Compensation Discussion and Analysis” below), (iii) each person known to the Company and expected to be the beneficial owner of more than 5% of the Company’s securities and (iv) the members of the Board and the named executive officers of the Company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of within 60 days. Except as indicated, all shares of the Company’s securities are owned directly, and the person or entity listed as the beneficial owner has sole voting and investment power. The address for each director and executive officer is c/o Green Thumb Industries Inc., 325 West Huron Street, Suite 700, Chicago, Illinois 60654. </w:t>
      </w:r>
    </w:p>
    <w:p>
      <w:pPr>
        <w:pStyle w:val="TextBody"/>
        <w:bidi w:val="0"/>
        <w:jc w:val="left"/>
        <w:rPr/>
      </w:pPr>
      <w:r>
        <w:rPr/>
        <w:t> </w:t>
      </w:r>
    </w:p>
    <w:tbl>
      <w:tblPr>
        <w:tblW w:w="10204" w:type="dxa"/>
        <w:jc w:val="left"/>
        <w:tblInd w:w="0" w:type="dxa"/>
        <w:tblLayout w:type="fixed"/>
        <w:tblCellMar>
          <w:top w:w="28" w:type="dxa"/>
          <w:left w:w="28" w:type="dxa"/>
          <w:bottom w:w="28" w:type="dxa"/>
          <w:right w:w="28" w:type="dxa"/>
        </w:tblCellMar>
      </w:tblPr>
      <w:tblGrid>
        <w:gridCol w:w="2746"/>
        <w:gridCol w:w="146"/>
        <w:gridCol w:w="826"/>
        <w:gridCol w:w="146"/>
        <w:gridCol w:w="721"/>
        <w:gridCol w:w="146"/>
        <w:gridCol w:w="706"/>
        <w:gridCol w:w="146"/>
        <w:gridCol w:w="556"/>
        <w:gridCol w:w="146"/>
        <w:gridCol w:w="706"/>
        <w:gridCol w:w="146"/>
        <w:gridCol w:w="586"/>
        <w:gridCol w:w="146"/>
        <w:gridCol w:w="916"/>
        <w:gridCol w:w="146"/>
        <w:gridCol w:w="496"/>
        <w:gridCol w:w="146"/>
        <w:gridCol w:w="63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Subordinate</w:t>
              <w:br/>
              <w:t>Voting Shares</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Multiple</w:t>
              <w:br/>
              <w:t>Voting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Super</w:t>
              <w:br/>
              <w:t>Voting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Total</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Voting</w:t>
            </w:r>
            <w:r>
              <w:rPr>
                <w:rFonts w:ascii="Times New Roman" w:hAnsi="Times New Roman"/>
                <w:b/>
                <w:color w:val="000000"/>
                <w:sz w:val="8"/>
              </w:rPr>
              <w:t>(3)</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Name, Position and</w:t>
              <w:br/>
              <w:t>Address of</w:t>
              <w:br/>
            </w:r>
            <w:r>
              <w:rPr>
                <w:rFonts w:ascii="Times New Roman" w:hAnsi="Times New Roman"/>
                <w:b/>
                <w:color w:val="000000"/>
                <w:sz w:val="12"/>
                <w:u w:val="single"/>
              </w:rPr>
              <w:t>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of</w:t>
              <w:br/>
              <w:t>Total</w:t>
              <w:br/>
              <w:t>Subordinate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of</w:t>
              <w:br/>
              <w:t>Total</w:t>
              <w:br/>
              <w:t>Multiple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of</w:t>
              <w:br/>
              <w:t>Total</w:t>
              <w:br/>
              <w:t>Super</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Number of</w:t>
              <w:br/>
              <w:t>Capital</w:t>
              <w:br/>
              <w:t>Stock</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of</w:t>
              <w:br/>
              <w:t>Total</w:t>
              <w:br/>
              <w:t>Capital</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of</w:t>
              <w:br/>
              <w:t>Voting</w:t>
              <w:br/>
              <w:t>Capital</w:t>
              <w:br/>
              <w:t>Stock</w:t>
            </w:r>
          </w:p>
        </w:tc>
      </w:tr>
      <w:tr>
        <w:trPr/>
        <w:tc>
          <w:tcPr>
            <w:tcW w:w="27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Dawn Wilson Barnes,</w:t>
              <w:br/>
              <w:t>   </w:t>
            </w:r>
            <w:r>
              <w:rPr>
                <w:rFonts w:ascii="Times New Roman" w:hAnsi="Times New Roman"/>
                <w:i/>
                <w:color w:val="000000"/>
                <w:sz w:val="16"/>
              </w:rPr>
              <w:t>Director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65,871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65,871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Mathew Faulkner, </w:t>
              <w:br/>
              <w:t>   </w:t>
            </w:r>
            <w:r>
              <w:rPr>
                <w:rFonts w:ascii="Times New Roman" w:hAnsi="Times New Roman"/>
                <w:i/>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Anthony Georgiadis</w:t>
            </w:r>
            <w:r>
              <w:rPr>
                <w:rFonts w:ascii="Times New Roman" w:hAnsi="Times New Roman"/>
                <w:color w:val="000000"/>
                <w:sz w:val="11"/>
              </w:rPr>
              <w:t>(4)</w:t>
            </w:r>
            <w:r>
              <w:rPr>
                <w:rFonts w:ascii="Times New Roman" w:hAnsi="Times New Roman"/>
                <w:color w:val="000000"/>
                <w:sz w:val="16"/>
              </w:rPr>
              <w:br/>
              <w:t> </w:t>
            </w:r>
            <w:r>
              <w:rPr>
                <w:rFonts w:ascii="Times New Roman" w:hAnsi="Times New Roman"/>
                <w:i/>
                <w:color w:val="000000"/>
                <w:sz w:val="16"/>
              </w:rPr>
              <w:t>Director and President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552,114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38,104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4,362,514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Jeffrey Goldman</w:t>
            </w:r>
            <w:r>
              <w:rPr>
                <w:rFonts w:ascii="Times New Roman" w:hAnsi="Times New Roman"/>
                <w:color w:val="000000"/>
                <w:sz w:val="11"/>
              </w:rPr>
              <w:t>(5)</w:t>
            </w:r>
            <w:r>
              <w:rPr>
                <w:rFonts w:ascii="Times New Roman" w:hAnsi="Times New Roman"/>
                <w:color w:val="000000"/>
                <w:sz w:val="16"/>
              </w:rPr>
              <w:br/>
              <w:t>  </w:t>
            </w:r>
            <w:r>
              <w:rPr>
                <w:rFonts w:ascii="Times New Roman" w:hAnsi="Times New Roman"/>
                <w:i/>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Benjamin Kovler</w:t>
            </w:r>
            <w:r>
              <w:rPr>
                <w:rFonts w:ascii="Times New Roman" w:hAnsi="Times New Roman"/>
                <w:color w:val="000000"/>
                <w:sz w:val="11"/>
              </w:rPr>
              <w:t>(6)</w:t>
            </w:r>
            <w:r>
              <w:rPr>
                <w:rFonts w:ascii="Times New Roman" w:hAnsi="Times New Roman"/>
                <w:color w:val="000000"/>
                <w:sz w:val="16"/>
              </w:rPr>
              <w:br/>
            </w:r>
            <w:r>
              <w:rPr>
                <w:rFonts w:ascii="Times New Roman" w:hAnsi="Times New Roman"/>
                <w:i/>
                <w:color w:val="000000"/>
                <w:sz w:val="16"/>
              </w:rPr>
              <w:t>Chairman and Chief Executive Officer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735,908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140,754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14,811,308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Bret Kravitz</w:t>
            </w:r>
            <w:r>
              <w:rPr>
                <w:rFonts w:ascii="Times New Roman" w:hAnsi="Times New Roman"/>
                <w:color w:val="000000"/>
                <w:sz w:val="11"/>
              </w:rPr>
              <w:t xml:space="preserve">(7) </w:t>
            </w:r>
            <w:r>
              <w:rPr>
                <w:rFonts w:ascii="Times New Roman" w:hAnsi="Times New Roman"/>
                <w:color w:val="000000"/>
                <w:sz w:val="16"/>
              </w:rPr>
              <w:br/>
            </w:r>
            <w:r>
              <w:rPr>
                <w:rFonts w:ascii="Times New Roman" w:hAnsi="Times New Roman"/>
                <w:i/>
                <w:color w:val="000000"/>
                <w:sz w:val="16"/>
              </w:rPr>
              <w:t>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Ethan Nadelmann, </w:t>
              <w:br/>
              <w:t>   </w:t>
            </w:r>
            <w:r>
              <w:rPr>
                <w:rFonts w:ascii="Times New Roman" w:hAnsi="Times New Roman"/>
                <w:i/>
                <w:color w:val="000000"/>
                <w:sz w:val="16"/>
              </w:rPr>
              <w:t>Director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62,994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62,994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Richard Reisin</w:t>
            </w:r>
            <w:r>
              <w:rPr>
                <w:rFonts w:ascii="Times New Roman" w:hAnsi="Times New Roman"/>
                <w:color w:val="000000"/>
                <w:sz w:val="11"/>
              </w:rPr>
              <w:t xml:space="preserve">(8) </w:t>
            </w:r>
            <w:r>
              <w:rPr>
                <w:rFonts w:ascii="Times New Roman" w:hAnsi="Times New Roman"/>
                <w:color w:val="000000"/>
                <w:sz w:val="16"/>
              </w:rPr>
              <w:br/>
            </w:r>
            <w:r>
              <w:rPr>
                <w:rFonts w:ascii="Times New Roman" w:hAnsi="Times New Roman"/>
                <w:i/>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Hannah (Buchan) Ross,</w:t>
              <w:br/>
              <w:t>   </w:t>
            </w:r>
            <w:r>
              <w:rPr>
                <w:rFonts w:ascii="Times New Roman" w:hAnsi="Times New Roman"/>
                <w:i/>
                <w:color w:val="000000"/>
                <w:sz w:val="16"/>
              </w:rPr>
              <w:t>Director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66,484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66,484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All Board directors and executive</w:t>
              <w:br/>
              <w:t>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4,223,336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22,320,736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44.9%</w:t>
            </w:r>
          </w:p>
        </w:tc>
      </w:tr>
      <w:tr>
        <w:trPr/>
        <w:tc>
          <w:tcPr>
            <w:tcW w:w="27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Andrew Grossman</w:t>
            </w:r>
            <w:r>
              <w:rPr>
                <w:rFonts w:ascii="Times New Roman" w:hAnsi="Times New Roman"/>
                <w:color w:val="000000"/>
                <w:sz w:val="11"/>
              </w:rPr>
              <w:t>(9)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627,974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2,911,174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BF CA Holdings 2016 LLC</w:t>
            </w: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BF REMS Holdings 2016 LLC</w:t>
            </w:r>
            <w:r>
              <w:rPr>
                <w:rFonts w:ascii="Times New Roman" w:hAnsi="Times New Roman"/>
                <w:color w:val="000000"/>
                <w:sz w:val="11"/>
              </w:rPr>
              <w:t>(10)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1,470,400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Donald Russell Capital LLC</w:t>
            </w: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Medical Herbal Solutions LLC</w:t>
            </w:r>
            <w:r>
              <w:rPr>
                <w:rFonts w:ascii="Times New Roman" w:hAnsi="Times New Roman"/>
                <w:color w:val="000000"/>
                <w:sz w:val="11"/>
              </w:rPr>
              <w:t>(12)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ZLD Capital LLC</w:t>
            </w: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bl>
    <w:p>
      <w:pPr>
        <w:pStyle w:val="TextBody"/>
        <w:pBdr>
          <w:bottom w:val="single" w:sz="4" w:space="1" w:color="000000"/>
        </w:pBdr>
        <w:bidi w:val="0"/>
        <w:spacing w:before="0" w:after="60"/>
        <w:jc w:val="left"/>
        <w:rPr/>
      </w:pPr>
      <w:r>
        <w:rPr/>
        <w:t> </w:t>
      </w:r>
    </w:p>
    <w:p>
      <w:pPr>
        <w:pStyle w:val="TextBody"/>
        <w:bidi w:val="0"/>
        <w:jc w:val="left"/>
        <w:rPr>
          <w:rFonts w:ascii="Times New Roman" w:hAnsi="Times New Roman"/>
          <w:sz w:val="20"/>
        </w:rPr>
      </w:pPr>
      <w:r>
        <w:rPr>
          <w:rFonts w:ascii="Times New Roman" w:hAnsi="Times New Roman"/>
          <w:color w:val="000000"/>
          <w:sz w:val="16"/>
        </w:rPr>
        <w:t>* Less than 1%</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Includes Subordinate Voting Shares subject to Options that are or become exercisable within 60 days of April 20, 2026, and shares underlying RSUs that are scheduled to vest within 60 days of April 20, 2026, and shares underlying warrants exercisable within 60 days of April 20, 2026 as follows: </w:t>
      </w:r>
    </w:p>
    <w:p>
      <w:pPr>
        <w:pStyle w:val="TextBody"/>
        <w:bidi w:val="0"/>
        <w:jc w:val="left"/>
        <w:rPr/>
      </w:pPr>
      <w:r>
        <w:rPr/>
        <w:t> </w:t>
      </w:r>
    </w:p>
    <w:tbl>
      <w:tblPr>
        <w:tblW w:w="5147" w:type="dxa"/>
        <w:jc w:val="left"/>
        <w:tblInd w:w="0" w:type="dxa"/>
        <w:tblLayout w:type="fixed"/>
        <w:tblCellMar>
          <w:top w:w="28" w:type="dxa"/>
          <w:left w:w="28" w:type="dxa"/>
          <w:bottom w:w="28" w:type="dxa"/>
          <w:right w:w="28" w:type="dxa"/>
        </w:tblCellMar>
      </w:tblPr>
      <w:tblGrid>
        <w:gridCol w:w="1981"/>
        <w:gridCol w:w="146"/>
        <w:gridCol w:w="146"/>
        <w:gridCol w:w="781"/>
        <w:gridCol w:w="146"/>
        <w:gridCol w:w="146"/>
        <w:gridCol w:w="147"/>
        <w:gridCol w:w="349"/>
        <w:gridCol w:w="146"/>
        <w:gridCol w:w="146"/>
        <w:gridCol w:w="146"/>
        <w:gridCol w:w="676"/>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Dawn Wilson Barnes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Mathew Faulkner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Georgiadis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351,245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10,098</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Goldman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429,070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Ethan Nadelmann</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Reisin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(Buchan) Ross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Grossman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Of the warrants to purchase Subordinate Voting Shares reported for Mr. Kovler, 2,023 are held by KP Capital, LLC and 6,732 are held by Outsiders Capital, LLC. Of the warrants to purchase Subordinate Voting Shares reported for Mr. Georgiadis, 6,732 are held by ABG LLC (which is 50% owned by Mr. Georgiadis and 50% owned by a third party) and 3,366 are held by Three One Four Holdings LLC. Of the warrants to purchase Subordinate Voting Shares reported for Mr. Grossman, 2,019 are held by AG Funding Group, LLC.</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Total share values are on an as-converted basis.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voting percentages differ from the beneficial ownership percentages in the total capital stock because the Company’s classes of securities have different voting rights.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Includes 18,364 Subordinate Voting Shares and 1,589 Super Voting Shares held by ABG LLC (which is 50% owned by Mr. Georgiadis and 50% owned by a third party), and 1,728 Subordinate Voting Shares and 1,333 Super Voting Shares held by Three One Four Holdings LLC.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Includes 45,013 Subordinate Voting Shares held by Peter D. Goldman Trust and 294,718 Subordinate Voting Shares held by Amy B. Goldman Trust.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Includes 158,130 Subordinate Voting Shares and 80,642 Super Voting Shares held by Outsiders Capital LLC. Includes 66 Subordinate Voting Shares held by KP Capital, LLC. Includes 5,000 Super Voting Shares held by BK 2021 Descendant Trust.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Includes 159,136 Subordinate Voting Shares and 302 Multiple Voting Shares held by Bret D. Kravitz Revocable Trust.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Includes 70,285 Subordinate Voting Shares held by Richard A. Reisin Revocable Trust.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(9)</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Mr. Grossman is the Executive Vice President of Capital Markets and Investor Relations.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(10)</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Based solely on reporting from the Company’s transfer agent. Address: 2010-300 E. Lombard Street, Baltimore, Maryland 22012.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Based solely on reporting from the Company’s transfer agent. Address: 520 Coconut Isle Dr., Fort Lauderdale, FL 33301.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Based solely on reporting from the Company’s transfer agent. Address: PH 60—60 Hendricks Isle, Fort Lauderdale, Florida 33301.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(13)</w:t>
      </w:r>
    </w:p>
    <w:p>
      <w:pPr>
        <w:pStyle w:val="TextBody"/>
        <w:bidi w:val="0"/>
        <w:jc w:val="left"/>
        <w:rPr>
          <w:rFonts w:ascii="Times New Roman" w:hAnsi="Times New Roman"/>
          <w:color w:val="000000"/>
          <w:sz w:val="16"/>
        </w:rPr>
      </w:pPr>
      <w:r>
        <w:rPr>
          <w:rFonts w:ascii="Times New Roman" w:hAnsi="Times New Roman"/>
          <w:color w:val="000000"/>
          <w:sz w:val="16"/>
        </w:rPr>
        <w:t xml:space="preserve">Based solely on reporting from the Company’s transfer agent. Address: 2311 North Andrews Avenue, Fort Lauderdale, Florida 33311.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27" w:name="security_based_compensation_arrangemen"/>
      <w:bookmarkEnd w:id="27"/>
      <w:r>
        <w:rPr>
          <w:rFonts w:ascii="Times New Roman" w:hAnsi="Times New Roman"/>
          <w:b/>
          <w:color w:val="000000"/>
          <w:sz w:val="20"/>
        </w:rPr>
        <w:t>SECURITY BASED COMPENSATION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8" w:name="equity_compensation_plan_information"/>
      <w:bookmarkEnd w:id="28"/>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June 11, 2018, shareholders approved the Stock and Incentive Plan. The Stock and Incentive Plan permits the grant of: (i) nonqualified stock options (“</w:t>
      </w:r>
      <w:r>
        <w:rPr>
          <w:rFonts w:ascii="Times New Roman" w:hAnsi="Times New Roman"/>
          <w:b/>
          <w:color w:val="000000"/>
          <w:sz w:val="20"/>
        </w:rPr>
        <w:t>NQSOs</w:t>
      </w:r>
      <w:r>
        <w:rPr>
          <w:rFonts w:ascii="Times New Roman" w:hAnsi="Times New Roman"/>
          <w:color w:val="000000"/>
          <w:sz w:val="20"/>
        </w:rPr>
        <w:t>”) and incentive stock options (“</w:t>
      </w:r>
      <w:r>
        <w:rPr>
          <w:rFonts w:ascii="Times New Roman" w:hAnsi="Times New Roman"/>
          <w:b/>
          <w:color w:val="000000"/>
          <w:sz w:val="20"/>
        </w:rPr>
        <w:t>ISOs</w:t>
      </w:r>
      <w:r>
        <w:rPr>
          <w:rFonts w:ascii="Times New Roman" w:hAnsi="Times New Roman"/>
          <w:color w:val="000000"/>
          <w:sz w:val="20"/>
        </w:rPr>
        <w:t>”) (collectively, “</w:t>
      </w:r>
      <w:r>
        <w:rPr>
          <w:rFonts w:ascii="Times New Roman" w:hAnsi="Times New Roman"/>
          <w:b/>
          <w:color w:val="000000"/>
          <w:sz w:val="20"/>
        </w:rPr>
        <w:t>Options</w:t>
      </w:r>
      <w:r>
        <w:rPr>
          <w:rFonts w:ascii="Times New Roman" w:hAnsi="Times New Roman"/>
          <w:color w:val="000000"/>
          <w:sz w:val="20"/>
        </w:rPr>
        <w:t>”); (ii) restricted stock awards; (iii) RSUs; (iv) SARs; and (v) performance compensation awards, which are referred herein collectively as “</w:t>
      </w:r>
      <w:r>
        <w:rPr>
          <w:rFonts w:ascii="Times New Roman" w:hAnsi="Times New Roman"/>
          <w:b/>
          <w:color w:val="000000"/>
          <w:sz w:val="20"/>
        </w:rPr>
        <w:t>Awards</w:t>
      </w:r>
      <w:r>
        <w:rPr>
          <w:rFonts w:ascii="Times New Roman" w:hAnsi="Times New Roman"/>
          <w:color w:val="000000"/>
          <w:sz w:val="20"/>
        </w:rPr>
        <w:t xml:space="preserve">,” as more fully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out information as of December 31, 2025 with respect to the Stock and Incentive Plan.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0"/>
        <w:gridCol w:w="146"/>
        <w:gridCol w:w="210"/>
        <w:gridCol w:w="1345"/>
        <w:gridCol w:w="146"/>
        <w:gridCol w:w="146"/>
        <w:gridCol w:w="388"/>
        <w:gridCol w:w="1053"/>
        <w:gridCol w:w="146"/>
        <w:gridCol w:w="146"/>
        <w:gridCol w:w="182"/>
        <w:gridCol w:w="1293"/>
        <w:gridCol w:w="394"/>
      </w:tblGrid>
      <w:tr>
        <w:trPr/>
        <w:tc>
          <w:tcPr>
            <w:tcW w:w="4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br/>
              <w:t>Number of</w:t>
              <w:br/>
              <w:t>securities to be</w:t>
              <w:br/>
              <w:t>issued upon</w:t>
              <w:br/>
              <w:t>exercise of</w:t>
              <w:br/>
              <w:t>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br/>
              <w:t>Weighted-average</w:t>
              <w:br/>
              <w:t>exercise price of</w:t>
              <w:br/>
              <w:t>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Number of</w:t>
              <w:br/>
              <w:t>securities</w:t>
              <w:br/>
              <w:t>remaining</w:t>
              <w:br/>
              <w:t>available for</w:t>
              <w:br/>
              <w:t>future issuance</w:t>
              <w:br/>
              <w:t>under equity</w:t>
              <w:br/>
              <w:t>compensation plans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compensation plans approved by security holders</w:t>
            </w:r>
            <w:r>
              <w:rPr>
                <w:rFonts w:ascii="Times New Roman" w:hAnsi="Times New Roman"/>
                <w:color w:val="000000"/>
                <w:sz w:val="13"/>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7,692,764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17,370,850</w:t>
            </w:r>
          </w:p>
        </w:tc>
        <w:tc>
          <w:tcPr>
            <w:tcW w:w="39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Nil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610"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7,692,764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17,370,850</w:t>
            </w:r>
          </w:p>
        </w:tc>
        <w:tc>
          <w:tcPr>
            <w:tcW w:w="39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 xml:space="preserve">The maximum number of Subordinate Voting Shares issuable under the Stock and Incentive Plan of the Company as of December 31, 2025 was 34,581,907, representing 15% of the number of the issued and Outstanding Share Number.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the following Awards were outstanding under the Stock and Incentive Plan: (i) a total of 7,692,764 Options, representing approximately 3.3% of the then Outstanding Share Number; and (ii) a total of 9,518,293 RSUs, representing approximately 4.1% of the then Outstanding Share Number. As of December 31, 2025, an aggregate of 17,370,850 Subordinate Voting Shares remained available for issuance under the Stock and Incentive Plan, representing approximately 7.5% of the then Outstanding Share Number. </w:t>
      </w:r>
    </w:p>
    <w:p>
      <w:pPr>
        <w:pStyle w:val="TextBody"/>
        <w:bidi w:val="0"/>
        <w:spacing w:before="360" w:after="283"/>
        <w:jc w:val="left"/>
        <w:rPr>
          <w:rFonts w:ascii="Times New Roman" w:hAnsi="Times New Roman"/>
          <w:sz w:val="20"/>
        </w:rPr>
      </w:pPr>
      <w:bookmarkStart w:id="29" w:name="summary_of_terms_and_conditions"/>
      <w:bookmarkEnd w:id="29"/>
      <w:r>
        <w:rPr>
          <w:rFonts w:ascii="Times New Roman" w:hAnsi="Times New Roman"/>
          <w:b/>
          <w:color w:val="000000"/>
          <w:sz w:val="20"/>
        </w:rPr>
        <w:t>Summary of Terms and Conditions of the Stock and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Purpose of the Stock and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purpose of the Stock and Incentive Plan is to enable the Company and its affiliated companies to: (i) promote and retain employees, officers, consultants, advisors and directors capable of assuring the future success of the Company; (ii) to offer such persons incentives to put forth maximum efforts; and (iii) to compensate such persons through various stock and cash-based arrangements and provide them with opportunities for stock ownership, thereby aligning the interests of such persons and shareholders.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Eligible Persons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Any of the Company’s employees, officers, directors, consultants (who are natural persons) are eligible to participate in the Stock and Incentive Plan if selected by the Compensation Committee (as defined herein) (the “</w:t>
      </w:r>
      <w:r>
        <w:rPr>
          <w:rFonts w:ascii="Times New Roman" w:hAnsi="Times New Roman"/>
          <w:b/>
          <w:color w:val="000000"/>
          <w:sz w:val="20"/>
        </w:rPr>
        <w:t>Participants</w:t>
      </w:r>
      <w:r>
        <w:rPr>
          <w:rFonts w:ascii="Times New Roman" w:hAnsi="Times New Roman"/>
          <w:color w:val="000000"/>
          <w:sz w:val="20"/>
        </w:rPr>
        <w:t xml:space="preserve">”). The basis of participation of an individual under the Stock and Incentive Plan, and the type and amount of any Award that an individual will be entitled to receive under the Stock and Incentive Plan, will be determined by the Compensation Committee based on its judgment as to the best interests of the Company and its shareholders, and therefore cannot be determined in advance.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maximum number of Subordinate Voting Shares that may be issued under the Stock and Incentive Plan shall be determined by the Board from time to time, but in no case shall exceed, in the aggregate, 15% of the Outstanding Share Number. Notwithstanding the foregoing, a maximum of 20,000,000 Subordinate Voting Shares may be issued as ISOs, subject to adjustment as provided in the Stock and Incentive Plan. Any shares subject to an Award under the Stock and Incentive Plan that are forfeited, cancelled, expire unexercised, exercised, settled in cash, used or withheld to satisfy tax withholding obligations of a Participant, or, in the case of RSUs, vested, shall again be available for Awards under the Stock and Incentive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of any dividend, recapitalization, forward or reverse stock split, reorganization, merger, amalgamation, consolidation, split-up, split-off, combination, repurchase or exchange of Subordinate Voting Shares or other securities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Company, issuance of warrants or other rights to acquire Subordinate Voting Shares or other securities of the Company, or other similar corporate transaction or event, which affects the Subordinate Voting Shares, or unusual or nonrecurring events affecting the Company, or the financial statements of the Company, or changes in applicable rules, rulings, regulations or other requirements of any governmental body or securities exchange or inter-dealer quotation system, accounting principles or law, the Compensation Committee may make such adjustment, which is appropriate in order to prevent dilution or enlargement of the rights of Participants under the Stock and Incentive Plan, to: (i) the number and kind of shares which may thereafter be issued in connection with Awards; (ii) the number and kind of shares issuable in respect of outstanding Awards; (iii) the purchase price or exercise price relating to any Award or, if deemed appropriate, make provision for a cash payment with respect to any outstanding Award; and (iv) any share limit set forth in the Stock and Incentive Plan. </w:t>
      </w:r>
    </w:p>
    <w:p>
      <w:pPr>
        <w:pStyle w:val="TextBody"/>
        <w:bidi w:val="0"/>
        <w:spacing w:before="360" w:after="283"/>
        <w:jc w:val="left"/>
        <w:rPr>
          <w:rFonts w:ascii="Times New Roman" w:hAnsi="Times New Roman"/>
          <w:sz w:val="20"/>
        </w:rPr>
      </w:pPr>
      <w:bookmarkStart w:id="30" w:name="description_of_awards"/>
      <w:bookmarkEnd w:id="30"/>
      <w:r>
        <w:rPr>
          <w:rFonts w:ascii="Times New Roman" w:hAnsi="Times New Roman"/>
          <w:b/>
          <w:color w:val="000000"/>
          <w:sz w:val="20"/>
        </w:rPr>
        <w:t>Description of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Stock and Incentive Plan, the Company is authorized to issue the following types of Awards to Participants: (i) Options; (ii) restricted stock awards; (iii) RSUs; (iv) SARs; and (v) performance compensation awards, as more fully described below.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360" w:after="283"/>
        <w:jc w:val="left"/>
        <w:rPr/>
      </w:pPr>
      <w:r>
        <w:rPr>
          <w:rFonts w:ascii="Times New Roman" w:hAnsi="Times New Roman"/>
          <w:color w:val="000000"/>
          <w:sz w:val="20"/>
          <w:u w:val="single"/>
        </w:rPr>
        <w:t>Options</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Compensation Committee is authorized to grant Options to purchase Subordinate Voting Shares that are either ISOs meaning they are intended to satisfy the requirements of Section 422 of the </w:t>
      </w:r>
      <w:r>
        <w:rPr>
          <w:rFonts w:ascii="Times New Roman" w:hAnsi="Times New Roman"/>
          <w:i/>
          <w:color w:val="000000"/>
          <w:sz w:val="20"/>
        </w:rPr>
        <w:t>U.S. Internal Revenue Code of 1986</w:t>
      </w:r>
      <w:r>
        <w:rPr>
          <w:rFonts w:ascii="Times New Roman" w:hAnsi="Times New Roman"/>
          <w:color w:val="000000"/>
          <w:sz w:val="20"/>
        </w:rPr>
        <w:t>) (the “</w:t>
      </w:r>
      <w:r>
        <w:rPr>
          <w:rFonts w:ascii="Times New Roman" w:hAnsi="Times New Roman"/>
          <w:b/>
          <w:color w:val="000000"/>
          <w:sz w:val="20"/>
        </w:rPr>
        <w:t>Code</w:t>
      </w:r>
      <w:r>
        <w:rPr>
          <w:rFonts w:ascii="Times New Roman" w:hAnsi="Times New Roman"/>
          <w:color w:val="000000"/>
          <w:sz w:val="20"/>
        </w:rPr>
        <w:t xml:space="preserve">”), or NQSOs, meaning they are not intended to satisfy the requirements of Section 422 of the Code. Options granted under the Stock and Incentive Plan will be subject to the terms and conditions established by the Compensation Committee. Under the terms of the Stock and Incentive Plan, unless the Compensation Committee determines otherwise in the case of an Option substituted for another Option in connection with a corporate transaction, the exercise price of the Options will not be less than the fair market value (as determined under the Stock and Incentive Plan) of the shares at the time of grant. Options granted under the Stock and Incentive Plan will be subject to such terms, including the exercise price and the conditions and timing of exercise, as may be determined by the Compensation Committee and specified in the applicable award agreement. The maximum term of an Option granted under the Stock and Incentive Plan will be ten years from the date of grant (or five years in the case of an ISO granted to a 10% shareholder). Payment in respect of the exercise of an Option may be made in cash or by check, by surrender of unrestricted shares (at their fair market value on the date of exercise) or by such other method as the Compensation Committee may determine to be appropriate.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360" w:after="283"/>
        <w:jc w:val="left"/>
        <w:rPr/>
      </w:pPr>
      <w:r>
        <w:rPr>
          <w:rFonts w:ascii="Times New Roman" w:hAnsi="Times New Roman"/>
          <w:color w:val="000000"/>
          <w:sz w:val="20"/>
          <w:u w:val="single"/>
        </w:rPr>
        <w:t>SARs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SAR entitles the recipient to receive, upon exercise of the SAR, the increase in the fair market value of a specified number of Subordinate Voting Shares from the date of the grant of the SAR and the date of exercise payable in Subordinate Voting Shares. Any grant may specify a vesting period or periods before the SAR may become exercisable and permissible dates or periods on or during which the SAR shall be exercisable. No SAR may be exercised more than ten years from the grant date. Upon a Participant’s termination of service, the same general conditions applicable to Options as described above would be applicable to the SAR.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are granted in reference to a specified number of Subordinate Voting Shares and entitle the holder to receive, on achievement of specific performance goals established by the Compensation Committee, after a period of continued service with the Company or its affiliates or any combination of the above as set forth in the applicable award agreement, one Subordinate Voting Share for each such Subordinate Voting Share covered by the RSU; provided, that the Compensation Committee may elect to pay cash, or part cash and part Subordinate Voting Shares in lieu of delivering only Subordinate Voting Shares. The Compensation Committee may, in its discretion, accelerate the vesting of RSUs. Unless otherwise provided in the applicable award agreement or as may be determined by the Compensation Committee, upon a Participant’s termination of service with the Company, the unvested portion of the RSUs will be forfeited.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360" w:after="283"/>
        <w:jc w:val="left"/>
        <w:rPr/>
      </w:pPr>
      <w:r>
        <w:rPr>
          <w:rFonts w:ascii="Times New Roman" w:hAnsi="Times New Roman"/>
          <w:color w:val="000000"/>
          <w:sz w:val="20"/>
          <w:u w:val="single"/>
        </w:rPr>
        <w:t>Restricted Stock</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restricted stock award is a grant of Subordinate Voting Shares, which are subject to forfeiture restrictions during a restriction period. The Compensation Committee will determine the price, if any, to be paid by the Participant for each Subordinate Voting Share subject to a restricted stock award. The Compensation Committee may condition the expiration of the restriction period, if any, upon: (i) the Participant’s continued service over a period of time with the Company or its affiliates; (ii) the achievement by the Participant, the Company or its affiliates of any other performance goals set by the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Committee; or (iii) any combination of the above conditions as specified in the applicable award agreement. If the specified conditions are not attained, the Participant will forfeit the portion of the restricted stock award with respect to which those conditions are not attained, and the underlying Subordinate Voting Shares will be forfeited. At the end of the restriction period, if the conditions, if any, have been satisfied, the restrictions imposed will lapse with respect to the applicable number of Subordinate Voting Shares. During the restriction period, unless otherwise provided in the applicable award agreement, a Participant will have the right to vote the shares underlying the restricted stock; however, all dividends will remain subject to restriction until the stock with respect to which the dividend was issued lapses. The Compensation Committee may, in its discretion, accelerate the vesting and delivery of shares of restricted stock. Unless otherwise provided in the applicable award agreement or as may be determined by the Compensation Committee, upon a Participant’s termination of service with the Company, the unvested portion of a restricted stock award will be forfeited.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360" w:after="283"/>
        <w:jc w:val="left"/>
        <w:rPr/>
      </w:pPr>
      <w:r>
        <w:rPr>
          <w:rFonts w:ascii="Times New Roman" w:hAnsi="Times New Roman"/>
          <w:color w:val="000000"/>
          <w:sz w:val="20"/>
          <w:u w:val="single"/>
        </w:rPr>
        <w:t>All Awards and Other Awards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Awards may be granted alone, in addition to, or in tandem with any other Award or any award granted under another plan of the Company or an affiliate. Awards granted in addition to or in tandem with other Awards may be granted either at the same time or at different times. The date of grant, the number of Subordinate Voting Shares, the vesting period and any other terms and conditions of Awards granted pursuant to the Stock and Incentive Plan are to be determined by the Board, subject to the express provisions of the Stock and Incentive Plan. </w:t>
      </w:r>
    </w:p>
    <w:p>
      <w:pPr>
        <w:pStyle w:val="TextBody"/>
        <w:bidi w:val="0"/>
        <w:spacing w:before="240" w:after="283"/>
        <w:jc w:val="left"/>
        <w:rPr>
          <w:rFonts w:ascii="Times New Roman" w:hAnsi="Times New Roman"/>
          <w:sz w:val="20"/>
        </w:rPr>
      </w:pPr>
      <w:r>
        <w:rPr>
          <w:rFonts w:ascii="Times New Roman" w:hAnsi="Times New Roman"/>
          <w:color w:val="000000"/>
          <w:sz w:val="20"/>
        </w:rPr>
        <w:t>The Board may also grant other share-based awards to Participants pursuant to the Stock and Incentive Plan. All such awards shall be granted on terms determined by the Board and shall be subject to the approval of the Canadian Securities Exchange (“</w:t>
      </w:r>
      <w:r>
        <w:rPr>
          <w:rFonts w:ascii="Times New Roman" w:hAnsi="Times New Roman"/>
          <w:b/>
          <w:color w:val="000000"/>
          <w:sz w:val="20"/>
        </w:rPr>
        <w:t>CSE</w:t>
      </w:r>
      <w:r>
        <w:rPr>
          <w:rFonts w:ascii="Times New Roman" w:hAnsi="Times New Roman"/>
          <w:color w:val="000000"/>
          <w:sz w:val="20"/>
        </w:rPr>
        <w:t xml:space="preserve">”) if required. </w:t>
      </w:r>
    </w:p>
    <w:p>
      <w:pPr>
        <w:pStyle w:val="TextBody"/>
        <w:bidi w:val="0"/>
        <w:spacing w:before="360" w:after="283"/>
        <w:jc w:val="left"/>
        <w:rPr>
          <w:rFonts w:ascii="Times New Roman" w:hAnsi="Times New Roman"/>
          <w:sz w:val="20"/>
        </w:rPr>
      </w:pPr>
      <w:bookmarkStart w:id="31" w:name="administration_of_the_stock_and_incenti"/>
      <w:bookmarkEnd w:id="31"/>
      <w:r>
        <w:rPr>
          <w:rFonts w:ascii="Times New Roman" w:hAnsi="Times New Roman"/>
          <w:b/>
          <w:color w:val="000000"/>
          <w:sz w:val="20"/>
        </w:rPr>
        <w:t>Administration of the Stock and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may impose restrictions on the grant, exercise or payment of an Award as it determines appropriate. Generally, Awards granted under the Stock and Incentive Plan shall be nontransferable except by will or by the laws of descent and distribution. No Participant shall have any rights as a shareholder with respect to Subordinate Voting Shares covered by Options, SARs, restricted stock awards, or RSUs, unless and until such Awards are settled in Subordinate Voting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Option (or, if applicable, SARs) shall be exercisable, no Subordinate Voting Shares shall be issued, no certificates for Subordinate Voting Shares shall be delivered and no payment shall be made under the Stock and Incentive Plan except in compliance with all applicable laws. </w:t>
      </w:r>
    </w:p>
    <w:p>
      <w:pPr>
        <w:pStyle w:val="TextBody"/>
        <w:bidi w:val="0"/>
        <w:spacing w:before="360" w:after="283"/>
        <w:jc w:val="left"/>
        <w:rPr>
          <w:rFonts w:ascii="Times New Roman" w:hAnsi="Times New Roman"/>
          <w:sz w:val="20"/>
        </w:rPr>
      </w:pPr>
      <w:bookmarkStart w:id="32" w:name="tax_withholding"/>
      <w:bookmarkEnd w:id="32"/>
      <w:r>
        <w:rPr>
          <w:rFonts w:ascii="Times New Roman" w:hAnsi="Times New Roman"/>
          <w:b/>
          <w:color w:val="000000"/>
          <w:sz w:val="20"/>
        </w:rPr>
        <w:t>Tax Withholding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take such action as it deems appropriate to ensure that all applicable federal, state, local and/or foreign payroll, withholding, income or other taxes, which are the sole and absolute responsibility of a Participant, are withheld or collected from such Participant. </w:t>
      </w:r>
    </w:p>
    <w:p>
      <w:pPr>
        <w:pStyle w:val="TextBody"/>
        <w:bidi w:val="0"/>
        <w:spacing w:before="360" w:after="283"/>
        <w:jc w:val="left"/>
        <w:rPr>
          <w:rFonts w:ascii="Times New Roman" w:hAnsi="Times New Roman"/>
          <w:sz w:val="20"/>
        </w:rPr>
      </w:pPr>
      <w:bookmarkStart w:id="33" w:name="amendments_and_termination"/>
      <w:bookmarkEnd w:id="33"/>
      <w:r>
        <w:rPr>
          <w:rFonts w:ascii="Times New Roman" w:hAnsi="Times New Roman"/>
          <w:b/>
          <w:color w:val="000000"/>
          <w:sz w:val="20"/>
        </w:rPr>
        <w:t>Amendments and Termination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provisions of the Stock and Incentive Plan, the Board may from time to time amend, suspend or terminate the Stock and Incentive Plan, and the Compensation Committee may amend the terms of any previously granted Award, provided that no amendment to the terms of any previously granted Award may (except as expressly provided in the Stock and Incentive Plan) materially and adversely alter or impair the terms or conditions of the Award previously granted to a Participant under the Stock and Incentive Plan without the written consent of the Participant or holder thereof. Any amendment to the Stock and Incentive Plan, or to the terms of any Award previously granted, is subject to compliance with all applicable laws, rules, regulations and policies of any applicable governmental entity or securities exchange, including receipt of any required approval from the governmental entity or stock exchange, and any such amendment, alteration, suspension, discontinuation or termination of an Award will be in compliance with the policies of the CSE.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greater certainty and without limiting the foregoing, the Board may amend, suspend, terminate or discontinue the Stock and Incentive Plan, and the Compensation Committee may amend or alter any previously granted Award, as applicable, without obtaining the approval of shareholders in order to: (i) amend the eligibility for, and limitations or conditions imposed upon, participation in the Stock and Incentive Plan; (ii) amend any terms relating to the granting or exercise of Awards; (iii) make changes that are necessary or desirable to comply with applicable laws, rules, regulations and policies of any applicable governmental entity or stock exchange (including amendments to Awards necessary or desirable to avoid any adverse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under Section 409A of the Code); (iv) amend any terms relating to the administration of the Stock and Incentive Plan; or (v) correct any defect, supply any omission or reconcile any inconsistency in the Stock and Incentive Plan or in any Award or Award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the Stock and Incentive Plan specifically provides that shareholder approval would be required for any amendments to the Stock and Incentive Plan or an Award that would: (i) require shareholder approval under the rules or regulations of securities exchange that is applicable to the Company; (ii) increase the number of shares authorized under the Stock and Incentive Plan; (iii) permit repricing of Options or SARs; (iv) permit the award of Options or SARs at a price less than 100% of the fair market value on the date of the grant; (v) permit Options to be transferable other than in accordance with the provisions of the Stock and Incentive Plan; (vi) amend the termination and amendment provisions of the Stock and Incentive Plan; or (vii) increase the maximum term permitted for Options and SARs under the Stock and Incentive Plan or extend the terms of any Options beyond their original expiry date. </w:t>
      </w:r>
    </w:p>
    <w:p>
      <w:pPr>
        <w:pStyle w:val="TextBody"/>
        <w:bidi w:val="0"/>
        <w:spacing w:before="360" w:after="283"/>
        <w:jc w:val="left"/>
        <w:rPr>
          <w:rFonts w:ascii="Times New Roman" w:hAnsi="Times New Roman"/>
          <w:sz w:val="20"/>
        </w:rPr>
      </w:pPr>
      <w:bookmarkStart w:id="34" w:name="corporate_transactions"/>
      <w:bookmarkEnd w:id="34"/>
      <w:r>
        <w:rPr>
          <w:rFonts w:ascii="Times New Roman" w:hAnsi="Times New Roman"/>
          <w:b/>
          <w:color w:val="000000"/>
          <w:sz w:val="20"/>
        </w:rPr>
        <w:t>Corporate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 and Incentive Plan provides that, in the event of any reorganization, merger, consolidation, split-up, spin-off, combination, plan of arrangement, take-over bid or tender offer, repurchase or exchange of Subordinate Voting Shares or other securities of the Company or any other similar corporate transaction or event involving the Company (or the Company shall enter into a written agreement to undergo such a transaction or event), the Compensation Committee or the Board may, in its sole discretion, provide for any of the following to be effective upon the consummation of the event (or effective immediately prior to the consummation of the event, provided that the consummation of the event subsequently occurs): (i) either (A) termination of the Award, whether or not vested, in exchange for an amount of cash and/or other property, if any, equal to the amount that would have been attained upon the exercise of the vested portion of the Award or realization of the Participant’s vested rights, or (B) the replacement of the Award with other rights or property selected by the Compensation Committee or the Board, in its sole discretion; (ii) that the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(iii) that the Award shall be exercisable or payable or fully vested with respect to all Shares covered thereby, notwithstanding anything to the contrary in the applicable Award agreement; or (iv) that the Award cannot vest, be exercised or become payable after a date certain in the future, which may be the effective date of the event.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35" w:name="governance"/>
      <w:bookmarkEnd w:id="35"/>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6" w:name="board_of_directors"/>
      <w:bookmarkEnd w:id="36"/>
      <w:r>
        <w:rPr>
          <w:rFonts w:ascii="Times New Roman" w:hAnsi="Times New Roman"/>
          <w:b/>
          <w:color w:val="000000"/>
          <w:sz w:val="20"/>
        </w:rPr>
        <w:t>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affairs are managed, and all corporate powers are exercised, under the direction of our Board. Our Board establishes fundamental corporate policies and oversees our performance and the performance of our Chief Executive Officer and the other officers to whom our Board has delegated authority to manage day-to-day business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Biographical information on each member of the Board, including their respective ages and key qualifications, are included above under “Proposals No. 1 and 2—Election of Directors.” </w:t>
      </w:r>
    </w:p>
    <w:p>
      <w:pPr>
        <w:pStyle w:val="TextBody"/>
        <w:bidi w:val="0"/>
        <w:spacing w:before="240" w:after="283"/>
        <w:jc w:val="left"/>
        <w:rPr>
          <w:rFonts w:ascii="Times New Roman" w:hAnsi="Times New Roman"/>
          <w:sz w:val="20"/>
        </w:rPr>
      </w:pPr>
      <w:r>
        <w:rPr>
          <w:rFonts w:ascii="Times New Roman" w:hAnsi="Times New Roman"/>
          <w:color w:val="000000"/>
          <w:sz w:val="20"/>
        </w:rPr>
        <w:t>The Board has adopted a Code of Ethical Business Conduct for directors, officers and employees (the “</w:t>
      </w:r>
      <w:r>
        <w:rPr>
          <w:rFonts w:ascii="Times New Roman" w:hAnsi="Times New Roman"/>
          <w:b/>
          <w:color w:val="000000"/>
          <w:sz w:val="20"/>
        </w:rPr>
        <w:t>Code of Conduct</w:t>
      </w:r>
      <w:r>
        <w:rPr>
          <w:rFonts w:ascii="Times New Roman" w:hAnsi="Times New Roman"/>
          <w:color w:val="000000"/>
          <w:sz w:val="20"/>
        </w:rPr>
        <w:t xml:space="preserve">”). The Code of Conduct has been filed on and is accessible through Canada’s SEDAR+ under the Company’s profile on sedarplus.ca and is also available on the Investors page of our website at </w:t>
      </w:r>
      <w:r>
        <w:rPr>
          <w:rFonts w:ascii="Times New Roman" w:hAnsi="Times New Roman"/>
          <w:color w:val="000000"/>
          <w:sz w:val="20"/>
          <w:u w:val="single"/>
        </w:rPr>
        <w:t>gtigrows.com</w:t>
      </w:r>
      <w:r>
        <w:rPr>
          <w:rFonts w:ascii="Times New Roman" w:hAnsi="Times New Roman"/>
          <w:color w:val="000000"/>
          <w:sz w:val="20"/>
        </w:rPr>
        <w:t xml:space="preserve">. The Company will, upon request at </w:t>
      </w:r>
      <w:r>
        <w:rPr>
          <w:rFonts w:ascii="Times New Roman" w:hAnsi="Times New Roman"/>
          <w:color w:val="000000"/>
          <w:sz w:val="20"/>
          <w:u w:val="single"/>
        </w:rPr>
        <w:t>investorrelations@gtigrows.com</w:t>
      </w:r>
      <w:r>
        <w:rPr>
          <w:rFonts w:ascii="Times New Roman" w:hAnsi="Times New Roman"/>
          <w:color w:val="000000"/>
          <w:sz w:val="20"/>
        </w:rPr>
        <w:t xml:space="preserve">, provide a copy of the Code of Conduct free of charge to any shareholder. Further, the Board has adopted a Disclosure and Insider Trading Policy and Related Party Transactions Policy. The information on our website is not deemed to be incorporated in this proxy statement or to be part of this proxy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expects its directors, officers, agents, contractors and employees to act ethically at all times and to acknowledge their adherence to the policies comprising the Code of Conduct. The Audit Committee of the Board oversees the implementation and effectiveness of the Code of Conduct, including overseeing the complaints reported on the Company’s Code of Conduct hotline and reviewing management’s plan for investigations. Any material issues regarding compliance with the Code of Conduct are required to be brought forward by management at either the Board or appropriate Board committee meetings, or are referred to the executive officers of the Company, as may be appropriate in the circumstances. The Board and/or appropriate committee or executive officers determine what remedial steps, if any, are required. Any waivers from the Code of Conduct that are granted for the benefit of a director or executive officer may be granted only by the Board (or a committee thereof, as designated by the Board). No material waiver has ever been granted under the Code of Conduct.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director of the Company must disclose all actual or potential conflicts of interest and refrain from voting on matters in which such director has a conflict of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Articles provide that the quorum necessary for the transaction of the business of the Board may be set by the directors and, if not so set, is deemed to be set at two (2) directors or, if the number of directors is set at one (1), is deemed to be set at one (1) director, and that director may constitute a meeting. </w:t>
      </w:r>
    </w:p>
    <w:p>
      <w:pPr>
        <w:pStyle w:val="TextBody"/>
        <w:bidi w:val="0"/>
        <w:spacing w:before="240" w:after="283"/>
        <w:jc w:val="left"/>
        <w:rPr>
          <w:rFonts w:ascii="Times New Roman" w:hAnsi="Times New Roman"/>
          <w:sz w:val="20"/>
        </w:rPr>
      </w:pPr>
      <w:r>
        <w:rPr>
          <w:rFonts w:ascii="Times New Roman" w:hAnsi="Times New Roman"/>
          <w:color w:val="000000"/>
          <w:sz w:val="20"/>
        </w:rPr>
        <w:t>The Canadian Securities Administrators has issued corporate governance guidelines pursuant to Canadian National Policy 58-201—Corporate Governance Guidelines (the “</w:t>
      </w:r>
      <w:r>
        <w:rPr>
          <w:rFonts w:ascii="Times New Roman" w:hAnsi="Times New Roman"/>
          <w:b/>
          <w:color w:val="000000"/>
          <w:sz w:val="20"/>
        </w:rPr>
        <w:t>Corporate Governance Guidelines</w:t>
      </w:r>
      <w:r>
        <w:rPr>
          <w:rFonts w:ascii="Times New Roman" w:hAnsi="Times New Roman"/>
          <w:color w:val="000000"/>
          <w:sz w:val="20"/>
        </w:rPr>
        <w:t>”), together with certain related disclosure requirements pursuant to Canadian National Instrument 58-101—</w:t>
      </w:r>
      <w:r>
        <w:rPr>
          <w:rFonts w:ascii="Times New Roman" w:hAnsi="Times New Roman"/>
          <w:i/>
          <w:color w:val="000000"/>
          <w:sz w:val="20"/>
        </w:rPr>
        <w:t xml:space="preserve">Disclosure of Corporate Governance Practices </w:t>
      </w:r>
      <w:r>
        <w:rPr>
          <w:rFonts w:ascii="Times New Roman" w:hAnsi="Times New Roman"/>
          <w:color w:val="000000"/>
          <w:sz w:val="20"/>
        </w:rPr>
        <w:t>(“</w:t>
      </w:r>
      <w:r>
        <w:rPr>
          <w:rFonts w:ascii="Times New Roman" w:hAnsi="Times New Roman"/>
          <w:b/>
          <w:color w:val="000000"/>
          <w:sz w:val="20"/>
        </w:rPr>
        <w:t>NI 58-101</w:t>
      </w:r>
      <w:r>
        <w:rPr>
          <w:rFonts w:ascii="Times New Roman" w:hAnsi="Times New Roman"/>
          <w:color w:val="000000"/>
          <w:sz w:val="20"/>
        </w:rPr>
        <w:t xml:space="preserve">”). The Corporate Governance Guidelines are recommended as “best practices” for issuers to follow. We recognize that good corporate governance plays an important role in our overall success and in enhancing shareholder value and, accordingly, we have adopted certain corporate governance policies and practices which reflect our consideration of the recommended Corporate Governance Guidelines. </w:t>
      </w:r>
    </w:p>
    <w:p>
      <w:pPr>
        <w:pStyle w:val="TextBody"/>
        <w:bidi w:val="0"/>
        <w:spacing w:before="360" w:after="283"/>
        <w:jc w:val="left"/>
        <w:rPr>
          <w:rFonts w:ascii="Times New Roman" w:hAnsi="Times New Roman"/>
          <w:sz w:val="20"/>
        </w:rPr>
      </w:pPr>
      <w:r>
        <w:rPr>
          <w:rFonts w:ascii="Times New Roman" w:hAnsi="Times New Roman"/>
          <w:b/>
          <w:i/>
          <w:color w:val="000000"/>
          <w:sz w:val="20"/>
        </w:rPr>
        <w:t>Role of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responsible for the stewardship of the Company and managing and supervising management of our business and affairs, including providing guidance and strategic oversight to management. Our Board has the authority to exercise all such powers of the Company as are not, by the BCBCA or by the Articles, required to be exercised by the shareholders of the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Nomination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does not have a nominating committee. Instead, the full Board is responsible for identifying new candidates for nomination of directors to the Board. In particular, the Board considers, in addition to any other factors it deems relevant: (i) the competencies and skills that the Board considers to be necessary for the Board, as a whole, to possess; (ii) the competencies and skills that the Board considers each existing director to possess; (iii) the competencies, skills and background each nominee will bring to the Board; (iv) the time that each nominee will have available to devote to the Company’s business; and (v) whether the nominee will be an independent director. Directors are encouraged to identify potential candidates for the Board. The Company also encourages its executives to identify potential candidates to be considered for a Board position. Shareholders may recommend director candidates for consideration by the Board by writing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our Corporate Secretary at the address of the Company. An invitation to stand as a nominee for election to the Board will normally be made to a candidate by the Board through the Chairman of the Board or his delegate.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committed to diversity in all aspects of its business and activities, including with respect to our Board. The Company and our Board believe that diversity and inclusion foster a wide array of perspectives and help build cultures of trust, candor and respect. The Company and our Board will continue to support and encourage the recruitment and appointment of diverse candidates to Board positions. In addition to recruiting and considering director candidates, our Board annually reviews the competencies, skills and personal qualities applicable to candidates to be considered for nomination to our Board. The objective of this review is to maintain the composition of our Board in a way that provides, in the judgment of our Board, the best mix of competencies, skills and experience to provide for the overall stewardship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has concluded that vesting the responsibility to nominate directors in the full Board, without the need for a nominating committee, is appropriate at this time. However, our Board will continue to periodically review our leadership structure and may make changes in the future as it deems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to the process by which our shareholders may recommend candidates to be considered for nomination to our Board. </w:t>
      </w:r>
    </w:p>
    <w:p>
      <w:pPr>
        <w:pStyle w:val="TextBody"/>
        <w:bidi w:val="0"/>
        <w:spacing w:before="360" w:after="283"/>
        <w:jc w:val="left"/>
        <w:rPr>
          <w:rFonts w:ascii="Times New Roman" w:hAnsi="Times New Roman"/>
          <w:sz w:val="20"/>
        </w:rPr>
      </w:pPr>
      <w:r>
        <w:rPr>
          <w:rFonts w:ascii="Times New Roman" w:hAnsi="Times New Roman"/>
          <w:b/>
          <w:i/>
          <w:color w:val="000000"/>
          <w:sz w:val="20"/>
        </w:rPr>
        <w:t>Board Leadership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a Chair, currently our Chief Executive Officer, Mr. Kovler, who has authority, among other things, to call and preside over Board meetings. Our Board has concluded that our current leadership structure is appropriate at this time. However, our Board will continue to periodically review our leadership structure and may make changes in the future as it deems appropriate. </w:t>
      </w:r>
    </w:p>
    <w:p>
      <w:pPr>
        <w:pStyle w:val="TextBody"/>
        <w:bidi w:val="0"/>
        <w:spacing w:before="360" w:after="283"/>
        <w:jc w:val="left"/>
        <w:rPr>
          <w:rFonts w:ascii="Times New Roman" w:hAnsi="Times New Roman"/>
          <w:sz w:val="20"/>
        </w:rPr>
      </w:pPr>
      <w:r>
        <w:rPr>
          <w:rFonts w:ascii="Times New Roman" w:hAnsi="Times New Roman"/>
          <w:b/>
          <w:i/>
          <w:color w:val="000000"/>
          <w:sz w:val="20"/>
        </w:rPr>
        <w:t>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responsible for the general oversight of risks that affect us and for providing oversight of our enterprise risk management. Our Board receives regular reports on our operations from our Chief Executive Officer and our President, as well as other members of management. Our Board reviews these reports and makes inquiries in their business judgment.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also fulfills its oversight role through the operations of its various committees, including our Audit Committee and Compensation Committee. Our Board receives periodic reports on each committee’s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has responsibility for risk oversight in connection with its review of our financial reports filed with the SEC and on SEDAR+. Our Audit Committee receives reports from our Chief Financial Officer and our independent auditors in connection with the review of our quarterly and annual financial statements regarding significant financial transactions, accounting and reporting matters, critical accounting estimates and management’s exercise of judgment in accounting matters. When reporting on such matters, our independent auditors also provide their assessment of management’s report and conclusions.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also provides oversight of the Company’s compliance with regulatory and legal requirements and its standards of business conduct and ethics, including the risk governance and risk assessment and strategy as it relates to key risks, including strategic, legal and regulatory, financial and operational risk (including technology, information systems, privacy and cyber security). The Audit Committee receives regular reports from management regarding these matters. </w:t>
      </w:r>
    </w:p>
    <w:p>
      <w:pPr>
        <w:pStyle w:val="TextBody"/>
        <w:bidi w:val="0"/>
        <w:spacing w:before="360" w:after="283"/>
        <w:jc w:val="left"/>
        <w:rPr>
          <w:rFonts w:ascii="Times New Roman" w:hAnsi="Times New Roman"/>
          <w:sz w:val="20"/>
        </w:rPr>
      </w:pPr>
      <w:r>
        <w:rPr>
          <w:rFonts w:ascii="Times New Roman" w:hAnsi="Times New Roman"/>
          <w:b/>
          <w:i/>
          <w:color w:val="000000"/>
          <w:sz w:val="20"/>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Board determines the independence of our directors under the corporate governance rules of the New York Stock Exchange (“</w:t>
      </w:r>
      <w:r>
        <w:rPr>
          <w:rFonts w:ascii="Times New Roman" w:hAnsi="Times New Roman"/>
          <w:b/>
          <w:color w:val="000000"/>
          <w:sz w:val="20"/>
        </w:rPr>
        <w:t>NYSE</w:t>
      </w:r>
      <w:r>
        <w:rPr>
          <w:rFonts w:ascii="Times New Roman" w:hAnsi="Times New Roman"/>
          <w:color w:val="000000"/>
          <w:sz w:val="20"/>
        </w:rPr>
        <w:t>”) and applicable Canadian securities laws. The independence rules of the NYSE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Company either directly or as a partner, shareholder or officer of an organization that has a relationship with the Company. It has been determined that four of our current directors are independent persons under the independence rules of the NYSE as well as within the meaning of NI 58-101: Dawn Wilson Barnes, Jeffrey Goldman, Ethan Nadelmann, Richard Reisin and Hannah (Buchan) Ross.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our directors are presently directors of any other reporting issuer.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Board and Committee Meetings; Executive Sessions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regularly scheduled Board and committee meetings, directors review and discuss management reports regarding our performance, prospects and plans, as well as significant opportunities and immediate issues facing us. At least once a year, our Board also reviews management’s long-term strategic and financial plans. The Chair, in consultation with the chair of any applicable committee and other directors, as appropriate, establishes the agenda for meetings of the Board. Committee agendas and schedules are set by or in consultation with the committee chair. During the year ended December 31, 2025, our Board held seven meetings, and all directors attended at least 75% of all applicable Board and committee meetings during their respective tenures.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Board members are permitted to attend our annual general meeting of shareholders. All of our current Board members attended our 2025 annual general meeting, held on June 11, 2025. </w:t>
      </w:r>
    </w:p>
    <w:p>
      <w:pPr>
        <w:pStyle w:val="TextBody"/>
        <w:bidi w:val="0"/>
        <w:spacing w:before="360" w:after="283"/>
        <w:jc w:val="left"/>
        <w:rPr>
          <w:rFonts w:ascii="Times New Roman" w:hAnsi="Times New Roman"/>
          <w:sz w:val="20"/>
        </w:rPr>
      </w:pPr>
      <w:bookmarkStart w:id="37" w:name="board_committees"/>
      <w:bookmarkEnd w:id="37"/>
      <w:r>
        <w:rPr>
          <w:rFonts w:ascii="Times New Roman" w:hAnsi="Times New Roman"/>
          <w:b/>
          <w:color w:val="000000"/>
          <w:sz w:val="20"/>
        </w:rPr>
        <w:t>Board Committees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assists the Board in fulfilling its responsibilities for oversight of financial, audit and accounting matters, as well as providing oversight on matters related to legal and regulatory compliance and risk management. The Audit Committee reviews the financial reports and other financial information that we provide to regulatory authorities and our shareholders, as well as reviews our system of internal controls regarding finance and accounting, including auditing, accounting and financial reporting processes.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Richard Reisin is chair of the Audit Committee and has been identified as an “audit committee financial expert” as that term is defined in the rules and regulations established by the SEC. All members of our Audit Committee are “financially literate” and “independent” within the meaning of NYSE rules and applicable Canadian securities laws. The following chart sets forth the current composition of our Audit Committee: </w:t>
      </w:r>
    </w:p>
    <w:p>
      <w:pPr>
        <w:pStyle w:val="TextBody"/>
        <w:bidi w:val="0"/>
        <w:jc w:val="left"/>
        <w:rPr/>
      </w:pPr>
      <w:r>
        <w:rPr/>
        <w:t> </w:t>
      </w:r>
    </w:p>
    <w:tbl>
      <w:tblPr>
        <w:tblW w:w="4345" w:type="dxa"/>
        <w:jc w:val="left"/>
        <w:tblInd w:w="0" w:type="dxa"/>
        <w:tblLayout w:type="fixed"/>
        <w:tblCellMar>
          <w:top w:w="28" w:type="dxa"/>
          <w:left w:w="28" w:type="dxa"/>
          <w:bottom w:w="28" w:type="dxa"/>
          <w:right w:w="28" w:type="dxa"/>
        </w:tblCellMar>
      </w:tblPr>
      <w:tblGrid>
        <w:gridCol w:w="1981"/>
        <w:gridCol w:w="146"/>
        <w:gridCol w:w="1111"/>
        <w:gridCol w:w="146"/>
        <w:gridCol w:w="96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of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Independent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Financially</w:t>
              <w:br/>
              <w:t>Literate</w:t>
            </w:r>
            <w:r>
              <w:rPr>
                <w:rFonts w:ascii="Times New Roman" w:hAnsi="Times New Roman"/>
                <w:b/>
                <w:color w:val="000000"/>
                <w:sz w:val="11"/>
              </w:rPr>
              <w:t>(2)</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Dawn Wilson Barnes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Goldman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Reisin</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(Buchan) 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r>
    </w:tbl>
    <w:p>
      <w:pPr>
        <w:pStyle w:val="TextBody"/>
        <w:pBdr>
          <w:bottom w:val="single" w:sz="6" w:space="1" w:color="000000"/>
        </w:pBdr>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u w:val="single"/>
        </w:rPr>
        <w:t>Notes</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member of the Audit Committee is independent if he or she has no direct or indirect ‘material relationship’ with the Company. A material relationship is a relationship which could, in the view of the Company’s Board, reasonably interfere with the exercise of a member’s independent judgment. An executive officer of the Company, such as the President or Secretary, is deemed to have a material relationship with the Company.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A member of the Audit Committee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Company’s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education and experience of each member of the Audit Committee that is relevant to the performance of his or her responsibilities as a member of the Audit Committee is described above under the heading “Proposals No. 1 and 2—Election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Committee’s principal duties and responsibilities include assisting the Board in discharging the oversight of: (i) the Company’s internal audit function; (ii) the integrity of our consolidated financial statements and accounting and financial processes and the audits of our consolidated financial statements; (iii) compliance with legal and regulatory requirements; (iv) external auditors’ qualifications and independence; (v) the work and performance of financial management and external auditors; and (vi) system of disclosure controls and procedures and system of internal controls regarding finance, accounting, legal, compliance and risk management established by management and the Board.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Board has adopted a written charter for the Audit Committee, which sets out the Audit Committee’s responsibilities, consistent with the rules of the SEC and Canadian National Instrument 52-110, a current copy of which is available on the Investors page of our website at </w:t>
      </w:r>
      <w:r>
        <w:rPr>
          <w:rFonts w:ascii="Times New Roman" w:hAnsi="Times New Roman"/>
          <w:color w:val="000000"/>
          <w:sz w:val="20"/>
          <w:u w:val="single"/>
        </w:rPr>
        <w:t>gtigrows.com</w:t>
      </w:r>
      <w:r>
        <w:rPr>
          <w:rFonts w:ascii="Times New Roman" w:hAnsi="Times New Roman"/>
          <w:color w:val="000000"/>
          <w:sz w:val="20"/>
        </w:rPr>
        <w:t xml:space="preserve">. The Audit Committee has access to all books, records, facilities and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may request any information about us as it may deem appropriate. It has the authority to retain and compensate special legal, accounting, financial and other consultants or advisors to advise the Audit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Both our independent auditors and internal financial personnel regularly meet privately with the Audit Committee and have unrestricted access to this committee. At no time since the commencement of the Company’s most recently completed fiscal year was a recommendation of the Audit Committee to nominate or compensate an external auditor not adopted by the Board. Our Audit Committee held ten meetings during the year ended December 31, 2025. </w:t>
      </w:r>
    </w:p>
    <w:p>
      <w:pPr>
        <w:pStyle w:val="TextBody"/>
        <w:bidi w:val="0"/>
        <w:spacing w:before="360" w:after="283"/>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currently consists of Jeffrey Goldman, who serves as Chair, Ethan Nadelmann and Hannah (Buchan) Ross.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Compensation Committee assists the Board in fulfilling its responsibilities for compensation philosophy and guidelines. The Compensation Committee also has responsibility for fixing compensation levels for the Company’s executive officers. In addition, the Compensation Committee is charged with reviewing the Stock and Incentive Plan (and proposing changes thereto), approving any awards under the Stock and Incentive Plan and recommending any other employee benefit plans, incentive awards and perquisites with respect to the Company’s executive officers. The Compensation Committee is also responsible for reviewing, approving and reporting to the Company’s Board annually (or more frequently as required) on the Company’s succession plans for its executive officers. Our Compensation Committee held six meetings during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discussion of the role and responsibilities of the Compensation Committee is set forth below “Compensation Discussion and Analysis” below.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Board has adopted a written charter setting forth the purpose, composition, authority and responsibility of our Compensation Committee consistent with the rules of the SEC and the guidance of the Canadian Securities Administrators, a current copy of which is available on the Investors page of our website at </w:t>
      </w:r>
      <w:r>
        <w:rPr>
          <w:rFonts w:ascii="Times New Roman" w:hAnsi="Times New Roman"/>
          <w:color w:val="000000"/>
          <w:sz w:val="20"/>
          <w:u w:val="single"/>
        </w:rPr>
        <w:t>gtigrows.com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8" w:name="communications_with_the_board_of_directo"/>
      <w:bookmarkEnd w:id="38"/>
      <w:r>
        <w:rPr>
          <w:rFonts w:ascii="Times New Roman" w:hAnsi="Times New Roman"/>
          <w:b/>
          <w:color w:val="000000"/>
          <w:sz w:val="20"/>
        </w:rPr>
        <w:t>Communications with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and other interested parties may contact any member (or all members) of our Board (including, without limitation, the non-management directors as a group), any committee of our Board or the chair of any such committee. Written correspondence may be sent addressed to our Board, any committee or any individual director, c/o Corporate Secretary, Green Thumb Industries Inc., 325 West Huron Street, Suite 700, Chicago, Illinois 60654.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9" w:name="executive_officers"/>
      <w:bookmarkEnd w:id="39"/>
      <w:r>
        <w:rPr>
          <w:rFonts w:ascii="Times New Roman" w:hAnsi="Times New Roman"/>
          <w:b/>
          <w:color w:val="000000"/>
          <w:sz w:val="20"/>
        </w:rPr>
        <w:t>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information with respect to our executive officers: </w:t>
      </w:r>
    </w:p>
    <w:p>
      <w:pPr>
        <w:pStyle w:val="TextBody"/>
        <w:bidi w:val="0"/>
        <w:jc w:val="left"/>
        <w:rPr/>
      </w:pPr>
      <w:r>
        <w:rPr/>
        <w:t> </w:t>
      </w:r>
    </w:p>
    <w:tbl>
      <w:tblPr>
        <w:tblW w:w="7278" w:type="dxa"/>
        <w:jc w:val="left"/>
        <w:tblInd w:w="0" w:type="dxa"/>
        <w:tblLayout w:type="fixed"/>
        <w:tblCellMar>
          <w:top w:w="28" w:type="dxa"/>
          <w:left w:w="28" w:type="dxa"/>
          <w:bottom w:w="28" w:type="dxa"/>
          <w:right w:w="28" w:type="dxa"/>
        </w:tblCellMar>
      </w:tblPr>
      <w:tblGrid>
        <w:gridCol w:w="1771"/>
        <w:gridCol w:w="436"/>
        <w:gridCol w:w="5071"/>
      </w:tblGrid>
      <w:tr>
        <w:trPr/>
        <w:tc>
          <w:tcPr>
            <w:tcW w:w="17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Name</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w:t>
            </w:r>
          </w:p>
        </w:tc>
      </w:tr>
      <w:tr>
        <w:trPr/>
        <w:tc>
          <w:tcPr>
            <w:tcW w:w="17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Mathew Faulkner</w:t>
            </w:r>
          </w:p>
        </w:tc>
        <w:tc>
          <w:tcPr>
            <w:tcW w:w="43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5071"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Georgiadis</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and President</w:t>
            </w:r>
          </w:p>
        </w:tc>
      </w:tr>
      <w:tr>
        <w:trPr/>
        <w:tc>
          <w:tcPr>
            <w:tcW w:w="17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Kovler</w:t>
            </w:r>
          </w:p>
        </w:tc>
        <w:tc>
          <w:tcPr>
            <w:tcW w:w="43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5071"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Founder, Chairman of the Board and Chief Executive Officer</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 Kravitz</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Biographical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biographies of Benjamin Kovler and Anthony Georgiadis can be found under “Proposals No. 1 and 2—Election of Directors.” The following is biographical information for our other executive officers: </w:t>
      </w:r>
    </w:p>
    <w:p>
      <w:pPr>
        <w:pStyle w:val="TextBody"/>
        <w:bidi w:val="0"/>
        <w:spacing w:before="360" w:after="283"/>
        <w:jc w:val="left"/>
        <w:rPr>
          <w:rFonts w:ascii="Times New Roman" w:hAnsi="Times New Roman"/>
          <w:sz w:val="20"/>
        </w:rPr>
      </w:pPr>
      <w:r>
        <w:rPr>
          <w:rFonts w:ascii="Times New Roman" w:hAnsi="Times New Roman"/>
          <w:b/>
          <w:i/>
          <w:color w:val="000000"/>
          <w:sz w:val="20"/>
        </w:rPr>
        <w:t>Mathew Faulkner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Mathew Faulkner was appointed as the Company’s first Chief Accounting Officer in August 2020 and, in January 2023, became Chief Financial Officer. Mr. Faulkner has been with the Company since May 7, 2018, having previously served as the Company’s Senior Vice President of Accounting. During his tenure, Mr. Faulkner successfully facilitated the Company’s initial public offering in the U.S. and led the transition from reporting under International Financial Reporting Standards in Canada to U.S. Generally Accepted Accounting Principles (“GAAP”) reporting with the SEC. Prior to joining the Company, he was with Walgreens Boots Alliance Corporation, most recently serving as its Senior Director of Retail and Finance Transformation beginning in 2016, and its Retail Accounting Controller from 2012 to 2016. Mr. Faulkner graduated from the University of Toledo with a bachelor’s degree in accounting. He also earned his MBA from Northern Illinois University and is a CPA. </w:t>
      </w:r>
    </w:p>
    <w:p>
      <w:pPr>
        <w:pStyle w:val="TextBody"/>
        <w:bidi w:val="0"/>
        <w:spacing w:before="360" w:after="283"/>
        <w:jc w:val="left"/>
        <w:rPr>
          <w:rFonts w:ascii="Times New Roman" w:hAnsi="Times New Roman"/>
          <w:sz w:val="20"/>
        </w:rPr>
      </w:pPr>
      <w:r>
        <w:rPr>
          <w:rFonts w:ascii="Times New Roman" w:hAnsi="Times New Roman"/>
          <w:b/>
          <w:i/>
          <w:color w:val="000000"/>
          <w:sz w:val="20"/>
        </w:rPr>
        <w:t>Bret Kravitz</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Bret Kravitz became our General Counsel on January 1, 2023, having previously served as the Company’s Chief Corporate Counsel since 2017. Throughout his tenure, Mr. Kravitz has provided advice and guidance on a wide variety of legal matters and has closed numerous strategic acquisitions, partnerships, and capital raises in coordination with the Company’s executive team. Prior to joining the Company, he held attorney positions at Dickinson Wright PLLC and Baker Hostetler LLP. Mr. Kravitz graduated from the University of Colorado with a degree in finance, earned his MBA from University of Denver, and JD from Lewis &amp; Clark Law School.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40" w:name="compensation_discussion_and_analysis"/>
      <w:bookmarkEnd w:id="40"/>
      <w:r>
        <w:rPr>
          <w:rFonts w:ascii="Times New Roman" w:hAnsi="Times New Roman"/>
          <w:b/>
          <w:color w:val="000000"/>
          <w:sz w:val="20"/>
        </w:rPr>
        <w:t>COMPENSATION DISCUSSION AND ANALYSIS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This Compensation Discussion and Analysis (“</w:t>
      </w:r>
      <w:r>
        <w:rPr>
          <w:rFonts w:ascii="Times New Roman" w:hAnsi="Times New Roman"/>
          <w:b/>
          <w:color w:val="000000"/>
          <w:sz w:val="20"/>
        </w:rPr>
        <w:t>CD&amp;A</w:t>
      </w:r>
      <w:r>
        <w:rPr>
          <w:rFonts w:ascii="Times New Roman" w:hAnsi="Times New Roman"/>
          <w:color w:val="000000"/>
          <w:sz w:val="20"/>
        </w:rPr>
        <w:t>”) provides an overview of our executive compensation philosophy, discusses executive compensation policies and practices, and analyzes how and why our Compensation Committee arrived at specific compensation decisions for our fiscal year ended December 31, 2025 for our named executive officers (“</w:t>
      </w:r>
      <w:r>
        <w:rPr>
          <w:rFonts w:ascii="Times New Roman" w:hAnsi="Times New Roman"/>
          <w:b/>
          <w:color w:val="000000"/>
          <w:sz w:val="20"/>
        </w:rPr>
        <w:t>NEOs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2025, our NEOs were the following four individuals, who were our only executive officers who served during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Benjamin Kovler, our Founder, Chairman and Chief Executive Officer (“</w:t>
      </w:r>
      <w:r>
        <w:rPr>
          <w:rFonts w:ascii="Times New Roman" w:hAnsi="Times New Roman"/>
          <w:b/>
          <w:color w:val="000000"/>
          <w:sz w:val="20"/>
        </w:rPr>
        <w:t>CEO</w:t>
      </w:r>
      <w:r>
        <w:rPr>
          <w:color w:val="000000"/>
        </w:rPr>
        <w: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Anthony Georgiadis, a member of our Board and our President (“</w:t>
      </w:r>
      <w:r>
        <w:rPr>
          <w:rFonts w:ascii="Times New Roman" w:hAnsi="Times New Roman"/>
          <w:b/>
          <w:color w:val="000000"/>
          <w:sz w:val="20"/>
        </w:rPr>
        <w:t>President</w:t>
      </w:r>
      <w:r>
        <w:rPr>
          <w:color w:val="000000"/>
        </w:rPr>
        <w: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Matt Faulkner, our Chief Financial Officer (“</w:t>
      </w:r>
      <w:r>
        <w:rPr>
          <w:rFonts w:ascii="Times New Roman" w:hAnsi="Times New Roman"/>
          <w:b/>
          <w:color w:val="000000"/>
          <w:sz w:val="20"/>
        </w:rPr>
        <w:t>Chief Financial Officer</w:t>
      </w:r>
      <w:r>
        <w:rPr>
          <w:color w:val="000000"/>
        </w:rPr>
        <w:t>”</w:t>
      </w:r>
      <w:r>
        <w:rPr>
          <w:rFonts w:ascii="Times New Roman" w:hAnsi="Times New Roman"/>
          <w:color w:val="000000"/>
          <w:sz w:val="20"/>
        </w:rPr>
        <w:t xml:space="preserve">);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Bret Kravitz, our General Counsel and Secretary (“</w:t>
      </w:r>
      <w:r>
        <w:rPr>
          <w:rFonts w:ascii="Times New Roman" w:hAnsi="Times New Roman"/>
          <w:b/>
          <w:color w:val="000000"/>
          <w:sz w:val="20"/>
        </w:rPr>
        <w:t>General Counsel</w:t>
      </w:r>
      <w:r>
        <w:rPr>
          <w:color w:val="00000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CD&amp;A should be read together with the compensation tables and related disclosures set forth below. </w:t>
      </w:r>
    </w:p>
    <w:p>
      <w:pPr>
        <w:pStyle w:val="TextBody"/>
        <w:bidi w:val="0"/>
        <w:spacing w:before="360" w:after="283"/>
        <w:jc w:val="left"/>
        <w:rPr>
          <w:rFonts w:ascii="Times New Roman" w:hAnsi="Times New Roman"/>
          <w:sz w:val="20"/>
        </w:rPr>
      </w:pPr>
      <w:bookmarkStart w:id="41" w:name="executive_summary_of_executive_compensa"/>
      <w:bookmarkEnd w:id="41"/>
      <w:r>
        <w:rPr>
          <w:rFonts w:ascii="Times New Roman" w:hAnsi="Times New Roman"/>
          <w:b/>
          <w:color w:val="000000"/>
          <w:sz w:val="20"/>
        </w:rPr>
        <w:t>Executive Summary of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Driven by our entire team, including our NEOs, Green Thumb delivered approximately $1.2 billion of annual revenue and delivered strong financial and operational results in 2025, despite considerable micro- and macroeconomic pressures such as continued, persistent price compression in our industry. Notably, the Company delivered full-year cash flow from operations of $294.9 million and ended the year with a strong balance sheet that included $274.3 million in cash after repurchasing $38.9 million of Company shares. These strong achievements during a prolonged difficult period for our industry factored significantly into the Compensation Committee’s decisions regarding the compensation for our NEOs. We believe that our compensation program for our executive team, including our NEOs, was an important motivating factor for our strong operating and financial performance, growing our business and strengthening our position for success in the future. </w:t>
      </w:r>
    </w:p>
    <w:p>
      <w:pPr>
        <w:pStyle w:val="TextBody"/>
        <w:bidi w:val="0"/>
        <w:spacing w:before="240" w:after="283"/>
        <w:jc w:val="left"/>
        <w:rPr>
          <w:rFonts w:ascii="Times New Roman" w:hAnsi="Times New Roman"/>
          <w:sz w:val="20"/>
        </w:rPr>
      </w:pPr>
      <w:r>
        <w:rPr>
          <w:rFonts w:ascii="Times New Roman" w:hAnsi="Times New Roman"/>
          <w:color w:val="000000"/>
          <w:sz w:val="20"/>
        </w:rPr>
        <w:t>For 2025, the Compensation Committee tied our NEOs’ compensation to corporate performance primarily through our 2025 Annual Bonus (defined and further described below under “—</w:t>
      </w:r>
      <w:r>
        <w:rPr>
          <w:rFonts w:ascii="Times New Roman" w:hAnsi="Times New Roman"/>
          <w:i/>
          <w:color w:val="000000"/>
          <w:sz w:val="20"/>
        </w:rPr>
        <w:t>Elements of Compensation—Short-Term Incentive Awards</w:t>
      </w:r>
      <w:r>
        <w:rPr>
          <w:rFonts w:ascii="Times New Roman" w:hAnsi="Times New Roman"/>
          <w:color w:val="000000"/>
          <w:sz w:val="20"/>
        </w:rPr>
        <w:t xml:space="preserve">”) and awards of Options and RSUs granted pursuant to the Stock and Incentive Plan. The amounts our NEOs earned under the 2025 Annual Bonus were primarily driven by the Company’s achievement with respect to Revenue and Adjusted EBITDA (defined below) measured against pre-established goals.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Highlights of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the Company achieved solid financial and operating results despite considerable micro- and macroeconomic pressures. Significant achievements led by our NEOs included: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of $1.2 billion, an increase of 3.4% over the prior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flow from operations of approximately $295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GAAP net income of $114.2 million or $0.49 per basic and $0.48 per diluted share;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Normalized EBITDA (as defined in </w:t>
      </w:r>
      <w:r>
        <w:rPr>
          <w:rFonts w:ascii="Times New Roman" w:hAnsi="Times New Roman"/>
          <w:color w:val="000000"/>
          <w:sz w:val="20"/>
          <w:u w:val="single"/>
        </w:rPr>
        <w:t>Appendix A</w:t>
      </w:r>
      <w:r>
        <w:rPr>
          <w:rFonts w:ascii="Times New Roman" w:hAnsi="Times New Roman"/>
          <w:color w:val="000000"/>
          <w:sz w:val="20"/>
        </w:rPr>
        <w:t xml:space="preserve">) of $348.4 million or 29.6%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repurchase of the equivalent of approximately 7.7 million of the Company's Subordinate Voting Shares for $38.9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Grew retail footprint by 12 locations for a total of 113 stores nationwide;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Safeguarding the Company’s regulatory and business licenses by promoting a culture of compliance and providing leadership on the Company’s evolving standard operating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Driving operational efficiencies, as well as maintaining a strong balance sheet, consistent cash generation and disciplined capital allocation to support continued future growth and financial flexibility.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color w:val="000000"/>
          <w:sz w:val="20"/>
          <w:u w:val="single"/>
        </w:rPr>
        <w:t>Appendix A</w:t>
      </w:r>
      <w:r>
        <w:rPr>
          <w:rFonts w:ascii="Times New Roman" w:hAnsi="Times New Roman"/>
          <w:color w:val="000000"/>
          <w:sz w:val="20"/>
        </w:rPr>
        <w:t xml:space="preserve"> for a reconciliation of each non-GAAP financial measure to the most directly comparable GAAP measure.)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Company, led by the NEOs, expanded our brand reach through initiatives like our RYTHM Bud Ball concert series, RYTHM Icon Strains, and consistent execution across the business. Results included the Company’s brands achieving leadership positions across multiple key categories in 2025 (according to cannabis industry data analytics firm BDSA’s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retail sales tracking), including RYTHM as the No. 1 flower brand across the country; RYTHM’s Animal Face, a core Icon Strain, as the No. 1 selling flower unit in the country; Dogwalkers as the No. 1 uninfused pre-rolls, and </w:t>
      </w:r>
      <w:r>
        <w:rPr>
          <w:rFonts w:ascii="Times New Roman" w:hAnsi="Times New Roman"/>
          <w:i/>
          <w:color w:val="000000"/>
          <w:sz w:val="20"/>
        </w:rPr>
        <w:t xml:space="preserve">incredibles </w:t>
      </w:r>
      <w:r>
        <w:rPr>
          <w:rFonts w:ascii="Times New Roman" w:hAnsi="Times New Roman"/>
          <w:color w:val="000000"/>
          <w:sz w:val="20"/>
        </w:rPr>
        <w:t>as the No. 1 chocolate brand. Further, the Company continued to strengthen its investment in RYM and separated its hemp and cannabis businesses through the sale of our brand intellectual property to RYM. The brand transactions enable RYM to operate as a non-plant touching business while the Company continues manufacturing cannabis products under licensing arrangements with RYM, positioning both businesses to capitalize on evolving regulatory frameworks and growing consumer demand for tetrahydrocannabinol (“</w:t>
      </w:r>
      <w:r>
        <w:rPr>
          <w:rFonts w:ascii="Times New Roman" w:hAnsi="Times New Roman"/>
          <w:b/>
          <w:color w:val="000000"/>
          <w:sz w:val="20"/>
        </w:rPr>
        <w:t>THC</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i/>
          <w:color w:val="000000"/>
          <w:sz w:val="20"/>
        </w:rPr>
        <w:t>Our Compensation Philosophy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Green Thumb’s compensation philosophy is based on attracting and retaining the talent Green Thumb needs to execute on our corporate strategic objectives; motivate our executives and employees to deliver the highest level of performance; encourage our executives and employees to focus on our Company priorities; and align the interests of our executives and employees with those of our shareholders, while effectively managing risk and broader stakeholder considerations.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compensation policies and practices throughout the organization, and for our executives in particular, reflect the high-growth nature of the Company and the nature of our nascent, rapidly evolving, highly regulated, federally illegal industry. Particular aspects of the cannabis industry that shape our compensation philosophy include: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restraints on our access to traditional sources of capital due to the continued federal illegality of cannabis;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applicability of Internal Revenue Code Section 280(E), which the U.S. Internal Revenue Service contends applies to the Company, under which the companies are required to pay taxes on our income before deducting for certain compensation and other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significant constraints placed on the Company’s access to and uses of capital, the Company has historically taken a conservative approach to cash management to preserve overall corporate flexibility. As a result, the Compensation Committee places significant emphasis on balancing cash with non-cash elements of compensation for our NEOs, as well as aligning the Company’s compensation policies and practices with our stage of development, encouraging disciplined financial management and focusing on sustainable long-term growth. Given the Company’s current strong cash position, the Compensation Committee elected to increase compensation paid in cash again in 2026, and to continue to pay out greater portions of incentive compensation in cash, as it also did in the prior year. The Compensation Committee may continue this in similar circumstances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Compensation Committee takes into account the size and complexity of our business and the industry (including our inability to engage in interstate commerce (except with respect to hemp-derived THC products that comprised a very small part of our business until the separation of our hemp and cannabis businesses described above) due to the federal illegality of cannabis and the varied and often volatile nature of the regulations we must comply with to succeed), the competitive marketplace for talent, and the contributions of our NEOs in driving our business results and the execution of our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endeavors to ensure that our compensation philosophy and the operation of our compensation programs reinforce our culture and values; create a balance between risk and reward; attract, motivate and retain executive officers over the long-term; and align the interests of our executive officers with those of our shareholders.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seek employees, and executives in particular, who have an entrepreneurial spirit, embrace change, are passionate about their work, and value the unique opportunities the Company offers in terms of longer-term incentives. We reinforce this with our practice of paying stronger variable compensation packages following strong years of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Mix of Pay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shown below, approximately 76% of Mr. Kovler’s target compensation and 67% of the other NEOs average target compensation (taken as a whole) for 2025 was variable based on Company and individual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Variable compensation consists of the 2025 Annual Bonus and annual equity grants. Management believes a high percentage of variable compensation, especially long-term incentives, is beneficial to motivate our employees and is aligned with stakeholder interests.</w:t>
      </w:r>
    </w:p>
    <w:p>
      <w:pPr>
        <w:pStyle w:val="TextBody"/>
        <w:bidi w:val="0"/>
        <w:spacing w:before="240" w:after="283"/>
        <w:jc w:val="center"/>
        <w:rPr/>
      </w:pPr>
      <w:r>
        <w:rPr/>
        <w:drawing>
          <wp:inline distT="0" distB="0" distL="0" distR="0">
            <wp:extent cx="5686425" cy="2800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86425" cy="280035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 more detailed description of the elements of our NEOs’ compensation, see “—Elements of Compensation” below.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How 2025 Performance Tied to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2025, the Company achieved strong performance with respect to Revenue and Adjusted EBITDA, despite significant pressure from market forces outside of management’s control, and continued price compression in some of the Company’s key markets, resulting in a 125.6% of target payout for the corporate performance component under the 2025 Annual Bonus. The Committee believes the Company’s achievements, which significantly eclipsed its peers, was due to the NEO’s disciplined and innovative approach to operations and financial management. These results, combined with the individual performance element of the 2025 Annual Bonus and awards of RSUs and Options (described below under “—Elements of Compensation—</w:t>
      </w:r>
      <w:r>
        <w:rPr>
          <w:rFonts w:ascii="Times New Roman" w:hAnsi="Times New Roman"/>
          <w:i/>
          <w:color w:val="000000"/>
          <w:sz w:val="20"/>
        </w:rPr>
        <w:t>Long Term Incentive Awards</w:t>
      </w:r>
      <w:r>
        <w:rPr>
          <w:rFonts w:ascii="Times New Roman" w:hAnsi="Times New Roman"/>
          <w:color w:val="000000"/>
          <w:sz w:val="20"/>
        </w:rPr>
        <w:t xml:space="preserve">”), resulted in actual compensation for Mr. Kovler that was 80% performance based and 20% fixed, and for the other NEOs, taken as a whole, an average of 69% performance-based and 31% fixed. </w:t>
      </w:r>
    </w:p>
    <w:p>
      <w:pPr>
        <w:pStyle w:val="TextBody"/>
        <w:bidi w:val="0"/>
        <w:spacing w:before="120" w:after="283"/>
        <w:jc w:val="left"/>
        <w:rPr/>
      </w:pPr>
      <w:r>
        <w:rPr/>
        <w:t> </w:t>
      </w:r>
    </w:p>
    <w:p>
      <w:pPr>
        <w:pStyle w:val="TextBody"/>
        <w:bidi w:val="0"/>
        <w:jc w:val="center"/>
        <w:rPr/>
      </w:pPr>
      <w:r>
        <w:rPr/>
        <w:drawing>
          <wp:inline distT="0" distB="0" distL="0" distR="0">
            <wp:extent cx="5419725" cy="2638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19725" cy="26384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2" w:name="compensation_governance_and_process"/>
      <w:bookmarkEnd w:id="42"/>
      <w:r>
        <w:rPr>
          <w:rFonts w:ascii="Times New Roman" w:hAnsi="Times New Roman"/>
          <w:b/>
          <w:color w:val="000000"/>
          <w:sz w:val="20"/>
        </w:rPr>
        <w:t>Compensation Governance and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of our Board is authorized to review and approve all compensation decisions relating to our executive officers, including annually establishing our compensation philosophy and programs, goals, and related matters. Our CEO makes recommendations to the Board regarding the compensation for the NEOs other than himself.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reports to the Board of Directors and consists of Jeffrey Goldman (Chair), Ethan Nadelmann and Hannah (Buchan) Ross.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details regarding the experience of the current members of the Compensation Committee, see “Proposals No. 1 and 2—Election of Directors, Biographical Information” above. Given the Company’s stage of development and high-growth, rapidly changing nature, the Board determined that Mr. Goldman, Mr. Nadelmann and Ms. Ross were the most appropriate individuals to serve on the Compensation Committee at this time due to their combined history with the Company, strong experience in the cannabis industry and experience with rapid growth, early-stage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role and responsibility of the Compensation Committee is to assist the Board in fulfilling its responsibilities for establishing the compensation philosophy and guidelines. Additionally, the Compensation Committee has responsibility for (i) recommending to the Board compensation levels for directors; (ii) fixing compensation levels and supplemental benefits for the executive officers; and (iii) entering into employment, severance protection, change in control and related agreements and plans for the CEO and other executive officers, provided that any agreements with the CEO are subject to Board approval. In addition, the Compensation Committee is charged with reviewing the Stock and Incentive Plan and proposing changes thereto to the full Board, and recommending any other employee benefit plans, incentive awards and perquisites with respect to the directors and executive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is responsible for approving equity or incentive awards under the Stock and Incentive Plan. The Compensation Committee is also responsible for reviewing, approving and reporting to the Board annually (or more frequently as required) on our succession plans for our executive officers and compensation risk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setting compensation for our NEOs, in February and March of 2025, the Compensation Committee reviewed the Company’s overall performance and key achievements for 2024, each individual’s respective performance and key achievements during the year as well as their new roles and responsibilities (where applicable), and recommendations from the Company’s People Team, leadership and the CEO. Based on this information, the Compensation Committee determined: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changes to the NEOs’ salaries for the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targets, metrics and the terms of the 2025 Annual Bonus;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annual long-term incentive awards to be granted in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end of the fiscal year, in February 2026, the Compensation Committee determined each NEO’s payment earned pursuant to the 2025 Annual Bonus.</w:t>
      </w:r>
    </w:p>
    <w:p>
      <w:pPr>
        <w:pStyle w:val="TextBody"/>
        <w:bidi w:val="0"/>
        <w:spacing w:before="360" w:after="283"/>
        <w:jc w:val="left"/>
        <w:rPr>
          <w:rFonts w:ascii="Times New Roman" w:hAnsi="Times New Roman"/>
          <w:sz w:val="20"/>
        </w:rPr>
      </w:pPr>
      <w:r>
        <w:rPr>
          <w:rFonts w:ascii="Times New Roman" w:hAnsi="Times New Roman"/>
          <w:i/>
          <w:color w:val="000000"/>
          <w:sz w:val="20"/>
        </w:rPr>
        <w:t>Risk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regularly assesses and reports to the Board on potential risks associated with the Company’s compensation policies and practices on an annual basis, including with respect to the NEOs, and devotes such time and resources to compensation risk management as it believes appropriate given the Company’s current stage of development and corporate governance best practices. </w:t>
      </w:r>
    </w:p>
    <w:p>
      <w:pPr>
        <w:pStyle w:val="TextBody"/>
        <w:bidi w:val="0"/>
        <w:spacing w:before="240" w:after="283"/>
        <w:jc w:val="left"/>
        <w:rPr>
          <w:rFonts w:ascii="Times New Roman" w:hAnsi="Times New Roman"/>
          <w:sz w:val="20"/>
        </w:rPr>
      </w:pPr>
      <w:r>
        <w:rPr>
          <w:rFonts w:ascii="Times New Roman" w:hAnsi="Times New Roman"/>
          <w:color w:val="000000"/>
          <w:sz w:val="20"/>
        </w:rPr>
        <w:t>For 2025, the Compensation Committee did not identify any risks arising from the Company’s compensation policies and practices that it or the Board believed were reasonably likely to have a material adverse effect on the Company</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Compensation Best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NEO compensation policies and practices for 2025 are designed to align pay with Company performance and mitigate compensation risk by doing and not doing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
        <w:gridCol w:w="9864"/>
      </w:tblGrid>
      <w:tr>
        <w:trPr/>
        <w:tc>
          <w:tcPr>
            <w:tcW w:w="341"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E5E5E5" w:val="clear"/>
            <w:tcMar>
              <w:top w:w="0" w:type="dxa"/>
              <w:left w:w="0" w:type="dxa"/>
              <w:bottom w:w="0" w:type="dxa"/>
              <w:right w:w="0" w:type="dxa"/>
            </w:tcMar>
            <w:vAlign w:val="center"/>
          </w:tcPr>
          <w:p>
            <w:pPr>
              <w:pStyle w:val="TableContents"/>
              <w:bidi w:val="0"/>
              <w:spacing w:before="120" w:after="283"/>
              <w:ind w:left="0" w:right="0" w:firstLine="115"/>
              <w:jc w:val="center"/>
              <w:rPr>
                <w:rFonts w:ascii="Times New Roman" w:hAnsi="Times New Roman"/>
                <w:sz w:val="36"/>
              </w:rPr>
            </w:pPr>
            <w:r>
              <w:rPr>
                <w:rFonts w:ascii="Times New Roman" w:hAnsi="Times New Roman"/>
                <w:b/>
                <w:color w:val="2A4634"/>
                <w:sz w:val="36"/>
              </w:rPr>
              <w:t>What We Do:</w:t>
            </w:r>
            <w:r>
              <w:rPr>
                <w:rFonts w:ascii="Times New Roman" w:hAnsi="Times New Roman"/>
                <w:color w:val="2A4634"/>
                <w:sz w:val="36"/>
              </w:rPr>
              <w:t xml:space="preserve">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provide a reasonable balance between cash and equity compensation;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establish robust annual financial targets that are approved by the Compensation Committee for the 2025 Annual Bonus in the first quarter;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incorporate multiple financial measures in the 2025 Annual Bonus;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determine payouts under the 2025 Annual Bonus that can vary significantly based on Company performance;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encourage retention of high performing individuals;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align the interests of the NEOs with the short-term and long-term objectives of the Company and its shareholders;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employ only double trigger (change-in-control and termination of employment) vesting upon a change of control;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perform annual risk review to evaluate incentive and other compensation;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use a balance of formulaic measures and qualitative factors to determine achievement of goals;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provide limited perquisites; and </w:t>
            </w:r>
          </w:p>
        </w:tc>
      </w:tr>
      <w:tr>
        <w:trPr/>
        <w:tc>
          <w:tcPr>
            <w:tcW w:w="341" w:type="dxa"/>
            <w:tcBorders/>
            <w:shd w:fill="E5E5E5" w:val="clear"/>
            <w:tcMar>
              <w:top w:w="0" w:type="dxa"/>
              <w:left w:w="0" w:type="dxa"/>
              <w:bottom w:w="0" w:type="dxa"/>
              <w:right w:w="0" w:type="dxa"/>
            </w:tcMar>
            <w:vAlign w:val="center"/>
          </w:tcPr>
          <w:p>
            <w:pPr>
              <w:pStyle w:val="TableContents"/>
              <w:bidi w:val="0"/>
              <w:spacing w:before="120" w:after="120"/>
              <w:ind w:left="0" w:right="0" w:firstLine="115"/>
              <w:jc w:val="left"/>
              <w:rPr>
                <w:rFonts w:ascii="Times New Roman" w:hAnsi="Times New Roman"/>
                <w:color w:val="000000"/>
                <w:sz w:val="20"/>
              </w:rPr>
            </w:pPr>
            <w:r>
              <w:rPr>
                <w:rFonts w:ascii="Times New Roman" w:hAnsi="Times New Roman"/>
                <w:color w:val="000000"/>
                <w:sz w:val="20"/>
              </w:rPr>
              <w:t>+</w:t>
            </w:r>
          </w:p>
        </w:tc>
        <w:tc>
          <w:tcPr>
            <w:tcW w:w="9864" w:type="dxa"/>
            <w:tcBorders/>
            <w:shd w:fill="E5E5E5" w:val="clear"/>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use of multi-year vesting to diminish the incentive to maximize performance in any one fiscal period at the expense of another.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6"/>
        <w:gridCol w:w="9849"/>
      </w:tblGrid>
      <w:tr>
        <w:trPr/>
        <w:tc>
          <w:tcPr>
            <w:tcW w:w="356" w:type="dxa"/>
            <w:tcBorders/>
            <w:vAlign w:val="center"/>
          </w:tcPr>
          <w:p>
            <w:pPr>
              <w:pStyle w:val="TableContents"/>
              <w:bidi w:val="0"/>
              <w:spacing w:before="0" w:after="283"/>
              <w:jc w:val="left"/>
              <w:rPr>
                <w:sz w:val="4"/>
                <w:szCs w:val="4"/>
              </w:rPr>
            </w:pPr>
            <w:r>
              <w:rPr>
                <w:sz w:val="4"/>
                <w:szCs w:val="4"/>
              </w:rPr>
            </w:r>
          </w:p>
        </w:tc>
        <w:tc>
          <w:tcPr>
            <w:tcW w:w="9849"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E5E5E5" w:val="clear"/>
            <w:tcMar>
              <w:top w:w="0" w:type="dxa"/>
              <w:left w:w="0" w:type="dxa"/>
              <w:bottom w:w="0" w:type="dxa"/>
              <w:right w:w="0" w:type="dxa"/>
            </w:tcMar>
            <w:vAlign w:val="center"/>
          </w:tcPr>
          <w:p>
            <w:pPr>
              <w:pStyle w:val="TableContents"/>
              <w:bidi w:val="0"/>
              <w:spacing w:before="120" w:after="283"/>
              <w:ind w:left="0" w:right="0" w:firstLine="115"/>
              <w:jc w:val="center"/>
              <w:rPr>
                <w:rFonts w:ascii="Times New Roman" w:hAnsi="Times New Roman"/>
                <w:sz w:val="36"/>
              </w:rPr>
            </w:pPr>
            <w:r>
              <w:rPr>
                <w:rFonts w:ascii="Times New Roman" w:hAnsi="Times New Roman"/>
                <w:b/>
                <w:color w:val="2A4634"/>
                <w:sz w:val="36"/>
              </w:rPr>
              <w:t>What We Do Not Do:</w:t>
            </w:r>
            <w:r>
              <w:rPr>
                <w:rFonts w:ascii="Times New Roman" w:hAnsi="Times New Roman"/>
                <w:color w:val="2A4634"/>
                <w:sz w:val="36"/>
              </w:rPr>
              <w:t xml:space="preserve">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240" w:after="283"/>
              <w:ind w:left="0" w:right="0" w:firstLine="115"/>
              <w:jc w:val="left"/>
              <w:rPr>
                <w:rFonts w:ascii="Times New Roman" w:hAnsi="Times New Roman"/>
                <w:color w:val="000000"/>
                <w:sz w:val="20"/>
              </w:rPr>
            </w:pPr>
            <w:r>
              <w:rPr>
                <w:rFonts w:ascii="Times New Roman" w:hAnsi="Times New Roman"/>
                <w:color w:val="000000"/>
                <w:sz w:val="20"/>
              </w:rPr>
              <w:t xml:space="preserve">employ change-in-control provisions with single-trigger vesting;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provide gross-up payments to cover personal income taxes or other excise taxes pertaining to executive compensation or severance;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allow the repricing, spring-loading, or backdating of equity awards;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have separate enhanced health and welfare or retirement benefit plans for NEOs;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have guaranteed increases to base salaries;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permit hedging, pledging or short sales of our stock;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emphasize incentives to produce short-term results to the detriment of long-term goals and results;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provide incentives to pursue excessively risky business strategies;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83"/>
              <w:ind w:left="0" w:right="0" w:firstLine="115"/>
              <w:jc w:val="left"/>
              <w:rPr>
                <w:rFonts w:ascii="Times New Roman" w:hAnsi="Times New Roman"/>
                <w:color w:val="000000"/>
                <w:sz w:val="20"/>
              </w:rPr>
            </w:pPr>
            <w:r>
              <w:rPr>
                <w:rFonts w:ascii="Times New Roman" w:hAnsi="Times New Roman"/>
                <w:color w:val="000000"/>
                <w:sz w:val="20"/>
              </w:rPr>
              <w:t xml:space="preserve">offer uncapped incentive award payouts; or </w:t>
            </w:r>
          </w:p>
        </w:tc>
      </w:tr>
      <w:tr>
        <w:trPr/>
        <w:tc>
          <w:tcPr>
            <w:tcW w:w="356" w:type="dxa"/>
            <w:tcBorders/>
            <w:shd w:fill="E5E5E5" w:val="clear"/>
            <w:tcMar>
              <w:top w:w="0" w:type="dxa"/>
              <w:left w:w="0" w:type="dxa"/>
              <w:bottom w:w="0" w:type="dxa"/>
              <w:right w:w="0" w:type="dxa"/>
            </w:tcMar>
            <w:vAlign w:val="center"/>
          </w:tcPr>
          <w:p>
            <w:pPr>
              <w:pStyle w:val="TableContents"/>
              <w:bidi w:val="0"/>
              <w:spacing w:before="120" w:after="240"/>
              <w:ind w:left="0" w:right="0" w:firstLine="115"/>
              <w:jc w:val="left"/>
              <w:rPr>
                <w:color w:val="000000"/>
              </w:rPr>
            </w:pPr>
            <w:r>
              <w:rPr>
                <w:color w:val="000000"/>
              </w:rPr>
              <w:t>–</w:t>
            </w:r>
          </w:p>
        </w:tc>
        <w:tc>
          <w:tcPr>
            <w:tcW w:w="9849" w:type="dxa"/>
            <w:tcBorders/>
            <w:shd w:fill="E5E5E5" w:val="clear"/>
            <w:tcMar>
              <w:top w:w="0" w:type="dxa"/>
              <w:left w:w="0" w:type="dxa"/>
              <w:bottom w:w="0" w:type="dxa"/>
              <w:right w:w="0" w:type="dxa"/>
            </w:tcMar>
            <w:vAlign w:val="center"/>
          </w:tcPr>
          <w:p>
            <w:pPr>
              <w:pStyle w:val="TableContents"/>
              <w:bidi w:val="0"/>
              <w:spacing w:before="120" w:after="240"/>
              <w:jc w:val="left"/>
              <w:rPr>
                <w:rFonts w:ascii="Times New Roman" w:hAnsi="Times New Roman"/>
                <w:color w:val="000000"/>
                <w:sz w:val="20"/>
              </w:rPr>
            </w:pPr>
            <w:r>
              <w:rPr>
                <w:rFonts w:ascii="Times New Roman" w:hAnsi="Times New Roman"/>
                <w:color w:val="000000"/>
                <w:sz w:val="20"/>
              </w:rPr>
              <w:t xml:space="preserve">guarantee incentive payouts from incentive awards.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Role of Management in Setting NEO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CEO and the Company</w:t>
      </w:r>
      <w:r>
        <w:rPr>
          <w:rFonts w:ascii="Times New Roman" w:hAnsi="Times New Roman"/>
          <w:color w:val="0000FF"/>
          <w:sz w:val="20"/>
          <w:u w:val="single"/>
        </w:rPr>
        <w:t>’</w:t>
      </w:r>
      <w:r>
        <w:rPr>
          <w:rFonts w:ascii="Times New Roman" w:hAnsi="Times New Roman"/>
          <w:color w:val="000000"/>
          <w:sz w:val="20"/>
        </w:rPr>
        <w:t xml:space="preserve">s People Team support the Compensation Committee in its compensation work. The CEO, with the input of the People Team, makes recommendations to the Compensation Committee on NEO and top officer compensation. The People Team also makes recommendations and provides information to, and answers questions from, the Compensation Committee as it fulfills its responsibilities regarding executive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the Company’s NEOs (including the CEO) make recommendations directly to the Compensation Committee regarding their own compensation amounts. </w:t>
      </w:r>
    </w:p>
    <w:p>
      <w:pPr>
        <w:pStyle w:val="TextBody"/>
        <w:bidi w:val="0"/>
        <w:spacing w:before="360" w:after="283"/>
        <w:jc w:val="left"/>
        <w:rPr>
          <w:rFonts w:ascii="Times New Roman" w:hAnsi="Times New Roman"/>
          <w:sz w:val="20"/>
        </w:rPr>
      </w:pPr>
      <w:r>
        <w:rPr>
          <w:rFonts w:ascii="Times New Roman" w:hAnsi="Times New Roman"/>
          <w:i/>
          <w:color w:val="000000"/>
          <w:sz w:val="20"/>
        </w:rPr>
        <w:t>Role of Peer Benchmarking and Compensation Consultants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2025, the Compensation Committee elected not to formally benchmark our NEOs’ compensation to other companies and did not perform compensation market survey reviews on executive compensation. Although the Compensation Committee did not use a formal benchmarking study, it reviewed publicly disclosed compensation rates and key compensation terms for the named executive officers of our peers and in the market generally to assist in the evaluation of the competitiveness of the Company’s compensation packages for the NEOs.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has continued its overall approach to be more conservative on cash while providing meaningful long-term incentive opportunities through equity compensation, however, the Company’s strong cash position at the end of 2025 provided the Compensation Committee with greater flexibility to use more cash to reward and incentivize employees, including the NEOs, than it has done in prior years. Although the Compensation Committee may engage a compensation consultant to analyze these or other matters in the future, it determined that benchmarking our NEOs’ pay and engaging its own compensation consultant were not necessary during 2025. </w:t>
      </w:r>
    </w:p>
    <w:p>
      <w:pPr>
        <w:pStyle w:val="TextBody"/>
        <w:bidi w:val="0"/>
        <w:spacing w:before="360" w:after="283"/>
        <w:jc w:val="left"/>
        <w:rPr>
          <w:rFonts w:ascii="Times New Roman" w:hAnsi="Times New Roman"/>
          <w:sz w:val="20"/>
        </w:rPr>
      </w:pPr>
      <w:bookmarkStart w:id="43" w:name="elements_of_compensation"/>
      <w:bookmarkEnd w:id="43"/>
      <w:r>
        <w:rPr>
          <w:rFonts w:ascii="Times New Roman" w:hAnsi="Times New Roman"/>
          <w:b/>
          <w:color w:val="000000"/>
          <w:sz w:val="20"/>
        </w:rPr>
        <w:t>Elements of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 salary is the fixed portion of each NEO’s total compensation. It is designed to provide income certainty. In determining the base level of compensation for the NEOs, weight is placed on factors including affordability and the individual’s competencies, skills, experience, contributions, and performance. When setting base salaries, the Compensation Committee also considers internal pay equity and the impact of base salary on other compensation elements, such as the target annual incentive. The Compensation Committee strives to set our NEOs’ base salaries at conservative levels while placing more emphasis on variable compensation and long-term incentives, in line with our goal of maintaining flexibility with our available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its March 18, 2025, meeting, the Compensation Committee reviewed the base salaries of the NEOs and determined not to make any changes for any of the NEOs in order to continue to place emphasis upon compensation elements that vary depending on the Company's performance. The NEOs 2025 base salaries as of April 1, 2025 were as follows: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2025 Base Salaries as of April 1, 2025</w:t>
      </w:r>
    </w:p>
    <w:p>
      <w:pPr>
        <w:pStyle w:val="TextBody"/>
        <w:bidi w:val="0"/>
        <w:jc w:val="left"/>
        <w:rPr/>
      </w:pPr>
      <w:r>
        <w:rPr/>
        <w:t> </w:t>
      </w:r>
    </w:p>
    <w:tbl>
      <w:tblPr>
        <w:tblW w:w="5401" w:type="dxa"/>
        <w:jc w:val="left"/>
        <w:tblInd w:w="0" w:type="dxa"/>
        <w:tblLayout w:type="fixed"/>
        <w:tblCellMar>
          <w:top w:w="28" w:type="dxa"/>
          <w:left w:w="28" w:type="dxa"/>
          <w:bottom w:w="28" w:type="dxa"/>
          <w:right w:w="28" w:type="dxa"/>
        </w:tblCellMar>
      </w:tblPr>
      <w:tblGrid>
        <w:gridCol w:w="1771"/>
        <w:gridCol w:w="146"/>
        <w:gridCol w:w="211"/>
        <w:gridCol w:w="781"/>
        <w:gridCol w:w="146"/>
        <w:gridCol w:w="146"/>
        <w:gridCol w:w="211"/>
        <w:gridCol w:w="781"/>
        <w:gridCol w:w="146"/>
        <w:gridCol w:w="146"/>
        <w:gridCol w:w="91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from</w:t>
              <w:br/>
              <w:t>prior year</w:t>
            </w:r>
          </w:p>
        </w:tc>
      </w:tr>
      <w:tr>
        <w:trPr/>
        <w:tc>
          <w:tcPr>
            <w:tcW w:w="17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Georgiadis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17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Faulkner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Bret Kravitz</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8"/>
        </w:rPr>
        <w:t>Mr. Kravitz’s 2024 base salary increased from $300,000 to $310,000 effective April 1, 2024 and then to $335,000 effective December 1, 2024.</w:t>
      </w:r>
    </w:p>
    <w:p>
      <w:pPr>
        <w:pStyle w:val="TextBody"/>
        <w:bidi w:val="0"/>
        <w:spacing w:before="120" w:after="283"/>
        <w:jc w:val="left"/>
        <w:rPr>
          <w:rFonts w:ascii="Times New Roman" w:hAnsi="Times New Roman"/>
          <w:sz w:val="20"/>
        </w:rPr>
      </w:pPr>
      <w:r>
        <w:rPr>
          <w:rFonts w:ascii="Times New Roman" w:hAnsi="Times New Roman"/>
          <w:i/>
          <w:color w:val="000000"/>
          <w:sz w:val="20"/>
        </w:rPr>
        <w:t>Short-Term Incentive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At its meeting on March 18, 2025, the Compensation Committee adopted the 2025 Annual Bonus Plan (the “</w:t>
      </w:r>
      <w:r>
        <w:rPr>
          <w:rFonts w:ascii="Times New Roman" w:hAnsi="Times New Roman"/>
          <w:b/>
          <w:color w:val="000000"/>
          <w:sz w:val="20"/>
        </w:rPr>
        <w:t>2025 Annual Bonus</w:t>
      </w:r>
      <w:r>
        <w:rPr>
          <w:rFonts w:ascii="Times New Roman" w:hAnsi="Times New Roman"/>
          <w:color w:val="000000"/>
          <w:sz w:val="20"/>
        </w:rPr>
        <w:t xml:space="preserve">”) applicable to our NEOs and other eligible Company employees and established the performance metrics and targets that would be used to determine payouts under the 2025 Annual Bonus, as well as the target payout amount for each of the NEOs. This program was designed to afford eligible participants the opportunity to share in the Company’s success and reward their individual performance over the year based on meeting or exceeding pre-established performance criteria. In determining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metrics and applicable targets for the 2025 Annual Bonus, the Compensation Committee reviewed the Company’s financial and operational priorities, strategic business objectives and plans for the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2025 Annual Bonus was designed to drive near-term goals supporting responsible, sustainable growth and to differentiate executives’ total compensation based on individual performance. The Compensation Committee assigned each executive a target incentive award as a percentage of their 2025 base salary, based on each executive’s responsibilities and role. The quantitative targets for each financial metric are designed to be challenging but reasonably attainable, with the maximum achievement levels intended to be a true stretch. Maximum achievement of each metric was set at 115% of the target levels while threshold achievement was set at 85% of target. The Compensation Committee selected the quantitative metrics based on the fact that revenue expansion is critical for high-growth companies, and Adjusted EBITDA is a key metric of profitability for high-growth companies generally and those in the cannabis industry specifically.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Key features of the 2025 Annual Bonus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Payout is determined by the Compensation Committee based on Company and individual performance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Company performance metrics are 50% Revenue and 50% Adjusted EBITDA, to balance growth with responsible financial and operational management and align with the Company’s strategic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performance is based on a subjective, qualitative assessment of each NEO’s annual performance against preestablished goals by the Compensation Committee and, in the case of the NEOs other than himself, the recommendations of the CEO;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amounts will be earned if performance of both metrics falls below the respective threshold performance level;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between threshold and target, or between target and maximum, is determined based on interpolated performance achievement;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between 85% achievement to 100% achievement of target will increase by a 3.33% payout factor for each 1.0% of incremental performance achievement and from 100% achievement to 105% achievement, the payout factor will increase by 4.0% for each 1.0% of incremental performance achievement;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incentivize and reward truly exceptional performance, payouts for achievement above 105% of target up to the maximum performance achievement of 115% of target results in an increase of 8.0% of payout factor for each 1% of performance attainment;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earned amounts are capped at 200% of target.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setting the target bonus amounts for each NEO, the Compensation Committee acknowledged that the NEOs’ base salaries were low relative to the market and the importance of increasing the competitiveness of the Company's compensation packages, and thus determined that it was appropriate to increase some of the NEOs’ bonus targets as a percentage of their respective base salary for 2025 as compared to the prior year. The Compensation Committee determined that it was appropriate to increase Mr. Kovler’s 2025 Annual Bonus target to 325% of his base salary, up from 250% the prior year; Mr. Georgiadis’s 2025 Annual Bonus target to 300% of his base salary, up from 250% the prior year; and Mr. Kravitz’s 2025 Annual Bonus target to 110% of his base salary, up from 85% the prior year. It maintained Mr. Faulkner's 2025 Annual Bonus target at 110% of his base salary, consistent with the prior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goals for the Company’s performance for the 2025 Annual Bonus were: </w:t>
      </w:r>
    </w:p>
    <w:p>
      <w:pPr>
        <w:pStyle w:val="TextBody"/>
        <w:bidi w:val="0"/>
        <w:jc w:val="left"/>
        <w:rPr/>
      </w:pPr>
      <w:r>
        <w:rPr/>
        <w:t> </w:t>
      </w:r>
    </w:p>
    <w:tbl>
      <w:tblPr>
        <w:tblW w:w="8048" w:type="dxa"/>
        <w:jc w:val="left"/>
        <w:tblInd w:w="0" w:type="dxa"/>
        <w:tblLayout w:type="fixed"/>
        <w:tblCellMar>
          <w:top w:w="28" w:type="dxa"/>
          <w:left w:w="28" w:type="dxa"/>
          <w:bottom w:w="28" w:type="dxa"/>
          <w:right w:w="28" w:type="dxa"/>
        </w:tblCellMar>
      </w:tblPr>
      <w:tblGrid>
        <w:gridCol w:w="2911"/>
        <w:gridCol w:w="146"/>
        <w:gridCol w:w="412"/>
        <w:gridCol w:w="893"/>
        <w:gridCol w:w="301"/>
        <w:gridCol w:w="146"/>
        <w:gridCol w:w="270"/>
        <w:gridCol w:w="781"/>
        <w:gridCol w:w="301"/>
        <w:gridCol w:w="146"/>
        <w:gridCol w:w="358"/>
        <w:gridCol w:w="1037"/>
        <w:gridCol w:w="34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Metric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br/>
              <w:t>Performance</w:t>
              <w:br/>
              <w:t>(85% of Target)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Performance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Performance</w:t>
              <w:br/>
              <w:t>(115% of Target)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$988M</w:t>
            </w:r>
          </w:p>
        </w:tc>
        <w:tc>
          <w:tcPr>
            <w:tcW w:w="301"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$1,162M</w:t>
            </w:r>
          </w:p>
        </w:tc>
        <w:tc>
          <w:tcPr>
            <w:tcW w:w="301"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$1,336M</w:t>
            </w:r>
          </w:p>
        </w:tc>
        <w:tc>
          <w:tcPr>
            <w:tcW w:w="3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$273M</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$322M</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Payout Factor (as a % of Target)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30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w:t>
            </w:r>
          </w:p>
        </w:tc>
        <w:tc>
          <w:tcPr>
            <w:tcW w:w="3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with the input of the People Team, each NEO for themselves, and Mr. Kovler for each other NEO and Mr. Georgiadis for Mr. Faulkner and Mr. Kravitz, the Compensation Committee established individual performance goals for each NEO for the year. Our individual performance goals are designed to support our foundational principles, including our corporate mission, vision, values and priorities. For 2025, these goals included: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9"/>
        <w:gridCol w:w="8906"/>
      </w:tblGrid>
      <w:tr>
        <w:trPr/>
        <w:tc>
          <w:tcPr>
            <w:tcW w:w="1299" w:type="dxa"/>
            <w:tcBorders/>
            <w:vAlign w:val="center"/>
          </w:tcPr>
          <w:p>
            <w:pPr>
              <w:pStyle w:val="TableContents"/>
              <w:bidi w:val="0"/>
              <w:spacing w:before="0" w:after="283"/>
              <w:jc w:val="left"/>
              <w:rPr>
                <w:sz w:val="4"/>
                <w:szCs w:val="4"/>
              </w:rPr>
            </w:pPr>
            <w:r>
              <w:rPr>
                <w:sz w:val="4"/>
                <w:szCs w:val="4"/>
              </w:rPr>
            </w:r>
          </w:p>
        </w:tc>
        <w:tc>
          <w:tcPr>
            <w:tcW w:w="8906" w:type="dxa"/>
            <w:tcBorders/>
            <w:vAlign w:val="center"/>
          </w:tcPr>
          <w:p>
            <w:pPr>
              <w:pStyle w:val="TableContents"/>
              <w:bidi w:val="0"/>
              <w:spacing w:before="0" w:after="283"/>
              <w:jc w:val="left"/>
              <w:rPr>
                <w:sz w:val="4"/>
                <w:szCs w:val="4"/>
              </w:rPr>
            </w:pPr>
            <w:r>
              <w:rPr>
                <w:sz w:val="4"/>
                <w:szCs w:val="4"/>
              </w:rPr>
            </w:r>
          </w:p>
        </w:tc>
      </w:tr>
      <w:tr>
        <w:trPr/>
        <w:tc>
          <w:tcPr>
            <w:tcW w:w="1299"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tcBorders/>
            <w:shd w:fill="FCEABC"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299" w:type="dxa"/>
            <w:tcBorders/>
            <w:shd w:fill="FCEAB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Mr. Kovler</w:t>
            </w:r>
          </w:p>
        </w:tc>
        <w:tc>
          <w:tcPr>
            <w:tcW w:w="890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Kovler’s 2025 goals focused on providing strong overall leadership for the development of the Company and the Company’s leadership team, including key succession plans; successful development and execution of the Company’s capital management plan and budget; extend or refinance the Company’s senior credit facility; developing and executing on key strategic imperatives, including with respect to brand development and strategic partnerships; acting as a leader for the Company’s culture of compliance; and closely monitoring legislative and regulatory changes in the industry.</w:t>
            </w:r>
          </w:p>
        </w:tc>
      </w:tr>
      <w:tr>
        <w:trPr/>
        <w:tc>
          <w:tcPr>
            <w:tcW w:w="1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29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Mr. Georgiadis</w:t>
            </w:r>
          </w:p>
        </w:tc>
        <w:tc>
          <w:tcPr>
            <w:tcW w:w="8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Georgiadis’s 2025 goals included successful leadership and development of the retail, revenue, and wholesale operations teams, including developing leaders in those areas and succession planning; successful execution of the Company’s financial, capital expenditure and operating plans; leading efforts to improve product quality and production efficiencies; and acting as a leader for the Company’s culture of compliance.</w:t>
            </w:r>
          </w:p>
        </w:tc>
      </w:tr>
      <w:tr>
        <w:trPr/>
        <w:tc>
          <w:tcPr>
            <w:tcW w:w="1299"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tcBorders/>
            <w:shd w:fill="FCEABC"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299" w:type="dxa"/>
            <w:tcBorders/>
            <w:shd w:fill="FCEABC"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Mr. Faulkner</w:t>
            </w:r>
          </w:p>
        </w:tc>
        <w:tc>
          <w:tcPr>
            <w:tcW w:w="890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Faulkner’s 2025 goals included effective leadership and management of our finance and accounting functions, including timely filings with the SEC; delivering on cost savings initiatives and management of the Company’s cash position; supporting the development of new banking, processing and reporting tools; strengthening the Company’s finance, accounting and information technology functions by developing talent and developing succession plans for key roles; and ensuring strong internal controls and procedures.</w:t>
            </w:r>
          </w:p>
        </w:tc>
      </w:tr>
      <w:tr>
        <w:trPr/>
        <w:tc>
          <w:tcPr>
            <w:tcW w:w="1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29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Mr. Kravitz</w:t>
            </w:r>
          </w:p>
        </w:tc>
        <w:tc>
          <w:tcPr>
            <w:tcW w:w="8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Kravitz’s 2025 goals included continued development of the legal team to optimize organizational support; safeguarding the Company’s licenses and acting as a leader for the Company’s culture of compliance; representing the Company on key and strategic legislative and legal initiatives; and actively managing the Company’s legal and regulatory budgets.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2025 Annual Bonus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end of 2025, the Compensation Committee evaluated the Company’s and each NEO’s performance with respect to the above-described criteria, to determine each individual’s achievement under the 2025 Annual Bonus as follows: </w:t>
      </w:r>
    </w:p>
    <w:p>
      <w:pPr>
        <w:pStyle w:val="TextBody"/>
        <w:bidi w:val="0"/>
        <w:spacing w:before="120" w:after="283"/>
        <w:jc w:val="center"/>
        <w:rPr/>
      </w:pPr>
      <w:r>
        <w:rPr/>
        <w:drawing>
          <wp:inline distT="0" distB="0" distL="0" distR="0">
            <wp:extent cx="5600700" cy="2019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00700" cy="20193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achievement with respect to the 2025 Revenue and Adjusted EBITDA metrics was: </w:t>
      </w:r>
    </w:p>
    <w:p>
      <w:pPr>
        <w:pStyle w:val="TextBody"/>
        <w:bidi w:val="0"/>
        <w:jc w:val="left"/>
        <w:rPr/>
      </w:pPr>
      <w:r>
        <w:rPr/>
        <w:t> </w:t>
      </w:r>
    </w:p>
    <w:tbl>
      <w:tblPr>
        <w:tblW w:w="8669" w:type="dxa"/>
        <w:jc w:val="left"/>
        <w:tblInd w:w="0" w:type="dxa"/>
        <w:tblLayout w:type="fixed"/>
        <w:tblCellMar>
          <w:top w:w="28" w:type="dxa"/>
          <w:left w:w="28" w:type="dxa"/>
          <w:bottom w:w="28" w:type="dxa"/>
          <w:right w:w="28" w:type="dxa"/>
        </w:tblCellMar>
      </w:tblPr>
      <w:tblGrid>
        <w:gridCol w:w="3181"/>
        <w:gridCol w:w="146"/>
        <w:gridCol w:w="826"/>
        <w:gridCol w:w="146"/>
        <w:gridCol w:w="219"/>
        <w:gridCol w:w="637"/>
        <w:gridCol w:w="301"/>
        <w:gridCol w:w="146"/>
        <w:gridCol w:w="856"/>
        <w:gridCol w:w="146"/>
        <w:gridCol w:w="856"/>
        <w:gridCol w:w="146"/>
        <w:gridCol w:w="146"/>
        <w:gridCol w:w="571"/>
        <w:gridCol w:w="34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Metric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Result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Payout</w:t>
              <w:br/>
              <w:t>Factor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(50% weighting)</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$988M</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$1,162M</w:t>
            </w:r>
          </w:p>
        </w:tc>
        <w:tc>
          <w:tcPr>
            <w:tcW w:w="301"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$1,336M</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$1,175M</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3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r>
              <w:rPr>
                <w:rFonts w:ascii="Times New Roman" w:hAnsi="Times New Roman"/>
                <w:color w:val="000000"/>
                <w:sz w:val="20"/>
              </w:rPr>
              <w:t> (50% 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$322M</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 Performance</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125.6</w:t>
            </w:r>
          </w:p>
        </w:tc>
        <w:tc>
          <w:tcPr>
            <w:tcW w:w="34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18"/>
        </w:rPr>
        <w:t>Following the sale of the Company’s brand intellectual property to RYM in May and September of 2025, the Company began to pay licensing fees to RYM in November 2025, totaling approximately $6.8 million for the year. When evaluating the Company’s financial performance for 2025 pursuant to the goals established under the 2025 Annual Bonus Plan, as permitted by the terms thereof, the Compensation Committee determined that it was appropriate to add back those licensing fees to Adjusted EBITDA. The Company refers to this metric as “Normalized EBIDTA” in the 2025 Form 10-K.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Individual performance was subjectively and qualitatively reviewed by the Compensation Committee, taking into consideration the recommendations of Mr. Kovler for all of the other NEOs, and Mr. Georgiadis for Mr. Faulkner and Mr. Kravitz. Key individual performance achievements for the year taken into consideration by the Compensation Committee in determining the applicable payouts under the 2025 Annual Bonus for each NEO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4"/>
        <w:gridCol w:w="8911"/>
      </w:tblGrid>
      <w:tr>
        <w:trPr/>
        <w:tc>
          <w:tcPr>
            <w:tcW w:w="1294"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294" w:type="dxa"/>
            <w:tcBorders/>
            <w:shd w:fill="FCEAB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911" w:type="dxa"/>
            <w:tcBorders/>
            <w:shd w:fill="FCEAB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294" w:type="dxa"/>
            <w:tcBorders/>
            <w:shd w:fill="FCEAB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Mr. Kovler</w:t>
            </w:r>
          </w:p>
        </w:tc>
        <w:tc>
          <w:tcPr>
            <w:tcW w:w="8911" w:type="dxa"/>
            <w:tcBorders/>
            <w:shd w:fill="FCEAB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Mr. Kovler’s key accomplishments for 2025 included effective stewardship of the development of the Company and its leadership team; achieving financial performance, exceeding planned results; successful execution and development of the Company’s capital management plan and budget and expanding the Company’s senior debt facility; delivering on key strategic imperatives including developing the Company’s brand performance and key partnerships; and keeping the Company prepared for potential legislative changes.</w:t>
            </w:r>
          </w:p>
        </w:tc>
      </w:tr>
      <w:tr>
        <w:trPr/>
        <w:tc>
          <w:tcPr>
            <w:tcW w:w="129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Mr. Georgiadis</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Compensation Committee recognized Mr. Georgiadis for his key 2025 accomplishments including successfully executing on the Company’s strategic priorities; extensive development of key leaders throughout the business and overall development of the leadership team; contributions to the Company’s excellent financial performance, including tax strategies, cash flow management and execution on capital expenditures; successfully leading the efforts to improve product quality, market share, inventory management and production efficiencies; and providing leadership for the Company’s culture of compliance.</w:t>
            </w:r>
          </w:p>
        </w:tc>
      </w:tr>
      <w:tr>
        <w:trPr/>
        <w:tc>
          <w:tcPr>
            <w:tcW w:w="1294"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36"/>
        <w:gridCol w:w="9069"/>
      </w:tblGrid>
      <w:tr>
        <w:trPr/>
        <w:tc>
          <w:tcPr>
            <w:tcW w:w="1136" w:type="dxa"/>
            <w:tcBorders/>
            <w:vAlign w:val="center"/>
          </w:tcPr>
          <w:p>
            <w:pPr>
              <w:pStyle w:val="TableContents"/>
              <w:bidi w:val="0"/>
              <w:spacing w:before="0" w:after="283"/>
              <w:jc w:val="left"/>
              <w:rPr>
                <w:sz w:val="4"/>
                <w:szCs w:val="4"/>
              </w:rPr>
            </w:pPr>
            <w:r>
              <w:rPr>
                <w:sz w:val="4"/>
                <w:szCs w:val="4"/>
              </w:rPr>
            </w:r>
          </w:p>
        </w:tc>
        <w:tc>
          <w:tcPr>
            <w:tcW w:w="9069"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136" w:type="dxa"/>
            <w:tcBorders/>
            <w:shd w:fill="FCEAB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Mr. Faulkner</w:t>
            </w:r>
          </w:p>
        </w:tc>
        <w:tc>
          <w:tcPr>
            <w:tcW w:w="9069"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During 2025, Mr. Faulkner provided strong management of the finance and accounting teams, including tax strategies and timely financial reporting and filings and management of financial results; managed the sale of the Company's brand intellectual property to RYM and related operational matters; developing internal leadership; and ensuring strong internal controls and procedures.</w:t>
            </w:r>
          </w:p>
        </w:tc>
      </w:tr>
      <w:tr>
        <w:trPr/>
        <w:tc>
          <w:tcPr>
            <w:tcW w:w="1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1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Mr. Kravitz</w:t>
            </w:r>
          </w:p>
        </w:tc>
        <w:tc>
          <w:tcPr>
            <w:tcW w:w="90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Compensation Committee recognized Mr. Kravitz for his key accomplishments during 2025, including successful leadership of multiple complex legal transactions such as the sale of the Company's brand intellectual property to RYM and litigation matters; serving as a leader for the Company’s culture of compliance; successfully managing the Company’s legal and regulatory budgets and litigation matters; safeguarding the Company’s licenses; representing the Company on strategic legislative and legal initiatives; and developing the strengths of the legal team.</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resulting individual annual incentive amounts were calculated as follows: </w:t>
      </w:r>
    </w:p>
    <w:p>
      <w:pPr>
        <w:pStyle w:val="TextBody"/>
        <w:bidi w:val="0"/>
        <w:jc w:val="left"/>
        <w:rPr/>
      </w:pPr>
      <w:r>
        <w:rPr/>
        <w:t> </w:t>
      </w:r>
    </w:p>
    <w:tbl>
      <w:tblPr>
        <w:tblW w:w="6779" w:type="dxa"/>
        <w:jc w:val="left"/>
        <w:tblInd w:w="0" w:type="dxa"/>
        <w:tblLayout w:type="fixed"/>
        <w:tblCellMar>
          <w:top w:w="28" w:type="dxa"/>
          <w:left w:w="28" w:type="dxa"/>
          <w:bottom w:w="28" w:type="dxa"/>
          <w:right w:w="28" w:type="dxa"/>
        </w:tblCellMar>
      </w:tblPr>
      <w:tblGrid>
        <w:gridCol w:w="1336"/>
        <w:gridCol w:w="146"/>
        <w:gridCol w:w="211"/>
        <w:gridCol w:w="931"/>
        <w:gridCol w:w="146"/>
        <w:gridCol w:w="146"/>
        <w:gridCol w:w="1051"/>
        <w:gridCol w:w="146"/>
        <w:gridCol w:w="186"/>
        <w:gridCol w:w="730"/>
        <w:gridCol w:w="271"/>
        <w:gridCol w:w="146"/>
        <w:gridCol w:w="211"/>
        <w:gridCol w:w="931"/>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w:t>
              <w:br/>
              <w:t>Bonus</w:t>
              <w:b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Target</w:t>
              <w:br/>
              <w:t>Earned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Earned</w:t>
              <w:br/>
              <w:t>Incentive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1,121,250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2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1,612,000</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Georgiadis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1,341,684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Faulkner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2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463,863</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was intended with the 2025 Annual Bonus design, in a year when the Company achieves significant results, the plan participants earned significant rewards.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terms of the 2025 Annual Bonus as adopted in March 2025, the Compensation Committee had discretion to pay amounts earned over target in cash or in fully-vested RSUs. Given the Company’s strong cash balances and plans for repurchasing outstanding Subordinate Voting Shares in the market, the Compensation Committee determined that it was appropriate to pay the entirety of each plan participant’s earned amount in cash.</w:t>
      </w:r>
    </w:p>
    <w:p>
      <w:pPr>
        <w:pStyle w:val="TextBody"/>
        <w:bidi w:val="0"/>
        <w:spacing w:before="360" w:after="283"/>
        <w:jc w:val="left"/>
        <w:rPr>
          <w:rFonts w:ascii="Times New Roman" w:hAnsi="Times New Roman"/>
          <w:sz w:val="20"/>
        </w:rPr>
      </w:pPr>
      <w:r>
        <w:rPr>
          <w:rFonts w:ascii="Times New Roman" w:hAnsi="Times New Roman"/>
          <w:b/>
          <w:i/>
          <w:color w:val="000000"/>
          <w:sz w:val="20"/>
        </w:rPr>
        <w:t>Long-Term Equity Cash and Incentive Awards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 Long-Term Cash Incentive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provided its NEO’s with long-term incentives entirely in the form of equity (Options or RSUs). At its meeting in March of 2025, during which the Compensation Committee considered annual long-term incentive awards to be made as of April 1, 2025, the Compensation Committee determined that, given the Company’s strong cash position and the depressed market for the Company’s Subordinate Voting Shares notwithstanding the Company’s strong financial performance, that it was in the Company’s best interests to include a cash element in the Company’s long-term incentive awards package. The Compensation Committee determined that 25% of the aggregate amount of long-term incentives to be granted to each employee, including the NEOs, would be made in the form of cash that vests one-half on the six-month anniversary of the grant date, and one-half on the 18-month anniversary of the April 1, 2025 grant date. The Compensation Committee believes that this further increased the engagement of employees, including the NEOs, and improves the retentive aspects of the Company’s compensation package. This also further supports the Compensation Committee’s goal of creating strong variable awards when the Company has had strong financial performance, while allowing it to continue to keep fixed compensation at levels that are low relative to the market. Although this compensation is reflected in the “Bonus” column of the “Summary Compensation Table” in the “Compensation Tables” below, the Compensation Committee considers this long-term incentive compensation because of the vesting conditions included as part of each award.</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2025 Annual Equity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incentives granted under the Stock and Incentive Plan are intended to align the interests of the Company’s executive officers with those of our shareholders and to provide a long-term incentive that rewards the executive officers for their contributions to the creation of shareholder value. The Compensation Committee evaluates this on an annual basis as the Company and the cannabis industry continue to develop. Given the competitive market for talent, and because each individual values the attributes of RSUs and Options differently, particularly in light of the volatility of the market price of our Subordinate Voting Shares, the Compensation Committee determined that it was appropriate to continue to permit each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NEOs, as well as senior employees across the Company, to elect the relative portion of their annual long-term equity incentive awards to be granted in RSUs versus Options. The Compensation Committee believes that this increased the retentive aspects of the Company’s compensation packages, as employees were able to tailor this aspect of their compensation according to their personal preference. During December of 2024, employees, including the NEOs, were given the chance to elect, from zero to 100%, the percentage of Options and RSUs they wished to receive in April 2025. The Compensation Committee then honored those elections in determining the form of the long-term equity incentive awards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generally approves equity awards to be made only on the first calendar day of the month following the date of approval, although exceptions may be made in special circumstances. The annual equity awards to our NEOs are made at approximately the same time every year (April 1), and at the same time as the broad-based annual awards are made to other eligible employees. </w:t>
      </w:r>
    </w:p>
    <w:p>
      <w:pPr>
        <w:pStyle w:val="TextBody"/>
        <w:bidi w:val="0"/>
        <w:spacing w:before="240" w:after="283"/>
        <w:jc w:val="left"/>
        <w:rPr>
          <w:rFonts w:ascii="Times New Roman" w:hAnsi="Times New Roman"/>
          <w:sz w:val="20"/>
        </w:rPr>
      </w:pPr>
      <w:r>
        <w:rPr>
          <w:rFonts w:ascii="Times New Roman" w:hAnsi="Times New Roman"/>
          <w:color w:val="000000"/>
          <w:sz w:val="20"/>
        </w:rPr>
        <w:t>Given the relatively low trading volume of the Company’s Subordinate Voting Shares, the Company’s history of granting meaningful equity awards throughout the employee population annually on April 1, and the trend of relatively high-volumes of shares entering the market in the days following the annual vesting of April 1 awards, the Compensation Committee determined that it was appropriate to change its traditional vesting schedule for all annual employee equity awards to create distribution of vesting dates. Each of the annual equity awards granted on April 1, 2025, whether in the form of RSUs and/or Options, vests in one-third annual increments on the 10</w:t>
      </w:r>
      <w:r>
        <w:rPr>
          <w:rFonts w:ascii="Times New Roman" w:hAnsi="Times New Roman"/>
          <w:color w:val="000000"/>
          <w:sz w:val="13"/>
        </w:rPr>
        <w:t>th</w:t>
      </w:r>
      <w:r>
        <w:rPr>
          <w:rFonts w:ascii="Times New Roman" w:hAnsi="Times New Roman"/>
          <w:color w:val="000000"/>
          <w:sz w:val="20"/>
        </w:rPr>
        <w:t xml:space="preserve"> month, 22</w:t>
      </w:r>
      <w:r>
        <w:rPr>
          <w:rFonts w:ascii="Times New Roman" w:hAnsi="Times New Roman"/>
          <w:color w:val="000000"/>
          <w:sz w:val="13"/>
        </w:rPr>
        <w:t>nd</w:t>
      </w:r>
      <w:r>
        <w:rPr>
          <w:rFonts w:ascii="Times New Roman" w:hAnsi="Times New Roman"/>
          <w:color w:val="000000"/>
          <w:sz w:val="20"/>
        </w:rPr>
        <w:t xml:space="preserve"> month and 34</w:t>
      </w:r>
      <w:r>
        <w:rPr>
          <w:rFonts w:ascii="Times New Roman" w:hAnsi="Times New Roman"/>
          <w:color w:val="000000"/>
          <w:sz w:val="13"/>
        </w:rPr>
        <w:t xml:space="preserve">th </w:t>
      </w:r>
      <w:r>
        <w:rPr>
          <w:rFonts w:ascii="Times New Roman" w:hAnsi="Times New Roman"/>
          <w:color w:val="000000"/>
          <w:sz w:val="20"/>
        </w:rPr>
        <w:t>month anniversaries of the grant date, subject to the individual’s continued employment on the applicable vesting 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Options awarded to our NEOs in 2025 have a seven-year term and an exercise price that is equal to the closing price of one of our Subordinate Voting Shares on the OTCQX Best Market on the date of grant. Options provide value only if our share price increases above the exercise price, thereby closely aligning the NEOs’ pay with shareholder interests. RSUs provide the NEOs with the right to receive shares upon vesting and also align the NEOs’ pay to shareholder interests since the value of the award increases as our stock price increases. The Compensation Committee believes that Options and RSUs that vest over a multi-year period help support the Company’s long-term initiatives, which include sustainable operational and financial performance, employee retention and driving shareholder value creation.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establishing the dollar value of the overall amount of equity awards to be granted to the NEOs as their annual long-term incentives, the Compensation Committee considers the level of effort, time, responsibility, ability, experience and commitment of each individual and their applicable role(s) as well as internal pay equity and relevant market data. In establishing the dollar value of the overall amount of equity awards to be granted to each NEO other than the CEO, reference is made to the recommendations made by the CEO and their respective total compensation opportunity.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NEOs received long-term cash and equity incentive awards of Options and RSUs for the annual grant with the following fair market values on April 1, 2025: </w:t>
      </w:r>
    </w:p>
    <w:p>
      <w:pPr>
        <w:pStyle w:val="TextBody"/>
        <w:bidi w:val="0"/>
        <w:jc w:val="left"/>
        <w:rPr/>
      </w:pPr>
      <w:r>
        <w:rPr/>
        <w:t> </w:t>
      </w:r>
    </w:p>
    <w:tbl>
      <w:tblPr>
        <w:tblW w:w="9134" w:type="dxa"/>
        <w:jc w:val="left"/>
        <w:tblInd w:w="0" w:type="dxa"/>
        <w:tblLayout w:type="fixed"/>
        <w:tblCellMar>
          <w:top w:w="28" w:type="dxa"/>
          <w:left w:w="28" w:type="dxa"/>
          <w:bottom w:w="28" w:type="dxa"/>
          <w:right w:w="28" w:type="dxa"/>
        </w:tblCellMar>
      </w:tblPr>
      <w:tblGrid>
        <w:gridCol w:w="1771"/>
        <w:gridCol w:w="146"/>
        <w:gridCol w:w="284"/>
        <w:gridCol w:w="1051"/>
        <w:gridCol w:w="146"/>
        <w:gridCol w:w="146"/>
        <w:gridCol w:w="245"/>
        <w:gridCol w:w="910"/>
        <w:gridCol w:w="146"/>
        <w:gridCol w:w="146"/>
        <w:gridCol w:w="239"/>
        <w:gridCol w:w="886"/>
        <w:gridCol w:w="146"/>
        <w:gridCol w:w="146"/>
        <w:gridCol w:w="539"/>
        <w:gridCol w:w="1996"/>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Long-Term</w:t>
              <w:br/>
              <w:t>Cash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w:t>
              <w:br/>
              <w:t>Value of 2025</w:t>
              <w:br/>
              <w:t>Option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w:t>
              <w:br/>
              <w:t>Value of 2025</w:t>
              <w:br/>
              <w:t>RSU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2025 Long-Term Incentives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799,993</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Georgiadis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Faulkner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649,998</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44" w:name="toc_page"/>
      <w:bookmarkStart w:id="45" w:name="rythm_inc_equity_awards"/>
      <w:bookmarkEnd w:id="44"/>
      <w:bookmarkEnd w:id="45"/>
      <w:r>
        <w:rPr>
          <w:rFonts w:ascii="Times New Roman" w:hAnsi="Times New Roman"/>
          <w:b/>
          <w:color w:val="000000"/>
          <w:sz w:val="20"/>
        </w:rPr>
        <w:t>RYTHM, Inc. Equity Awards</w:t>
      </w:r>
    </w:p>
    <w:p>
      <w:pPr>
        <w:pStyle w:val="TextBody"/>
        <w:bidi w:val="0"/>
        <w:spacing w:before="120" w:after="283"/>
        <w:jc w:val="left"/>
        <w:rPr>
          <w:rFonts w:ascii="Times New Roman" w:hAnsi="Times New Roman"/>
          <w:sz w:val="20"/>
        </w:rPr>
      </w:pPr>
      <w:r>
        <w:rPr>
          <w:rFonts w:ascii="Times New Roman" w:hAnsi="Times New Roman"/>
          <w:color w:val="000000"/>
          <w:sz w:val="20"/>
        </w:rPr>
        <w:t>Following the Company’s acquisition of ownership interests in RYM in November 2024, certain members of the Company’s leadership team, including the NEOs other than Mr. Kovler, and other Company employees began providing support to RYM under a Shared Services Agreement between RYM and a Company subsidiary (the “</w:t>
      </w:r>
      <w:r>
        <w:rPr>
          <w:rFonts w:ascii="Times New Roman" w:hAnsi="Times New Roman"/>
          <w:b/>
          <w:color w:val="000000"/>
          <w:sz w:val="20"/>
        </w:rPr>
        <w:t>Services Agreement</w:t>
      </w:r>
      <w:r>
        <w:rPr>
          <w:rFonts w:ascii="Times New Roman" w:hAnsi="Times New Roman"/>
          <w:color w:val="000000"/>
          <w:sz w:val="20"/>
        </w:rPr>
        <w:t xml:space="preserve">”), whereby the Company (or its applicable subsidiary) is reimbursed for the applicable share of such employee’s time that was dedicated to providing services under the Services Agreement. Mr. Kovler, who is also the Interim Chief Executive Officer of RYM, does not perform services pursuant to the Services Agreement, but provides services directly to RYM. In October 2025, Mr. Kovler informed the Committee that the RYM compensation committee intended to make awards of restricted stock units in RYM under its incentive plan to Mr. Georgiadis, Mr. Faulkner and Mr. Kravitz in recognition for their services to RYM under the Services Agreement, which restricted stock units would vest in 50% increments on March 15, 2027 and June 1, 2028,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each recipient’s continuation as a service provider to RYM on each applicable vesting date, and other standard vesting conditions, as follows, with a grant date of November 3, 2025:</w:t>
      </w:r>
    </w:p>
    <w:p>
      <w:pPr>
        <w:pStyle w:val="TextBody"/>
        <w:bidi w:val="0"/>
        <w:spacing w:before="120" w:after="283"/>
        <w:jc w:val="left"/>
        <w:rPr/>
      </w:pPr>
      <w:r>
        <w:rPr/>
        <w:t> </w:t>
      </w:r>
    </w:p>
    <w:tbl>
      <w:tblPr>
        <w:tblW w:w="7425" w:type="dxa"/>
        <w:jc w:val="left"/>
        <w:tblInd w:w="0" w:type="dxa"/>
        <w:tblLayout w:type="fixed"/>
        <w:tblCellMar>
          <w:top w:w="28" w:type="dxa"/>
          <w:left w:w="28" w:type="dxa"/>
          <w:bottom w:w="28" w:type="dxa"/>
          <w:right w:w="28" w:type="dxa"/>
        </w:tblCellMar>
      </w:tblPr>
      <w:tblGrid>
        <w:gridCol w:w="1336"/>
        <w:gridCol w:w="146"/>
        <w:gridCol w:w="529"/>
        <w:gridCol w:w="2456"/>
        <w:gridCol w:w="146"/>
        <w:gridCol w:w="146"/>
        <w:gridCol w:w="526"/>
        <w:gridCol w:w="1949"/>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RYM Restricted Share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FMV of Grant on Date of Grant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Georgiadis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9"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488,971</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Faulkner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Kravitz</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9"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350,030</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took the amounts of these RYM grants to the NEOs into consideration when determining each of the NEO’s overall compensation packages and long-term incentive awards for 2026.</w:t>
      </w:r>
    </w:p>
    <w:p>
      <w:pPr>
        <w:pStyle w:val="TextBody"/>
        <w:bidi w:val="0"/>
        <w:spacing w:before="360" w:after="283"/>
        <w:jc w:val="left"/>
        <w:rPr>
          <w:rFonts w:ascii="Times New Roman" w:hAnsi="Times New Roman"/>
          <w:sz w:val="20"/>
        </w:rPr>
      </w:pPr>
      <w:bookmarkStart w:id="46" w:name="insider_trading_policies"/>
      <w:bookmarkEnd w:id="46"/>
      <w:r>
        <w:rPr>
          <w:rFonts w:ascii="Times New Roman" w:hAnsi="Times New Roman"/>
          <w:b/>
          <w:color w:val="000000"/>
          <w:sz w:val="20"/>
        </w:rPr>
        <w:t>Insider Trading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policy on insider trading prohibits all of our employees who meet the criteria of “insiders,” including our NEOs, from engaging in short selling, hedging or offsetting transactions with respect to our securities. </w:t>
      </w:r>
    </w:p>
    <w:p>
      <w:pPr>
        <w:pStyle w:val="TextBody"/>
        <w:bidi w:val="0"/>
        <w:spacing w:before="360" w:after="283"/>
        <w:jc w:val="left"/>
        <w:rPr>
          <w:rFonts w:ascii="Times New Roman" w:hAnsi="Times New Roman"/>
          <w:sz w:val="20"/>
        </w:rPr>
      </w:pPr>
      <w:bookmarkStart w:id="47" w:name="perquisites_and_other_personal_benefits"/>
      <w:bookmarkEnd w:id="47"/>
      <w:r>
        <w:rPr>
          <w:rFonts w:ascii="Times New Roman" w:hAnsi="Times New Roman"/>
          <w:b/>
          <w:color w:val="000000"/>
          <w:sz w:val="20"/>
        </w:rPr>
        <w:t>Perquisites and Other Personal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in providing only very limited perquisites and personal benefits to our NEOs. For 2025, none of our NEOs received perks in excess of $10,000.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NEOs are also eligible to participate, at their election, in the broad-based benefit and welfare plans as well as discounts on Company products and at Company dispensaries that are available to the Company’s employees generally. </w:t>
      </w:r>
    </w:p>
    <w:p>
      <w:pPr>
        <w:pStyle w:val="TextBody"/>
        <w:bidi w:val="0"/>
        <w:spacing w:before="360" w:after="283"/>
        <w:jc w:val="left"/>
        <w:rPr>
          <w:rFonts w:ascii="Times New Roman" w:hAnsi="Times New Roman"/>
          <w:sz w:val="20"/>
        </w:rPr>
      </w:pPr>
      <w:bookmarkStart w:id="48" w:name="employment_arrangements"/>
      <w:bookmarkEnd w:id="48"/>
      <w:r>
        <w:rPr>
          <w:rFonts w:ascii="Times New Roman" w:hAnsi="Times New Roman"/>
          <w:b/>
          <w:color w:val="000000"/>
          <w:sz w:val="20"/>
        </w:rPr>
        <w:t>Employment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NEOs are employed at-will, and we have not entered into agreements with them that provide for minimum base salaries or other compensation arrangements. We have entered into a written agreement with each NEO titled “Confidentiality, Non-Compete, Non-Solicitation, Non-Disparagement and Invention Assignment Agreement” pursuant to which the NEOs provide the Company with certain protections, including with respect to the Company’s confidential information learned by the individuals in the course of their employment; rights to any intellectual property or inventions developed in the course of their employment; covenants not to compete with the Company or solicit its employees for one year following termination of their employment; and requiring disputes to be settled through arbitration. </w:t>
      </w:r>
    </w:p>
    <w:p>
      <w:pPr>
        <w:pStyle w:val="TextBody"/>
        <w:bidi w:val="0"/>
        <w:spacing w:before="360" w:after="283"/>
        <w:jc w:val="left"/>
        <w:rPr>
          <w:rFonts w:ascii="Times New Roman" w:hAnsi="Times New Roman"/>
          <w:sz w:val="20"/>
        </w:rPr>
      </w:pPr>
      <w:bookmarkStart w:id="49" w:name="retirement_benefit_plans"/>
      <w:bookmarkEnd w:id="49"/>
      <w:r>
        <w:rPr>
          <w:rFonts w:ascii="Times New Roman" w:hAnsi="Times New Roman"/>
          <w:b/>
          <w:color w:val="000000"/>
          <w:sz w:val="20"/>
        </w:rPr>
        <w:t>Retirement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NEO is eligible to participate in the Vision Management Services, LLC 401(k) Plan, a tax-qualified, defined contribution retirement plan. The Vision Management Services, LLC 401(k) Plan is generally available to eligible employees of our operating subsidiary, Vision Management Services, LLC, and other subsidiaries that have elected to participate in the Vision Management Services, LLC 401(k) Plan. Participants in the Vision Management Services, LLC 401(k) Plan are eligible to make before-tax contributions and Roth contributions and, if Vision Management Services, LLC elects, to receive discretionary matching and/or profit-sharing contributions. To date, Vision Management Services, LLC has not elected to provide discretionary matching or profit-sharing. </w:t>
      </w:r>
    </w:p>
    <w:p>
      <w:pPr>
        <w:pStyle w:val="TextBody"/>
        <w:bidi w:val="0"/>
        <w:spacing w:before="360" w:after="283"/>
        <w:jc w:val="left"/>
        <w:rPr>
          <w:rFonts w:ascii="Times New Roman" w:hAnsi="Times New Roman"/>
          <w:sz w:val="20"/>
        </w:rPr>
      </w:pPr>
      <w:bookmarkStart w:id="50" w:name="termination_and_change_in_control"/>
      <w:bookmarkEnd w:id="50"/>
      <w:r>
        <w:rPr>
          <w:rFonts w:ascii="Times New Roman" w:hAnsi="Times New Roman"/>
          <w:b/>
          <w:color w:val="000000"/>
          <w:sz w:val="20"/>
        </w:rPr>
        <w:t>Termination and Change in Control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below, the Company does not have any contract, agreement, plan or arrangement that provides for payments to a NEO at, following or in connection with a termination (whether voluntary, involuntary or constructive), resignation, retirement, a change in control or a change in a NEO’s responsibilities. Each NEO provides services to the Company on an at-will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RSU and Option awards granted pursuant to the Stock and Incentive Plan provide for full vesting in the event of the awardee’s death or if the awardee’s service is terminated without cause (as defined in the applicable award agreements) within 12 months following a change in control (as defined in the applicable award agreements). Options that are vested due to such a termination are exercisable for the duration of the Option’s original term. Further, acting through the Board, the Compensation Committee has broad discretion in how to treat awards under the Stock and Incentive Plan in the event of a change in control. Such discretion includes the ability to fully vest and cash-out awards, arrange for awards to be assumed by a buyer, provide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economically equivalent replacement awards or eliminate future vesting or exercisability as of, or following, a change in control. The Compensation Committee believes that these arrangements are an important part of our overall executive compensation program, as they help ensure the continued focus and dedication of our NEOs, notwithstanding any concern that they may have at any given time regarding their continued employment prior to or following a change in control transaction. The Company does not offer any other benefits in the event of an employee’s death. The Compensation Committee also believes that offering these limited severance benefits is an important recruiting and retention tool. </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1" w:name="compensation_committee_report"/>
      <w:bookmarkEnd w:id="51"/>
      <w:r>
        <w:rPr>
          <w:rFonts w:ascii="Times New Roman" w:hAnsi="Times New Roman"/>
          <w:b/>
          <w:color w:val="000000"/>
          <w:sz w:val="20"/>
        </w:rPr>
        <w:t>COMPENSATION COMMITTEE REPORT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has reviewed and discussed the foregoing Compensation Discussion and Analysis, required by Item 402(b) of Regulation S-K, with management of the Company. Based on this review and discussion, the Compensation Committee recommends to the Board that the Compensation Discussion and Analysis be included in this Proxy Statement, the Company’s Annual Report on Form 10-K for the year ended December 31, 2025 and such other filings with the SEC as may be appropriate. </w:t>
      </w:r>
    </w:p>
    <w:p>
      <w:pPr>
        <w:pStyle w:val="TextBody"/>
        <w:bidi w:val="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283"/>
              <w:jc w:val="left"/>
              <w:rPr>
                <w:sz w:val="4"/>
                <w:szCs w:val="4"/>
              </w:rPr>
            </w:pPr>
            <w:r>
              <w:rPr>
                <w:sz w:val="4"/>
                <w:szCs w:val="4"/>
              </w:rPr>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r>
      <w:tr>
        <w:trPr/>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Goldman, Chair</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Ethan Nadelmann</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Hannah (Buchan) Ross </w:t>
            </w:r>
          </w:p>
        </w:tc>
      </w:tr>
      <w:tr>
        <w:trPr/>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2" w:name="compensation_tables"/>
      <w:bookmarkEnd w:id="52"/>
      <w:r>
        <w:rPr>
          <w:rFonts w:ascii="Times New Roman" w:hAnsi="Times New Roman"/>
          <w:b/>
          <w:color w:val="000000"/>
          <w:sz w:val="20"/>
        </w:rPr>
        <w:t>COMPENSATION TABLES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3" w:name="summary_compensation_table"/>
      <w:bookmarkEnd w:id="53"/>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all compensation paid to or earned by the NEOs of the Company in the last three (3) fiscal years (or, if less, the number of years that individual has been an NEO). </w:t>
      </w:r>
    </w:p>
    <w:p>
      <w:pPr>
        <w:pStyle w:val="TextBody"/>
        <w:bidi w:val="0"/>
        <w:jc w:val="left"/>
        <w:rPr/>
      </w:pPr>
      <w:r>
        <w:rPr/>
        <w:t> </w:t>
      </w:r>
    </w:p>
    <w:tbl>
      <w:tblPr>
        <w:tblW w:w="11943" w:type="dxa"/>
        <w:jc w:val="left"/>
        <w:tblInd w:w="0" w:type="dxa"/>
        <w:tblLayout w:type="fixed"/>
        <w:tblCellMar>
          <w:top w:w="28" w:type="dxa"/>
          <w:left w:w="28" w:type="dxa"/>
          <w:bottom w:w="28" w:type="dxa"/>
          <w:right w:w="28" w:type="dxa"/>
        </w:tblCellMar>
      </w:tblPr>
      <w:tblGrid>
        <w:gridCol w:w="1011"/>
        <w:gridCol w:w="146"/>
        <w:gridCol w:w="466"/>
        <w:gridCol w:w="146"/>
        <w:gridCol w:w="196"/>
        <w:gridCol w:w="691"/>
        <w:gridCol w:w="146"/>
        <w:gridCol w:w="146"/>
        <w:gridCol w:w="196"/>
        <w:gridCol w:w="691"/>
        <w:gridCol w:w="146"/>
        <w:gridCol w:w="146"/>
        <w:gridCol w:w="196"/>
        <w:gridCol w:w="826"/>
        <w:gridCol w:w="146"/>
        <w:gridCol w:w="146"/>
        <w:gridCol w:w="196"/>
        <w:gridCol w:w="691"/>
        <w:gridCol w:w="146"/>
        <w:gridCol w:w="146"/>
        <w:gridCol w:w="196"/>
        <w:gridCol w:w="826"/>
        <w:gridCol w:w="146"/>
        <w:gridCol w:w="146"/>
        <w:gridCol w:w="347"/>
        <w:gridCol w:w="614"/>
        <w:gridCol w:w="146"/>
        <w:gridCol w:w="146"/>
        <w:gridCol w:w="212"/>
        <w:gridCol w:w="749"/>
        <w:gridCol w:w="146"/>
        <w:gridCol w:w="146"/>
        <w:gridCol w:w="196"/>
        <w:gridCol w:w="916"/>
        <w:gridCol w:w="391"/>
      </w:tblGrid>
      <w:tr>
        <w:trPr/>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Name and</w:t>
              <w:br/>
            </w:r>
            <w:r>
              <w:rPr>
                <w:rFonts w:ascii="Times New Roman" w:hAnsi="Times New Roman"/>
                <w:b/>
                <w:color w:val="000000"/>
                <w:sz w:val="14"/>
                <w:u w:val="single"/>
              </w:rPr>
              <w:t>Principal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Bonus</w:t>
              <w:br/>
              <w:t xml:space="preserve">($)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Stock</w:t>
              <w:br/>
              <w:t>Awards</w:t>
              <w:br/>
              <w:t>($)</w:t>
            </w:r>
            <w:r>
              <w:rPr>
                <w:rFonts w:ascii="Times New Roman" w:hAnsi="Times New Roman"/>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Option</w:t>
              <w:br/>
              <w:t>Awards</w:t>
              <w:br/>
              <w:t>($)</w:t>
            </w:r>
            <w:r>
              <w:rPr>
                <w:rFonts w:ascii="Times New Roman" w:hAnsi="Times New Roman"/>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Non-Equity Incentive Plan Compensation</w:t>
            </w:r>
            <w:r>
              <w:rPr>
                <w:rFonts w:ascii="Times New Roman" w:hAnsi="Times New Roman"/>
                <w:b/>
                <w:color w:val="000000"/>
                <w:sz w:val="11"/>
              </w:rPr>
              <w:t>(3)</w:t>
            </w:r>
            <w:r>
              <w:rPr>
                <w:rFonts w:ascii="Times New Roman" w:hAnsi="Times New Roman"/>
                <w:b/>
                <w:color w:val="000000"/>
                <w:sz w:val="14"/>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Nonqualified</w:t>
              <w:br/>
              <w:t>Deferred</w:t>
              <w:br/>
              <w:t>Compensation</w:t>
              <w:br/>
              <w:t>Earnings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All Other</w:t>
              <w:br/>
              <w:t>Compensation</w:t>
              <w:br/>
              <w:t>($)</w:t>
            </w:r>
            <w:r>
              <w:rPr>
                <w:rFonts w:ascii="Times New Roman" w:hAnsi="Times New Roman"/>
                <w:b/>
                <w:color w:val="000000"/>
                <w:sz w:val="9"/>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335,721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299,995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299,998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2,747,714</w:t>
            </w:r>
          </w:p>
        </w:tc>
        <w:tc>
          <w:tcPr>
            <w:tcW w:w="39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6"/>
              </w:rPr>
            </w:pPr>
            <w:r>
              <w:rPr>
                <w:rFonts w:ascii="Times New Roman" w:hAnsi="Times New Roman"/>
                <w:i/>
                <w:color w:val="000000"/>
                <w:sz w:val="16"/>
              </w:rPr>
              <w:t>Chief Executive Officer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345,013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7,877,497</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639,998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1,225,569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10,388,077</w:t>
            </w:r>
          </w:p>
        </w:tc>
        <w:tc>
          <w:tcPr>
            <w:tcW w:w="39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6"/>
              </w:rPr>
            </w:pPr>
            <w:r>
              <w:rPr>
                <w:rFonts w:ascii="Times New Roman" w:hAnsi="Times New Roman"/>
                <w:i/>
                <w:color w:val="000000"/>
                <w:sz w:val="16"/>
              </w:rPr>
              <w:t>and Chairman</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345,013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169,993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679,997</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627,719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1,822,722</w:t>
            </w:r>
          </w:p>
        </w:tc>
        <w:tc>
          <w:tcPr>
            <w:tcW w:w="3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Georgiadis,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1,341,684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2,930,970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6"/>
              </w:rPr>
            </w:pPr>
            <w:r>
              <w:rPr>
                <w:rFonts w:ascii="Times New Roman" w:hAnsi="Times New Roman"/>
                <w:i/>
                <w:color w:val="000000"/>
                <w:sz w:val="16"/>
              </w:rPr>
              <w:t>President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10,378,419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1,778,267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Matt Faulkner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335,721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487,498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463,863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308,850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1,758,432</w:t>
            </w:r>
          </w:p>
        </w:tc>
        <w:tc>
          <w:tcPr>
            <w:tcW w:w="39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6"/>
              </w:rPr>
            </w:pPr>
            <w:r>
              <w:rPr>
                <w:rFonts w:ascii="Times New Roman" w:hAnsi="Times New Roman"/>
                <w:i/>
                <w:color w:val="000000"/>
                <w:sz w:val="16"/>
              </w:rPr>
              <w:t>Chief Financial Officer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345,013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3,476,992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259,994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517,980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4,599,979</w:t>
            </w:r>
          </w:p>
        </w:tc>
        <w:tc>
          <w:tcPr>
            <w:tcW w:w="39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345,013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549,990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549,998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288,186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1,733,187</w:t>
            </w:r>
          </w:p>
        </w:tc>
        <w:tc>
          <w:tcPr>
            <w:tcW w:w="3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Bret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1,727,354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6"/>
              </w:rPr>
            </w:pPr>
            <w:r>
              <w:rPr>
                <w:rFonts w:ascii="Times New Roman" w:hAnsi="Times New Roman"/>
                <w:i/>
                <w:color w:val="000000"/>
                <w:sz w:val="16"/>
              </w:rPr>
              <w:t>General Counsel</w:t>
              <w:br/>
              <w:t>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3,236,989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4,511,891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1,452,066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6"/>
        </w:rPr>
        <w:t>Notes: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For 2025, this reflects the cash element of each NEO’s long-term incentive package. The amounts reflected vested one half on October 1, 2025, and the remainder will vest on October 1, 2026, subject to the applicable NEO’s continued employment on the vesting date. For 2024, the amounts reported for Mr. Kovler and Mr. Georgiadis reflect the special recognition bonuses paid on November 1, 2024.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The amounts reported in the Stock Awards and the Option Awards columns reflect aggregate grant date fair value computed in accordance with Accounting Standards Codification Topic 718, Compensation—Stock Compensation (“</w:t>
      </w:r>
      <w:r>
        <w:rPr>
          <w:rFonts w:ascii="Times New Roman" w:hAnsi="Times New Roman"/>
          <w:b/>
          <w:color w:val="000000"/>
          <w:sz w:val="16"/>
        </w:rPr>
        <w:t>ASC Topic 718</w:t>
      </w:r>
      <w:r>
        <w:rPr>
          <w:color w:val="000000"/>
        </w:rPr>
        <w:t>”</w:t>
      </w:r>
      <w:r>
        <w:rPr>
          <w:rFonts w:ascii="Times New Roman" w:hAnsi="Times New Roman"/>
          <w:color w:val="000000"/>
          <w:sz w:val="16"/>
        </w:rPr>
        <w:t xml:space="preserve">). These amounts reflect our calculation of the value of these awards at the grant date and do not necessarily correspond to the actual value that may ultimately be realized by the NEO. Assumptions used in the calculation of these amounts are included in Note 10—Share Capital to our audited consolidated financial statements for the fiscal year ended December 31, 2025, which are included in the 2025 Form 10-K.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Reflects the annual bonus payment actually received pursuant to the 2025 Annual Bonus.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None of our executive officers received perquisites in excess of $10,000 in 2025. For 2025, the amounts reported reflect the fair market value of RYM restricted stock units awarded to each applicable NEO by RYM in connection with services provided to RYM by such NEO under the Services Agreement. These awards were not made by the Company nor did the Company reimburse RYM for any portion of those awards.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54" w:name="grants_of_plan_based_awards"/>
      <w:bookmarkEnd w:id="54"/>
      <w:r>
        <w:rPr>
          <w:rFonts w:ascii="Times New Roman" w:hAnsi="Times New Roman"/>
          <w:b/>
          <w:color w:val="000000"/>
          <w:sz w:val="20"/>
        </w:rPr>
        <w:t>Grants of Plan-Based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summarizes each grant of an equity or non-equity award made to the NEOs during fiscal 2025 under our incentive plans. </w:t>
      </w:r>
    </w:p>
    <w:p>
      <w:pPr>
        <w:pStyle w:val="TextBody"/>
        <w:bidi w:val="0"/>
        <w:jc w:val="left"/>
        <w:rPr/>
      </w:pPr>
      <w:r>
        <w:rPr/>
        <w:t> </w:t>
      </w:r>
    </w:p>
    <w:tbl>
      <w:tblPr>
        <w:tblW w:w="10727" w:type="dxa"/>
        <w:jc w:val="left"/>
        <w:tblInd w:w="0" w:type="dxa"/>
        <w:tblLayout w:type="fixed"/>
        <w:tblCellMar>
          <w:top w:w="28" w:type="dxa"/>
          <w:left w:w="28" w:type="dxa"/>
          <w:bottom w:w="28" w:type="dxa"/>
          <w:right w:w="28" w:type="dxa"/>
        </w:tblCellMar>
      </w:tblPr>
      <w:tblGrid>
        <w:gridCol w:w="916"/>
        <w:gridCol w:w="146"/>
        <w:gridCol w:w="616"/>
        <w:gridCol w:w="146"/>
        <w:gridCol w:w="466"/>
        <w:gridCol w:w="146"/>
        <w:gridCol w:w="196"/>
        <w:gridCol w:w="691"/>
        <w:gridCol w:w="146"/>
        <w:gridCol w:w="146"/>
        <w:gridCol w:w="196"/>
        <w:gridCol w:w="826"/>
        <w:gridCol w:w="146"/>
        <w:gridCol w:w="146"/>
        <w:gridCol w:w="196"/>
        <w:gridCol w:w="826"/>
        <w:gridCol w:w="146"/>
        <w:gridCol w:w="146"/>
        <w:gridCol w:w="146"/>
        <w:gridCol w:w="601"/>
        <w:gridCol w:w="146"/>
        <w:gridCol w:w="146"/>
        <w:gridCol w:w="149"/>
        <w:gridCol w:w="617"/>
        <w:gridCol w:w="146"/>
        <w:gridCol w:w="146"/>
        <w:gridCol w:w="196"/>
        <w:gridCol w:w="421"/>
        <w:gridCol w:w="146"/>
        <w:gridCol w:w="146"/>
        <w:gridCol w:w="196"/>
        <w:gridCol w:w="691"/>
        <w:gridCol w:w="5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Estimated future payouts under</w:t>
              <w:br/>
              <w:t>non-equity incentive 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w:t>
              <w:br/>
              <w:t>other</w:t>
              <w:br/>
              <w:t>stock</w:t>
              <w:br/>
              <w:t>awards;</w:t>
              <w:br/>
              <w:t>number</w:t>
              <w:br/>
              <w:t>of</w:t>
              <w:br/>
              <w:t>shares</w:t>
              <w:br/>
              <w:t>of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w:t>
              <w:br/>
              <w:t>option</w:t>
              <w:br/>
              <w:t>awards;</w:t>
              <w:br/>
              <w:t>number of</w:t>
              <w:br/>
              <w:t>securities</w:t>
              <w:br/>
              <w:t>underlying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w:t>
              <w:br/>
              <w:t>or base</w:t>
              <w:br/>
              <w:t>price of</w:t>
              <w:b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br/>
              <w:t>fair value</w:t>
              <w:br/>
              <w:t>of stock</w:t>
              <w:br/>
              <w:t>and option</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Type of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Threshold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 units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awards</w:t>
              <w:b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awards</w:t>
              <w:br/>
              <w:t>($)</w:t>
            </w:r>
            <w:r>
              <w:rPr>
                <w:rFonts w:ascii="Times New Roman" w:hAnsi="Times New Roman"/>
                <w:b/>
                <w:color w:val="000000"/>
                <w:sz w:val="9"/>
              </w:rPr>
              <w:t>(3)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2025 Annual Bonus</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560,625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1,121,250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2,242,500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Stock Option Award</w:t>
            </w:r>
            <w:r>
              <w:rPr>
                <w:rFonts w:ascii="Times New Roman" w:hAnsi="Times New Roman"/>
                <w:color w:val="000000"/>
                <w:sz w:val="11"/>
              </w:rPr>
              <w:t>(2)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94,339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299,998</w:t>
            </w:r>
          </w:p>
        </w:tc>
        <w:tc>
          <w:tcPr>
            <w:tcW w:w="5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RSU Award</w:t>
            </w:r>
            <w:r>
              <w:rPr>
                <w:rFonts w:ascii="Times New Roman" w:hAnsi="Times New Roman"/>
                <w:color w:val="000000"/>
                <w:sz w:val="11"/>
              </w:rPr>
              <w:t>(2)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299,995</w:t>
            </w:r>
          </w:p>
        </w:tc>
        <w:tc>
          <w:tcPr>
            <w:tcW w:w="5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Anthony Georgiadis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2025 Annual Bonus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RSU Award</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562,497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Matt Faulkner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2025 Annual Bonus</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189,750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RSU Award</w:t>
            </w:r>
            <w:r>
              <w:rPr>
                <w:rFonts w:ascii="Times New Roman" w:hAnsi="Times New Roman"/>
                <w:color w:val="000000"/>
                <w:sz w:val="11"/>
              </w:rPr>
              <w:t>(2)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84,930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487,498</w:t>
            </w:r>
          </w:p>
        </w:tc>
        <w:tc>
          <w:tcPr>
            <w:tcW w:w="5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Bret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2025 Annual Bonus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Stock Option Award</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RSU Award</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6"/>
          <w:u w:val="single"/>
        </w:rPr>
        <w:t>Notes</w:t>
      </w:r>
      <w:r>
        <w:rPr>
          <w:rFonts w:ascii="Times New Roman" w:hAnsi="Times New Roman"/>
          <w:b/>
          <w:color w:val="000000"/>
          <w:sz w:val="16"/>
        </w:rPr>
        <w:t>:</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Reflects the 2025 Annual Bonus as described under “Compensation Discussion and Analysis—Elements of Compensation—</w:t>
      </w:r>
      <w:r>
        <w:rPr>
          <w:rFonts w:ascii="Times New Roman" w:hAnsi="Times New Roman"/>
          <w:i/>
          <w:color w:val="000000"/>
          <w:sz w:val="16"/>
        </w:rPr>
        <w:t>Short-Term Incentive Awards</w:t>
      </w:r>
      <w:r>
        <w:rPr>
          <w:color w:val="000000"/>
        </w:rPr>
        <w:t xml:space="preserve">” </w:t>
      </w:r>
      <w:r>
        <w:rPr>
          <w:rFonts w:ascii="Times New Roman" w:hAnsi="Times New Roman"/>
          <w:color w:val="000000"/>
          <w:sz w:val="16"/>
        </w:rPr>
        <w:t xml:space="preserve">above.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Reflects the annual equity awards as described under “Compensation Discussion and Analysis—Elements of Compensation—</w:t>
      </w:r>
      <w:r>
        <w:rPr>
          <w:rFonts w:ascii="Times New Roman" w:hAnsi="Times New Roman"/>
          <w:i/>
          <w:color w:val="000000"/>
          <w:sz w:val="16"/>
        </w:rPr>
        <w:t>Long-Term Equity Incentive Awards – 2025 Annual Awards</w:t>
      </w:r>
      <w:r>
        <w:rPr>
          <w:color w:val="000000"/>
        </w:rPr>
        <w:t xml:space="preserve">” </w:t>
      </w:r>
      <w:r>
        <w:rPr>
          <w:rFonts w:ascii="Times New Roman" w:hAnsi="Times New Roman"/>
          <w:color w:val="000000"/>
          <w:sz w:val="16"/>
        </w:rPr>
        <w:t xml:space="preserve">above.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 xml:space="preserve">The amounts reported in this column represent the grant date fair value of each 2025 equity award computed in accordance with ASC Topic 718, excluding the effect of estimated forfeitures. Assumptions made in computing the grant date fair value of these awards are described in Note 10—Share Capital in our consolidated financial statements included in the 2025 Form 10-K.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55" w:name="outstanding_equity_awards_table"/>
      <w:bookmarkEnd w:id="55"/>
      <w:r>
        <w:rPr>
          <w:rFonts w:ascii="Times New Roman" w:hAnsi="Times New Roman"/>
          <w:b/>
          <w:color w:val="000000"/>
          <w:sz w:val="20"/>
        </w:rPr>
        <w:t>Outstanding Equity Awards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outstanding equity awards for the NEOs of the Company at fiscal 2025 year end.</w:t>
      </w:r>
    </w:p>
    <w:tbl>
      <w:tblPr>
        <w:tblW w:w="11479" w:type="dxa"/>
        <w:jc w:val="left"/>
        <w:tblInd w:w="0" w:type="dxa"/>
        <w:tblLayout w:type="fixed"/>
        <w:tblCellMar>
          <w:top w:w="28" w:type="dxa"/>
          <w:left w:w="28" w:type="dxa"/>
          <w:bottom w:w="28" w:type="dxa"/>
          <w:right w:w="28" w:type="dxa"/>
        </w:tblCellMar>
      </w:tblPr>
      <w:tblGrid>
        <w:gridCol w:w="871"/>
        <w:gridCol w:w="146"/>
        <w:gridCol w:w="496"/>
        <w:gridCol w:w="146"/>
        <w:gridCol w:w="146"/>
        <w:gridCol w:w="691"/>
        <w:gridCol w:w="146"/>
        <w:gridCol w:w="146"/>
        <w:gridCol w:w="184"/>
        <w:gridCol w:w="762"/>
        <w:gridCol w:w="146"/>
        <w:gridCol w:w="146"/>
        <w:gridCol w:w="245"/>
        <w:gridCol w:w="581"/>
        <w:gridCol w:w="146"/>
        <w:gridCol w:w="146"/>
        <w:gridCol w:w="196"/>
        <w:gridCol w:w="511"/>
        <w:gridCol w:w="146"/>
        <w:gridCol w:w="146"/>
        <w:gridCol w:w="227"/>
        <w:gridCol w:w="539"/>
        <w:gridCol w:w="146"/>
        <w:gridCol w:w="146"/>
        <w:gridCol w:w="146"/>
        <w:gridCol w:w="691"/>
        <w:gridCol w:w="146"/>
        <w:gridCol w:w="146"/>
        <w:gridCol w:w="196"/>
        <w:gridCol w:w="826"/>
        <w:gridCol w:w="146"/>
        <w:gridCol w:w="146"/>
        <w:gridCol w:w="200"/>
        <w:gridCol w:w="476"/>
        <w:gridCol w:w="146"/>
        <w:gridCol w:w="146"/>
        <w:gridCol w:w="200"/>
        <w:gridCol w:w="476"/>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br/>
              <w:t>Incentive</w:t>
              <w:br/>
              <w:t>Plan</w:t>
              <w:br/>
              <w:t>Awards;</w:t>
              <w:br/>
              <w:t>Number of</w:t>
              <w:br/>
              <w:t>Securities</w:t>
              <w:br/>
              <w:t>Underlying</w:t>
              <w:br/>
              <w:t>Unexercised</w:t>
              <w:br/>
              <w:t>Unearned</w:t>
              <w:br/>
              <w:t>Options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Exercise</w:t>
              <w:br/>
              <w:t>Price</w:t>
              <w:b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br/>
              <w:t>of</w:t>
              <w:br/>
              <w:t>Shares</w:t>
              <w:br/>
              <w:t>or</w:t>
              <w:br/>
              <w:t>Units</w:t>
              <w:br/>
              <w:t>of</w:t>
              <w:br/>
              <w:t>Stock</w:t>
              <w:br/>
              <w:t>That</w:t>
              <w:br/>
              <w:t>Have</w:t>
              <w:br/>
              <w:t>Not</w:t>
              <w:br/>
              <w:t>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w:t>
              <w:br/>
              <w:t>Value</w:t>
              <w:br/>
              <w:t>of</w:t>
              <w:br/>
              <w:t>Shares</w:t>
              <w:br/>
              <w:t>or Units</w:t>
              <w:br/>
              <w:t>of</w:t>
              <w:br/>
              <w:t>Stock</w:t>
              <w:br/>
              <w:t>That</w:t>
              <w:br/>
              <w:t>Have</w:t>
              <w:br/>
              <w:t>Not</w:t>
              <w:br/>
              <w:t>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br/>
              <w:t>Incentive</w:t>
              <w:br/>
              <w:t>Plan</w:t>
              <w:br/>
              <w:t>Awards:</w:t>
              <w:br/>
              <w:t>Number</w:t>
              <w:br/>
              <w:t>of</w:t>
              <w:br/>
              <w:t>Unearned</w:t>
              <w:br/>
              <w:t>Shares,</w:t>
              <w:br/>
              <w:t>Units or</w:t>
              <w:br/>
              <w:t>Other</w:t>
              <w:br/>
              <w:t>Rights</w:t>
              <w:br/>
              <w:t>That</w:t>
              <w:br/>
              <w:t>Have</w:t>
              <w:br/>
              <w:t>Not</w:t>
              <w:br/>
              <w:t>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br/>
              <w:t>Incentive</w:t>
              <w:br/>
              <w:t>Plan</w:t>
              <w:br/>
              <w:t>Awards:</w:t>
              <w:br/>
              <w:t>Market</w:t>
              <w:br/>
              <w:t>or Payout</w:t>
              <w:br/>
              <w:t>Value of</w:t>
              <w:br/>
              <w:t>Unearned</w:t>
              <w:br/>
              <w:t>Shares,</w:t>
              <w:br/>
              <w:t>Units or</w:t>
              <w:br/>
              <w:t>Other</w:t>
              <w:br/>
              <w:t>Rights</w:t>
              <w:br/>
              <w:t>That</w:t>
              <w:br/>
              <w:t>Have Not</w:t>
              <w:br/>
              <w:t>Vested</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8/30/2018</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8/30/2028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4/1/2021</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4/1/2022</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88,265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7/1/2022</w:t>
            </w:r>
            <w:r>
              <w:rPr>
                <w:rFonts w:ascii="Times New Roman" w:hAnsi="Times New Roman"/>
                <w:color w:val="000000"/>
                <w:sz w:val="11"/>
              </w:rPr>
              <w:t>(2)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7/1/2029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4/1/2023</w:t>
            </w:r>
            <w:r>
              <w:rPr>
                <w:rFonts w:ascii="Times New Roman" w:hAnsi="Times New Roman"/>
                <w:color w:val="000000"/>
                <w:sz w:val="11"/>
              </w:rPr>
              <w:t>(3)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60,027</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4/1/2023</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111,110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55,556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4/1/2024</w:t>
            </w:r>
            <w:r>
              <w:rPr>
                <w:rFonts w:ascii="Times New Roman" w:hAnsi="Times New Roman"/>
                <w:color w:val="000000"/>
                <w:sz w:val="11"/>
              </w:rPr>
              <w:t>(3)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57,333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4/1/2024</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26,967</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53,934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11/1/2024</w:t>
            </w:r>
            <w:r>
              <w:rPr>
                <w:rFonts w:ascii="Times New Roman" w:hAnsi="Times New Roman"/>
                <w:color w:val="000000"/>
                <w:sz w:val="11"/>
              </w:rPr>
              <w:t>(3)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4/1/2025</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94,339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420,014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Georgiadis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8/30/2018</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4/1/2021</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4/1/2022</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4/1/2022</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7/1/2022</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9/1/2022</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4/1/2023</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4/1/2023</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4/1/2024</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11/1/2024</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4/1/2025</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Matt Faulkner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4/1/2021</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12/10/2021</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12/10/2026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4/1/2022</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7/1/2022</w:t>
            </w:r>
            <w:r>
              <w:rPr>
                <w:rFonts w:ascii="Times New Roman" w:hAnsi="Times New Roman"/>
                <w:color w:val="000000"/>
                <w:sz w:val="11"/>
              </w:rPr>
              <w:t>(2)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7/1/2029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9/1/2022</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41,920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9/1/2029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1/1/2023</w:t>
            </w:r>
            <w:r>
              <w:rPr>
                <w:rFonts w:ascii="Times New Roman" w:hAnsi="Times New Roman"/>
                <w:color w:val="000000"/>
                <w:sz w:val="11"/>
              </w:rPr>
              <w:t>(3)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75,705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1/1/2023</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34,794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1/1/2030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4/1/2023</w:t>
            </w:r>
            <w:r>
              <w:rPr>
                <w:rFonts w:ascii="Times New Roman" w:hAnsi="Times New Roman"/>
                <w:color w:val="000000"/>
                <w:sz w:val="11"/>
              </w:rPr>
              <w:t>(3)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105,927</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4/1/2023</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49,019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24,510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4/1/2024</w:t>
            </w:r>
            <w:r>
              <w:rPr>
                <w:rFonts w:ascii="Times New Roman" w:hAnsi="Times New Roman"/>
                <w:color w:val="000000"/>
                <w:sz w:val="11"/>
              </w:rPr>
              <w:t>(3)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139,743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4/1/2024</w:t>
            </w:r>
            <w:r>
              <w:rPr>
                <w:rFonts w:ascii="Times New Roman" w:hAnsi="Times New Roman"/>
                <w:color w:val="000000"/>
                <w:sz w:val="11"/>
              </w:rPr>
              <w:t>(1)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11/1/2024</w:t>
            </w:r>
            <w:r>
              <w:rPr>
                <w:rFonts w:ascii="Times New Roman" w:hAnsi="Times New Roman"/>
                <w:color w:val="000000"/>
                <w:sz w:val="11"/>
              </w:rPr>
              <w:t>(3)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4/1/2025</w:t>
            </w:r>
            <w:r>
              <w:rPr>
                <w:rFonts w:ascii="Times New Roman" w:hAnsi="Times New Roman"/>
                <w:color w:val="000000"/>
                <w:sz w:val="11"/>
              </w:rPr>
              <w:t>(3)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84,930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682,531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Bret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4/1/2021</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4/1/2022</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7/1/2022</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1/1/2023</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1/1/2023</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4/1/2023</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4/1/2023</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4/1/2024</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4/1/2024</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11/1/2024</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6"/>
          <w:u w:val="single"/>
        </w:rPr>
        <w:t>Notes</w:t>
      </w:r>
      <w:r>
        <w:rPr>
          <w:rFonts w:ascii="Times New Roman" w:hAnsi="Times New Roman"/>
          <w:b/>
          <w:color w:val="000000"/>
          <w:sz w:val="16"/>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Option award that vests in one-third increments on each of the first three anniversaries of the grant date.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Option award that vested one-half on the six-month anniversary of the grant date (January 1, 2023) and one-half on the eighteen-month anniversary of the grant date (January 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 xml:space="preserve">RSU award that vests in one-third increments on each of the first three anniversaries of the grant date. </w:t>
      </w:r>
    </w:p>
    <w:p>
      <w:pPr>
        <w:pStyle w:val="TextBody"/>
        <w:bidi w:val="0"/>
        <w:spacing w:before="360" w:after="283"/>
        <w:jc w:val="left"/>
        <w:rPr>
          <w:rFonts w:ascii="Times New Roman" w:hAnsi="Times New Roman"/>
          <w:sz w:val="20"/>
        </w:rPr>
      </w:pPr>
      <w:bookmarkStart w:id="56" w:name="options_exercised_and_stock_vested"/>
      <w:bookmarkEnd w:id="56"/>
      <w:r>
        <w:rPr>
          <w:rFonts w:ascii="Times New Roman" w:hAnsi="Times New Roman"/>
          <w:b/>
          <w:color w:val="000000"/>
          <w:sz w:val="20"/>
        </w:rPr>
        <w:t>Options Exercised and Stock Vested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sets forth the number of shares acquired by our NEOs in fiscal 2025 as a result of the vesting of RSUs or the exercise of options awarded under our equity compensation programs. </w:t>
      </w:r>
    </w:p>
    <w:p>
      <w:pPr>
        <w:pStyle w:val="TextBody"/>
        <w:bidi w:val="0"/>
        <w:jc w:val="left"/>
        <w:rPr/>
      </w:pPr>
      <w:r>
        <w:rPr/>
        <w:t> </w:t>
      </w:r>
    </w:p>
    <w:tbl>
      <w:tblPr>
        <w:tblW w:w="9014" w:type="dxa"/>
        <w:jc w:val="left"/>
        <w:tblInd w:w="0" w:type="dxa"/>
        <w:tblLayout w:type="fixed"/>
        <w:tblCellMar>
          <w:top w:w="28" w:type="dxa"/>
          <w:left w:w="28" w:type="dxa"/>
          <w:bottom w:w="28" w:type="dxa"/>
          <w:right w:w="28" w:type="dxa"/>
        </w:tblCellMar>
      </w:tblPr>
      <w:tblGrid>
        <w:gridCol w:w="1771"/>
        <w:gridCol w:w="146"/>
        <w:gridCol w:w="484"/>
        <w:gridCol w:w="1151"/>
        <w:gridCol w:w="146"/>
        <w:gridCol w:w="146"/>
        <w:gridCol w:w="534"/>
        <w:gridCol w:w="876"/>
        <w:gridCol w:w="146"/>
        <w:gridCol w:w="146"/>
        <w:gridCol w:w="248"/>
        <w:gridCol w:w="1327"/>
        <w:gridCol w:w="146"/>
        <w:gridCol w:w="146"/>
        <w:gridCol w:w="260"/>
        <w:gridCol w:w="1150"/>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Acquired on Exercise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Realized on</w:t>
              <w:br/>
              <w:t>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Shares</w:t>
              <w:br/>
              <w:t>Acquired on Vesting</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Realized on</w:t>
              <w:br/>
              <w:t>Vesting ($)</w:t>
            </w:r>
            <w:r>
              <w:rPr>
                <w:rFonts w:ascii="Times New Roman" w:hAnsi="Times New Roman"/>
                <w:b/>
                <w:color w:val="000000"/>
                <w:sz w:val="11"/>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1,830,125</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Georgiadis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Faulkner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133,548</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930,957</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Bret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6"/>
          <w:u w:val="single"/>
        </w:rPr>
        <w:t>Notes</w:t>
      </w:r>
      <w:r>
        <w:rPr>
          <w:rFonts w:ascii="Times New Roman" w:hAnsi="Times New Roman"/>
          <w:b/>
          <w:color w:val="000000"/>
          <w:sz w:val="16"/>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Consists of RSUs that vested during 2025, including shares withheld for payment of applicable taxes associated with the vesting.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Calculated based on the closing price on the CSE on the date of the transaction, as converted to U.S. Dollars based on the exchange rate reported by the Bank of Canada as of the close of trading on that date. </w:t>
      </w:r>
    </w:p>
    <w:p>
      <w:pPr>
        <w:pStyle w:val="TextBody"/>
        <w:bidi w:val="0"/>
        <w:spacing w:before="360" w:after="283"/>
        <w:jc w:val="left"/>
        <w:rPr>
          <w:rFonts w:ascii="Times New Roman" w:hAnsi="Times New Roman"/>
          <w:sz w:val="20"/>
        </w:rPr>
      </w:pPr>
      <w:bookmarkStart w:id="57" w:name="potential_payments_upon_termination"/>
      <w:bookmarkEnd w:id="57"/>
      <w:r>
        <w:rPr>
          <w:rFonts w:ascii="Times New Roman" w:hAnsi="Times New Roman"/>
          <w:b/>
          <w:color w:val="000000"/>
          <w:sz w:val="20"/>
        </w:rPr>
        <w:t>Potential Payments Upon Termination or Change in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provides the estimated incremental compensation for our NEOs upon termination of employment in the event of a change-in-control or the individual’s death. The amounts shown for each event assume that each NEO ceased to be employed by the Company as of December 31, 2025 (the last trading day of 2025) and the price of one of our Subordinate Voting Shares was US$8.04 based on the closing price on the OTCQX Best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a “change-in-control” and loss of job within twelve months, other than a termination for “cause”, all unvested equity would become immediately vested pursuant to the terms of each applicable award agreement. Upon death, all unvested equity would become immediately vested. </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831"/>
        <w:gridCol w:w="146"/>
        <w:gridCol w:w="290"/>
        <w:gridCol w:w="1285"/>
        <w:gridCol w:w="146"/>
        <w:gridCol w:w="146"/>
        <w:gridCol w:w="211"/>
        <w:gridCol w:w="93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in</w:t>
              <w:br/>
              <w:t>connection with a</w:t>
              <w:br/>
              <w:t>Change-in-Control</w:t>
              <w:br/>
              <w:t>other than for cause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w:t>
              <w:br/>
              <w:t>resulting</w:t>
              <w:br/>
              <w:t>from death</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Benjamin Kovler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3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187,164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187,164</w:t>
            </w:r>
          </w:p>
        </w:tc>
        <w:tc>
          <w:tcPr>
            <w:tcW w:w="39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4,718,435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4,718,435</w:t>
            </w:r>
          </w:p>
        </w:tc>
        <w:tc>
          <w:tcPr>
            <w:tcW w:w="3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Anthony Georgiadis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5,064,766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Matt Faulkner</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3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CEAB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2,596,952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2,596,952</w:t>
            </w:r>
          </w:p>
        </w:tc>
        <w:tc>
          <w:tcPr>
            <w:tcW w:w="3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Bret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2,308,823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bookmarkStart w:id="58" w:name="pay_ratio"/>
      <w:bookmarkEnd w:id="58"/>
      <w:r>
        <w:rPr>
          <w:rFonts w:ascii="Times New Roman" w:hAnsi="Times New Roman"/>
          <w:b/>
          <w:color w:val="000000"/>
          <w:sz w:val="20"/>
        </w:rPr>
        <w:t>Pay Ratio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Section 953(b) of the Dodd-Frank Wall Street Reform and Consumer Protection Act, the Company is providing the following disclosure about the relationship of the median annual total compensation of our employees to the annual total compensation of Mr. Kovler, our CEO. As of December 31, 2025, we had approximately 5,000 team members employed in roles across corporate, retail and cultivation and processing functions, in both full- and part-time capacities. We believe that the pay ratio disclosed below is a reasonable estimate calculated in a manner consistent with Item 402(u) of Regulation S-K. SEC rules for identifying the median employee and calculating the pay ratio allow companies to apply various methodologies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apply various assumptions and, as result, the pay ratio reported by us may not be comparable to the pay ratio reported by other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median employee’s total annual compensation was $33,405.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Kovler’s annual total compensation, as reported in the Total column of the Summary Compensation Table above, was $2,747,714.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this information, the ratio of the total annual compensation of Mr. Kovler to the total annual compensation of the median employee is estimated to be 82 to 1. </w:t>
      </w:r>
    </w:p>
    <w:p>
      <w:pPr>
        <w:pStyle w:val="TextBody"/>
        <w:bidi w:val="0"/>
        <w:spacing w:before="240" w:after="283"/>
        <w:jc w:val="left"/>
        <w:rPr>
          <w:rFonts w:ascii="Times New Roman" w:hAnsi="Times New Roman"/>
          <w:sz w:val="20"/>
        </w:rPr>
      </w:pPr>
      <w:r>
        <w:rPr>
          <w:rFonts w:ascii="Times New Roman" w:hAnsi="Times New Roman"/>
          <w:color w:val="000000"/>
          <w:sz w:val="20"/>
        </w:rPr>
        <w:t>For purposes of calculating its pay ratio, the Company used the annualized compensation of the same median employee in 2025 as it did in 2024. As is permitted under the applicable SEC rules, to identify our median employee among our employee population, we used “annualized base pay” (</w:t>
      </w:r>
      <w:r>
        <w:rPr>
          <w:rFonts w:ascii="Times New Roman" w:hAnsi="Times New Roman"/>
          <w:i/>
          <w:color w:val="000000"/>
          <w:sz w:val="20"/>
        </w:rPr>
        <w:t>e.g.</w:t>
      </w:r>
      <w:r>
        <w:rPr>
          <w:rFonts w:ascii="Times New Roman" w:hAnsi="Times New Roman"/>
          <w:color w:val="000000"/>
          <w:sz w:val="20"/>
        </w:rPr>
        <w:t>, we have calculated the total amount that individuals would have received had they been employed for the full year) as a consistently applied compensation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calculated annualized base pay using annual base salary levels, except for hourly workers, for whom we used a reasonable estimate of hours worked during the year, determined based on payroll records, multiplied by their hourly wage to determine annualized base pay. After identifying the median employee based on annualized base pay, we calculated annual total compensation for that employee using the same methodology we use for our NEOs as set forth in the 2025 Summary Compensation 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9" w:name="pay_versus_performance_table"/>
      <w:bookmarkEnd w:id="59"/>
      <w:r>
        <w:rPr>
          <w:rFonts w:ascii="Times New Roman" w:hAnsi="Times New Roman"/>
          <w:b/>
          <w:color w:val="000000"/>
          <w:sz w:val="20"/>
        </w:rPr>
        <w:t>Pay-versus-Performance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Section 953(a) of the Dodd-Frank Wall Street Reform and Consumer Protection Act and Item 402(v) of Regulation S-K, the following disclosure describes the relationship between executive compensation and the Company’s performance with respect to select financial measures. For more information regarding the Company’s executive compensation program, please see “Compensation Discussion and Analysis” above. </w:t>
      </w:r>
    </w:p>
    <w:p>
      <w:pPr>
        <w:pStyle w:val="TextBody"/>
        <w:bidi w:val="0"/>
        <w:jc w:val="left"/>
        <w:rPr/>
      </w:pPr>
      <w:r>
        <w:rPr/>
        <w:t> </w:t>
      </w:r>
    </w:p>
    <w:tbl>
      <w:tblPr>
        <w:tblW w:w="11226" w:type="dxa"/>
        <w:jc w:val="left"/>
        <w:tblInd w:w="0" w:type="dxa"/>
        <w:tblLayout w:type="fixed"/>
        <w:tblCellMar>
          <w:top w:w="28" w:type="dxa"/>
          <w:left w:w="28" w:type="dxa"/>
          <w:bottom w:w="28" w:type="dxa"/>
          <w:right w:w="28" w:type="dxa"/>
        </w:tblCellMar>
      </w:tblPr>
      <w:tblGrid>
        <w:gridCol w:w="481"/>
        <w:gridCol w:w="146"/>
        <w:gridCol w:w="196"/>
        <w:gridCol w:w="916"/>
        <w:gridCol w:w="146"/>
        <w:gridCol w:w="146"/>
        <w:gridCol w:w="196"/>
        <w:gridCol w:w="886"/>
        <w:gridCol w:w="166"/>
        <w:gridCol w:w="146"/>
        <w:gridCol w:w="196"/>
        <w:gridCol w:w="826"/>
        <w:gridCol w:w="146"/>
        <w:gridCol w:w="146"/>
        <w:gridCol w:w="196"/>
        <w:gridCol w:w="826"/>
        <w:gridCol w:w="166"/>
        <w:gridCol w:w="146"/>
        <w:gridCol w:w="206"/>
        <w:gridCol w:w="635"/>
        <w:gridCol w:w="146"/>
        <w:gridCol w:w="146"/>
        <w:gridCol w:w="206"/>
        <w:gridCol w:w="635"/>
        <w:gridCol w:w="146"/>
        <w:gridCol w:w="146"/>
        <w:gridCol w:w="196"/>
        <w:gridCol w:w="1006"/>
        <w:gridCol w:w="146"/>
        <w:gridCol w:w="146"/>
        <w:gridCol w:w="196"/>
        <w:gridCol w:w="1006"/>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Summary</w:t>
              <w:br/>
              <w:t>Compensation</w:t>
              <w:br/>
              <w:t>Table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Compensation</w:t>
              <w:br/>
              <w:t>Actually Paid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 Initial Fixed</w:t>
              <w:br/>
              <w:t>$100 Investment Based</w:t>
              <w:br/>
              <w:t>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Summary</w:t>
              <w:br/>
              <w:t>Compensation</w:t>
              <w:br/>
              <w:t>Table Total</w:t>
              <w:br/>
              <w:t>for PEO</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Compensation</w:t>
              <w:br/>
              <w:t>Actually Paid</w:t>
              <w:br/>
              <w:t>to PEO</w:t>
            </w:r>
            <w:r>
              <w:rPr>
                <w:rFonts w:ascii="Times New Roman" w:hAnsi="Times New Roman"/>
                <w:b/>
                <w:color w:val="000000"/>
                <w:sz w:val="9"/>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for non-PEO</w:t>
              <w:br/>
              <w:t>Named</w:t>
              <w:br/>
              <w:t>Executive</w:t>
              <w:br/>
              <w:t>Officers</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to non-PEO</w:t>
              <w:br/>
              <w:t>Named</w:t>
              <w:br/>
              <w:t>Executive</w:t>
              <w:br/>
              <w:t>Officers</w:t>
            </w:r>
            <w:r>
              <w:rPr>
                <w:rFonts w:ascii="Times New Roman" w:hAnsi="Times New Roman"/>
                <w:b/>
                <w:color w:val="000000"/>
                <w:sz w:val="9"/>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Total</w:t>
              <w:br/>
              <w:t>Shareholder</w:t>
              <w:br/>
              <w:t>Return</w:t>
            </w:r>
            <w:r>
              <w:rPr>
                <w:rFonts w:ascii="Times New Roman" w:hAnsi="Times New Roman"/>
                <w:b/>
                <w:color w:val="000000"/>
                <w:sz w:val="9"/>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Peer Group</w:t>
              <w:br/>
              <w:t>Total</w:t>
              <w:br/>
              <w:t>Shareholder</w:t>
              <w:br/>
              <w:t>Return</w:t>
            </w:r>
            <w:r>
              <w:rPr>
                <w:rFonts w:ascii="Times New Roman" w:hAnsi="Times New Roman"/>
                <w:b/>
                <w:color w:val="000000"/>
                <w:sz w:val="9"/>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Adjusted</w:t>
              <w:br/>
              <w:t>EBIDTA</w:t>
            </w:r>
            <w:r>
              <w:rPr>
                <w:rFonts w:ascii="Times New Roman" w:hAnsi="Times New Roman"/>
                <w:b/>
                <w:color w:val="000000"/>
                <w:sz w:val="9"/>
              </w:rPr>
              <w:t>(6)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2,747,714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2,349,452</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2,138,919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1,940,611</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114,152,000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341,589,000</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10,388,077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7,436,782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73,083,000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371,318,000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1,822,722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2,341,023</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1,778,267</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2,232,578</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36,267,000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325,839,000</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311,478,000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1,714,256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(2,168,649</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1,290,081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(871,329</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5"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75,436,000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307,834,000</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Notes</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dollar amounts reported are the total compensation reported for Benjamin Kovler for each fiscal year in the “Total” column of the Summary Compensation Table above.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The dollar amounts reported for each fiscal year are equal to the “compensation actually paid,” as computed in accordance with Item 402(v) of Regulation S-K. The dollar amounts reported do not reflect the actual amount of compensation earned by or paid to the applicable individual(s) for each applicable fiscal year and are based on valuation assumptions required by the SEC, which are unlikely to reflect actual amounts realized at vesting or exercise (as applicable). In accordance with the requirements of Item 402(v) of Regulation S-K, the reported “Total” in the Summary Compensation Table for Mr. Kovler for the applicable year is adjusted to determine the “compensation actually paid” amount as follows: </w:t>
      </w:r>
    </w:p>
    <w:p>
      <w:pPr>
        <w:pStyle w:val="TextBody"/>
        <w:bidi w:val="0"/>
        <w:jc w:val="left"/>
        <w:rPr/>
      </w:pPr>
      <w:r>
        <w:rPr/>
        <w:t> </w:t>
      </w:r>
    </w:p>
    <w:tbl>
      <w:tblPr>
        <w:tblW w:w="11193" w:type="dxa"/>
        <w:jc w:val="left"/>
        <w:tblInd w:w="0" w:type="dxa"/>
        <w:tblLayout w:type="fixed"/>
        <w:tblCellMar>
          <w:top w:w="28" w:type="dxa"/>
          <w:left w:w="28" w:type="dxa"/>
          <w:bottom w:w="28" w:type="dxa"/>
          <w:right w:w="28" w:type="dxa"/>
        </w:tblCellMar>
      </w:tblPr>
      <w:tblGrid>
        <w:gridCol w:w="481"/>
        <w:gridCol w:w="146"/>
        <w:gridCol w:w="196"/>
        <w:gridCol w:w="916"/>
        <w:gridCol w:w="146"/>
        <w:gridCol w:w="146"/>
        <w:gridCol w:w="196"/>
        <w:gridCol w:w="751"/>
        <w:gridCol w:w="166"/>
        <w:gridCol w:w="146"/>
        <w:gridCol w:w="196"/>
        <w:gridCol w:w="886"/>
        <w:gridCol w:w="166"/>
        <w:gridCol w:w="146"/>
        <w:gridCol w:w="196"/>
        <w:gridCol w:w="886"/>
        <w:gridCol w:w="166"/>
        <w:gridCol w:w="146"/>
        <w:gridCol w:w="196"/>
        <w:gridCol w:w="661"/>
        <w:gridCol w:w="166"/>
        <w:gridCol w:w="146"/>
        <w:gridCol w:w="196"/>
        <w:gridCol w:w="751"/>
        <w:gridCol w:w="166"/>
        <w:gridCol w:w="146"/>
        <w:gridCol w:w="196"/>
        <w:gridCol w:w="886"/>
        <w:gridCol w:w="166"/>
        <w:gridCol w:w="146"/>
        <w:gridCol w:w="196"/>
        <w:gridCol w:w="886"/>
        <w:gridCol w:w="21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Total</w:t>
              <w:br/>
              <w:t>Compensation</w:t>
              <w:br/>
              <w:t>as Reported</w:t>
              <w:br/>
              <w:t>in the</w:t>
              <w:br/>
              <w:t>Summary</w:t>
              <w:br/>
              <w:t>Compensation</w:t>
              <w:br/>
              <w:t>Table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Fair Value of</w:t>
              <w:br/>
              <w:t>Options</w:t>
              <w:br/>
              <w:t>Granted</w:t>
              <w:br/>
              <w:t>During the</w:t>
              <w:br/>
              <w:t>Current</w:t>
              <w:br/>
              <w:t>Fiscal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Fair Value</w:t>
              <w:br/>
              <w:t>of Options</w:t>
              <w:br/>
              <w:t>Granted in</w:t>
              <w:br/>
              <w:t>Previous</w:t>
              <w:br/>
              <w:t>Fiscal Years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Fair Value</w:t>
              <w:br/>
              <w:t>of RSUs</w:t>
              <w:br/>
              <w:t>Granted</w:t>
              <w:br/>
              <w:t>During the</w:t>
              <w:br/>
              <w:t>Current</w:t>
              <w:br/>
              <w:t>Fiscal</w:t>
              <w:b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Fair Value of</w:t>
              <w:br/>
              <w:t>RSUs</w:t>
              <w:br/>
              <w:t>Granted in</w:t>
              <w:br/>
              <w:t>Previous</w:t>
              <w:br/>
              <w:t>Fiscal Years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 Fair</w:t>
              <w:br/>
              <w:t>Value of RSUs</w:t>
              <w:br/>
              <w:t>Granted in</w:t>
              <w:br/>
              <w:t>Prior Fiscal</w:t>
              <w:br/>
              <w:t>Year that</w:t>
              <w:br/>
              <w:t>Vested in the</w:t>
              <w:br/>
              <w:t>Current Fiscal</w:t>
              <w:b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Change</w:t>
              <w:br/>
              <w:t>in Fair Value</w:t>
              <w:br/>
              <w:t>of Equity</w:t>
              <w:br/>
              <w:t>(RSUs and</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br/>
              <w:t>Actually Paid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2,747,714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172,640</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(321,532</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120,019</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(66,897</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(302,492</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(398,262</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2,349,452</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10,388,077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7,436,782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1,822,722</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441,665</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(5,113</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81,749</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518,301</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2,341,023</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(379,804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1,714,256</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(147,541</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(3,798,694</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(75,002</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138,332</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(3,882,905</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(2,168,649</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dollar amounts reported represent the average of the amounts reported for the Company’s NEOs as a group (excluding the CEO) in the “Total” column of the Summary Compensation Table in each applicable fiscal year. The NEOs included for the purpose of calculating the average amounts in each applicable year are as follows: (i) for 2023, 2024 and 2025, Mr. Georgiadis, Mr. Faulkner, and Mr. Kravitz; (ii) for 2022, Mr. Georgiadis; and (iii) for 2021, Mr. Georgiadis and Beth Burk.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 xml:space="preserve">The dollar amounts reported represent the average amount of “compensation actually paid” to the NEOs as a group (excluding the CEO), as computed in accordance with Item 402(v) of Regulation S-K. The dollar amounts do not reflect the actual amount of compensation earned by or paid to these NEOs as a group during such fiscal years and are based on valuation assumptions required by the SEC, which are unlikely to reflect actual amounts realized at vesting or exercise (as applicable). The average total compensation as reported in the Summary Compensation Table for those NEOs as a group for each year was adjusted using the same methodology as used to determine the Compensation Actually Paid for Mr. Kovler, as follows: </w:t>
      </w:r>
    </w:p>
    <w:p>
      <w:pPr>
        <w:pStyle w:val="TextBody"/>
        <w:bidi w:val="0"/>
        <w:jc w:val="left"/>
        <w:rPr/>
      </w:pPr>
      <w:r>
        <w:rPr/>
        <w:t> </w:t>
      </w:r>
    </w:p>
    <w:tbl>
      <w:tblPr>
        <w:tblW w:w="11133" w:type="dxa"/>
        <w:jc w:val="left"/>
        <w:tblInd w:w="0" w:type="dxa"/>
        <w:tblLayout w:type="fixed"/>
        <w:tblCellMar>
          <w:top w:w="28" w:type="dxa"/>
          <w:left w:w="28" w:type="dxa"/>
          <w:bottom w:w="28" w:type="dxa"/>
          <w:right w:w="28" w:type="dxa"/>
        </w:tblCellMar>
      </w:tblPr>
      <w:tblGrid>
        <w:gridCol w:w="481"/>
        <w:gridCol w:w="146"/>
        <w:gridCol w:w="196"/>
        <w:gridCol w:w="826"/>
        <w:gridCol w:w="146"/>
        <w:gridCol w:w="146"/>
        <w:gridCol w:w="196"/>
        <w:gridCol w:w="751"/>
        <w:gridCol w:w="166"/>
        <w:gridCol w:w="146"/>
        <w:gridCol w:w="196"/>
        <w:gridCol w:w="886"/>
        <w:gridCol w:w="166"/>
        <w:gridCol w:w="146"/>
        <w:gridCol w:w="196"/>
        <w:gridCol w:w="886"/>
        <w:gridCol w:w="166"/>
        <w:gridCol w:w="146"/>
        <w:gridCol w:w="196"/>
        <w:gridCol w:w="751"/>
        <w:gridCol w:w="166"/>
        <w:gridCol w:w="146"/>
        <w:gridCol w:w="196"/>
        <w:gridCol w:w="751"/>
        <w:gridCol w:w="166"/>
        <w:gridCol w:w="146"/>
        <w:gridCol w:w="196"/>
        <w:gridCol w:w="886"/>
        <w:gridCol w:w="166"/>
        <w:gridCol w:w="146"/>
        <w:gridCol w:w="196"/>
        <w:gridCol w:w="826"/>
        <w:gridCol w:w="21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Total</w:t>
              <w:br/>
              <w:t>Compensation</w:t>
              <w:br/>
              <w:t>as Reported</w:t>
              <w:br/>
              <w:t>in the</w:t>
              <w:br/>
              <w:t>Summary</w:t>
              <w:br/>
              <w:t>Compensation</w:t>
              <w:br/>
              <w:t>Table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Fair Value of</w:t>
              <w:br/>
              <w:t>Options</w:t>
              <w:br/>
              <w:t>Granted</w:t>
              <w:br/>
              <w:t>During the</w:t>
              <w:br/>
              <w:t>Current</w:t>
              <w:br/>
              <w:t>Fiscal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Fair Value</w:t>
              <w:br/>
              <w:t>of Options</w:t>
              <w:br/>
              <w:t>Granted in</w:t>
              <w:br/>
              <w:t>Previous</w:t>
              <w:br/>
              <w:t>Fiscal Years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Fair Value</w:t>
              <w:br/>
              <w:t>of RSUs</w:t>
              <w:br/>
              <w:t>Granted</w:t>
              <w:br/>
              <w:t>During the</w:t>
              <w:br/>
              <w:t>Current</w:t>
              <w:br/>
              <w:t>Fiscal</w:t>
              <w:b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Fair Value</w:t>
              <w:br/>
              <w:t>of RSUs</w:t>
              <w:br/>
              <w:t>Granted in</w:t>
              <w:br/>
              <w:t>Previous</w:t>
              <w:br/>
              <w:t>Fiscal Years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 Fair</w:t>
              <w:br/>
              <w:t>Value of RSUs</w:t>
              <w:br/>
              <w:t>Granted in</w:t>
              <w:br/>
              <w:t>Prior Fiscal</w:t>
              <w:br/>
              <w:t>Year that</w:t>
              <w:br/>
              <w:t>Vested in the</w:t>
              <w:br/>
              <w:t>Current Fiscal</w:t>
              <w:b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Change</w:t>
              <w:br/>
              <w:t>in Fair Value</w:t>
              <w:br/>
              <w:t>of Equity</w:t>
              <w:br/>
              <w:t>(RSUs and</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br/>
              <w:t>Actually Paid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2,138,919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43,160</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(157,394</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170,028</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(42,578</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(211,523</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(198,308</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1,940,611</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4,723,985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1,778,267</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245,218</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15,265</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191,033</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11,263</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(8,468</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454,311</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2,232,578</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1,290,081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(151,314</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(2,033,911</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(58,215</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81,941</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(2,161,409</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(871,329</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As reported in Part II, Item 5 of the 2025 Form 10-K, and our Annual Report on Form 10-K for the fiscal years ended December 31, 2025, December 31, 2024, and December 31, 2023, respectively. For each year reported, our Peer Group included Cresco Labs Inc., Curaleaf Holdings, Inc. and Trulieve Cannabis Corp., and Verano Holdings Corp.</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jc w:val="left"/>
        <w:rPr>
          <w:rFonts w:ascii="Times New Roman" w:hAnsi="Times New Roman"/>
          <w:sz w:val="16"/>
        </w:rPr>
      </w:pPr>
      <w:r>
        <w:rPr>
          <w:rFonts w:ascii="Times New Roman" w:hAnsi="Times New Roman"/>
          <w:color w:val="000000"/>
          <w:sz w:val="16"/>
        </w:rPr>
        <w:t xml:space="preserve">As required by Item 402(v) of Regulation S-K, the Company has determined that Adjusted EBIDTA is the Company Selected Measure, as it is the most important financial performance measure (that is not otherwise required to be disclosed in the table) used to link compensation actually paid to the NEOs to Company performance for the most recently completed fiscal year. Adjusted EBITDA is defined as earnings before interest, taxes, depreciation, and amortization, adjusted for other income, non-cash share-based compensation, one-time transaction related expenses, or other non-operating costs. See </w:t>
      </w:r>
      <w:r>
        <w:rPr>
          <w:rFonts w:ascii="Times New Roman" w:hAnsi="Times New Roman"/>
          <w:color w:val="000000"/>
          <w:sz w:val="16"/>
          <w:u w:val="single"/>
        </w:rPr>
        <w:t>Appendix A</w:t>
      </w:r>
      <w:r>
        <w:rPr>
          <w:rFonts w:ascii="Times New Roman" w:hAnsi="Times New Roman"/>
          <w:color w:val="000000"/>
          <w:sz w:val="16"/>
        </w:rPr>
        <w:t xml:space="preserve"> for a reconciliation of non-GAAP financial measures.</w:t>
      </w:r>
    </w:p>
    <w:p>
      <w:pPr>
        <w:pStyle w:val="TextBody"/>
        <w:bidi w:val="0"/>
        <w:spacing w:before="360" w:after="283"/>
        <w:jc w:val="left"/>
        <w:rPr>
          <w:rFonts w:ascii="Times New Roman" w:hAnsi="Times New Roman"/>
          <w:sz w:val="20"/>
        </w:rPr>
      </w:pPr>
      <w:r>
        <w:rPr>
          <w:rFonts w:ascii="Times New Roman" w:hAnsi="Times New Roman"/>
          <w:i/>
          <w:color w:val="000000"/>
          <w:sz w:val="20"/>
        </w:rPr>
        <w:t>Description of Relationship between Pay and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Given the emerging and federally illegal nature of our industry, our stock price is highly volatile and often not reflective of the financial or operating performance of the Company. The Company maintains a conservative approach to cash management and places a significant emphasis on equity compensation, which makes the price of our Subordinate Voting Shares the largest variable in the calculation of “compensation actually paid” (as defined by the SEC). As a result, “compensation actually paid” may not be highly correlated with Company performance as shown by the financial measures above at any particular date. However, the Company believes that potential future growth of our share price as our industry matures, and the use of Adjusted EBITDA, Normalized EBITDA, and Revenue as the financial metrics that determine the payouts under our Annual Bonus program (as described under “Compensation Discussion and Analysis – Elements of Compensation – </w:t>
      </w:r>
      <w:r>
        <w:rPr>
          <w:rFonts w:ascii="Times New Roman" w:hAnsi="Times New Roman"/>
          <w:i/>
          <w:color w:val="000000"/>
          <w:sz w:val="20"/>
        </w:rPr>
        <w:t>Short-Term Incentive Awards</w:t>
      </w:r>
      <w:r>
        <w:rPr>
          <w:rFonts w:ascii="Times New Roman" w:hAnsi="Times New Roman"/>
          <w:color w:val="000000"/>
          <w:sz w:val="20"/>
        </w:rPr>
        <w:t xml:space="preserve">” above) results in compensation for our NEOs that significantly reflects the Company’s overall performance. </w:t>
      </w:r>
    </w:p>
    <w:p>
      <w:pPr>
        <w:pStyle w:val="TextBody"/>
        <w:bidi w:val="0"/>
        <w:spacing w:before="360" w:after="283"/>
        <w:jc w:val="left"/>
        <w:rPr>
          <w:rFonts w:ascii="Times New Roman" w:hAnsi="Times New Roman"/>
          <w:sz w:val="20"/>
        </w:rPr>
      </w:pPr>
      <w:bookmarkStart w:id="60" w:name="most_important_financial_measures_used"/>
      <w:bookmarkEnd w:id="60"/>
      <w:r>
        <w:rPr>
          <w:rFonts w:ascii="Times New Roman" w:hAnsi="Times New Roman"/>
          <w:b/>
          <w:color w:val="000000"/>
          <w:sz w:val="20"/>
        </w:rPr>
        <w:t>Most Important Financial Measures Used to Determine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is an unranked list of the most important financial performance measures the Company used to link “compensation actually paid” to the NEOs for the year ended December 31, 2025 to Company performance. </w:t>
      </w:r>
    </w:p>
    <w:p>
      <w:pPr>
        <w:pStyle w:val="TextBody"/>
        <w:bidi w:val="0"/>
        <w:jc w:val="left"/>
        <w:rPr/>
      </w:pPr>
      <w:r>
        <w:rPr/>
        <w:t> </w:t>
      </w:r>
    </w:p>
    <w:tbl>
      <w:tblPr>
        <w:tblW w:w="4198" w:type="dxa"/>
        <w:jc w:val="left"/>
        <w:tblInd w:w="0" w:type="dxa"/>
        <w:tblLayout w:type="fixed"/>
        <w:tblCellMar>
          <w:top w:w="28" w:type="dxa"/>
          <w:left w:w="28" w:type="dxa"/>
          <w:bottom w:w="28" w:type="dxa"/>
          <w:right w:w="28" w:type="dxa"/>
        </w:tblCellMar>
      </w:tblPr>
      <w:tblGrid>
        <w:gridCol w:w="601"/>
        <w:gridCol w:w="146"/>
        <w:gridCol w:w="3451"/>
      </w:tblGrid>
      <w:tr>
        <w:trPr/>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51" w:type="dxa"/>
            <w:tcBorders/>
            <w:shd w:fill="FFFFFF" w:val="clear"/>
            <w:vAlign w:val="center"/>
          </w:tcPr>
          <w:p>
            <w:pPr>
              <w:pStyle w:val="TableContents"/>
              <w:bidi w:val="0"/>
              <w:spacing w:before="0" w:after="283"/>
              <w:jc w:val="left"/>
              <w:rPr>
                <w:sz w:val="4"/>
                <w:szCs w:val="4"/>
              </w:rPr>
            </w:pPr>
            <w:r>
              <w:rPr>
                <w:sz w:val="4"/>
                <w:szCs w:val="4"/>
              </w:rPr>
            </w:r>
          </w:p>
        </w:tc>
      </w:tr>
      <w:tr>
        <w:trPr/>
        <w:tc>
          <w:tcPr>
            <w:tcW w:w="601" w:type="dxa"/>
            <w:tcBorders/>
            <w:shd w:fill="FCEAB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center"/>
              <w:rPr/>
            </w:pPr>
            <w:r>
              <w:rPr/>
              <w:t> </w:t>
            </w:r>
          </w:p>
        </w:tc>
        <w:tc>
          <w:tcPr>
            <w:tcW w:w="3451" w:type="dxa"/>
            <w:tcBorders/>
            <w:shd w:fill="FCEABC" w:val="clear"/>
            <w:tcMar>
              <w:top w:w="0" w:type="dxa"/>
              <w:left w:w="0" w:type="dxa"/>
              <w:bottom w:w="0" w:type="dxa"/>
              <w:right w:w="0" w:type="dxa"/>
            </w:tcMar>
            <w:vAlign w:val="center"/>
          </w:tcPr>
          <w:p>
            <w:pPr>
              <w:pStyle w:val="TableContents"/>
              <w:bidi w:val="0"/>
              <w:spacing w:before="0" w:after="283"/>
              <w:ind w:left="0" w:right="0" w:firstLine="480"/>
              <w:jc w:val="center"/>
              <w:rPr>
                <w:rFonts w:ascii="Times New Roman" w:hAnsi="Times New Roman"/>
                <w:sz w:val="18"/>
              </w:rPr>
            </w:pPr>
            <w:r>
              <w:rPr>
                <w:rFonts w:ascii="Times New Roman" w:hAnsi="Times New Roman"/>
                <w:b/>
                <w:color w:val="000000"/>
                <w:sz w:val="18"/>
                <w:u w:val="single"/>
              </w:rPr>
              <w:t>Most Important Financial Measures</w:t>
            </w:r>
            <w:r>
              <w:rPr>
                <w:rFonts w:ascii="Times New Roman" w:hAnsi="Times New Roman"/>
                <w:color w:val="000000"/>
                <w:sz w:val="18"/>
              </w:rPr>
              <w:t xml:space="preserve"> </w:t>
            </w:r>
          </w:p>
        </w:tc>
      </w:tr>
      <w:tr>
        <w:trPr/>
        <w:tc>
          <w:tcPr>
            <w:tcW w:w="60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8"/>
              </w:rPr>
            </w:pPr>
            <w:r>
              <w:rPr>
                <w:rFonts w:ascii="Times New Roman" w:hAnsi="Times New Roman"/>
                <w:color w:val="000000"/>
                <w:sz w:val="18"/>
              </w:rPr>
              <w:t>Revenue</w:t>
            </w:r>
          </w:p>
        </w:tc>
      </w:tr>
      <w:tr>
        <w:trPr/>
        <w:tc>
          <w:tcPr>
            <w:tcW w:w="601" w:type="dxa"/>
            <w:tcBorders/>
            <w:shd w:fill="FCEABC" w:val="clear"/>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18"/>
              </w:rPr>
            </w:pPr>
            <w:r>
              <w:rPr>
                <w:rFonts w:ascii="Times New Roman" w:hAnsi="Times New Roman"/>
                <w:color w:val="000000"/>
                <w:sz w:val="18"/>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shd w:fill="FCEAB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8"/>
              </w:rPr>
            </w:pPr>
            <w:r>
              <w:rPr>
                <w:rFonts w:ascii="Times New Roman" w:hAnsi="Times New Roman"/>
                <w:color w:val="000000"/>
                <w:sz w:val="18"/>
              </w:rPr>
              <w:t>Adjusted EBIDTA</w:t>
            </w:r>
          </w:p>
        </w:tc>
      </w:tr>
      <w:tr>
        <w:trPr/>
        <w:tc>
          <w:tcPr>
            <w:tcW w:w="60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Normalized EBITDA</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As discussed under “Compensation, Discussion and Analysis—Elements of Compensation—</w:t>
      </w:r>
      <w:r>
        <w:rPr>
          <w:rFonts w:ascii="Times New Roman" w:hAnsi="Times New Roman"/>
          <w:i/>
          <w:color w:val="000000"/>
          <w:sz w:val="20"/>
        </w:rPr>
        <w:t>Short-Term Incentive Awards</w:t>
      </w:r>
      <w:r>
        <w:rPr>
          <w:rFonts w:ascii="Times New Roman" w:hAnsi="Times New Roman"/>
          <w:color w:val="000000"/>
          <w:sz w:val="20"/>
        </w:rPr>
        <w:t xml:space="preserve">” above, the Compensation Committee believes that Revenue, Adjusted EBITDA, and Normalized EBITDA are the most appropriate financial measures to use in our incentive-based compensation elements for our NEOs. Although the Compensation Committee considers generally the Company’s overall financial performance, including with respect to Free Cash Flow, Cash Reserves, Gross Margin, and other metrics, no other measures are specifically or quantitatively tied to our NEOs’ compensation outcomes.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1" w:name="director_compensation"/>
      <w:bookmarkEnd w:id="61"/>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December 1, 2022, at the recommendation of the Compensation Committee, the Board adopted the following director compensation program for non-employee directors, with all elements to be paid in quarterly installments,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$75,000 annual cash retainer;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$65,000 additional annual retainer for the chair of the Audit Committee, to be paid in cash or immediately vested RSUs at the recipient’s election;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$50,000 additional annual cash retainer for the chair of the Compensation Committee, to be paid in cash or immediately vested RSUs at the recipient’s election;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$175,000 annual award of fully-vested RSUs.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director compensation program, quarterly compensation is paid on the first date of the third month of each calendar quarter and is prorated for individuals who join during the middle of a quarter based on the number of days served.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all compensation paid to or earned by each of our non-employee directors during fiscal year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33"/>
        <w:gridCol w:w="146"/>
        <w:gridCol w:w="217"/>
        <w:gridCol w:w="697"/>
        <w:gridCol w:w="146"/>
        <w:gridCol w:w="146"/>
        <w:gridCol w:w="211"/>
        <w:gridCol w:w="781"/>
        <w:gridCol w:w="146"/>
        <w:gridCol w:w="146"/>
        <w:gridCol w:w="250"/>
        <w:gridCol w:w="411"/>
        <w:gridCol w:w="146"/>
        <w:gridCol w:w="146"/>
        <w:gridCol w:w="432"/>
        <w:gridCol w:w="709"/>
        <w:gridCol w:w="146"/>
        <w:gridCol w:w="146"/>
        <w:gridCol w:w="432"/>
        <w:gridCol w:w="709"/>
        <w:gridCol w:w="146"/>
        <w:gridCol w:w="146"/>
        <w:gridCol w:w="432"/>
        <w:gridCol w:w="709"/>
        <w:gridCol w:w="146"/>
        <w:gridCol w:w="146"/>
        <w:gridCol w:w="211"/>
        <w:gridCol w:w="781"/>
        <w:gridCol w:w="192"/>
      </w:tblGrid>
      <w:tr>
        <w:trPr/>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br/>
              <w:t>Incentive Plan</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Nonqualified</w:t>
              <w:br/>
              <w:t>Deferred</w:t>
              <w:br/>
              <w:t>Compensation</w:t>
              <w:br/>
              <w:t>Earnings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3"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Dawn Wilson Barnes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249,981</w:t>
            </w:r>
          </w:p>
        </w:tc>
        <w:tc>
          <w:tcPr>
            <w:tcW w:w="192"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Jeffrey Goldman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3"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Ethan Nadelmann</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249,981</w:t>
            </w:r>
          </w:p>
        </w:tc>
        <w:tc>
          <w:tcPr>
            <w:tcW w:w="192"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Richard Reisin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314,992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3"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(Buchan) Ross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174,981</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249,981</w:t>
            </w:r>
          </w:p>
        </w:tc>
        <w:tc>
          <w:tcPr>
            <w:tcW w:w="192"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Notes</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During 2025, our directors with continued service received four quarterly awards of immediately vested RSUs, the grant date fair value of each of which were: </w:t>
      </w:r>
    </w:p>
    <w:p>
      <w:pPr>
        <w:pStyle w:val="TextBody"/>
        <w:bidi w:val="0"/>
        <w:jc w:val="left"/>
        <w:rPr/>
      </w:pPr>
      <w:r>
        <w:rPr/>
        <w:t> </w:t>
      </w:r>
    </w:p>
    <w:tbl>
      <w:tblPr>
        <w:tblW w:w="8307" w:type="dxa"/>
        <w:jc w:val="left"/>
        <w:tblInd w:w="0" w:type="dxa"/>
        <w:tblLayout w:type="fixed"/>
        <w:tblCellMar>
          <w:top w:w="28" w:type="dxa"/>
          <w:left w:w="28" w:type="dxa"/>
          <w:bottom w:w="28" w:type="dxa"/>
          <w:right w:w="28" w:type="dxa"/>
        </w:tblCellMar>
      </w:tblPr>
      <w:tblGrid>
        <w:gridCol w:w="1981"/>
        <w:gridCol w:w="146"/>
        <w:gridCol w:w="211"/>
        <w:gridCol w:w="676"/>
        <w:gridCol w:w="146"/>
        <w:gridCol w:w="146"/>
        <w:gridCol w:w="211"/>
        <w:gridCol w:w="676"/>
        <w:gridCol w:w="146"/>
        <w:gridCol w:w="146"/>
        <w:gridCol w:w="250"/>
        <w:gridCol w:w="800"/>
        <w:gridCol w:w="146"/>
        <w:gridCol w:w="146"/>
        <w:gridCol w:w="239"/>
        <w:gridCol w:w="766"/>
        <w:gridCol w:w="146"/>
        <w:gridCol w:w="146"/>
        <w:gridCol w:w="211"/>
        <w:gridCol w:w="78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Dawn Wilson Barnes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174,981</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Goldman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Ethan Nadelmann</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174,981</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Reisin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Hannah (Buchan) Ross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43,743</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43,749</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43,745</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174,981</w:t>
            </w:r>
          </w:p>
        </w:tc>
        <w:tc>
          <w:tcPr>
            <w:tcW w:w="19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Mr. Goldman’s 2025 compensation includes amounts for his services as Chair of the Compensation Committee, which he elected to receive in RSUs.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 xml:space="preserve">Mr. Reisin’s 2025 compensation includes amounts for his service as Chair of the Audit Committee, which he elected to receive in RSUs.  </w:t>
      </w:r>
    </w:p>
    <w:p>
      <w:pPr>
        <w:pStyle w:val="TextBody"/>
        <w:bidi w:val="0"/>
        <w:spacing w:before="360" w:after="283"/>
        <w:jc w:val="left"/>
        <w:rPr>
          <w:rFonts w:ascii="Times New Roman" w:hAnsi="Times New Roman"/>
          <w:sz w:val="20"/>
        </w:rPr>
      </w:pPr>
      <w:bookmarkStart w:id="62" w:name="compensation_committee_interlocks_inside"/>
      <w:bookmarkEnd w:id="62"/>
      <w:r>
        <w:rPr>
          <w:rFonts w:ascii="Times New Roman" w:hAnsi="Times New Roman"/>
          <w:b/>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fiscal year 2025, Jeffrey Goldman (Chair), Ethan Nadelmann, and Hannah (Buchan) Ross served as members of the Compensation Committee. Mr. Goldman had a consulting relationship with the Company for which he was last compensated in July 2022, as previously disclosed.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our executive officers served as a member of the compensation committee (or other board committee performing equivalent functions or, in the absence of any such committee, the entire board of directors) of another entity, one of whose executive officers served as our director or on the Compensation Committee, during fiscal 2025. None of our executive officers served as a director of another entity, one of whose executive officers served on our Compensation Committee, during fiscal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Times New Roman" w:hAnsi="Times New Roman"/>
          <w:sz w:val="20"/>
        </w:rPr>
      </w:pPr>
      <w:bookmarkStart w:id="63" w:name="section_16_beneficial_ownership_repor"/>
      <w:bookmarkEnd w:id="63"/>
      <w:r>
        <w:rPr>
          <w:rFonts w:ascii="Times New Roman" w:hAnsi="Times New Roman"/>
          <w:b/>
          <w:color w:val="000000"/>
          <w:sz w:val="20"/>
        </w:rPr>
        <w:t>SECTION 16(a) BENEFICIAL OWNERSHIP REPORTING COMPLIANCE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16(a) of the Exchange Act requires our directors and executive officers, and any persons who beneficially own more than 10% of our common stock, to file with the SEC initial reports of ownership and reports of changes in ownership of our common stock. To our knowledge, based solely on a review of copies of such reports and representations received from our directors and executive officers, we believe that during the year ended December 31, 2025, our directors and executive officers and 10% shareholders complied with their Section 16(a) filing requirements on a timely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4" w:name="approval"/>
      <w:bookmarkEnd w:id="64"/>
      <w:r>
        <w:rPr>
          <w:rFonts w:ascii="Times New Roman" w:hAnsi="Times New Roman"/>
          <w:b/>
          <w:color w:val="000000"/>
          <w:sz w:val="20"/>
        </w:rPr>
        <w:t>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contents and the sending of this proxy statement have been approved by the Board of Directors of the Company. </w:t>
      </w:r>
    </w:p>
    <w:p>
      <w:pPr>
        <w:pStyle w:val="TextBody"/>
        <w:bidi w:val="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DATED as of April 27, 2026</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 Order of the Board of Directors</w:t>
            </w:r>
          </w:p>
        </w:tc>
      </w:tr>
      <w:tr>
        <w:trPr/>
        <w:tc>
          <w:tcPr>
            <w:tcW w:w="40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u w:val="single"/>
              </w:rPr>
              <w:t xml:space="preserve">/s/ </w:t>
            </w:r>
            <w:r>
              <w:rPr>
                <w:rFonts w:ascii="Times New Roman" w:hAnsi="Times New Roman"/>
                <w:i/>
                <w:color w:val="000000"/>
                <w:sz w:val="20"/>
                <w:u w:val="single"/>
              </w:rPr>
              <w:t>Benjamin Kovler</w:t>
            </w:r>
          </w:p>
        </w:tc>
      </w:tr>
      <w:tr>
        <w:trPr/>
        <w:tc>
          <w:tcPr>
            <w:tcW w:w="4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Benjamin Kovler</w:t>
            </w:r>
          </w:p>
        </w:tc>
      </w:tr>
      <w:tr>
        <w:trPr/>
        <w:tc>
          <w:tcPr>
            <w:tcW w:w="4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Chief Executive Officer, Chairman and Founder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sz w:val="20"/>
        </w:rPr>
      </w:pPr>
      <w:bookmarkStart w:id="65" w:name="appendix_a_non_gaap_financial_informati"/>
      <w:bookmarkEnd w:id="65"/>
      <w:r>
        <w:rPr>
          <w:rFonts w:ascii="Times New Roman" w:hAnsi="Times New Roman"/>
          <w:b/>
          <w:color w:val="000000"/>
          <w:sz w:val="20"/>
        </w:rPr>
        <w:t>APPENDIX 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NON-GAAP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Discussion and Analysis” and “2025 Pay-versus-Performance Table” sections of the preceding Proxy Statement of Green Thumb Industries Inc. include certain non-GAAP financial measures as defined by the Securities and Exchange Commission and applicable Canadian securities laws, including Adjusted EBITDA, Normalized EBIDTA and EBITDA. Adjusted EBITDA, Normalized EBITDA and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 </w:t>
      </w:r>
    </w:p>
    <w:p>
      <w:pPr>
        <w:pStyle w:val="TextBody"/>
        <w:bidi w:val="0"/>
        <w:spacing w:before="360" w:after="283"/>
        <w:jc w:val="center"/>
        <w:rPr>
          <w:rFonts w:ascii="Times New Roman" w:hAnsi="Times New Roman"/>
          <w:sz w:val="20"/>
        </w:rPr>
      </w:pPr>
      <w:r>
        <w:rPr>
          <w:rFonts w:ascii="Times New Roman" w:hAnsi="Times New Roman"/>
          <w:b/>
          <w:color w:val="000000"/>
          <w:sz w:val="20"/>
        </w:rPr>
        <w:t>RECONCILIATION OF NON-GAAP FINANCIAL MEASURES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553" w:type="dxa"/>
        <w:jc w:val="left"/>
        <w:tblInd w:w="0" w:type="dxa"/>
        <w:tblLayout w:type="fixed"/>
        <w:tblCellMar>
          <w:top w:w="28" w:type="dxa"/>
          <w:left w:w="28" w:type="dxa"/>
          <w:bottom w:w="28" w:type="dxa"/>
          <w:right w:w="28" w:type="dxa"/>
        </w:tblCellMar>
      </w:tblPr>
      <w:tblGrid>
        <w:gridCol w:w="5536"/>
        <w:gridCol w:w="146"/>
        <w:gridCol w:w="211"/>
        <w:gridCol w:w="841"/>
        <w:gridCol w:w="166"/>
        <w:gridCol w:w="146"/>
        <w:gridCol w:w="211"/>
        <w:gridCol w:w="781"/>
        <w:gridCol w:w="166"/>
        <w:gridCol w:w="146"/>
        <w:gridCol w:w="211"/>
        <w:gridCol w:w="781"/>
        <w:gridCol w:w="21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116,053</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73,851</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37,419</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19,073</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(134,296</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16,207</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Before Interest, Taxes, Depreciation and Amortization</w:t>
              <w:br/>
              <w:t>   (EBITDA) (non-GAAP measure)</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283,149</w:t>
            </w:r>
          </w:p>
        </w:tc>
        <w:tc>
          <w:tcPr>
            <w:tcW w:w="166"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337,635</w:t>
            </w:r>
          </w:p>
        </w:tc>
        <w:tc>
          <w:tcPr>
            <w:tcW w:w="166"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285,422</w:t>
            </w:r>
          </w:p>
        </w:tc>
        <w:tc>
          <w:tcPr>
            <w:tcW w:w="21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Trade Names</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CEAB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Non-Cash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Transaction and Other Non-operating Costs (Income)</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13,507</w:t>
            </w:r>
          </w:p>
        </w:tc>
        <w:tc>
          <w:tcPr>
            <w:tcW w:w="166"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w:t>
            </w:r>
          </w:p>
        </w:tc>
        <w:tc>
          <w:tcPr>
            <w:tcW w:w="211" w:type="dxa"/>
            <w:tcBorders>
              <w:bottom w:val="single" w:sz="4" w:space="0" w:color="000000"/>
            </w:tcBorders>
            <w:shd w:fill="FCEAB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(Non-GAAP Measure)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325,839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CEAB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Fee recorded in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CEAB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Normalized EBITDA (Non-GAAP Measure)</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348,390</w:t>
            </w:r>
          </w:p>
        </w:tc>
        <w:tc>
          <w:tcPr>
            <w:tcW w:w="166"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371,318</w:t>
            </w:r>
          </w:p>
        </w:tc>
        <w:tc>
          <w:tcPr>
            <w:tcW w:w="166"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CEAB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325,839</w:t>
            </w:r>
          </w:p>
        </w:tc>
        <w:tc>
          <w:tcPr>
            <w:tcW w:w="211" w:type="dxa"/>
            <w:tcBorders>
              <w:bottom w:val="double" w:sz="6" w:space="0" w:color="000000"/>
            </w:tcBorders>
            <w:shd w:fill="FCEAB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696075" cy="4095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696075" cy="4095750"/>
                    </a:xfrm>
                    <a:prstGeom prst="rect">
                      <a:avLst/>
                    </a:prstGeom>
                  </pic:spPr>
                </pic:pic>
              </a:graphicData>
            </a:graphic>
          </wp:inline>
        </w:drawing>
      </w:r>
      <w:r>
        <w:rPr/>
        <w:drawing>
          <wp:inline distT="0" distB="0" distL="0" distR="0">
            <wp:extent cx="6705600" cy="4400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705600" cy="440055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581775" cy="4467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581775" cy="4467225"/>
                    </a:xfrm>
                    <a:prstGeom prst="rect">
                      <a:avLst/>
                    </a:prstGeom>
                  </pic:spPr>
                </pic:pic>
              </a:graphicData>
            </a:graphic>
          </wp:inline>
        </w:drawing>
      </w:r>
      <w:r>
        <w:rPr/>
        <w:drawing>
          <wp:inline distT="0" distB="0" distL="0" distR="0">
            <wp:extent cx="6705600" cy="4371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705600" cy="43719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34024</Words>
  <Characters>184249</Characters>
  <CharactersWithSpaces>219711</CharactersWithSpaces>
  <Paragraphs>6826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