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Proxy Statement Pursuant to Section 14(a) of the Securities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Exchange Act of 1934 (Amendment No. 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212529"/>
        </w:rPr>
        <w:t>☒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7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212529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5"/>
          <w:szCs w:val="35"/>
          <w:b w:val="1"/>
          <w:bCs w:val="1"/>
          <w:color w:val="auto"/>
        </w:rPr>
        <w:t>GREEN THUMB INDUSTRIES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46990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212529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1333500</wp:posOffset>
            </wp:positionV>
            <wp:extent cx="71577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428625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6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78219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82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2162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21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2026-04-27T09:37:46Z</dcterms:created>
  <dcterms:modified xsi:type="dcterms:W3CDTF">2026-04-27T09:37:46Z</dcterms:modified>
</cp:coreProperties>
</file>