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1260" w:hanging="436"/>
        <w:spacing w:after="0"/>
        <w:tabs>
          <w:tab w:leader="none" w:pos="1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80010</wp:posOffset>
            </wp:positionV>
            <wp:extent cx="484314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4314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8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460" w:type="dxa"/>
            <w:vAlign w:val="bottom"/>
          </w:tcPr>
          <w:p>
            <w:pPr>
              <w:spacing w:after="0"/>
              <w:rPr>
                <w:sz w:val="16"/>
                <w:szCs w:val="16"/>
                <w:color w:val="auto"/>
              </w:rPr>
            </w:pPr>
          </w:p>
        </w:tc>
      </w:tr>
      <w:tr>
        <w:trPr>
          <w:trHeight w:val="172"/>
        </w:trPr>
        <w:tc>
          <w:tcPr>
            <w:tcW w:w="45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100" w:type="dxa"/>
            <w:vAlign w:val="bottom"/>
            <w:gridSpan w:val="2"/>
          </w:tcPr>
          <w:p>
            <w:pPr>
              <w:spacing w:after="0"/>
              <w:rPr>
                <w:sz w:val="14"/>
                <w:szCs w:val="14"/>
                <w:color w:val="auto"/>
              </w:rPr>
            </w:pPr>
          </w:p>
        </w:tc>
      </w:tr>
      <w:tr>
        <w:trPr>
          <w:trHeight w:val="482"/>
        </w:trPr>
        <w:tc>
          <w:tcPr>
            <w:tcW w:w="8840" w:type="dxa"/>
            <w:vAlign w:val="bottom"/>
            <w:gridSpan w:val="4"/>
          </w:tcPr>
          <w:p>
            <w:pPr>
              <w:ind w:left="2940"/>
              <w:spacing w:after="0"/>
              <w:rPr>
                <w:sz w:val="20"/>
                <w:szCs w:val="20"/>
                <w:color w:val="auto"/>
              </w:rPr>
            </w:pPr>
            <w:r>
              <w:rPr>
                <w:rFonts w:ascii="Times New Roman" w:cs="Times New Roman" w:eastAsia="Times New Roman" w:hAnsi="Times New Roman"/>
                <w:sz w:val="32"/>
                <w:szCs w:val="32"/>
                <w:b w:val="1"/>
                <w:bCs w:val="1"/>
                <w:color w:val="auto"/>
              </w:rPr>
              <w:t>GREEN THUMB INDUSTRIES INC.</w:t>
            </w:r>
          </w:p>
        </w:tc>
      </w:tr>
      <w:tr>
        <w:trPr>
          <w:trHeight w:val="190"/>
        </w:trPr>
        <w:tc>
          <w:tcPr>
            <w:tcW w:w="7380" w:type="dxa"/>
            <w:vAlign w:val="bottom"/>
            <w:gridSpan w:val="3"/>
          </w:tcPr>
          <w:p>
            <w:pPr>
              <w:jc w:val="center"/>
              <w:ind w:left="376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460" w:type="dxa"/>
            <w:vAlign w:val="bottom"/>
          </w:tcPr>
          <w:p>
            <w:pPr>
              <w:spacing w:after="0"/>
              <w:rPr>
                <w:sz w:val="16"/>
                <w:szCs w:val="16"/>
                <w:color w:val="auto"/>
              </w:rPr>
            </w:pPr>
          </w:p>
        </w:tc>
      </w:tr>
      <w:tr>
        <w:trPr>
          <w:trHeight w:val="172"/>
        </w:trPr>
        <w:tc>
          <w:tcPr>
            <w:tcW w:w="45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1"/>
        </w:trPr>
        <w:tc>
          <w:tcPr>
            <w:tcW w:w="738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7380" w:type="dxa"/>
            <w:vAlign w:val="bottom"/>
            <w:gridSpan w:val="3"/>
          </w:tcPr>
          <w:p>
            <w:pPr>
              <w:jc w:val="center"/>
              <w:ind w:right="17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460" w:type="dxa"/>
            <w:vAlign w:val="bottom"/>
          </w:tcPr>
          <w:p>
            <w:pPr>
              <w:jc w:val="center"/>
              <w:ind w:left="57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460" w:type="dxa"/>
            <w:vAlign w:val="bottom"/>
          </w:tcPr>
          <w:p>
            <w:pPr>
              <w:jc w:val="center"/>
              <w:ind w:left="57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67"/>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460" w:type="dxa"/>
            <w:vAlign w:val="bottom"/>
          </w:tcPr>
          <w:p>
            <w:pPr>
              <w:spacing w:after="0"/>
              <w:rPr>
                <w:sz w:val="23"/>
                <w:szCs w:val="23"/>
                <w:color w:val="auto"/>
              </w:rPr>
            </w:pPr>
          </w:p>
        </w:tc>
      </w:tr>
      <w:tr>
        <w:trPr>
          <w:trHeight w:val="171"/>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4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460" w:type="dxa"/>
            <w:vAlign w:val="bottom"/>
          </w:tcPr>
          <w:p>
            <w:pPr>
              <w:jc w:val="center"/>
              <w:ind w:left="57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55"/>
        </w:trPr>
        <w:tc>
          <w:tcPr>
            <w:tcW w:w="8840" w:type="dxa"/>
            <w:vAlign w:val="bottom"/>
            <w:gridSpan w:val="4"/>
          </w:tcPr>
          <w:p>
            <w:pPr>
              <w:jc w:val="center"/>
              <w:ind w:left="230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04"/>
        </w:trPr>
        <w:tc>
          <w:tcPr>
            <w:tcW w:w="450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100" w:type="dxa"/>
            <w:vAlign w:val="bottom"/>
            <w:gridSpan w:val="2"/>
          </w:tcPr>
          <w:p>
            <w:pPr>
              <w:spacing w:after="0"/>
              <w:rPr>
                <w:sz w:val="9"/>
                <w:szCs w:val="9"/>
                <w:color w:val="auto"/>
              </w:rPr>
            </w:pPr>
          </w:p>
        </w:tc>
      </w:tr>
      <w:tr>
        <w:trPr>
          <w:trHeight w:val="254"/>
        </w:trPr>
        <w:tc>
          <w:tcPr>
            <w:tcW w:w="8840" w:type="dxa"/>
            <w:vAlign w:val="bottom"/>
            <w:gridSpan w:val="4"/>
          </w:tcPr>
          <w:p>
            <w:pPr>
              <w:jc w:val="center"/>
              <w:ind w:left="232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 None</w:t>
            </w:r>
          </w:p>
        </w:tc>
      </w:tr>
      <w:tr>
        <w:trPr>
          <w:trHeight w:val="188"/>
        </w:trPr>
        <w:tc>
          <w:tcPr>
            <w:tcW w:w="7380" w:type="dxa"/>
            <w:vAlign w:val="bottom"/>
            <w:gridSpan w:val="3"/>
          </w:tcPr>
          <w:p>
            <w:pPr>
              <w:jc w:val="center"/>
              <w:ind w:left="374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460" w:type="dxa"/>
            <w:vAlign w:val="bottom"/>
          </w:tcPr>
          <w:p>
            <w:pPr>
              <w:spacing w:after="0"/>
              <w:rPr>
                <w:sz w:val="16"/>
                <w:szCs w:val="16"/>
                <w:color w:val="auto"/>
              </w:rPr>
            </w:pPr>
          </w:p>
        </w:tc>
      </w:tr>
      <w:tr>
        <w:trPr>
          <w:trHeight w:val="149"/>
        </w:trPr>
        <w:tc>
          <w:tcPr>
            <w:tcW w:w="4500" w:type="dxa"/>
            <w:vAlign w:val="bottom"/>
          </w:tcPr>
          <w:p>
            <w:pPr>
              <w:spacing w:after="0"/>
              <w:rPr>
                <w:sz w:val="12"/>
                <w:szCs w:val="12"/>
                <w:color w:val="auto"/>
              </w:rPr>
            </w:pPr>
          </w:p>
        </w:tc>
        <w:tc>
          <w:tcPr>
            <w:tcW w:w="28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460" w:type="dxa"/>
            <w:vAlign w:val="bottom"/>
          </w:tcPr>
          <w:p>
            <w:pPr>
              <w:spacing w:after="0"/>
              <w:rPr>
                <w:sz w:val="12"/>
                <w:szCs w:val="12"/>
                <w:color w:val="auto"/>
              </w:rPr>
            </w:pPr>
          </w:p>
        </w:tc>
      </w:tr>
      <w:tr>
        <w:trPr>
          <w:trHeight w:val="148"/>
        </w:trPr>
        <w:tc>
          <w:tcPr>
            <w:tcW w:w="4500" w:type="dxa"/>
            <w:vAlign w:val="bottom"/>
          </w:tcPr>
          <w:p>
            <w:pPr>
              <w:spacing w:after="0"/>
              <w:rPr>
                <w:sz w:val="12"/>
                <w:szCs w:val="12"/>
                <w:color w:val="auto"/>
              </w:rPr>
            </w:pPr>
          </w:p>
        </w:tc>
        <w:tc>
          <w:tcPr>
            <w:tcW w:w="28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460" w:type="dxa"/>
            <w:vAlign w:val="bottom"/>
          </w:tcPr>
          <w:p>
            <w:pPr>
              <w:spacing w:after="0"/>
              <w:rPr>
                <w:sz w:val="12"/>
                <w:szCs w:val="12"/>
                <w:color w:val="auto"/>
              </w:rPr>
            </w:pPr>
          </w:p>
        </w:tc>
      </w:tr>
      <w:tr>
        <w:trPr>
          <w:trHeight w:val="157"/>
        </w:trPr>
        <w:tc>
          <w:tcPr>
            <w:tcW w:w="4500" w:type="dxa"/>
            <w:vAlign w:val="bottom"/>
          </w:tcPr>
          <w:p>
            <w:pPr>
              <w:spacing w:after="0"/>
              <w:rPr>
                <w:sz w:val="13"/>
                <w:szCs w:val="13"/>
                <w:color w:val="auto"/>
              </w:rPr>
            </w:pPr>
          </w:p>
        </w:tc>
        <w:tc>
          <w:tcPr>
            <w:tcW w:w="2880" w:type="dxa"/>
            <w:vAlign w:val="bottom"/>
            <w:gridSpan w:val="2"/>
          </w:tcPr>
          <w:p>
            <w:pPr>
              <w:jc w:val="center"/>
              <w:ind w:right="660"/>
              <w:spacing w:after="0" w:line="157" w:lineRule="exact"/>
              <w:rPr>
                <w:sz w:val="20"/>
                <w:szCs w:val="20"/>
                <w:color w:val="auto"/>
              </w:rPr>
            </w:pPr>
            <w:r>
              <w:rPr>
                <w:rFonts w:ascii="Times New Roman" w:cs="Times New Roman" w:eastAsia="Times New Roman" w:hAnsi="Times New Roman"/>
                <w:sz w:val="14"/>
                <w:szCs w:val="14"/>
                <w:b w:val="1"/>
                <w:bCs w:val="1"/>
                <w:color w:val="auto"/>
              </w:rPr>
              <w:t>Super Voting Shares</w:t>
            </w:r>
          </w:p>
        </w:tc>
        <w:tc>
          <w:tcPr>
            <w:tcW w:w="1460" w:type="dxa"/>
            <w:vAlign w:val="bottom"/>
          </w:tcPr>
          <w:p>
            <w:pPr>
              <w:spacing w:after="0"/>
              <w:rPr>
                <w:sz w:val="13"/>
                <w:szCs w:val="13"/>
                <w:color w:val="auto"/>
              </w:rPr>
            </w:pPr>
          </w:p>
        </w:tc>
      </w:tr>
      <w:tr>
        <w:trPr>
          <w:trHeight w:val="142"/>
        </w:trPr>
        <w:tc>
          <w:tcPr>
            <w:tcW w:w="4500" w:type="dxa"/>
            <w:vAlign w:val="bottom"/>
          </w:tcPr>
          <w:p>
            <w:pPr>
              <w:spacing w:after="0"/>
              <w:rPr>
                <w:sz w:val="12"/>
                <w:szCs w:val="12"/>
                <w:color w:val="auto"/>
              </w:rPr>
            </w:pPr>
          </w:p>
        </w:tc>
        <w:tc>
          <w:tcPr>
            <w:tcW w:w="288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460" w:type="dxa"/>
            <w:vAlign w:val="bottom"/>
          </w:tcPr>
          <w:p>
            <w:pPr>
              <w:spacing w:after="0"/>
              <w:rPr>
                <w:sz w:val="12"/>
                <w:szCs w:val="12"/>
                <w:color w:val="auto"/>
              </w:rPr>
            </w:pPr>
          </w:p>
        </w:tc>
      </w:tr>
      <w:tr>
        <w:trPr>
          <w:trHeight w:val="290"/>
        </w:trPr>
        <w:tc>
          <w:tcPr>
            <w:tcW w:w="738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14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70"/>
        </w:trPr>
        <w:tc>
          <w:tcPr>
            <w:tcW w:w="738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4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33"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1222" w:right="379" w:bottom="1440" w:gutter="0" w:footer="0" w:header="0"/>
        </w:sectPr>
      </w:pP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8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8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38" w:lineRule="exact"/>
        <w:rPr>
          <w:sz w:val="24"/>
          <w:szCs w:val="24"/>
          <w:color w:val="auto"/>
        </w:rPr>
      </w:pPr>
    </w:p>
    <w:p>
      <w:pPr>
        <w:sectPr>
          <w:pgSz w:w="11900" w:h="16838" w:orient="portrait"/>
          <w:cols w:equalWidth="0" w:num="2">
            <w:col w:w="10840" w:space="80"/>
            <w:col w:w="280"/>
          </w:cols>
          <w:pgMar w:left="320" w:top="1222" w:right="379" w:bottom="1440" w:gutter="0" w:footer="0" w:header="0"/>
          <w:type w:val="continuous"/>
        </w:sectPr>
      </w:pPr>
    </w:p>
    <w:p>
      <w:pPr>
        <w:ind w:right="5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type w:val="continuous"/>
        </w:sectPr>
      </w:pPr>
    </w:p>
    <w:bookmarkStart w:id="1" w:name="page2"/>
    <w:bookmarkEnd w:id="1"/>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0"/>
          <w:szCs w:val="20"/>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4"/>
          <w:szCs w:val="14"/>
          <w:color w:val="auto"/>
        </w:rPr>
        <w:t>As of February 20, 2026, there were 207,620,374 shares of the registrant’s Subordinate Voting Shares, 37,472 shares of the registrant’s Multiple Voting Shares and 201,690 shares of the registrant’s Super Voting Shares outstanding.</w:t>
      </w:r>
    </w:p>
    <w:p>
      <w:pPr>
        <w:spacing w:after="0" w:line="41"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Subordinate Voting Shares, and Multiple Voting Shares, and Super Voting Shares (on an as converted basis, based on the closing price of these Subordinate Voting Shares on the Canadian Stock Exchange) on June 30, 2025, the last business day of the registrant’s most recently completed second fiscal quarter, held by nonaffiliates was $1,161,708 thousand.</w:t>
      </w: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4"/>
          <w:szCs w:val="14"/>
          <w:color w:val="auto"/>
        </w:rPr>
        <w:t>Part I of this Annual Report on Form 10-K incorporates certain information by reference from the Registrant’s Amendment No. 2 Registration Statement on Form S-1 (No. 333-248213) to the extent stated herein under the heading “History of the Company.”</w:t>
      </w:r>
    </w:p>
    <w:p>
      <w:pPr>
        <w:spacing w:after="0" w:line="9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definitive proxy statement to be filed by the registrant in connection with the 2026 Annual General Meeting of Shareholders (the “2026 Proxy Statement”). The 2026 Proxy Statement will be filed by the registrant with the Securities and Exchange Commission not later than 120 days after December 31, 2025, the end of the registrant’s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760" w:type="dxa"/>
            <w:vAlign w:val="bottom"/>
            <w:gridSpan w:val="4"/>
            <w:vMerge w:val="restart"/>
          </w:tcPr>
          <w:p>
            <w:pPr>
              <w:jc w:val="center"/>
              <w:ind w:right="1080"/>
              <w:spacing w:after="0"/>
              <w:rPr>
                <w:sz w:val="20"/>
                <w:szCs w:val="20"/>
                <w:color w:val="auto"/>
              </w:rPr>
            </w:pPr>
            <w:r>
              <w:rPr>
                <w:rFonts w:ascii="Times New Roman" w:cs="Times New Roman" w:eastAsia="Times New Roman" w:hAnsi="Times New Roman"/>
                <w:sz w:val="18"/>
                <w:szCs w:val="18"/>
                <w:color w:val="auto"/>
                <w:w w:val="99"/>
              </w:rPr>
              <w:t>PART I</w:t>
            </w:r>
          </w:p>
        </w:tc>
        <w:tc>
          <w:tcPr>
            <w:tcW w:w="846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760" w:type="dxa"/>
            <w:vAlign w:val="bottom"/>
            <w:gridSpan w:val="4"/>
            <w:vMerge w:val="continue"/>
          </w:tcPr>
          <w:p>
            <w:pPr>
              <w:spacing w:after="0"/>
              <w:rPr>
                <w:sz w:val="15"/>
                <w:szCs w:val="15"/>
                <w:color w:val="auto"/>
              </w:rPr>
            </w:pPr>
          </w:p>
        </w:tc>
        <w:tc>
          <w:tcPr>
            <w:tcW w:w="8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BUSINESS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1B.</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UNRESOLVED STAFF COMMENTS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1C.</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2"/>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PART II</w:t>
            </w:r>
          </w:p>
        </w:tc>
        <w:tc>
          <w:tcPr>
            <w:tcW w:w="620" w:type="dxa"/>
            <w:vAlign w:val="bottom"/>
            <w:tcBorders>
              <w:top w:val="single" w:sz="8" w:color="0000FF"/>
            </w:tcBorders>
          </w:tcPr>
          <w:p>
            <w:pPr>
              <w:spacing w:after="0"/>
              <w:rPr>
                <w:sz w:val="20"/>
                <w:szCs w:val="20"/>
                <w:color w:val="auto"/>
              </w:rPr>
            </w:pPr>
          </w:p>
        </w:tc>
        <w:tc>
          <w:tcPr>
            <w:tcW w:w="280" w:type="dxa"/>
            <w:vAlign w:val="bottom"/>
            <w:gridSpan w:val="2"/>
          </w:tcPr>
          <w:p>
            <w:pPr>
              <w:spacing w:after="0"/>
              <w:rPr>
                <w:sz w:val="20"/>
                <w:szCs w:val="20"/>
                <w:color w:val="auto"/>
              </w:rPr>
            </w:pPr>
          </w:p>
        </w:tc>
        <w:tc>
          <w:tcPr>
            <w:tcW w:w="8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MARKET FOR THE REGISTRANTS’ COMMON EQUITY, RELATED STOCKHOLDER MATTERS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84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ISSUER PURCHASES OF EQUITY SECURITIES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6.</w:t>
            </w: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[RESERVED]</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MANAGEMENT DISCUSSION AND ANALYSIS OF FINANCIAL CONDITION AND RESULTS OF</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7A.</w:t>
            </w: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9A.</w:t>
            </w: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9B.</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9C.</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PART III</w:t>
            </w:r>
          </w:p>
        </w:tc>
        <w:tc>
          <w:tcPr>
            <w:tcW w:w="720" w:type="dxa"/>
            <w:vAlign w:val="bottom"/>
            <w:tcBorders>
              <w:top w:val="single" w:sz="8" w:color="0000FF"/>
            </w:tcBorders>
            <w:gridSpan w:val="2"/>
          </w:tcPr>
          <w:p>
            <w:pPr>
              <w:spacing w:after="0"/>
              <w:rPr>
                <w:sz w:val="20"/>
                <w:szCs w:val="20"/>
                <w:color w:val="auto"/>
              </w:rPr>
            </w:pPr>
          </w:p>
        </w:tc>
        <w:tc>
          <w:tcPr>
            <w:tcW w:w="1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-12065</wp:posOffset>
            </wp:positionV>
            <wp:extent cx="450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-12065</wp:posOffset>
            </wp:positionV>
            <wp:extent cx="450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-12065</wp:posOffset>
            </wp:positionV>
            <wp:extent cx="450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-635</wp:posOffset>
            </wp:positionV>
            <wp:extent cx="450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-12065</wp:posOffset>
            </wp:positionV>
            <wp:extent cx="450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8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 MATTERS</w:t>
            </w:r>
          </w:p>
        </w:tc>
        <w:tc>
          <w:tcPr>
            <w:tcW w:w="660" w:type="dxa"/>
            <w:vAlign w:val="bottom"/>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 w:lineRule="exact"/>
        <w:rPr>
          <w:sz w:val="20"/>
          <w:szCs w:val="20"/>
          <w:color w:val="auto"/>
        </w:rPr>
      </w:pPr>
    </w:p>
    <w:p>
      <w:pPr>
        <w:sectPr>
          <w:pgSz w:w="11900" w:h="16838" w:orient="portrait"/>
          <w:cols w:equalWidth="0" w:num="2">
            <w:col w:w="1660" w:space="380"/>
            <w:col w:w="9200"/>
          </w:cols>
          <w:pgMar w:left="320" w:top="981"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PART IV</w:t>
      </w:r>
    </w:p>
    <w:tbl>
      <w:tblPr>
        <w:tblLayout w:type="fixed"/>
        <w:tblInd w:w="0" w:type="dxa"/>
        <w:tblCellMar>
          <w:top w:w="0" w:type="dxa"/>
          <w:left w:w="0" w:type="dxa"/>
          <w:bottom w:w="0" w:type="dxa"/>
          <w:right w:w="0" w:type="dxa"/>
        </w:tblCellMar>
      </w:tblPr>
      <w:tr>
        <w:trPr>
          <w:trHeight w:val="185"/>
        </w:trPr>
        <w:tc>
          <w:tcPr>
            <w:tcW w:w="960" w:type="dxa"/>
            <w:vAlign w:val="bottom"/>
          </w:tcPr>
          <w:p>
            <w:pPr>
              <w:spacing w:after="0"/>
              <w:rPr>
                <w:sz w:val="16"/>
                <w:szCs w:val="16"/>
                <w:color w:val="auto"/>
              </w:rPr>
            </w:pPr>
          </w:p>
        </w:tc>
        <w:tc>
          <w:tcPr>
            <w:tcW w:w="7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0000FF"/>
                <w:w w:val="98"/>
              </w:rPr>
              <w:t>ITEM 15.</w:t>
            </w:r>
          </w:p>
        </w:tc>
        <w:tc>
          <w:tcPr>
            <w:tcW w:w="7020" w:type="dxa"/>
            <w:vAlign w:val="bottom"/>
            <w:gridSpan w:val="4"/>
          </w:tcPr>
          <w:p>
            <w:pPr>
              <w:ind w:left="360"/>
              <w:spacing w:after="0" w:line="184"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2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16.</w:t>
            </w:r>
          </w:p>
        </w:tc>
        <w:tc>
          <w:tcPr>
            <w:tcW w:w="702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FORM 10-K SUMMARY</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Financial Statements and Notes</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E-69</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2"/>
              </w:rPr>
              <w:t>Signatures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432"/>
        </w:trPr>
        <w:tc>
          <w:tcPr>
            <w:tcW w:w="9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Green Thumb Industries Inc. is a reporting issuer in the United States and Canada and the Company’s Subordinate Voting Shares (as hereinafter defined) are listed for trading on the Canadian Securities Exchange (“CSE”) under the symbol “GTII.” The Company’s Subordinate Voting Shares are also traded in the United States on the OTCQX Best Market (the “OTCQX”) under the symbol “GTBIF.”</w:t>
      </w:r>
    </w:p>
    <w:p>
      <w:pPr>
        <w:spacing w:after="0" w:line="176"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Originally founded in 2014, Green Thumb began operations in 2015 upon the award of a medical marijuana license for cultivation/processing and retail sale of cannabis in Illinois. The Company has since expanded its operational footprint to fourteen U.S. markets, including California, Connecticut, Florida, Illinois, Maryland, Massachusetts, Minnesota, Nevada, New Jersey, New York, Ohio, Pennsylvania, Rhode Island and Virginia. Currently, Green Thumb manufactures and distributes a portfolio of cannabis consumer packaged goods brands (which we refer to as our Consumer Packaged Goods business), including &amp;Shine, Beboe, Dogwalkers, Doctor Solomon’s, Good Green, incredibles and RYTHM, to third-party retail stores across the United States as well as to Green Thumb owned retail stores. The Company also owns and operates retail cannabis stores that include a national chain called RISE Dispensaries, as well as retail stores operating under other names (which we refer to as our Retail business). Our retail stores sell a combination of our products and third-party products.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subsidiaries, owns state-licensed medical and/or adult-use cannabis businesses in California, Connecticut, Florida, Illinois, Maryland, Massachusetts, Minnesota, Nevada, New Jersey, New York, Ohio, Pennsylvania, Rhode Island and Virginia. The following organizational chart describes the organizational structure of the Company as of December 31, 2025. See Exhibit 21.1 to this document for a list of significant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130810</wp:posOffset>
            </wp:positionV>
            <wp:extent cx="6060440" cy="3360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The registered office of the Company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headquarters is located at 325 W. Huron Street, Suite 700, Chicago, Illinois 60654.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 Syndicated Credit Facility</w:t>
      </w:r>
    </w:p>
    <w:p>
      <w:pPr>
        <w:spacing w:after="0" w:line="229"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color w:val="auto"/>
        </w:rPr>
        <w:t>On September 11, 2024, the Company entered into a $150,000 thousand syndicated credit facility (the “Credit Facility”) led by Valley National Bank. The Credit Facility has a maturity date of September 11, 2029 and bears interest from the date of issuance at the Secured Overnight Financing Rate (“SOFR”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plus 500 basis points, payable monthly. The interest rate on the closing date was 10.10% per annum. The floating interest rate as of December 31, 2025 was 8.76% per annum.</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Subsequent to the quarter. on February 19, 2026, the Company amended its existing syndicated credit facility agreement, for the purpose of borrowing an additional $50,000 thousand (issued as “Amended Credit Facility”), as permitted under the original agreement. The Amended Credit Facility has terms which are consistent with the terms under the existing syndicated credit facility, which include, an interest rate at SOFR plus 500 basis points. The Amended Credit Facility increased the total amount borrowed to $200,000 thousand with a current principal balance of $188,750 thousand as of the date of the transaction.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 Mortgage Financing Arrangement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Warwick, New York Mortgage Note</w:t>
      </w:r>
    </w:p>
    <w:p>
      <w:pPr>
        <w:spacing w:after="0" w:line="22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September 4, 2024, the Company entered into a $23,500 thousand mortgage note associated with its Warwick, New York CPG facility bearing an interest rate of 7.75% per annum, with a maturity date of September 4, 2029.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 Notes Payable for details.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229" w:lineRule="exact"/>
        <w:rPr>
          <w:sz w:val="20"/>
          <w:szCs w:val="20"/>
          <w:color w:val="auto"/>
        </w:rPr>
      </w:pPr>
    </w:p>
    <w:p>
      <w:pPr>
        <w:jc w:val="both"/>
        <w:ind w:right="160" w:firstLine="749"/>
        <w:spacing w:after="0" w:line="289" w:lineRule="auto"/>
        <w:rPr>
          <w:sz w:val="20"/>
          <w:szCs w:val="20"/>
          <w:color w:val="auto"/>
        </w:rPr>
      </w:pPr>
      <w:r>
        <w:rPr>
          <w:rFonts w:ascii="Times New Roman" w:cs="Times New Roman" w:eastAsia="Times New Roman" w:hAnsi="Times New Roman"/>
          <w:sz w:val="17"/>
          <w:szCs w:val="17"/>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2025, Green Thumb has operations across fourteen U.S. markets, employs approximately 5,000 people and serves millions of patients and customers annually.</w:t>
      </w:r>
    </w:p>
    <w:p>
      <w:pPr>
        <w:spacing w:after="0" w:line="15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cannabis consumer packaged goods brands (which we refer to as our Consumer Packaged Goods business), including &amp;Shine, Beboe, Dogwalkers, Doctor Solomon’s, Good Green, incredibles and RYTHM. These brands were developed and acquired over the course of the Company’s operating history and then, in transactions that closed on May 20, 2025 and August 27, 2026, the Company, through sales of the equity interests of indirectly owned subsidiaries, sold the intellectual property related to those consumer packaged goods brands to RYTHM, Inc. (formerly known as Agrify Corporation, and referred to herein as “RYM”). In connection with this sale, the Company entered into licensing arrangements with RYM for the Company’s continued, exclusive use of these brands for cannabis products in its existing markets. As of December 31, 2025, the Company owns approximately 33% of the outstanding shares of common stock of RYM. The Company distributes and markets these products to third-party licensed retail cannabis stores across the United States as well as to Green Thumb</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own retail stores (which we refer to as our Retail business).</w:t>
      </w:r>
    </w:p>
    <w:p>
      <w:pPr>
        <w:spacing w:after="0" w:line="19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and then uses to produce our consumer packaged goods in twenty owned and operated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 These Consumer Packaged Goods products are sold in retail locations throughout the fourteen U.S. markets Green Thumb operates in including Green Thumb’s own RISE Dispensaries and other retail dispensaries.</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aims to bring patients and customers high-quality products that they value while providing superior customer service. In addition, we own and operate stores under other names subject to licensing or similar restrictions. The income from Green Thumb’s retail stores is derived primarily from the sale of cannabis-related products, which includes the sale of Green Thumb produced products as well as those produced by third parties, with an immaterial (less than 10%) portion of this income resulting from the sale of other merchandise (such as t-shirts and accessories for cannabis use). RISE Dispensaries currently are located in all fourteen of the states in which we operate. As of December 31, 2025, the Company had 113 open and operating retail locations. The Company’s new store opening plans will remain fluid depending on market conditions, our ability to obtain local licensing, construction and other permissions and subject to the Company’s capital allocation plans.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Revenue Streams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242021"/>
        </w:rPr>
        <w:t xml:space="preserve">The Company has generated revenues through its operating businesses from the </w:t>
      </w:r>
      <w:r>
        <w:rPr>
          <w:rFonts w:ascii="Times New Roman" w:cs="Times New Roman" w:eastAsia="Times New Roman" w:hAnsi="Times New Roman"/>
          <w:sz w:val="18"/>
          <w:szCs w:val="18"/>
          <w:color w:val="000000"/>
        </w:rPr>
        <w:t>manufacture, sale and distribution of branded cannabis products</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to third-party licensed retail customers as well as the sale of finished products to consumers in its retail stores.</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percentage of total revenue contributed by the Retail segment was 71%, 73% and 75% for the years ended December 31, 2025, 2024 and 2023, respectively. The percentage of total revenue contributed by operations of the Consumer Packaged Goods segment was 29%, 27% and 25% for the years ended December 31, 2025, 2024 and 2023, respectively. See Item 7—“Management Discussion and Analysis of Financial Conditions and Results of Operations” for details on key financial highlights.</w:t>
      </w:r>
    </w:p>
    <w:p>
      <w:pPr>
        <w:spacing w:after="0" w:line="180"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2025, Green Thumb has operating revenue in fourteen markets (California, Connecticut, Florida, Illinois, Maryland, Massachusetts, Minnesota, Nevada, New Jersey, New York, Ohio, Pennsylvania, Rhode Island and Virginia).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29" w:lineRule="exact"/>
        <w:rPr>
          <w:sz w:val="20"/>
          <w:szCs w:val="20"/>
          <w:color w:val="auto"/>
        </w:rPr>
      </w:pPr>
    </w:p>
    <w:p>
      <w:pPr>
        <w:ind w:right="2100" w:firstLine="749"/>
        <w:spacing w:after="0" w:line="282" w:lineRule="auto"/>
        <w:rPr>
          <w:sz w:val="20"/>
          <w:szCs w:val="20"/>
          <w:color w:val="auto"/>
        </w:rPr>
      </w:pPr>
      <w:r>
        <w:rPr>
          <w:rFonts w:ascii="Times New Roman" w:cs="Times New Roman" w:eastAsia="Times New Roman" w:hAnsi="Times New Roman"/>
          <w:sz w:val="18"/>
          <w:szCs w:val="18"/>
          <w:color w:val="auto"/>
        </w:rPr>
        <w:t>Green Thumb operates in fourteen U.S. states: California, Connecticut, Florida, Illinois, Maryland, Massachusetts, Minnesota, Nevada, New Jersey, New York, Ohio, Pennsylvania, Rhode Island and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122555</wp:posOffset>
            </wp:positionV>
            <wp:extent cx="5263515" cy="2966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351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Research, Design and Development</w:t>
      </w:r>
    </w:p>
    <w:p>
      <w:pPr>
        <w:spacing w:after="0" w:line="22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Company’s branded products portfolio includes SKUs across a range of product categories, including flower, pre-rolls, concentrates, vape, tinctures, edibles, topicals and other cannabis-related products. Green Thumb engages in research and development activities focused on developing new extracted or infused cannabis consumer packaged products.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branded products are produced in manufacturing facilities across thirteen U.S. states where we cultivate, process and manufacture cannabis consumer packaged goods. Our finished goods production is manufactured by our owned production facilities.</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Licensing/Branding</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During 2025, the Company, via the sale of certain subsidiaries, sold the intellectual property rights for its Consumer Packaged Goods Brands, including its portfolio of owned cannabis consumer packaged goods brands (which we refer to as our Consumer Packaged Goods business), including &amp;Shine, Beboe, Dogwalkers, Doctor Solomon’s, Good Green, incredibles and RYTHM, to RYM. In connection with this sale, the Company entered into licensing arrangements with RYM for the Company’s continued, exclusive use of these brands for cannabis products in its existing markets, in exchange for license fees.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Sources and Availability of Materials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Customers of our Consumer Packaged Goods business include legal state-licensed cannabis stores within each U.S. state in which we operate. Green Thumb is not dependent upon a single customer, or a few customers, and the loss of any one or more of our</w:t>
      </w: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8" w:name="page9"/>
    <w:bookmarkEnd w:id="8"/>
    <w:p>
      <w:pPr>
        <w:ind w:right="260"/>
        <w:spacing w:after="0" w:line="282" w:lineRule="auto"/>
        <w:rPr>
          <w:sz w:val="20"/>
          <w:szCs w:val="20"/>
          <w:color w:val="auto"/>
        </w:rPr>
      </w:pPr>
      <w:r>
        <w:rPr>
          <w:rFonts w:ascii="Times New Roman" w:cs="Times New Roman" w:eastAsia="Times New Roman" w:hAnsi="Times New Roman"/>
          <w:sz w:val="18"/>
          <w:szCs w:val="18"/>
          <w:color w:val="auto"/>
        </w:rPr>
        <w:t>customers would not have a material adverse effect on the business. No customer accounted for 10% or more of our consolidated net revenue during the fiscal years ended December 31, 2025, 2024 or 2023, respectively.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To meet the array of unique patient and customer needs, we offer a variety of cannabis products at each of our RISE and other retail dispensaries, totaling thousands of SKUs in managed inventory, covering a comprehensive list of packaged product categories including flower, concentrates, topicals and edibles.</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leverage our own retail channel, RISE, and our other stores to distribute our branded product portfolio, such as &amp;Shine, Beboe, Dogwalkers, Doctor Solomon’s, Good Green, incredibles, and RYTHM.</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All cannabis products we sell have passed state-mandated third party testing as required by applicable law to help assure that they do not contain impermissible levels of toxins, microbials or other harmful substances, and that they meet the Company’s vendor requirements for quality assurance and reliability. Cannabis products are inventoried in a comprehensive seed-to-sale tracking software to minimize product slippage and inventory deviation.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Omnichannel Distribution</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 Patents and Trademarks</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believe that brand protection is critical to our business strategy. We regularly seek to protect our intellectual property rights in connection with our operating names (e.g., Green Thumb and RISE), and certain patentable goods and services. We also sought to protect the intellectual property for our consumer packaged goods brands (e.g., &amp;Shine, Beboe, Dogwalkers, Dr. Solomon’s, Good Green, incredibles (including Snoozzzeberry) &amp; RYTHM) prior to their sale to RYM in 2025; subsequent to the sale, our licensing arrangements with RYM require us to continue to protect those brands with the same vigor we previously exercised.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neither we nor RYM are able to protect all our intellectual property at the federal level. Instead, we (and RYM) seek federal trademark protections in some cases and state trademark protections in others. Nonetheless, our success depends upon other areas of our business such as product development and design, production and marketing and not exclusively upon trademarks, patents and trade secrets. The Company also licenses certain intellectual property to and from third parties for the manufacture and sale of consumer products.</w:t>
      </w:r>
    </w:p>
    <w:p>
      <w:pPr>
        <w:spacing w:after="0" w:line="194"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the Company became licensed to cultivate cannabis, we have developed proprietary cultivation techniques. The Company has also developed certain proprietary intellectual property for operating hydrocarbon extraction, carbon dioxide extraction, ethanol extraction and solventless extraction, including production best practices, procedures and methods. This requires specialized skills in cultivation, extraction and refining.</w:t>
      </w:r>
    </w:p>
    <w:p>
      <w:pPr>
        <w:spacing w:after="0" w:line="17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Company relies on its code of conduct agreements to protect its intellectual property rights. To the extent that the Company describes or discloses its proprietary cultivation or extraction techniques in its applications for cultivation or processing licenses, the Company redacts or requests redaction of such information prior to public disclosure.</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 commercially reasonable, we will seek (or will require RYM to seek) further U.S. patent protection on other eligible products and services. The Company owns several website domains, including www.gtigrows.com, numerous social media accounts across major platforms, and various phone and web application platforms.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has successfully registered over 200 trademarks (approximately two-thirds of which of which have now been sold to RYM) across the United States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utilize joint ventures and make equity investments in non-affiliated third parties to both comply with state regulatory requirements in certain states and advance our mission to promote a more equitable, diverse cannabis industry. Partnering with one or more non-affiliated third parties provides the Company with the opportunity to mitigate certain operational and financial risks while ensuring continued compliance with the applicable regulatory guidelines. As of December 31, 2025, the Company holds minority interests in several non-affiliated third parties for the operation of dispensaries in Connecticut and Massachusetts, as well as the production, distribution and development of various products. None of these investments or ventures are material to the Company.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liquidity and Capital Resources, see Item 7—“Management’s Discussion and Analysis of Financial Condition and Results of Operations.”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2025, Green Thumb employs approximately 5,000 team members including corporate, retail and cultivation and processing, both full- and part-time employees, and including but not limited to: finance and accounting, legal and compliance, supply chain and operations, sales and marketing, commercial and cannabis agriculture, chemists, customer service, construction and project management, real estate, information technology and human resources. We offer a comprehensive package of company-sponsored benefits to our team. Eligibility depends on the full-time or part-time status, employee location and other factors, and benefits include participation in a 401(k) retirement savings plan, medical and dental plans, disability insurance, employee assistance programs and life insurance. Additionally, we believe in aligned incentives and use our employee stock and incentive plan for a competitive total rewards program.</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employees are split across the Company approximately as follows: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Cultivation and Processing: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approximately 1,000 of our employees at various cultivation and retail facilities have elected to be represented by a labor organization for purposes of collective bargaining.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Competitive Conditions and the Company’s Position in the Industry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markets in which the Company distributes its products and operates retail stores are highly competitive. Some of those markets have relatively high barriers to entry due to the licensing requirements. The Company competes directly with other cannabis producers and retailers, some of which operate only in a specific market and some of which operate across several U.S. markets. More broadly, Green Thumb views manufacturers of other consumer products, such as consumable hemp, including consumable hemp-derived tetrahydrocannabinol (“THC”) variants such as Delta-8 THC and, Delta-9 THC (“hemp-derived THC products”) as direct competitors. In addition, the Company experiences significant competition for its product from illicit operators who are not licensed pursuant to state cannabis laws and regulations, Product quality, performance, new product innovation and development, packaging, customer experience and consumer price/value are important differentiating factors.</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Company faces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Some of the manufacturing and retail competitors in our markets consist of localized businesses (i.e. doing business in only a single state market). There are also multistate operators with whom the Company competes directly in several of the Company’s operating markets. Aside from this direct competition, out-of-state operators that are capitalized well enough to enter these markets through acquisitions are also part of the competitive landscape. Similarly, as the Company executes its national U.S. growth strategy, operators in any state markets we may enter in the future will inevitably become direct competitors.</w:t>
      </w:r>
    </w:p>
    <w:p>
      <w:pPr>
        <w:spacing w:after="0" w:line="19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Because of the early stage of the industry in which the Company operates, the Company faces additional competition from new entrants. If the number of consumers of medical and adult-use cannabis in the states in which the Company operates its business increases, the demand for products will increase and the Company expects that competition will become more intense, as current and future competitors begin to offer an increasing quantity and variety of diversified products. To remain competitive, the Company will require a continued high level of investment in research and development, marketing, sales and customer support. The Company may not have sufficient resources to maintain research and development, marketing, sales and customer support efforts on a competitive basis, which could materially and adversely affect the business, financial condition and results of its operations.</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Moreover, markets across the United States have seen the widespread proliferation of hemp-derived THC products. While the Agricultural Improvement Act of 2018 (the “2018 Farm Bill”) both defined and legalized hemp under federal law, the subsequent use of hemp to make THC consumer products was reportedly not anticipated by legislators. Those products are similar in composition to certain state-legal and federally illegal cannabis consumer products, but are not controlled substances and thus can be shipped via interstate commerce. Their legal status at the federal level also means that they do not fall under the same state regulatory schemes or have the same heavy tax burdens that state legal cannabis products do. As the industry expanded, lawmakers at the state level have begun to regulate such products, including with age limits and manufacturing standards; however, federal, state, and local lawmakers have also raised concerns about minors’ access to some of these products, inadequate testing, and the need for more consistent regulations governing the manufacturing, marketing, testing, sale, and transportation of hemp-derived THC products. As a result, some states have passed laws regulating, restricting or prohibiting hemp-derived THC products.</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Passed on November 12, 2025, the Continuing Appropriations and Extensions Act of 2026 (H.R. 5371) (the “2026 Appropriations Act”), includes a provision (section 781) to amend the definition of hemp in the 2018 Farm Bill to effectively prohibit the currently commercialized hemp-derived THC products, although the change does not become effective until November 12, 2026. Efforts are underway to repeal, replace, or delay this amendment, but whether any change will occur is uncertain.</w:t>
      </w:r>
    </w:p>
    <w:p>
      <w:pPr>
        <w:spacing w:after="0" w:line="39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Given the pricing differential, the absence of the application of Section 280E of the U.S. Internal Revenue Code, as amended (“Section 280E”) and state cannabis excise taxes, the continued proliferation of unregulated hemp-derived THC products through unlicensed distribution points could ultimately alter certain elements of the current U.S. cannabis market, at least in the short term. It is unclear how the states, many of which have promulgated regulations permitting the sale and/or production of these products, will respond to federal prohibition. If federal prohibition becomes effective in November 2026, however, the potential impact of hemp-derived THC products on the cannabis market could be blunted.</w:t>
      </w:r>
    </w:p>
    <w:p>
      <w:pPr>
        <w:spacing w:after="0" w:line="183" w:lineRule="exact"/>
        <w:rPr>
          <w:sz w:val="20"/>
          <w:szCs w:val="20"/>
          <w:color w:val="auto"/>
        </w:rPr>
      </w:pPr>
    </w:p>
    <w:p>
      <w:pPr>
        <w:ind w:right="380" w:firstLine="749"/>
        <w:spacing w:after="0" w:line="257" w:lineRule="auto"/>
        <w:rPr>
          <w:sz w:val="20"/>
          <w:szCs w:val="20"/>
          <w:color w:val="auto"/>
        </w:rPr>
      </w:pPr>
      <w:r>
        <w:rPr>
          <w:rFonts w:ascii="Times New Roman" w:cs="Times New Roman" w:eastAsia="Times New Roman" w:hAnsi="Times New Roman"/>
          <w:sz w:val="18"/>
          <w:szCs w:val="18"/>
          <w:color w:val="auto"/>
        </w:rPr>
        <w:t>Finally, Green Thumb views manufacturers of other consumer products, such as those in the pharmaceuticals, alcohol, tobacco, health and beauty, and functional wellness industries, as potential competitors. On December 18, 2025, President Trump issued an Executive Order directing that cannabis be rescheduled from Schedule I to Schedule III (which we refer to as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t>“rescheduling”). The Order directs the Attorney General to “take all necessary steps to complete the rulemaking process related to rescheduling marijuana to Schedule III of the Controlled Substances Act in the most expeditious manner.” Rescheduling may have far reaching implications that are not yet fully understood. For example, rescheduling may increase competitors in this space if non-cannabis companies who have previously avoided the space now decide to enter the market or compete through alternative pathways. Such other companies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1A—“Risk Factors” for more information with respect to competition.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Cannabis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Below is a discussion of the federal and state-level regulatory regimes in the jurisdictions where the Company is currently operating through its subsidiaries.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illegality of Cannabis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U.S. federal government regulates drugs through the Controlled Substances Act (21 U.S.C. § 811), which places controlled substances, including cannabis, in a schedule. Cannabis is currently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 Despite the federal prohibition,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w:t>
      </w:r>
    </w:p>
    <w:p>
      <w:pPr>
        <w:spacing w:after="0" w:line="19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(which will continue even if rescheduling occurs), cannabis businesses are subject to inconsistent laws and regulations. The federal government has expressly chosen to deprioritize and forgo prosecution of cannabis companies, or those who do business with them, for activities that are in compliance with state law. In 2013, Deputy Attorney General James Cole issued a memorandum (the "Cole Memorandum") providing that the Department of Justice (“DOJ”) should not prioritize prosecuting conduct in compliance with state cannabis laws. Although the Cole Memorandum was rescinded in 2018, the federal government has maintained this policy of nonenforcement.</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October 2022, President Joseph R. Biden, announced that cannabis scheduling under federal law would be reviewed, noting that cannabis is scheduled as more dangerous than fentanyl and methamphetamine, two substances that are driving an overdose epidemic in the country. In October 2022, President Biden also announced a mass pardon of persons who had been convicted of simple marijuana possession under federal law. In December 2022, President Biden signed the Medical Marijuana and Cannabidiol Research Expansion Act into law, which provides for significantly broader opportunities to study cannabis.</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August 29, 2023, and in response to President Biden’s directive to review cannabis’s scheduling, the Department of Health and Human Services (“HHS”) formally presented its recommendation to the Drug Enforcement Administration (“DEA”) that cannabis be rescheduled to Schedule III from Schedule I. Section 280E does not apply to those trafficking in Schedule III controlled substances. The process to reschedule was initiated but stalled in January 2025 when the Administrative Law Judge issued an order canceling the scheduled hearing on the topic. On December 18, 2025, President Trump issued an Executive Order directing the Attorney General to “take all necessary steps to complete the rulemaking process related to rescheduling marijuana to Schedule III of the Controlled Substances Act in the most expeditious manner.” While rescheduling would likely have far reaching, though not yet fully understood, implications, it will not immediately impact the legal status of the state cannabis programs under which the Company operates.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an industry best practice, the Company continues to employ the policies to ensure compliance with state laws and the prior guidance provided by the Cole Memorandum, including:</w:t>
      </w:r>
    </w:p>
    <w:p>
      <w:pPr>
        <w:spacing w:after="0" w:line="270" w:lineRule="exact"/>
        <w:rPr>
          <w:sz w:val="20"/>
          <w:szCs w:val="20"/>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our subsidiaries’ operations are believed to be materially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w:t>
      </w:r>
    </w:p>
    <w:p>
      <w:pPr>
        <w:spacing w:after="0" w:line="28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cannabis-related activities adhere to the scope of the licensing obtained - for example, in states where only medical cannabis is permitted, the products are only sold to patients who hold the appropriate medical licensing to permit the possession of cannabis; in states where cannabis is permitted for adult-use, the products are only sold to individuals who meet the requisite age requirements;</w:t>
      </w:r>
    </w:p>
    <w:p>
      <w:pPr>
        <w:spacing w:after="0" w:line="28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subsidiaries must pass a range of requirements, adhere to strict business practice standards and be subject to strict regulatory oversight to ensure that no revenue is distributed to criminal enterprises, gangs or cartels;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 w:name="page14"/>
    <w:bookmarkEnd w:id="13"/>
    <w:p>
      <w:pPr>
        <w:jc w:val="both"/>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 inventory tracking system and necessary procedures to help ensure that such compliance system is effective in tracking inventory and preventing diversion of cannabis or cannabis products, and we employ strict customer identification protocols to prevent sales to minors;</w:t>
      </w:r>
    </w:p>
    <w:p>
      <w:pPr>
        <w:spacing w:after="0" w:line="28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state-authorized cannabis business activity is not used as a cover or pretense for trafficking of other illegal drugs, and we are not engaged in any other illegal activity; and</w:t>
      </w:r>
    </w:p>
    <w:p>
      <w:pPr>
        <w:spacing w:after="0" w:line="269"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reviews of products and product packaging to ensure that such products and product packaging comply with applicable regulations and contain necessary disclaimers about the contents of the products.</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There have been efforts at reforming federal cannabis law. As of December 31, 2025, there were more than a dozen proposed congressional bills addressing a myriad of issues regarding the cannabis industry, from banking and tax reform to full legalization. However, none have passed into law.</w:t>
      </w:r>
    </w:p>
    <w:p>
      <w:pPr>
        <w:spacing w:after="0" w:line="16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There does exist a legislative safeguard for the medical cannabis industry, appended to the federal budget bill. For each year since 2015, Congress has adopted a so-called “rider” provision to the Consolidated Appropriations Acts (formerly referred to as the Joyce Amendment and currently referred to as the Rohrabacher-Blumenauer Amendment) to prevent the federal government from using congressionally appropriated funds to enforce federal law against regulated medical cannabis actors operating in compliance with state and local law. The rider has been consistently renewed and is included in the Commerce-Justice-Science (CJS) appropriations package for 2026 (H.R. 6938), which has passes the House of Representatives but is still awaiting a vote in the Senate. If passed with the rider intact, it will continue to be effective through September 30, 2026.</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cannabis is removed from the Controlled Substances Act completely (by descheduling), there is a risk that federal authorities will enforce current U.S. federal law criminalizing cannabis.</w:t>
      </w:r>
    </w:p>
    <w:p>
      <w:pPr>
        <w:spacing w:after="0" w:line="189"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Law and Ability to Access Public and Private Capital</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services to businesses involved in the cannabis industry and U.S. multistate operators are currently not permitted to list securities on the U.S. securities exchanges. Consequently, it may be difficult for us to obtain financing from large U.S. financial institutions.</w:t>
      </w:r>
    </w:p>
    <w:p>
      <w:pPr>
        <w:spacing w:after="0" w:line="176"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and state-chartered financial institutions. Our executive team and members of our Board of Directors (our or the “Board”) also have extensive relationships with sources of capital (such as funds and high net worth individuals).</w:t>
      </w:r>
    </w:p>
    <w:p>
      <w:pPr>
        <w:spacing w:after="0" w:line="176"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addition to our working capital, we continue to generate adequate cash to fund our operations from capital raising transactions. Our business plan continues to include growth, in the form of acquisitions and through facility expansion and improvements.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However, there can be no assurance that additional financing will be available to us when needed or on terms that are acceptable.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Restricted Access to Banking and Other Financial Services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Networks, which we refer to as “FinCEN”, issued the FinCEN Memorandum on February 14, 2014, outlining the pathways for financial institutions to back cannabis businesses in compliance with federal enforcement priorities. These guidelines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Despite the recission of the Cole Memorandum, the FinCEN guidelines are still in effect. Under these guidelines, financial institutions must submit a Suspicious Activity Report in connection with all cannabis-related banking activities by any client of such financial institution, in accordance with federal money laundering laws.</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March 7, 2019, Democratic U.S.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but it has not passed in the U.S. Senate. On September 27, 2023, the Senate Banking Committee did pass its own version, the SAFER Banking Act on a bipartisan vote of 14-9. While the bill has yet to be brought to the Senate floor, the committee vote represents the first occasion a Senate Committee has successfully passed cannabis banking legislation. The bills face an uncertain future in the current House of Representatives, the Senate and under President Trump. There can be no assurance that the SAFE Banking Act, the SAFER Banking Act, or any similar legislation will be passed as previously proposed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Cannabis Law</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conflict with federal law. Although certain states and territories of the U.S. authorize medical and/or adult-use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materially compliant with applicable state and local laws, strict compliance with state and local laws with respect to cannabis may neither absolve the Company of liability under U.S. federal law, nor may it provide an absolute defense to any federal proceeding that may be brought against the Company.</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Eight additional states have legalized forms of low-potency cannabis, for select medical conditions. Only two states continue to prohibit cannabis entirely. In 2025, at least three ballot initiatives (Arizona, Massachusetts and Maine) were introduced to repeal all or some portion of each state's laws permitting adult use sales.</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risk of federal enforcement and other risks associated with the Company's business are described in Item 1A—“Risk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Medical-Only Markets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All of the medical-only markets in which the Company does business (Florida and Pennsylvania) have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has a legal adult-use market (including Illinois, California, Connecticut, Maryland, Massachusetts, Minnesota, Nevada, New Jersey, New York, Ohio and Rhode Island) has regulations specifying which medical conditions qualify a patient for a license to purchase cannabis, and generally require the approval from a physician.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Adult-Use Markets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has adult-use operations in California, Connecticut, Illinois, Maryland, Massachusetts, Minnesota, Nevada, New Jersey, New York, Ohio and Rhode Island. Many of the adult-use markets in which the Company operates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Purchasers of adult-use cannabis generally are subject to higher sales taxes than those that apply to purchasers who are authorized for medical purposes. However, anecdotal evidence suggests that some consumers who meet the criteria to apply for medical licenses make adult-use purchases and avoid pursuing a state’s medical registration/qualification process.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States Where We Operate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of federal enforcement and other risks associated with the Company’s business are described in Item 1A—“Risk Factors.”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Cannabis Market at State and Local Level</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Each state in which we operate specifies the types of cannabis licenses that are required for the various activities in which we engage. There are three primary types of licenses: cultivation, processing, and retail/dispensary. Cultivation licenses generally permit the holder to acquire and cultivate cannabis and sell that cannabis to dispensaries or processors. Some states allow cultivation license holders to process cannabis into cannabis-infused products as well, while other states require a separate processing license for this activity. Retail dispensary licenses permit the holder to purchase cannabis from cultivation or processing facilities and sell those products to individuals approved under their state’s medical cannabis program or, where adult-use is permitted, to adults over the age of 21. Additionally, states may have additional license types for distribution, such as transporter licenses in Illinois, testing lab license or micro-licenses that are generally only available to certain protected classes of applicants. Finally, some states require a separate license for each activity, while others issue a single vertically integrated license that allows the holder to cultivate, process, and sell cannabis.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California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California was the first state to legalize medical cannabis through Proposition 215, the Compassionate Use Act of 1996.</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September 2015, the California legislature passed three bills collectively known as the Medical Cannabis Regulation and Safety Act. In November 2016, voters in California overwhelmingly passed Proposition 64, the Adult-Use of Marijuana Act creating an adult-use cannabis program for adults 21 years of age or older. The Medicinal and Adult-Use Cannabis Regulation and Safety Act, which provides for a single set of regulations to govern a medical and adult-use licensing went into effect on January 1, 2018.</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California License and Regulations</w:t>
      </w:r>
    </w:p>
    <w:p>
      <w:pPr>
        <w:spacing w:after="0" w:line="22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w:t>
      </w: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right="440"/>
        <w:spacing w:after="0" w:line="282" w:lineRule="auto"/>
        <w:rPr>
          <w:sz w:val="20"/>
          <w:szCs w:val="20"/>
          <w:color w:val="auto"/>
        </w:rPr>
      </w:pPr>
      <w:r>
        <w:rPr>
          <w:rFonts w:ascii="Times New Roman" w:cs="Times New Roman" w:eastAsia="Times New Roman" w:hAnsi="Times New Roman"/>
          <w:sz w:val="18"/>
          <w:szCs w:val="18"/>
          <w:color w:val="auto"/>
        </w:rPr>
        <w:t>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order to legally operate a medical or adult-use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2021, we opened our first California retail operation in Pasadena. We follow all regulatory requirements regarding the reporting of inventory movement and sale, as well as all other data reporting and record retention requirements mandated by California.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Connecticut</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Connecticut’s medical cannabis program was introduced in May 2012 when the General Assembly passed legislation PA 12-55 “An Act Concerning the Palliative Use of Marijuana,” providing for the use of cannabis in the state by approved patients with written consent from a physician or advanced practice nurse. In June 2021, PA 21-1 was signed into law, legalizing adult-use cannabis as of July 1, 2021. On July 1, 2021, PA 21-1 went into effect, allowing for the purchase and use of cannabis by any adult over the age of 21. The first adult-use sales in the state began in January 2023.</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Connecticut Licenses and Regulations</w:t>
      </w:r>
    </w:p>
    <w:p>
      <w:pPr>
        <w:spacing w:after="0" w:line="227"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Connecticut Department of Consumer Protection has issued regulations regarding the Medical Marijuana and Adult-use Programs in Connecticut.</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two principal medical cannabis license categories in Connecticut: (1) cultivation/processing and (2) dispensary. We are licensed to operate one hybrid adult-use/medical cannabis cultivation/processing facility, one medical cannabis dispensary and two hybrid adult-use/medical cannabis dispensaries. All licenses are, as of the date hereof, active with the State of Connecticut. Each facility licensee is independently issued.</w:t>
      </w:r>
    </w:p>
    <w:p>
      <w:pPr>
        <w:spacing w:after="0" w:line="176"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Connecticut.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Florida</w:t>
      </w:r>
    </w:p>
    <w:p>
      <w:pPr>
        <w:spacing w:after="0" w:line="225"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2016, the Florida Medical Marijuana Legalization Initiative was introduced by citizen referendum and passed on November 8, 2016. This language, known as “Amendment 2,” amended the state constitution and mandated an expansion of the state’s medical cannabis program, which was previously limited to patients suffering from a diagnosed terminal condition.</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Florida Licenses and Regulations</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There is one principal license category in Florida: the vertically-integrated Medical Marijuana Treatment Centers (“MMTC”) license. Licenses are issued by the Florida Department of Health, Office of Medical Marijuana Use, and license holders can only own one license. There is no limit on the number of facilities that can be operated under an MMTC license. We currently are approved to operate two medical cannabis cultivation/processing facilities and twenty-two medical cannabis dispensaries under our single MMTC license. All operating facilities are, as of the date hereof, active with the State of Florida.</w:t>
      </w:r>
    </w:p>
    <w:p>
      <w:pPr>
        <w:spacing w:after="0" w:line="183"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As our operations in Florida are vertically integrated, we are able to cultivate, harvest, process and sell/dispense/deliver our own medical cannabis products.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Florida.</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2013, the Illinois General Assembly passed the Compassionate Use of Medical Cannabis Pilot Program Act, which went into effect on January 1, 2014, allowing the use of cannabis in the state by approved patients with written medical consent. In June 2019, the Governor signed the Cannabis Regulation and Tax Act, legalizing cannabis for adult-use, and the law went into effect on June 25, 2019. Adult-use sales of cannabis began in the state on January 1, 2020.</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Illinois Licenses and Regulations</w:t>
      </w:r>
    </w:p>
    <w:p>
      <w:pPr>
        <w:spacing w:after="0" w:line="227" w:lineRule="exact"/>
        <w:rPr>
          <w:sz w:val="20"/>
          <w:szCs w:val="20"/>
          <w:color w:val="auto"/>
        </w:rPr>
      </w:pPr>
    </w:p>
    <w:p>
      <w:pPr>
        <w:ind w:right="440" w:firstLine="749"/>
        <w:spacing w:after="0" w:line="256" w:lineRule="auto"/>
        <w:rPr>
          <w:sz w:val="20"/>
          <w:szCs w:val="20"/>
          <w:color w:val="auto"/>
        </w:rPr>
      </w:pPr>
      <w:r>
        <w:rPr>
          <w:rFonts w:ascii="Times New Roman" w:cs="Times New Roman" w:eastAsia="Times New Roman" w:hAnsi="Times New Roman"/>
          <w:sz w:val="18"/>
          <w:szCs w:val="18"/>
          <w:color w:val="auto"/>
        </w:rPr>
        <w:t>There are four principal license categories in Illinois: (1) cultivation (which includes processing); (2) infusing; (3) transportation; and (4) dispensary. Dispensaries are regulated by the Illinois Department of Financial and Professional Regulation; the remainder are regulated by the Illinois Department of Agriculture. Licenses are independently issued for each approved activity for use at our facilities in Illinois. We have two cultivation facilities operating under two cultivation licenses. We have 10 operating dispensaries, which is the statutory cap, operating under 15 total licenses (10 adult-use dispensary licenses and 5 medical dispensary licenses). By applicable law, we are not permitted to add medical dispensary licenses to the 5 locations that only have adult-use sales.</w:t>
      </w:r>
    </w:p>
    <w:p>
      <w:pPr>
        <w:spacing w:after="0" w:line="18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Illinois.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2014, the Maryland legislature passed HB 881/SB 923, establishing a comprehensive medical cannabis program and the program became operational on December 1, 2017.</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2023, the Cannabis Reform Act, which authorized the production and sale of adult-use cannabis was signed into law and adult-use sales in Maryland began on July 1, 2023. The Cannabis Reform Act also established the Maryland Cannabis Administration to oversee and regulate Maryland’s cannabis program and to issue additional grower, processor, and dispensary licenses, and newly created micro-grower, micro-processor, micro-dispensary, incubator, and on-site consumption licenses over two licensing application rounds.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Maryland Licenses and Regulations</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Maryland, all administered by the Maryland Cannabis Administration: (1) cultivation; (2) processing; and (3) dispensary. There is generally no distinction between medical and adult-use licenses. We own one cultivation license, one processing license and four retail dispensary licenses. All licenses are, as of the date hereof, active with the State of Maryland. The licenses are independently issued for each approved activity.</w:t>
      </w:r>
    </w:p>
    <w:p>
      <w:pPr>
        <w:spacing w:after="0" w:line="180"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Maryland.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225"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Massachusetts legalized medical cannabis when voters passed a ballot initiative in 2012. The law took effect on January 1, 2013. Adult-use cannabis became legal in Massachusetts as of December 15, 2016, following a ballot initiative in November 2016.</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Massachusetts Licenses and Regulations</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is one principal medical cannabis license category in Massachusetts: a vertically integrated Medical Marijuana Treatment Center (“MTC”) license. MTCs grow, process and dispense their own cannabis. On the adult-use side, there are many license categories, but the two principal ones are Marijuana Cultivator and Marijuana Establishment (dispensary).</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Cannabis Control Commission oversees the medical and adult-use programs, including licensing of cultivation, processing and dispensary facilities. Licensed medical dispensaries are given priority status in adult-use licensing.</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have two MTCs in Massachusetts, which include two medical cultivation facilities and two medical retail dispensaries. We have three adult-use dispensaries and one adult-use cultivation center.</w:t>
      </w: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Massachusetts.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Minnesota</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2014, Minnesota created a medical cannabis program for patients with qualifying medical conditions upon physician, physician assistant or nurse practitioner recommendation.</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2022, Minnesota made changes to a hemp statute (Minn. Stat. 151.72), permitting the sale of “low-dose” hemp-derived THC products, including edibles, beverages, and topicals, in retail outlets like grocery and convenience stores upon licensure from the State. On June 6, 2023, Minnesota Governor Tim Walz signed the Minnesota Adult Use Cannabis Act creating a framework for adult-use legalization and establishing the Office of Cannabis Management (OCM), which is responsible for regulating cannabis and hemp. Retail sales of cannabis under the adult-use statute began in September 2025.</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Minnesota License and Regulations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four principal categories of medical cannabis licenses in Minnesota: (1) medical cannabis cultivator; (2) medical cannabis processor;</w:t>
      </w:r>
    </w:p>
    <w:p>
      <w:pPr>
        <w:spacing w:after="0" w:line="27" w:lineRule="exact"/>
        <w:rPr>
          <w:sz w:val="20"/>
          <w:szCs w:val="20"/>
          <w:color w:val="auto"/>
        </w:rPr>
      </w:pPr>
    </w:p>
    <w:p>
      <w:pPr>
        <w:jc w:val="both"/>
        <w:ind w:right="60" w:firstLine="8"/>
        <w:spacing w:after="0" w:line="226" w:lineRule="exact"/>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cannabis retailer; and (4) medical cannabis combination business license. For adult-use cannabis, Minnesota authorizes multiple license types, including cultivator, manufacturer, retailer, wholesaler, transporter, testing laboratory, and integrated models such as microbusiness and mezzobusiness, as well as other event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or specialized licenses established by rule.</w:t>
      </w:r>
    </w:p>
    <w:p>
      <w:pPr>
        <w:spacing w:after="0" w:line="170"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main regulatory body for medical and adult-use cannabis is the Office of Cannabis Management, which is responsible for rulemaking, licensing, compliance, and enforcement statewide.</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we have one cultivation and processing facility and eight operating licensed dispensaries serving both medical and adult use customers in Minnesota.</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Minnesota.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Nevada</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Nevada became a medical cannabis state in 2001. In 2013, the Nevada legislature passed SB374, providing for state licensing of medical cannabis establishments. On November 8, 2016, Nevada voters passed NRS 435D by ballot initiative allowing for the sale of cannabis for adult-use starting on July 1, 2017. On June 12, 2019, the laws were revised, creating the Nevada Cannabis Compliance Board to oversee administration of the program. These laws also provided that each cannabis establishment must obtain a license from its local jurisdiction as well as the state.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Nevada Licenses and Regulations</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Nevada Cannabis Compliance Board is the primary regulator of cannabis in Nevada. There are three principal license categories in Nevada: (1) cultivation; (2) processing; and (3) dispensary. We are licensed to operate two medical and adult-use cultivation facilities, three medical and adult-use processing facilities, five medical dispensaries and up to thirteen adult-use retail locations of which 11 are active. All licenses are, as of the date hereof, active with the State of Nevada. The licenses are independently issued for each approved activity for use at our facilities in Nevada.</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Nevada.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225"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On January 18, 2010, the governor of New Jersey signed into law S.119, the Compassionate Use Medical Marijuana Act, providing for permitting the use of medical cannabis with physician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On July 2, 2019, the governor of New Jersey signed the Jake Honig Compassionate Use Medical Cannabis Act into law, which amended the Compassionate Use Medical Marijuana Act to allow for additional license types.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After voters approved a ballot measure in November 2019, the governor of New Jersey signed three bills into law in 2021 that establish an adult-use program for adults who are at least 21 years old. New Jersey began adult-use sales on April 1, 2022.</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New Jersey Licenses and Regulations</w:t>
      </w:r>
    </w:p>
    <w:p>
      <w:pPr>
        <w:spacing w:after="0" w:line="22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New Jersey Cannabis Regulatory Commission is responsible for regulating cannabis in New Jersey. License types in New Jersey include vertically integrated medical Alternative Treatment Centers and medical or adult-use cultivator, dispensary, and manufacturer licenses.</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licensed to operate two adult-use/medical cultivation facilities, one of which is co-located with a processing facility, one retail medical cannabis dispensary and two retail adult-use/medical dispensaries in the state of New Jersey. All licenses are, as of the date hereof, active with the State of New Jersey. The licenses are independently issued for each approved activity at our facilities in New Jersey.</w:t>
      </w:r>
    </w:p>
    <w:p>
      <w:pPr>
        <w:spacing w:after="0" w:line="17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Jersey.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York</w:t>
      </w:r>
    </w:p>
    <w:p>
      <w:pPr>
        <w:spacing w:after="0" w:line="225"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In July 2014, the New York Legislature and Governor enacted the Compassionate Care Act to provide a comprehensive, safe and effective medical cannabis program. The Compassionate Care Act provides access to the program for those who suffer from qualifying conditions and have a physician’s recommendation.</w:t>
      </w:r>
    </w:p>
    <w:p>
      <w:pPr>
        <w:spacing w:after="0" w:line="176"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In 2021, the Marijuana Regulation and Tax Act (“MRTA”) was signed into law. The MRTA legalized adult-use cannabis and established the New York Office of Cannabis Management.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New York Licenses and Regulations</w:t>
      </w:r>
    </w:p>
    <w:p>
      <w:pPr>
        <w:spacing w:after="0" w:line="22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Office of Cannabis Management is the regulatory agency that oversees the adult-use and medical cannabis program in New York. There is currently one principal medical license category in New York: Registered Organization (a vertically integrated license).</w:t>
      </w:r>
    </w:p>
    <w:p>
      <w:pPr>
        <w:spacing w:after="0" w:line="16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hold a Registered Organization Adult-use Cultivator Processor Distributor Retail Dispensary (“ROD”) license. Under our ROD license, we operate one cultivation/manufacturing facility and five medical cannabis dispensaries. Three of our medical dispensaries also have co-located adult-use sales. Under the MRTA we may open an additional four medical dispensaries. All operating facilities are, as of the date hereof, active with the State of New York.</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York.</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House Bill 523, effective on September 8, 2016, legalized medical cannabis in Ohio. The Ohio Medical Marijuana Control Program allows people with certain medical conditions, upon the recommendation of an Ohio-licensed physician certified by the State Medical Board, to purchase and use medical cannabis.</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November 7, 2023, Ohio voters legalized adult-use cannabis by ballot measure. The law established the Division of Cannabis Control within the Department of Commerce to oversee and regulate the adult-use market. The first licensed adult use sales began on August 6, 2024.</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8"/>
          <w:szCs w:val="18"/>
          <w:i w:val="1"/>
          <w:iCs w:val="1"/>
          <w:color w:val="auto"/>
        </w:rPr>
        <w:t>Ohio License and Regulations</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Ohio: (1) cultivation; (2) processing; and (3) dispensary. We are licensed to operate one cannabis cultivation facility, one cannabis processing facility and six dual medical/adult-use cannabis dispensaries, with the ability to open two more adult-use dispensaries, which is the statutory limit. All licenses are, as of the date hereof, active with the State of Ohio. The licenses are independently issued for each approved activity for use at our facilities in Ohio.</w:t>
      </w:r>
    </w:p>
    <w:p>
      <w:pPr>
        <w:spacing w:after="0" w:line="18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three following state government agencies are responsible for the operation of Ohio’s Medical Marijuana Control Program: (1) the Ohio Department of Commerce oversees medical cannabis cultivators, processors and testing laboratories; (2) the State of Ohio Board of Pharmacy oversees medical cannabis retail dispensaries, the registration of medical cannabis patients and caregivers, the approval of new forms of medical cannabis and coordinating the Medical Marijuana Advisory Committee; and (3) the State Medical Board of Ohio certifies physicians to recommend medical cannabis and may add to the list of qualifying conditions for which medical cannabis can be recommended. The Department of Commerce’s Division of Cannabis Control oversees and regulates the adult-use market.</w:t>
      </w:r>
    </w:p>
    <w:p>
      <w:pPr>
        <w:spacing w:after="0" w:line="18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Ohio.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Pennsylvania</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Pennsylvania medical cannabis program was signed into law on April 17, 2016, under Act 16 and provided access to state residents with qualifying conditions.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Pennsylvania Licenses and Regulations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All cultivation/processing establishments and dispensaries are regulated by the Pennsylvania Department of Health.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cultivation/processing establishments and dispensaries must register with the Pennsylvania Department of Health.</w:t>
      </w:r>
    </w:p>
    <w:p>
      <w:pPr>
        <w:spacing w:after="0" w:line="22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Pennsylvania.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Rhode Island</w:t>
      </w:r>
    </w:p>
    <w:p>
      <w:pPr>
        <w:spacing w:after="0" w:line="225"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Rhode Island legalized medical cannabis in 2006. Under this law, Rhode Island offers medical cannabis registration cards for patients with qualifying conditions and physician approval.</w:t>
      </w:r>
    </w:p>
    <w:p>
      <w:pPr>
        <w:spacing w:after="0" w:line="162"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After a successful ballot measure, Rhode Island’s governor signed two measures into law in May of 2022 approving sales in the state for adults who are at least 21 years old. Adult-use sales commenced on December 1, 2022 for the five licensed medical cannabis compassion centers which were approved for hybrid retail licenses. These hybrid retail licenses allow the centers to sell both medical and adult-use cannabis products in retail settings.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Rhode Island Licensure and Regulations</w:t>
      </w:r>
    </w:p>
    <w:p>
      <w:pPr>
        <w:spacing w:after="0" w:line="20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There are two categories of medical cannabis licensure in Rhode Island: compassion center (which includes cultivation and dispensary) and cultivator. The program is overseen by the Rhode Island Department of Business Regulation, Office of Cannabis Regulation.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hold a compassion center license, which allows adult use cultivation and sales.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3" w:right="419" w:bottom="1440" w:gutter="0" w:footer="0" w:header="0"/>
        </w:sectPr>
      </w:pPr>
    </w:p>
    <w:bookmarkStart w:id="21" w:name="page22"/>
    <w:bookmarkEnd w:id="21"/>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After the passage of Rhode Island’s adult-use law in 2022, existing operators became eligible to receive hybrid licenses, allowing them to cultivate and/or sell cannabis to adults ages 21 and over. The Cannabis Control Commission oversees the regulation, licensing enforcement and control of the medical and adult-use cannabis programs.</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Rhode Island.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Virginia</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2017, Virginia passed a law that allowed patients suffering from intractable epilepsy access to CBD or THC-A oil. In 2018, this law was significantly expanded, which allowed any medical condition to qualify with state-certified physician, nurse practitioner or physician assistant recommendation. The next year, the law was amended to allow for higher potency THC. In February 2021, a law was passed that would legalize cannabis for adult-use in Virginia. However certain provisions of this law were only effective if reenacted, which has not happened. A new legislative framework has been developed by a state commission and is expected to be introduced in the upcoming 2026 legislative session. Governor-elect Abigail Spanberger has pledged to sign the legislation. The earliest date that legal adult use sales could commence is November 2026.</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Virginia License and Regulations</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There are currently two principal license categories in Virginia: (1) pharmaceutical processing and (2) dispensing. The primary regulatory body for cannabis is the Virginia Cannabis Control Authority.</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two license types in Virginia are (i) pharmaceutical processor and (ii) cannabis dispensing facility. A cannabis dispensing facility is owned, at least in part, by a pharmaceutical processor.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one pharmaceutical processor permit and six dispensary permits. We have the right to open two more dispensaries pending regulatory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Virginia.</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License Renewal Requirements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Newly Established and Developing Legal Regimes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business activities rely on newly established and/or developing laws and regulations in the states in which we operate. These laws and regulations are rapidly evolving and subject to change with minimal notice. At least three states (Arizona, Maine and Massachusetts) have proposed ballot initiatives to repeal all or part of the state adult use cannabis programs. Regulatory changes, including potential repeals even in states where we are not active today, may adversely affect our ability to raise capital, profitability or cause us to cease operations entirely.</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Furthermore, whether cannabis is or is not rescheduled to Schedule III of the Controlled Substances Act,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 of Hemp-Based CBD &amp; THC</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Hemp products, including hemp-derived THC products, are subject to state and federal regulation with respect to the production, distribution and sale of products intended for human ingestion or topical application. Hemp is categorized as Cannabis sativa L., a subspecies of the cannabis genus. Numerous unique, chemical compounds are extractable from hemp, including CBD, THC and its various isomers (e.g., delta-8 THC, delta-9 THC, delta-10 THC, etc.), and other cannabinoids such as THC-A and THC-O (collectively, “THC Variants”). While the Company does not currently make or sell any hemp-derived THC products, the Company does invest in companies who do, and changes to regulations of these products may adversely affect the value of those investments, including in RYM. Hemp, as defined in the Farm Bill, is distinguishable from cannabis, which also comes from the Cannabis sativa L. subspecies, by its absence of more than trace amounts (0.3% or less) of the psychoactive compound Delta-9 THC.</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While the 2018 Farm Bill both defined and legalized hemp under federal law, the subsequent use of hemp to make THC consumer products was reportedly not anticipated by legislators. Those products are similar in composition to certain state-legal and federally illegal cannabis consumer products, but are not controlled substances and thus can be shipped via interstate commerce. Their quasi-legal status at the federal level also means that they do not fall under the same state regulatory schemes or have the same heavy tax burdens that state legal cannabis products do. As the industry expanded, lawmakers at the state level have begun to expressly regulate such products, including with age limits and manufacturing standards; however, federal, state, and local lawmakers have also raised concerns about minors’ easy access to some of these products, inadequate testing, and the need for more consistent regulations governing the manufacturing, marketing, testing, sale, and transportation of hemp-derived THC products. As a result, some states have passed laws regulating, restricting or prohibiting hemp-derived THC products.</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Most recently, the 2026 Appropriations Act, enacted on November 12, 2025, includes a provision (section 781) to amend the definition of hemp in the 2018 Farm Bill to effectively eliminate the currently commercialized hemp-derived THC products, although the change does not become effective for 365 days from the date of enactment. Efforts are underway to repeal, replace, or delay this amendment, but whether any change will occur is uncertain. All of this creates significant uncertainty regarding the future of hemp-derived THC products and its continuing impact of the cannabis industry.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www.gtigrows.com</w:t>
      </w:r>
      <w:r>
        <w:rPr>
          <w:rFonts w:ascii="Times New Roman" w:cs="Times New Roman" w:eastAsia="Times New Roman" w:hAnsi="Times New Roman"/>
          <w:sz w:val="18"/>
          <w:szCs w:val="18"/>
          <w:color w:val="auto"/>
        </w:rPr>
        <w:t>. Through this website, our filings with the SEC, including proxy statements annual reports on Form 10-K, quarterly reports on Form 10-Q, current reports on Form 8-K, and all exhibits and amendments to those reports, will be accessible (free of charge) as soon as reasonably practicable after materials are electronically filed with or furnished to the SEC pursuant to Section 13(a) or 15(d) of the Securities Exchange Act of 1934, as amended (the “Exchange Act”). The SEC maintains a website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that contains reports, proxy and information statements, and other information.</w:t>
      </w:r>
    </w:p>
    <w:p>
      <w:pPr>
        <w:spacing w:after="0" w:line="183"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information contained in this Form 10-K, information about the company can be found on our website and our Investor Relations website (</w:t>
      </w:r>
      <w:r>
        <w:rPr>
          <w:rFonts w:ascii="Times New Roman" w:cs="Times New Roman" w:eastAsia="Times New Roman" w:hAnsi="Times New Roman"/>
          <w:sz w:val="18"/>
          <w:szCs w:val="18"/>
          <w:u w:val="single" w:color="auto"/>
          <w:color w:val="auto"/>
        </w:rPr>
        <w:t>investors.gtigrows.com</w:t>
      </w:r>
      <w:r>
        <w:rPr>
          <w:rFonts w:ascii="Times New Roman" w:cs="Times New Roman" w:eastAsia="Times New Roman" w:hAnsi="Times New Roman"/>
          <w:sz w:val="18"/>
          <w:szCs w:val="18"/>
          <w:color w:val="auto"/>
        </w:rPr>
        <w:t>). Our Investor Relations website contains a significant amount of information about the company, including financial information, our corporate governance principles and practices, our Code of Ethical Business Conduct and other information for investors. We encourage investors to visit our website, as we frequently update and post new information about our company, and it is possible that this information could be deemed material information.</w:t>
      </w:r>
    </w:p>
    <w:p>
      <w:pPr>
        <w:spacing w:after="0" w:line="183" w:lineRule="exact"/>
        <w:rPr>
          <w:sz w:val="20"/>
          <w:szCs w:val="20"/>
          <w:color w:val="auto"/>
        </w:rPr>
      </w:pPr>
    </w:p>
    <w:p>
      <w:pPr>
        <w:ind w:firstLine="794"/>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Form 10-K do not constitute, and should not be viewed as, incorporation by reference of the information contained on, or available through, the websites. The information should not be considered a part of this Form 10-K, unless otherwise expressly incorporated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p>
    <w:p>
      <w:pPr>
        <w:spacing w:after="0" w:line="28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remains illegal under U.S. federal law, and enforcement of cannabis laws could change.</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state regulation of cannabis is uncertain.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necessary permits and authorizations.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limitations on ownership of cannabis licenses.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U.S. Food and Drug Administration or Bureau of Alcohol, Tobacco, Firearms and Explosives regulation.</w:t>
      </w:r>
    </w:p>
    <w:p>
      <w:pPr>
        <w:spacing w:after="0" w:line="10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cannabis business, we are subject to applicable anti-money laundering laws and regulations and have restricted access to banking and other financial services.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acquiring additional financing.</w:t>
      </w:r>
    </w:p>
    <w:p>
      <w:pPr>
        <w:spacing w:after="0" w:line="90"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sector and may not always succeed in complying fully with applicable regulatory requirements in all jurisdictions where we carry on business.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the illicit market as well as actual or purported 2018 Farm Bill compliant hemp products.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popularity and of consumer acceptance of our brand portfolio, which we license from a third party.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trademark protection.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cannabis business, we are subject to unfavorable U.S. tax treatment and may incur significant tax liability.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proceeds of crime statutes.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exposure to fraudulent or illegal activity.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due to industry immaturity or limited comparable, competitive or established industry best practices.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risks inherent in agricultural operations.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product liability and similar claims.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product recalls.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unfavorable publicity or consumer perception.</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rising or volatile energy costs and availability.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information technology systems and potential cyber-attacks and security breaches.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providers for numerous capabilities we depend upon to operate, and a disruption of one or more or more of these systems could adversely affect our business.</w:t>
      </w:r>
    </w:p>
    <w:p>
      <w:pPr>
        <w:spacing w:after="0" w:line="26"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voting control is concentrated.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voting control may cause unpredictability.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Subordinate Voting Shares by our shareholders in the public market may have an adverse effect on the market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price of our Subordinate Voting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Controlled Substances Act (21 U.S.C. § 811) classifies cannabis as a Schedule I controlled substance, and as such, medical and adult-use cannabis use is illegal under U.S. federal law. In those states in which the use of cannabis has been legalized, its use remains a violation of federal law pursuant to the Controlled Substances Act. Even if cannabis is re-scheduled to Schedule III under the Controlled Substances Act by executive order or legislative action, medical and adult-use cannabis would remain illegal under U.S. federal law without additional statutory changes.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Federal law regarding cannabis is a significant risk and would greatly harm our business, prospects, revenue, results of operation and financial condition.</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by governmental authorities. We are directly or indirectly engaged in the medical and adult-use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2025,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 Ten of those states legalized adult-use sales within the last five years. In 2024 and 2025, two states legalized (Nebraska) or expanded (Texas) medical cannabis access.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Despite this, our activities in the medical and adult-use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It is further possible that Department of Justice or an aggressive federal prosecutor could allege that Green Thumb Industries Inc., and members of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8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as to the position the current administration or any future administration may take on cannabis, and any administration could decide to enforce federal laws against state-regulated cannabis companies. Any enforcement of current federal cannabis laws could cause significant financial damage to us and our shareholders.</w:t>
      </w:r>
    </w:p>
    <w:p>
      <w:pPr>
        <w:spacing w:after="0" w:line="176"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 indirectly) of cannabis licenses in the United States, the listing of our securities on various stock exchanges, our financial position,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Future state regulation of cannabis is uncertain.</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For example, in 2025, citizen ballot initiatives in three states have sought to repeal all or some portion of their state’s adult-use cannabis laws.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w:t>
      </w:r>
    </w:p>
    <w:p>
      <w:pPr>
        <w:spacing w:after="0" w:line="183"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76"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and maintaining regulatory approvals can be costly and time-consuming. No assurance can be given that the Company will receive or be able to maintain the requisite licenses, permits or cards to continue operating our businesses.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local laws and ordinances could restrict the Company’s business activity. Although the Company’s operations are legal under the laws of the states in which the Company’s business operates, local governments have the ability to limit, restrict and ban cannabis businesses from operating within their jurisdiction. Land use, zoning, local ordinances and similar laws could be adopted or changed and have a material adverse effect on the Company’s business. As they amend or develop legislation and regulations, state and local regulators and legislatures may use the regulatory process to slow the growth of multistate operators like the Company, with the intent of creating increased opportunities for resident farmers and entrepreneurs, which could severely restrict our ability to operate in those jurisdictions.</w:t>
      </w:r>
    </w:p>
    <w:p>
      <w:pPr>
        <w:spacing w:after="0" w:line="18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necessary permits and authorizations.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subsidiaries may not be able to obtain or maintain the necessary licenses, permits, certificates, authorizations or accreditations to operate their respective businesses, or may only be able to do so at great cost. In addition, our subsidiaries may not be able to comply fully with the wide variety of laws and regulations applicable to the cannabis industry. Failure to comply with or to obtain the necessary licenses, permits, certificates, authorizations or accreditations could result in restrictions on a subsidiary’s ability to operate in the cannabis industry, which could have a material adverse effect on our business, financial condition or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limitations on ownership of cannabis licenses.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U.S. Food and Drug Administration or Bureau of Alcohol, Tobacco, Firearms and Explosives regulation.</w:t>
      </w:r>
    </w:p>
    <w:p>
      <w:pPr>
        <w:spacing w:after="0" w:line="229" w:lineRule="exact"/>
        <w:rPr>
          <w:sz w:val="20"/>
          <w:szCs w:val="20"/>
          <w:color w:val="auto"/>
        </w:rPr>
      </w:pPr>
    </w:p>
    <w:p>
      <w:pPr>
        <w:jc w:val="both"/>
        <w:ind w:right="340" w:firstLine="749"/>
        <w:spacing w:after="0" w:line="257"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the federal government reclassifies cannabis to a Schedule III controlled substance, it is possible that the Food and Drug Administration would seek to regulate cannabis under the Food, Drug and Cosmetics Act of 1938. Additionally, the Food and Drug Administration may issue rules and regulations, including</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7" w:name="page28"/>
    <w:bookmarkEnd w:id="27"/>
    <w:p>
      <w:pPr>
        <w:ind w:right="80"/>
        <w:spacing w:after="0" w:line="256" w:lineRule="auto"/>
        <w:rPr>
          <w:sz w:val="20"/>
          <w:szCs w:val="20"/>
          <w:color w:val="auto"/>
        </w:rPr>
      </w:pPr>
      <w:r>
        <w:rPr>
          <w:rFonts w:ascii="Times New Roman" w:cs="Times New Roman" w:eastAsia="Times New Roman" w:hAnsi="Times New Roman"/>
          <w:sz w:val="18"/>
          <w:szCs w:val="18"/>
          <w:color w:val="auto"/>
        </w:rPr>
        <w:t>good manufacturing practices, related to the growth, cultivation, harvesting and processing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Food and Drug Administration, it may have an adverse effect on the Company’s business, prospects, revenue, results of operation and financial condition.</w:t>
      </w:r>
    </w:p>
    <w:p>
      <w:pPr>
        <w:spacing w:after="0" w:line="18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investments in companies, including RYM, that produce, sell and/or market hemp-derived THC products. The Food and Drug Administration has not permitted the marketing of certain hemp-derived products, such as drinks, gummies, and other ingestible products. While the hemp-derived THC products we have invested in, to our knowledge, are not intended for use in the diagnosis, cure, mitigation, treatment, or prevention of a disease or condition, we can provide no assurance that those products or operations will be deemed in compliance with federal regulations, including those enforced by the Food and Drug Administration, which could severely impair or eliminate the value of our investments. More recently, the 2026 Appropriations Act, enacted on November 12, 2025, includes a provision (section 781) to amend the definition of hemp in the 2018 Farm Bill to effectively eliminate the currently commercialized hemp-derived THC products.</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There can be no guarantee or assurance whatsoever that the upcoming federal prohibition of hemp-derived THC products will be resolved favorably for the hemp derived products industry. Additionally, various states and municipalities have declared that the sale of certain hemp-derived products are illegal. Aggressive law enforcement against the hemp-derived products industry by federal, state or local authorities and agencies may have a material adverse effect on the value of our investments in companies that produce hemp-derived products.</w:t>
      </w:r>
    </w:p>
    <w:p>
      <w:pPr>
        <w:spacing w:after="0" w:line="176"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cannabis business, we are subject to applicable anti-money laundering laws and regulations and have restricted access to banking and other financial services.</w:t>
      </w:r>
    </w:p>
    <w:p>
      <w:pPr>
        <w:spacing w:after="0" w:line="159"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While it has not done so in the more than ten years since the FinCEN Memorandum,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8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8" w:name="page29"/>
    <w:bookmarkEnd w:id="28"/>
    <w:p>
      <w:pPr>
        <w:ind w:firstLine="749"/>
        <w:spacing w:after="0" w:line="254"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or future administrations.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“SAFE Banking Act” which has been passed by the U.S. House of Representatives seven times, most recently on July 14, 2022 as an amendment to the National Defense Authorization Act, would grant banks and other financial institutions immunity from federal criminal prosecution for servicing Marijuana-Related Businesses if the underlying cannabis business follows state law. However, while the U.S. Senate Banking Committee passed the “SAFER Banking Act” on a bipartisan vote of 14-9 in September 2023, that bill has yet to be brought to the U.S. Senate floor and faces an uncertain future in the U.S. House of Representatives. There is renewed interest in banking reform following President Trump’s Executive order directing the Department of Justice to reschedule cannabis, however, there can be no assurance that it will be passed as presently proposed or at all.</w:t>
      </w:r>
    </w:p>
    <w:p>
      <w:pPr>
        <w:spacing w:after="0" w:line="18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financing.</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growth and may have a material adverse effect upon the Company’s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172" w:lineRule="exact"/>
        <w:rPr>
          <w:sz w:val="20"/>
          <w:szCs w:val="20"/>
          <w:color w:val="auto"/>
        </w:rPr>
      </w:pPr>
    </w:p>
    <w:p>
      <w:pPr>
        <w:ind w:right="5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conduct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w:t>
      </w:r>
    </w:p>
    <w:p>
      <w:pPr>
        <w:spacing w:after="0" w:line="19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Furthermore,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29" w:name="page30"/>
    <w:bookmarkEnd w:id="29"/>
    <w:p>
      <w:pPr>
        <w:ind w:right="120"/>
        <w:spacing w:after="0" w:line="256" w:lineRule="auto"/>
        <w:rPr>
          <w:sz w:val="20"/>
          <w:szCs w:val="20"/>
          <w:color w:val="auto"/>
        </w:rPr>
      </w:pPr>
      <w:r>
        <w:rPr>
          <w:rFonts w:ascii="Times New Roman" w:cs="Times New Roman" w:eastAsia="Times New Roman" w:hAnsi="Times New Roman"/>
          <w:sz w:val="18"/>
          <w:szCs w:val="18"/>
          <w:color w:val="auto"/>
        </w:rPr>
        <w:t>operations, increase compliance costs or give rise to material liabilities and/or revocation of our licenses and other permits, which could have a material adverse effect on our business, results of operations and financial condition. Noncompliance with state law could also make the Company a target for federal criminal enforcement. Additionally,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face intense competition from other companies, some of which have longer operating histories and more financial resources and manufacturing, retail and marketing experience than us. Additionally, if cannabis is rescheduled to a Schedule III drug, there may be a surge of additional competitors in the market, including from well-capitalized companies such as those in the pharmaceutical, tobacco, or alcohol industries. Increased competition by larger and better financed competitors could materially and adversely affect our business, financial condition and results of operations.</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customer support. We may not have sufficient resources to maintain research and development, marketing, sales and customer support efforts on a competitive basis, which could materially and adversely affect our business, financial condition and results of operations. Additionally,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 A decline in the price of the Subordinate Voting Shares could affect our ability to raise further working capital and adversely impact our ability to continue operations.</w:t>
      </w:r>
    </w:p>
    <w:p>
      <w:pPr>
        <w:spacing w:after="0" w:line="194"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A prolonged decline in the price of the Subordinate Voting Shares could result in a reduction in the liquidity of the Subordinate Voting Shares and a reduction in our ability to raise capital, if needed.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illicit market as well as actual or purported 2018 Farm Bill compliant hemp products.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competitor types discussed above, we face and expect to continue to face competition from hemp-derived THC products and illicit cannabis businesses, some of which are unlicensed and unregulated. At least until November 2026, hemp-derived THC products are generally not subject to the intensive and costly state-level regulatory regimes that medical and adult-use cannabis are subject to. These products generally are not produced in adherence with the same laws, regulations, rules, tax regimes and other restrictions that are applicable to us, which significantly reduces these producers’ costs, and may have a material adverse effect on our business. In addition, although not subject to the same quality and health and safety regulations applicable to medical and adult-use cannabis businesses, if hemp-derived THC products cause harm to their users, that could result in a material adverse effect on the perception of cannabis use and its legality.</w:t>
      </w:r>
    </w:p>
    <w:p>
      <w:pPr>
        <w:spacing w:after="0" w:line="18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competition presented by illicit cannabis businesses, and the inability or unwillingness of law enforcement authorities to enforce existing laws prohibiting the unlicensed or otherwise illegal cultivation and sale of cannabis, could result in the perpetuation of the illegal market for cannabis and/or have a material adverse effect on the perception of cannabis use.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 which we license from a third party.</w:t>
      </w:r>
    </w:p>
    <w:p>
      <w:pPr>
        <w:spacing w:after="0" w:line="229" w:lineRule="exact"/>
        <w:rPr>
          <w:sz w:val="20"/>
          <w:szCs w:val="20"/>
          <w:color w:val="auto"/>
        </w:rPr>
      </w:pPr>
    </w:p>
    <w:p>
      <w:pPr>
        <w:ind w:right="180" w:firstLine="749"/>
        <w:spacing w:after="0" w:line="253"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 As the number of available cannabis licenses increase in the markets in which we operate, and the illicit market and hemp-derived THC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0" w:name="page31"/>
    <w:bookmarkEnd w:id="30"/>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license our consumer packaged goods brands, including &amp;Shine, Beboe, Dogwalkers, Doctor Solomon’s, Good Green, incredibles and RYTHM, from RYM, a third party of which we own approximately 33% of the outstanding common stock. We pay RYM a monthly license fee based on sales of products using the licensed intellectual property. Our license agreements with RYM automatically terminates upon certain insolvency events involving our indirect, wholly owned subsidiary, GTI Core, LLC, and may be terminated by GTI Core, LLC beginning on the five-year anniversary of the license agreement which is August 27, 2030. If the license agreement were to terminate, we may need to rebrand our products, which may necessitate a reduction in our prices, which could materially reduce our revenues, and our future growth may depend upon our ability to maintain our licensing arrangements with RYM.</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protection.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not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Certain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cannabidiol, commonly referred to as CBD and THC) remains in early stages. We need more double-blind placebo clinical trials in the U.S. to demonstrate the benefits of cannabis or isolated cannabinoids (such as CBD and THC), safe dosing, and safe and effective product formats for specific medical conditions.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because of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94" w:lineRule="exact"/>
        <w:rPr>
          <w:sz w:val="20"/>
          <w:szCs w:val="20"/>
          <w:color w:val="auto"/>
        </w:rPr>
      </w:pPr>
    </w:p>
    <w:p>
      <w:pPr>
        <w:jc w:val="both"/>
        <w:ind w:right="40" w:firstLine="749"/>
        <w:spacing w:after="0" w:line="254" w:lineRule="auto"/>
        <w:rPr>
          <w:sz w:val="20"/>
          <w:szCs w:val="20"/>
          <w:color w:val="auto"/>
        </w:rPr>
      </w:pPr>
      <w:r>
        <w:rPr>
          <w:rFonts w:ascii="Times New Roman" w:cs="Times New Roman" w:eastAsia="Times New Roman" w:hAnsi="Times New Roman"/>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1" w:name="page32"/>
    <w:bookmarkEnd w:id="31"/>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in Canada and the United States.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Dividends received by U.S. shareholders will not be subject to U.S. withholding tax but will be subject to Canadian withholding tax. Dividends paid by us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As a cannabis business, we are subject to unfavorable U.S. tax treatment and may incur significant tax liability.</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Section 280E of the IRC, no deduction or credit shall be allowed for any amount paid or incurred during the taxable year in carrying on any trade or business if such trade or business (or the activities which comprise such trade or business) consists of trafficking in controlled substances (within the meaning of Schedule I and II of the Controlled Substances Act) which is prohibited by Federal law or the law of any state in which such trade or business is conducted. The U.S. Internal Revenue Service has applied this provision to cannabis operations, prohibiting them from deducting certain expenses associated with cannabis businesses. While Section 280E may have a lesser impact on cannabis cultivation and manufacturing operations, it has outsized impacts on retail operations. Accordingly, unless and until cannabis is rescheduled to Schedule III of the Controlled Substances Act or other legislative change happens, Section 280E has a significant impact on the operations of cannabis companies and an otherwise profitable business may operate at a loss, after taking into account its U.S. income tax expenses. We have taken the position that Section 280E does not apply to our business and therefore have recorded a corresponding uncertain tax position starting with tax year 2024. There is a risk that the Internal Revenue Service could challenge the Company’s position, which could result in significant tax and other liabilities.</w:t>
      </w:r>
    </w:p>
    <w:p>
      <w:pPr>
        <w:spacing w:after="0" w:line="1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As a cannabis business, we may be subject to civil asset forfeiture.</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We are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79"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p>
    <w:p>
      <w:pPr>
        <w:spacing w:after="0" w:line="183"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Subordinate Voting Shares in connection with such transactions, which would dilute a shareholder’s holdings in the Company.</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 These and other circumstances could also result in the impairment of goodwill and long-lived assets.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companies which may not be able to meet anticipated development targets or otherwise be successful in the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that are in early stages of development, or that have high-risk profiles for reasons including, but not limited to, a rapidly changing regulatory environment.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88"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88" w:lineRule="exact"/>
        <w:rPr>
          <w:sz w:val="20"/>
          <w:szCs w:val="20"/>
          <w:color w:val="auto"/>
        </w:rPr>
      </w:pPr>
    </w:p>
    <w:p>
      <w:pPr>
        <w:jc w:val="both"/>
        <w:ind w:right="300" w:firstLine="79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Limitations related to the acquisition and leasing of properties suitable for the cultivation, production and sale of medical and adult-use cannabis may impede our ability to acquire or lease desirable properties at fair market rates, which could adversely affect our operating results and financial condition.</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compete for the acquisition and leasing of properties suitable for the cultivation, production and sale of medical and adult-use cannabis with entities engaged in traditional agriculture, and those engaged in real estate investment activities and with other cannabis cultivators, producers and sellers. Furthermore, in many markets, local governments have placed tight restrictions on where cannabis cultivation, production and sale facilities may be located. In addition, due to the continued reluctance of the banking industry to support cannabis businesses, it ‎may be difficult for us to obtain the rights to operate at preferred properties, and properties that are encumbered by loans from institutional banks. Property ‎owners may violate their mortgages by leasing to us, and those property owners that are willing to allow ‎use of their facilities for cannabis purposes may demand above fair market rents to reflect the scarcity of such locations ‎and the perceived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8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competitors may adopt transaction structures similar to ours, which would decrease our competitive advantage in offering flexible transaction terms. In addition, due to a number of factors,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Our reputation and ability to do business may be negatively impacted by the improper conduct by our business partners, employees or agents.</w:t>
      </w:r>
    </w:p>
    <w:p>
      <w:pPr>
        <w:spacing w:after="0" w:line="241" w:lineRule="exact"/>
        <w:rPr>
          <w:sz w:val="20"/>
          <w:szCs w:val="20"/>
          <w:color w:val="auto"/>
        </w:rPr>
      </w:pPr>
    </w:p>
    <w:p>
      <w:pPr>
        <w:jc w:val="both"/>
        <w:ind w:right="200" w:firstLine="749"/>
        <w:spacing w:after="0" w:line="289" w:lineRule="auto"/>
        <w:rPr>
          <w:sz w:val="20"/>
          <w:szCs w:val="20"/>
          <w:color w:val="auto"/>
        </w:rPr>
      </w:pPr>
      <w:r>
        <w:rPr>
          <w:rFonts w:ascii="Times New Roman" w:cs="Times New Roman" w:eastAsia="Times New Roman" w:hAnsi="Times New Roman"/>
          <w:sz w:val="17"/>
          <w:szCs w:val="17"/>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4" w:name="page35"/>
    <w:bookmarkEnd w:id="34"/>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 As discussed above under Item 1—“Business - Competitive Conditions and the Company’s Position in the Industry - Competition”, the Company also faces competition from products that are not subject to testing or regulation by state agencies, not subject to the same taxes, and otherwise able to be priced significantly lower than the Company’s products.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As a producer, distributor and retailer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Management believes the medical and adult-use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and the Food and Drug Administration and Centers for Disease control continue to conduct ongoing investigations,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Adverse findings, regulatory investigations, litigation, media attention, new regulatory requirements and other publicity regarding the consumption of vape or other inhaled products, including adverse publicity regarding underage use of vape or other inhaled products, may adversely affect the Company.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availability.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Company’s cannabis growing operations require energy supply, which makes it vulnerable to rising energy costs. Accordingly, rising or volatile energy costs may adversely affect the business of the Company and our ability to operate profitably. Further, from time to time in some markets in which we operate, our demand for energy may exceed the available supply. In limited circumstances, we have had to rely on alternative power sources such as generators to power our cultivation and processing facilities. A more prolonged disruption in our ability to maintain sufficient power to operate our facilities could result in a significant disruption of our operations, damage to our agricultural products or equipment, and result in a material adverse effect to our business.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unknown environmental risks.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Company will not encounter hazardous conditions, such as asbestos or lead, at the 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ind w:right="340"/>
        <w:spacing w:after="0" w:line="261" w:lineRule="auto"/>
        <w:rPr>
          <w:sz w:val="20"/>
          <w:szCs w:val="20"/>
          <w:color w:val="auto"/>
        </w:rPr>
      </w:pPr>
      <w:r>
        <w:rPr>
          <w:rFonts w:ascii="Times New Roman" w:cs="Times New Roman" w:eastAsia="Times New Roman" w:hAnsi="Times New Roman"/>
          <w:sz w:val="18"/>
          <w:szCs w:val="18"/>
          <w:color w:val="auto"/>
        </w:rPr>
        <w:t>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18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373739"/>
        </w:rPr>
        <w:t xml:space="preserve">In addition, the operations of the Company </w:t>
      </w:r>
      <w:r>
        <w:rPr>
          <w:rFonts w:ascii="Times New Roman" w:cs="Times New Roman" w:eastAsia="Times New Roman" w:hAnsi="Times New Roman"/>
          <w:sz w:val="18"/>
          <w:szCs w:val="18"/>
          <w:color w:val="000000"/>
        </w:rPr>
        <w:t>are subject to environmental regulation in the various jurisdictions in which we operate. These</w:t>
      </w:r>
      <w:r>
        <w:rPr>
          <w:rFonts w:ascii="Times New Roman" w:cs="Times New Roman" w:eastAsia="Times New Roman" w:hAnsi="Times New Roman"/>
          <w:sz w:val="18"/>
          <w:szCs w:val="18"/>
          <w:color w:val="373739"/>
        </w:rPr>
        <w:t xml:space="preserve"> </w:t>
      </w:r>
      <w:r>
        <w:rPr>
          <w:rFonts w:ascii="Times New Roman" w:cs="Times New Roman" w:eastAsia="Times New Roman" w:hAnsi="Times New Roman"/>
          <w:sz w:val="18"/>
          <w:szCs w:val="18"/>
          <w:color w:val="000000"/>
        </w:rPr>
        <w:t>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operations of the Company.</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and operational technology systems, and potential cyber-attacks and security breaches.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subject to laws, rules and regulations in the United States such as the California Privacy Rights Act, Connecticut Personal Data Privacy and Online Monitoring Act (CPDPOMA), New Jersey Data Privacy Act (NJDPA) and the Virginia Consumer Data Protection Act (VCDPA), and those of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applicable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88" w:lineRule="exact"/>
        <w:rPr>
          <w:sz w:val="20"/>
          <w:szCs w:val="20"/>
          <w:color w:val="auto"/>
        </w:rPr>
      </w:pPr>
    </w:p>
    <w:p>
      <w:pPr>
        <w:ind w:right="7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numerous capabilities that we depend upon on to operate, and a disruption of these systems could adversely affect our business.</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right="280"/>
        <w:spacing w:after="0" w:line="266" w:lineRule="auto"/>
        <w:rPr>
          <w:sz w:val="20"/>
          <w:szCs w:val="20"/>
          <w:color w:val="auto"/>
        </w:rPr>
      </w:pPr>
      <w:r>
        <w:rPr>
          <w:rFonts w:ascii="Times New Roman" w:cs="Times New Roman" w:eastAsia="Times New Roman" w:hAnsi="Times New Roman"/>
          <w:sz w:val="18"/>
          <w:szCs w:val="18"/>
          <w:color w:val="auto"/>
        </w:rPr>
        <w:t>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and our insurance coverage may not effectively mitigate the material impact on our financial position or results of operations resulting from claims or liabilities against us.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the Company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88"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 and fluctuations in the cost or availability of materials we use in our products and supply chain could negatively affect our results.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cannabis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94"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w:t>
      </w:r>
    </w:p>
    <w:p>
      <w:pPr>
        <w:spacing w:after="0" w:line="172"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success largely depends upon the continued services of our executive officers and management team members. If one or more of our executive officers or management members is unable or unwilling to continue in their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maintain key personnel or our business will fail.</w:t>
      </w:r>
    </w:p>
    <w:p>
      <w:pPr>
        <w:spacing w:after="0" w:line="229" w:lineRule="exact"/>
        <w:rPr>
          <w:sz w:val="20"/>
          <w:szCs w:val="20"/>
          <w:color w:val="auto"/>
        </w:rPr>
      </w:pPr>
    </w:p>
    <w:p>
      <w:pPr>
        <w:ind w:right="300" w:firstLine="749"/>
        <w:spacing w:after="0" w:line="257" w:lineRule="auto"/>
        <w:rPr>
          <w:sz w:val="20"/>
          <w:szCs w:val="20"/>
          <w:color w:val="auto"/>
        </w:rPr>
      </w:pPr>
      <w:r>
        <w:rPr>
          <w:rFonts w:ascii="Times New Roman" w:cs="Times New Roman" w:eastAsia="Times New Roman" w:hAnsi="Times New Roman"/>
          <w:sz w:val="18"/>
          <w:szCs w:val="18"/>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or do so affordably, our business and financial condition could be materially adversely affected.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medical and adult-use cannabis industries, laws that prevent widespread participation in and otherwise hinder market research in the medical and adult-use cannabis industry,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failure of states to enforce cannabis regulations, the use of hemp-derived THC products or other factors could have a material adverse effect on our business, results of operations and financial condition.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176"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based on union activity.</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Labor unions are working to organize workforces in the cannabis industry in general, and regulators are increasingly requiring us to enter into labor peace agreements with unions as a condition of receiving a license. Currently, approximately 20% of our total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229" w:lineRule="exact"/>
        <w:rPr>
          <w:sz w:val="20"/>
          <w:szCs w:val="20"/>
          <w:color w:val="auto"/>
        </w:rPr>
      </w:pPr>
    </w:p>
    <w:p>
      <w:pPr>
        <w:jc w:val="both"/>
        <w:ind w:right="60" w:firstLine="749"/>
        <w:spacing w:after="0" w:line="253" w:lineRule="auto"/>
        <w:rPr>
          <w:sz w:val="20"/>
          <w:szCs w:val="20"/>
          <w:color w:val="auto"/>
        </w:rPr>
      </w:pPr>
      <w:r>
        <w:rPr>
          <w:rFonts w:ascii="Times New Roman" w:cs="Times New Roman" w:eastAsia="Times New Roman" w:hAnsi="Times New Roman"/>
          <w:sz w:val="18"/>
          <w:szCs w:val="18"/>
          <w:color w:val="auto"/>
        </w:rPr>
        <w:t>We are a holding company and essentially all of our assets are the capital stock of our subsidiaries in our fourteen markets, including California,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ind w:right="20"/>
        <w:spacing w:after="0" w:line="266" w:lineRule="auto"/>
        <w:rPr>
          <w:sz w:val="20"/>
          <w:szCs w:val="20"/>
          <w:color w:val="auto"/>
        </w:rPr>
      </w:pPr>
      <w:r>
        <w:rPr>
          <w:rFonts w:ascii="Times New Roman" w:cs="Times New Roman" w:eastAsia="Times New Roman" w:hAnsi="Times New Roman"/>
          <w:sz w:val="18"/>
          <w:szCs w:val="18"/>
          <w:color w:val="auto"/>
        </w:rPr>
        <w:t>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business, operations and investments of the Company in the United States, and any future business, operations or investments, may become the subject of heightened scrutiny by regulators, stock exchanges and other authorities in Canada and the United States.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75"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color w:val="auto"/>
        </w:rPr>
        <w:t>The Canadian Securities Administrators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Staff Notice 51-352 describes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8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Clearing Depository for Securities Limited (“CDS”), announced the signing of a Memorandum of Understanding (“MOU”) with Aequitas NEO Exchange Inc. (now CBOE Canada),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Canada.</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general economic risks and risks of continued inflation.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operations could be affected by the economic context should the unemployment level, interest rates or inflation reach levels that influence consumer trends and spending and, consequently, impact our sales and profitability. A continued upward rate of inflation could influence the profits that we generate from our business. When the rate of inflation rises, the operational costs of running our company also increases, such as labor costs, raw materials and public utilities, thus affecting our ability to provide our products at competitive prices. An increase in the rate of inflation could force our customers to search for other products, causing us to lose business and revenue.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229"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 may be negatively impacted by challenging global economic conditions. For example, during the COVID-19 pandemic, the U.S. and other world economies experienced turmoil, which resulted in global economic uncertainty, supply chain disruptions and other issues.</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ind w:firstLine="749"/>
        <w:spacing w:after="0" w:line="253" w:lineRule="auto"/>
        <w:rPr>
          <w:sz w:val="20"/>
          <w:szCs w:val="20"/>
          <w:color w:val="auto"/>
        </w:rPr>
      </w:pPr>
      <w:r>
        <w:rPr>
          <w:rFonts w:ascii="Times New Roman" w:cs="Times New Roman" w:eastAsia="Times New Roman" w:hAnsi="Times New Roman"/>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General uncertainty about the state of tariffs for various markets and rapid changes in U.S. foreign trade policy can also create disruptions that impact the prices we must pay for these foreign products.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88"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disclose personal information of our owners, investors, officers, managers, and directors to regulators and failure to do so could endanger our ability to expand, endanger our licenses, or cause the Company to incur costs to redeem securities held by uncooperative shareholders.</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Ownership in and applications for cannabis licenses can entail lengthy disclosures of personal information to the relevant regulatory authorities. The obligation often extends to all persons holding an ownership interest in the license, whether direct, indirect, present, or future, and often includes those with a mere nominal interest. Analogous disclosures are often required from persons with managerial authority or control over the licenses, as well, including officers, directors, and managers. Disclosures can include providing personal information needed to satisfy extensive criminal history reports and investigations (e.g., fingerprints, address and employment history), tax returns, social security numbers, a history of personal addresses, employment agreements, and other personal information. While some states allow exceptions for individuals with ownership in publicly traded companies like the Company, not all states provide such exceptions. If these requirements were applied to all persons with ownership in the Company, all such persons would be required to comply or the Company would risk losing the opportunity to apply for or renew the license(s), or similarly face the possibility that the license may be revoked.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 public health epidemic, such as the COVID-19 pandemic that began in 2020, or the fear of a potential epidemic or pandemic, poses the risk that we or our employees, contractors, suppliers, and other partners may be prevented from conducting business activities for an indefinite period of time, including due to shutdowns or other preventative measures that may be requested or mandated by governmental authorities. Although our operations continued during the COVID-19 pandemic, as the cultivation, processing and sale of cannabis products was considered an essential business by all states in which we operated with respect to all customers when shutdowns were imposed, there can be no assurances that would be the case in any future actual or anticipated epidemic disease outbreak or pandemic. Our ability to continue to operate without any significant negative operational impact from any future public health crisis will in part depend on our ability to protect our employees, customers and supply chain.</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While it is not possible at this time to estimate the impact any actual or potential pandemic could have on our business,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Such an event, and any measures taken to avert significant health crises may also have an adverse impact on global economic conditions which could have an adverse effect on our business and financial condition. Because cannabis remains federally illegal, it is possible that we would not be eligible to participate in any government relief programs (such as federal loans or access to capital) resulting from any actual or potential pandemic.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 return on our securities is not guaranteed.</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Holding of Subordinate Voting Shares is appropriate only for holders who have the capacity to absorb a loss of some or all of their holdings.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currency fluctuations.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President.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Super Voting Shares, Multiple Voting Shares or Subordinate Voting Shares may result in dilution.</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right="26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Subordinate Voting Shares by our shareholders in the public market may have an adverse effect on the market price of the Subordinate Voting Shares.</w:t>
      </w:r>
    </w:p>
    <w:p>
      <w:pPr>
        <w:spacing w:after="0" w:line="15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we desire to do so.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the Subordinate Voting Shares may be volatile.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global economies and general market conditions, such as interest rates and pharmaceutical product price volatility;</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from a lack of market comparable companies;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185" w:lineRule="exact"/>
        <w:rPr>
          <w:sz w:val="20"/>
          <w:szCs w:val="20"/>
          <w:color w:val="auto"/>
        </w:rPr>
      </w:pPr>
    </w:p>
    <w:p>
      <w:pPr>
        <w:ind w:right="3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liquidity risks.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62"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being a public company in Canada and the United States.</w:t>
      </w:r>
    </w:p>
    <w:p>
      <w:pPr>
        <w:spacing w:after="0" w:line="22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costs of maintaining a public listing.</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76"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Subordinate Voting Shares and, consequently, your ability to achieve a return on your investment will depend on appreciation in the price of our Subordinate Voting Shares.</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There is no guarantee that our Subordinate Voting Shares will appreciate in value or even maintain the price at which you purchased them.</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Subordinate Voting Shares may be limited for holders of our securities who live in the United States.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 heightened risk profile associated with cannabis in the United States, capital markets participants may be unwilling to assist with the settlement of trades for U.S. resident securityholders of companies with operations in the U.S. cannabis industry, which may prohibit or significantly impair the ability of securityholders in the United States to trade our securities. In the event residents of the United States are unable to settle trades of our securities, this may affect the pricing of such securities in the secondary market, the transparency and availability of trading prices and the liquidity of these securities.</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has established monitoring procedures in its effort to mitigate risks related to data breaches or other security incidents originating from third parties. The Company, from time-to-time, may engage third-party consultants, legal advisors, and audit firms to evaluate and test the Company’s risk management systems and assess and remediate certain potential cybersecurity incidents,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our enterprise risk management program, our Board and the Audit Committee of our Board (the “Audit Committee”) oversee cybersecurity risk management and meet with our senior management team, which includes our Chief Executive Officer, President, Chief Financial Officer, and General Counsel to address risks associated with cybersecurity threats on a regular basis. The Board and the Audit Committee receive prompt and timely information regarding any cybersecurity incident that meets established reporting thresholds, as well as ongoing updates regarding any such incident until it has been resolved.</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Cybersecurity threats are one of the Company’s most critical risks, with our Senior Vice President - Technology assigned as the executive risk owner. Our Senior Vice President - Technology, in coordination with our senior management team, works collaboratively across the Company to implement a program designed to protect the Company’s information systems from cybersecurity threats and to promptly respond to any cybersecurity incidents in accordance with the Company’s incident response and recovery plans. Multidisciplinary teams throughout the Company are deployed to address cybersecurity threats and to respond to cybersecurity incidents. Through ongoing communications with these teams, the Senior Vice President - Technology and the senior management team monitor the prevention, detection, mitigation and remediation of cybersecurity threats and incidents in real time and report such threats and incidents to the Board and Audit Committee, when appropriate.</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Senior Vice President - Technology has served in various roles in information technology and information security for over 25 years. He holds undergraduate and graduate degrees in computer science and business.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did not identify any cybersecurity threats that have materially affected or are reasonably likely to materially affect our business strategy, results of operations, or financial condition. However, despite the capabilities, processes, and other security measures we employ that we believe are designed to detect, reduce, and mitigate the risk of cybersecurity incidents, we may not be aware of all vulnerabilities or might not accurately assess the risks of incidents, and such preventative measures cannot provide absolute security and may not be sufficient in all circumstances or mitigate all potential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A. Risk Factors” for more information on the Company’s cybersecurity-related risks.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center"/>
        <w:ind w:left="440" w:right="640"/>
        <w:spacing w:after="0" w:line="296" w:lineRule="auto"/>
        <w:rPr>
          <w:sz w:val="20"/>
          <w:szCs w:val="20"/>
          <w:color w:val="auto"/>
        </w:rPr>
      </w:pPr>
      <w:r>
        <w:rPr>
          <w:rFonts w:ascii="Times New Roman" w:cs="Times New Roman" w:eastAsia="Times New Roman" w:hAnsi="Times New Roman"/>
          <w:sz w:val="18"/>
          <w:szCs w:val="18"/>
          <w:color w:val="auto"/>
        </w:rPr>
        <w:t>Our headquarters is located in Chicago, IL. The following table sets forth the Company’s principal cultivation and processing properties. Production Properties</w:t>
      </w:r>
    </w:p>
    <w:tbl>
      <w:tblPr>
        <w:tblLayout w:type="fixed"/>
        <w:tblInd w:w="0" w:type="dxa"/>
        <w:tblCellMar>
          <w:top w:w="0" w:type="dxa"/>
          <w:left w:w="0" w:type="dxa"/>
          <w:bottom w:w="0" w:type="dxa"/>
          <w:right w:w="0" w:type="dxa"/>
        </w:tblCellMar>
      </w:tblPr>
      <w:tr>
        <w:trPr>
          <w:trHeight w:val="149"/>
        </w:trPr>
        <w:tc>
          <w:tcPr>
            <w:tcW w:w="15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2"/>
          </w:tcPr>
          <w:p>
            <w:pPr>
              <w:jc w:val="center"/>
              <w:ind w:right="1680"/>
              <w:spacing w:after="0" w:line="150" w:lineRule="exact"/>
              <w:rPr>
                <w:sz w:val="20"/>
                <w:szCs w:val="20"/>
                <w:color w:val="auto"/>
              </w:rPr>
            </w:pPr>
            <w:r>
              <w:rPr>
                <w:rFonts w:ascii="Times New Roman" w:cs="Times New Roman" w:eastAsia="Times New Roman" w:hAnsi="Times New Roman"/>
                <w:sz w:val="17"/>
                <w:szCs w:val="17"/>
                <w:color w:val="auto"/>
              </w:rPr>
              <w:t>Type</w:t>
            </w:r>
          </w:p>
        </w:tc>
        <w:tc>
          <w:tcPr>
            <w:tcW w:w="14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2"/>
          </w:tcPr>
          <w:p>
            <w:pPr>
              <w:jc w:val="center"/>
              <w:ind w:right="1660"/>
              <w:spacing w:after="0" w:line="150" w:lineRule="exact"/>
              <w:rPr>
                <w:sz w:val="20"/>
                <w:szCs w:val="20"/>
                <w:color w:val="auto"/>
              </w:rPr>
            </w:pPr>
            <w:r>
              <w:rPr>
                <w:rFonts w:ascii="Times New Roman" w:cs="Times New Roman" w:eastAsia="Times New Roman" w:hAnsi="Times New Roman"/>
                <w:sz w:val="17"/>
                <w:szCs w:val="17"/>
                <w:color w:val="auto"/>
              </w:rPr>
              <w:t>Location</w:t>
            </w:r>
          </w:p>
        </w:tc>
        <w:tc>
          <w:tcPr>
            <w:tcW w:w="3860" w:type="dxa"/>
            <w:vAlign w:val="bottom"/>
            <w:tcBorders>
              <w:top w:val="single" w:sz="8" w:color="auto"/>
            </w:tcBorders>
            <w:gridSpan w:val="3"/>
          </w:tcPr>
          <w:p>
            <w:pPr>
              <w:jc w:val="center"/>
              <w:ind w:right="120"/>
              <w:spacing w:after="0" w:line="150" w:lineRule="exact"/>
              <w:rPr>
                <w:sz w:val="20"/>
                <w:szCs w:val="20"/>
                <w:color w:val="auto"/>
              </w:rPr>
            </w:pPr>
            <w:r>
              <w:rPr>
                <w:rFonts w:ascii="Times New Roman" w:cs="Times New Roman" w:eastAsia="Times New Roman" w:hAnsi="Times New Roman"/>
                <w:sz w:val="17"/>
                <w:szCs w:val="17"/>
                <w:color w:val="auto"/>
              </w:rPr>
              <w:t>Leased / Owned</w:t>
            </w:r>
          </w:p>
        </w:tc>
      </w:tr>
      <w:tr>
        <w:trPr>
          <w:trHeight w:val="21"/>
        </w:trPr>
        <w:tc>
          <w:tcPr>
            <w:tcW w:w="15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West Haven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West Haven, CT</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Homestead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Homestead, FL</w:t>
            </w:r>
          </w:p>
        </w:tc>
        <w:tc>
          <w:tcPr>
            <w:tcW w:w="1280" w:type="dxa"/>
            <w:vAlign w:val="bottom"/>
          </w:tcPr>
          <w:p>
            <w:pPr>
              <w:spacing w:after="0"/>
              <w:rPr>
                <w:sz w:val="18"/>
                <w:szCs w:val="18"/>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Ocala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Ocala, FL</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Oglesby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Oglesby, IL</w:t>
            </w:r>
          </w:p>
        </w:tc>
        <w:tc>
          <w:tcPr>
            <w:tcW w:w="1280" w:type="dxa"/>
            <w:vAlign w:val="bottom"/>
          </w:tcPr>
          <w:p>
            <w:pPr>
              <w:spacing w:after="0"/>
              <w:rPr>
                <w:sz w:val="18"/>
                <w:szCs w:val="18"/>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Rock Island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Rock Island, IL</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Clinton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Clinton, MA</w:t>
            </w:r>
          </w:p>
        </w:tc>
        <w:tc>
          <w:tcPr>
            <w:tcW w:w="1280" w:type="dxa"/>
            <w:vAlign w:val="bottom"/>
          </w:tcPr>
          <w:p>
            <w:pPr>
              <w:spacing w:after="0"/>
              <w:rPr>
                <w:sz w:val="18"/>
                <w:szCs w:val="18"/>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Holyoke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Holyoke, MA</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Centreville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Centreville, MD</w:t>
            </w:r>
          </w:p>
        </w:tc>
        <w:tc>
          <w:tcPr>
            <w:tcW w:w="1280" w:type="dxa"/>
            <w:vAlign w:val="bottom"/>
          </w:tcPr>
          <w:p>
            <w:pPr>
              <w:spacing w:after="0"/>
              <w:rPr>
                <w:sz w:val="18"/>
                <w:szCs w:val="18"/>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Cottage Grove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Cottage Grove, MN</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Hackettstown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Hackettstown, NJ</w:t>
            </w:r>
          </w:p>
        </w:tc>
        <w:tc>
          <w:tcPr>
            <w:tcW w:w="1280" w:type="dxa"/>
            <w:vAlign w:val="bottom"/>
          </w:tcPr>
          <w:p>
            <w:pPr>
              <w:spacing w:after="0"/>
              <w:rPr>
                <w:sz w:val="18"/>
                <w:szCs w:val="18"/>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Carson City Facility</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Carson City, NV</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Las Vegas Facility 1</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Las Vegas, NV</w:t>
            </w:r>
          </w:p>
        </w:tc>
        <w:tc>
          <w:tcPr>
            <w:tcW w:w="1280" w:type="dxa"/>
            <w:vAlign w:val="bottom"/>
          </w:tcPr>
          <w:p>
            <w:pPr>
              <w:spacing w:after="0"/>
              <w:rPr>
                <w:sz w:val="18"/>
                <w:szCs w:val="18"/>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Las Vegas Facility 2</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Las Vegas, NV</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Paterson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Paterson, NJ</w:t>
            </w:r>
          </w:p>
        </w:tc>
        <w:tc>
          <w:tcPr>
            <w:tcW w:w="1280" w:type="dxa"/>
            <w:vAlign w:val="bottom"/>
          </w:tcPr>
          <w:p>
            <w:pPr>
              <w:spacing w:after="0"/>
              <w:rPr>
                <w:sz w:val="18"/>
                <w:szCs w:val="18"/>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Warwick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Warwick, NY</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Toledo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Toledo, OH</w:t>
            </w:r>
          </w:p>
        </w:tc>
        <w:tc>
          <w:tcPr>
            <w:tcW w:w="1280" w:type="dxa"/>
            <w:vAlign w:val="bottom"/>
          </w:tcPr>
          <w:p>
            <w:pPr>
              <w:spacing w:after="0"/>
              <w:rPr>
                <w:sz w:val="18"/>
                <w:szCs w:val="18"/>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Danville Facility</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Danville, PA</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Warwick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Warwick, RI</w:t>
            </w:r>
          </w:p>
        </w:tc>
        <w:tc>
          <w:tcPr>
            <w:tcW w:w="1280" w:type="dxa"/>
            <w:vAlign w:val="bottom"/>
          </w:tcPr>
          <w:p>
            <w:pPr>
              <w:spacing w:after="0"/>
              <w:rPr>
                <w:sz w:val="18"/>
                <w:szCs w:val="18"/>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Abingdon Facility</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Abingdon, VA</w:t>
            </w:r>
          </w:p>
        </w:tc>
        <w:tc>
          <w:tcPr>
            <w:tcW w:w="128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4"/>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Low Moor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Low Moor, VA</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bl>
    <w:p>
      <w:pPr>
        <w:spacing w:after="0" w:line="20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above properties, as of December 31, 2025, the Company has 113 open and operating retail stores, of which, the Company owns twelve.</w:t>
      </w:r>
    </w:p>
    <w:p>
      <w:pPr>
        <w:spacing w:after="0" w:line="160" w:lineRule="exact"/>
        <w:rPr>
          <w:sz w:val="20"/>
          <w:szCs w:val="20"/>
          <w:color w:val="auto"/>
        </w:rPr>
      </w:pPr>
    </w:p>
    <w:p>
      <w:pPr>
        <w:jc w:val="both"/>
        <w:ind w:right="4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Properties Subject to an Encumbrance. </w:t>
      </w:r>
      <w:r>
        <w:rPr>
          <w:rFonts w:ascii="Times New Roman" w:cs="Times New Roman" w:eastAsia="Times New Roman" w:hAnsi="Times New Roman"/>
          <w:sz w:val="18"/>
          <w:szCs w:val="18"/>
          <w:color w:val="auto"/>
        </w:rPr>
        <w:t>The Company has collateralized the properties in (i) Centreville, MD, (ii) Las Vegas, NV, (iii)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Moor, VA, (iv) Abingdon, VA, (v) Ocala, FL, (vi) Cottage Grove, MN and (vii) Warwick, NY. In addition, the Company has collateralized four retail stores, none of which are considered material.</w:t>
      </w:r>
    </w:p>
    <w:p>
      <w:pPr>
        <w:spacing w:after="0" w:line="3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2025:</w:t>
      </w:r>
    </w:p>
    <w:p>
      <w:pPr>
        <w:spacing w:after="0" w:line="270" w:lineRule="exact"/>
        <w:rPr>
          <w:sz w:val="20"/>
          <w:szCs w:val="20"/>
          <w:color w:val="auto"/>
        </w:rPr>
      </w:pPr>
    </w:p>
    <w:p>
      <w:pPr>
        <w:ind w:left="1260" w:right="120"/>
        <w:spacing w:after="0" w:line="256" w:lineRule="auto"/>
        <w:rPr>
          <w:sz w:val="20"/>
          <w:szCs w:val="20"/>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Company's consolidated balance sheets.</w:t>
      </w:r>
    </w:p>
    <w:p>
      <w:pPr>
        <w:spacing w:after="0" w:line="79" w:lineRule="exact"/>
        <w:rPr>
          <w:sz w:val="20"/>
          <w:szCs w:val="20"/>
          <w:color w:val="auto"/>
        </w:rPr>
      </w:pPr>
    </w:p>
    <w:p>
      <w:pPr>
        <w:ind w:left="1260" w:right="360"/>
        <w:spacing w:after="0" w:line="261" w:lineRule="auto"/>
        <w:rPr>
          <w:sz w:val="20"/>
          <w:szCs w:val="20"/>
          <w:color w:val="auto"/>
        </w:rPr>
      </w:pPr>
      <w:r>
        <w:rPr>
          <w:rFonts w:ascii="Times New Roman" w:cs="Times New Roman" w:eastAsia="Times New Roman" w:hAnsi="Times New Roman"/>
          <w:sz w:val="18"/>
          <w:szCs w:val="18"/>
          <w:color w:val="auto"/>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December 31, 2025, the Company held the bond in the amount of $9,284 thousand within restricted cash and cash equivalents on the Company's consolidated balance sheets.</w:t>
      </w:r>
    </w:p>
    <w:p>
      <w:pPr>
        <w:spacing w:after="0" w:line="18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2025 and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20" w:right="1020" w:hanging="1152"/>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ind w:right="760" w:firstLine="749"/>
        <w:spacing w:after="0" w:line="289" w:lineRule="auto"/>
        <w:rPr>
          <w:sz w:val="20"/>
          <w:szCs w:val="20"/>
          <w:color w:val="auto"/>
        </w:rPr>
      </w:pPr>
      <w:r>
        <w:rPr>
          <w:rFonts w:ascii="Times New Roman" w:cs="Times New Roman" w:eastAsia="Times New Roman" w:hAnsi="Times New Roman"/>
          <w:sz w:val="18"/>
          <w:szCs w:val="18"/>
          <w:color w:val="auto"/>
        </w:rPr>
        <w:t>The Subordinate Voting Shares of the Company are traded on the CSE under the symbol “GTII”. The following table sets forth trading information for the Subordinate Voting Shares for the periods indicated, as quoted on the CSE.</w:t>
      </w:r>
      <w:r>
        <w:rPr>
          <w:rFonts w:ascii="Times New Roman" w:cs="Times New Roman" w:eastAsia="Times New Roman" w:hAnsi="Times New Roman"/>
          <w:sz w:val="24"/>
          <w:szCs w:val="24"/>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Volume</w:t>
            </w:r>
          </w:p>
        </w:tc>
      </w:tr>
      <w:tr>
        <w:trPr>
          <w:trHeight w:val="199"/>
        </w:trPr>
        <w:tc>
          <w:tcPr>
            <w:tcW w:w="60" w:type="dxa"/>
            <w:vAlign w:val="bottom"/>
          </w:tcPr>
          <w:p>
            <w:pPr>
              <w:spacing w:after="0"/>
              <w:rPr>
                <w:sz w:val="17"/>
                <w:szCs w:val="17"/>
                <w:color w:val="auto"/>
              </w:rPr>
            </w:pPr>
          </w:p>
        </w:tc>
        <w:tc>
          <w:tcPr>
            <w:tcW w:w="45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6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21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16"/>
        </w:trPr>
        <w:tc>
          <w:tcPr>
            <w:tcW w:w="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2025)</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7.89</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23,177,336</w:t>
            </w: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2025)</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6.61</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18,802,350</w:t>
            </w:r>
          </w:p>
        </w:tc>
      </w:tr>
      <w:tr>
        <w:trPr>
          <w:trHeight w:val="216"/>
        </w:trPr>
        <w:tc>
          <w:tcPr>
            <w:tcW w:w="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2025)</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7.28</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12.35</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31,838,373</w:t>
            </w: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2025)</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7.40</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28,190,484</w:t>
            </w:r>
          </w:p>
        </w:tc>
      </w:tr>
      <w:tr>
        <w:trPr>
          <w:trHeight w:val="176"/>
        </w:trPr>
        <w:tc>
          <w:tcPr>
            <w:tcW w:w="60" w:type="dxa"/>
            <w:vAlign w:val="bottom"/>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2024)</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14.43</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20.11</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27,562,844</w:t>
            </w:r>
          </w:p>
        </w:tc>
      </w:tr>
      <w:tr>
        <w:trPr>
          <w:trHeight w:val="216"/>
        </w:trPr>
        <w:tc>
          <w:tcPr>
            <w:tcW w:w="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2024)</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14.99</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21,160,945</w:t>
            </w: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2024)</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12.57</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16,563,755</w:t>
            </w:r>
          </w:p>
        </w:tc>
      </w:tr>
      <w:tr>
        <w:trPr>
          <w:trHeight w:val="234"/>
        </w:trPr>
        <w:tc>
          <w:tcPr>
            <w:tcW w:w="6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2024)</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10.85</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26,647,488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ind w:left="360" w:hanging="352"/>
        <w:spacing w:after="0" w:line="223" w:lineRule="auto"/>
        <w:tabs>
          <w:tab w:leader="none" w:pos="36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Source: Bloomberg.</w:t>
      </w:r>
    </w:p>
    <w:p>
      <w:pPr>
        <w:spacing w:after="0" w:line="198" w:lineRule="exact"/>
        <w:rPr>
          <w:sz w:val="20"/>
          <w:szCs w:val="20"/>
          <w:color w:val="auto"/>
        </w:rPr>
      </w:pPr>
    </w:p>
    <w:p>
      <w:pPr>
        <w:ind w:right="520" w:firstLine="749"/>
        <w:spacing w:after="0" w:line="289" w:lineRule="auto"/>
        <w:rPr>
          <w:sz w:val="20"/>
          <w:szCs w:val="20"/>
          <w:color w:val="auto"/>
        </w:rPr>
      </w:pPr>
      <w:r>
        <w:rPr>
          <w:rFonts w:ascii="Times New Roman" w:cs="Times New Roman" w:eastAsia="Times New Roman" w:hAnsi="Times New Roman"/>
          <w:sz w:val="18"/>
          <w:szCs w:val="18"/>
          <w:color w:val="auto"/>
        </w:rPr>
        <w:t>The Subordinate Voting Shares of the Company are also traded on the OTCQX under the symbol “GTBIF”. The following table sets forth trading information for the Subordinate Voting Shares for the periods indicated, as quoted on the OTCQX.</w:t>
      </w:r>
      <w:r>
        <w:rPr>
          <w:rFonts w:ascii="Times New Roman" w:cs="Times New Roman" w:eastAsia="Times New Roman" w:hAnsi="Times New Roman"/>
          <w:sz w:val="24"/>
          <w:szCs w:val="24"/>
          <w:color w:val="auto"/>
          <w:vertAlign w:val="superscript"/>
        </w:rPr>
        <w:t>(1),(2)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Period</w:t>
            </w:r>
          </w:p>
        </w:tc>
        <w:tc>
          <w:tcPr>
            <w:tcW w:w="4060" w:type="dxa"/>
            <w:vAlign w:val="bottom"/>
            <w:gridSpan w:val="2"/>
            <w:vMerge w:val="restart"/>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300" w:type="dxa"/>
            <w:vAlign w:val="bottom"/>
          </w:tcPr>
          <w:p>
            <w:pPr>
              <w:spacing w:after="0"/>
              <w:rPr>
                <w:sz w:val="14"/>
                <w:szCs w:val="14"/>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2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29,047,800</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22,827,470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8.97</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40,291,456</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39,994,560</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31,497,612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15.35</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37,617,678</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11.89</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19,178,432</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30,527,315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ind w:left="380" w:hanging="372"/>
        <w:spacing w:after="0" w:line="223" w:lineRule="auto"/>
        <w:tabs>
          <w:tab w:leader="none" w:pos="38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Source: Bloomberg.</w:t>
      </w:r>
    </w:p>
    <w:p>
      <w:pPr>
        <w:spacing w:after="0" w:line="15" w:lineRule="exact"/>
        <w:rPr>
          <w:rFonts w:ascii="Times New Roman" w:cs="Times New Roman" w:eastAsia="Times New Roman" w:hAnsi="Times New Roman"/>
          <w:sz w:val="24"/>
          <w:szCs w:val="24"/>
          <w:color w:val="auto"/>
          <w:vertAlign w:val="superscript"/>
        </w:rPr>
      </w:pPr>
    </w:p>
    <w:p>
      <w:pPr>
        <w:ind w:right="100" w:firstLine="8"/>
        <w:spacing w:after="0" w:line="213" w:lineRule="auto"/>
        <w:tabs>
          <w:tab w:leader="none" w:pos="336"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Over-the-counter market quotations reflect inter-dealer prices, without retail mark-up or mark-down or commission and may not necessarily represent actual transactions.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February 13, 2026, there are 806 holders of record of our Subordinate Voting Shares.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Company has not declared distributions on Subordinate Voting Shares in the past. The Company currently intends to reinvest all future earnings to finance the development and growth of its business and repurchase outstanding shares.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more information on equity compensation plans, see Item 12 of Part III of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Green Thumb Industries Inc. Subordinate Voting Shares for the five years ended December 31, 2025, with the comparable cumulative return of the Russell 2000 Index and a selected peer group of companies. The comparison assumes all dividends have been reinvested (if any) and an initial investment of $100 on December 31, 2020.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172200" cy="3591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36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2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Green Thumb Industries</w:t>
            </w:r>
          </w:p>
        </w:tc>
        <w:tc>
          <w:tcPr>
            <w:tcW w:w="5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87.25</w:t>
            </w:r>
          </w:p>
        </w:tc>
        <w:tc>
          <w:tcPr>
            <w:tcW w:w="3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36.12</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45.91</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32.23</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33.25</w:t>
            </w: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Russell 2000</w:t>
            </w:r>
          </w:p>
        </w:tc>
        <w:tc>
          <w:tcPr>
            <w:tcW w:w="5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116.55</w:t>
            </w:r>
          </w:p>
        </w:tc>
        <w:tc>
          <w:tcPr>
            <w:tcW w:w="3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106.72</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119.52</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132.99</w:t>
            </w:r>
          </w:p>
        </w:tc>
        <w:tc>
          <w:tcPr>
            <w:tcW w:w="0" w:type="dxa"/>
            <w:vAlign w:val="bottom"/>
          </w:tcPr>
          <w:p>
            <w:pPr>
              <w:spacing w:after="0"/>
              <w:rPr>
                <w:sz w:val="1"/>
                <w:szCs w:val="1"/>
                <w:color w:val="auto"/>
              </w:rPr>
            </w:pPr>
          </w:p>
        </w:tc>
      </w:tr>
      <w:tr>
        <w:trPr>
          <w:trHeight w:val="149"/>
        </w:trPr>
        <w:tc>
          <w:tcPr>
            <w:tcW w:w="1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Peer Group</w:t>
            </w:r>
          </w:p>
        </w:tc>
        <w:tc>
          <w:tcPr>
            <w:tcW w:w="5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55.67</w:t>
            </w:r>
          </w:p>
        </w:tc>
        <w:tc>
          <w:tcPr>
            <w:tcW w:w="3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Below are the specific companies included in the peer group.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9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Cresco Labs Inc.</w:t>
            </w: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 Trulieve Cannabis Corp.</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Curaleaf Holdings, Inc</w:t>
            </w: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Verano Holdings Corp.</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Part II Item 5 of this Annual Report on Form 10-K shall not be deemed to be “soliciting material” or to be “filed” with the SEC or subject to Regulation 14A or 14C, or to the liabilities of Section 18 of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 Voting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Between October 1, 2025 and December 31, 2025, the Company converted 151 Multiple Voting Shares into 15,100 Subordinate Voting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Multiple Voting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Between October 1, 2025 and December 31, 2025, the Company converted 151 Multiple Voting Shares into 15,100 Subordinate Voting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 Voting Shares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Recent Issuer Purchases of Equity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repurchases of our Subordinate Voting Shares during the year ended December 31, 2025: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Number of Shares Purchased</w:t>
            </w:r>
          </w:p>
        </w:tc>
        <w:tc>
          <w:tcPr>
            <w:tcW w:w="1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 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20" w:type="dxa"/>
            <w:vAlign w:val="bottom"/>
          </w:tcPr>
          <w:p>
            <w:pPr>
              <w:spacing w:after="0"/>
              <w:rPr>
                <w:sz w:val="12"/>
                <w:szCs w:val="12"/>
                <w:color w:val="auto"/>
              </w:rPr>
            </w:pPr>
          </w:p>
        </w:tc>
        <w:tc>
          <w:tcPr>
            <w:tcW w:w="196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76"/>
        </w:trPr>
        <w:tc>
          <w:tcPr>
            <w:tcW w:w="4300" w:type="dxa"/>
            <w:vAlign w:val="bottom"/>
            <w:vMerge w:val="continue"/>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 xml:space="preserve">Program </w:t>
            </w:r>
            <w:r>
              <w:rPr>
                <w:rFonts w:ascii="Times New Roman" w:cs="Times New Roman" w:eastAsia="Times New Roman" w:hAnsi="Times New Roman"/>
                <w:sz w:val="19"/>
                <w:szCs w:val="19"/>
                <w:b w:val="1"/>
                <w:bCs w:val="1"/>
                <w:color w:val="auto"/>
                <w:w w:val="94"/>
                <w:vertAlign w:val="superscript"/>
              </w:rPr>
              <w:t>(1)</w:t>
            </w:r>
          </w:p>
        </w:tc>
        <w:tc>
          <w:tcPr>
            <w:tcW w:w="120" w:type="dxa"/>
            <w:vAlign w:val="bottom"/>
          </w:tcPr>
          <w:p>
            <w:pPr>
              <w:spacing w:after="0"/>
              <w:rPr>
                <w:sz w:val="15"/>
                <w:szCs w:val="15"/>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42"/>
        </w:trPr>
        <w:tc>
          <w:tcPr>
            <w:tcW w:w="43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0D0D0D"/>
              </w:rPr>
              <w:t>January 1, 2025 through January 31, 2025</w:t>
            </w: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23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0D0D0D"/>
              </w:rPr>
              <w:t>— $</w:t>
            </w:r>
          </w:p>
        </w:tc>
        <w:tc>
          <w:tcPr>
            <w:tcW w:w="1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0D0D0D"/>
              </w:rPr>
              <w:t>40,400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February 1, 2025 through February 29,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40,400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D0D0D"/>
              </w:rPr>
              <w:t>March 1, 2025 through March 31, 2025</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160,000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6.49</w:t>
            </w:r>
          </w:p>
        </w:tc>
        <w:tc>
          <w:tcPr>
            <w:tcW w:w="2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160,000</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39,300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April 1, 2025 through April 30,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100,000</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5.00</w:t>
            </w:r>
          </w:p>
        </w:tc>
        <w:tc>
          <w:tcPr>
            <w:tcW w:w="2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100,000</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38,800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D0D0D"/>
              </w:rPr>
              <w:t>May 1, 2025 through May 31, 2025</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38,800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June 1, 2025 through June 30,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5,458,000</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4.26</w:t>
            </w:r>
          </w:p>
        </w:tc>
        <w:tc>
          <w:tcPr>
            <w:tcW w:w="2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5,458,000</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15,600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D0D0D"/>
              </w:rPr>
              <w:t>July 1, 2025 through July 31, 2025</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August 1, 2025 through August 31,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15,600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D0D0D"/>
              </w:rPr>
              <w:t>September 1, 2025 through September 30, 2025</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October 1, 2025 through October 31,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D0D0D"/>
              </w:rPr>
              <w:t>November 1, 2025 through November 30, 2025</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1,114,074</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6.58</w:t>
            </w:r>
          </w:p>
        </w:tc>
        <w:tc>
          <w:tcPr>
            <w:tcW w:w="2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1,114,074</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December 1, 2025 through December 31, 2025</w:t>
            </w: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377,801</w:t>
            </w:r>
          </w:p>
        </w:tc>
        <w:tc>
          <w:tcPr>
            <w:tcW w:w="2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7.24</w:t>
            </w:r>
          </w:p>
        </w:tc>
        <w:tc>
          <w:tcPr>
            <w:tcW w:w="2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377,801</w:t>
            </w:r>
          </w:p>
        </w:tc>
        <w:tc>
          <w:tcPr>
            <w:tcW w:w="120" w:type="dxa"/>
            <w:vAlign w:val="bottom"/>
            <w:tcBorders>
              <w:bottom w:val="single" w:sz="8" w:color="auto"/>
            </w:tcBorders>
            <w:shd w:val="clear" w:color="auto" w:fill="CFF0FC"/>
          </w:tcPr>
          <w:p>
            <w:pPr>
              <w:spacing w:after="0"/>
              <w:rPr>
                <w:sz w:val="12"/>
                <w:szCs w:val="12"/>
                <w:color w:val="auto"/>
              </w:rPr>
            </w:pPr>
          </w:p>
        </w:tc>
        <w:tc>
          <w:tcPr>
            <w:tcW w:w="1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39,900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7,209,875</w:t>
            </w:r>
          </w:p>
        </w:tc>
        <w:tc>
          <w:tcPr>
            <w:tcW w:w="2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0D0D0D"/>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4.84</w:t>
            </w:r>
          </w:p>
        </w:tc>
        <w:tc>
          <w:tcPr>
            <w:tcW w:w="2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7,209,875</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w:t>
            </w:r>
          </w:p>
        </w:tc>
        <w:tc>
          <w:tcPr>
            <w:tcW w:w="1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39,900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20" w:hanging="3"/>
        <w:spacing w:after="0" w:line="231" w:lineRule="auto"/>
        <w:tabs>
          <w:tab w:leader="none" w:pos="705"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September 23, 2025, the Company's Board of Directors authorized a new share repurchase program that commenced immediately following the expiration of the Company's previous share repurchase program. The new program authorizes the Company to repurchase up to 10,364,640 of its Subordinate Voting Shares over a 12-month period at an aggregate cost of up to $50,000 thousand.</w:t>
      </w:r>
    </w:p>
    <w:p>
      <w:pPr>
        <w:spacing w:after="0" w:line="92" w:lineRule="exact"/>
        <w:rPr>
          <w:sz w:val="20"/>
          <w:szCs w:val="20"/>
          <w:color w:val="auto"/>
        </w:rPr>
      </w:pPr>
    </w:p>
    <w:p>
      <w:pPr>
        <w:ind w:left="520" w:right="320"/>
        <w:spacing w:after="0" w:line="282" w:lineRule="auto"/>
        <w:rPr>
          <w:sz w:val="20"/>
          <w:szCs w:val="20"/>
          <w:color w:val="auto"/>
        </w:rPr>
      </w:pPr>
      <w:r>
        <w:rPr>
          <w:rFonts w:ascii="Times New Roman" w:cs="Times New Roman" w:eastAsia="Times New Roman" w:hAnsi="Times New Roman"/>
          <w:sz w:val="18"/>
          <w:szCs w:val="18"/>
          <w:color w:val="auto"/>
        </w:rPr>
        <w:t>Under the Company's share repurchase programs, the Company repurchased a total of 7,209,875 and 3,972,000 Subordinate Voting Shares at an average price of $4.84 and $10.85 during each of the years ended December 31, 2025 and 2024, respectively.</w:t>
      </w:r>
    </w:p>
    <w:p>
      <w:pPr>
        <w:spacing w:after="0" w:line="54"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returned $117,814 thousand to shareholders in the form of share repurchases from the commencement of its share repurchase program.</w:t>
      </w:r>
    </w:p>
    <w:p>
      <w:pPr>
        <w:spacing w:after="0" w:line="54"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Separately, on December 28, 2025, the Company entered into a securities purchase agreement with Benjamin Kovler, the Chairman and Chief Executive Officer and Anthony Georgiadis, the President and a Director, to purchase 2,500 Super Voting Shares from each in private transactions. The price per Super Voting Share was determined based on the closing price of $7.988 per underlying Subordinate Voting Shares as traded on the OTCQX Best Market on the date of the transaction.</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 DISCUSSION AND ANALYSIS OF FINANCIAL CONDITION AND RESULTS OF OPERATION</w:t>
      </w:r>
    </w:p>
    <w:p>
      <w:pPr>
        <w:spacing w:after="0" w:line="227"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consolidated financial statements and related notes thereto included in this Annual Report on Form 10-K.</w:t>
      </w:r>
    </w:p>
    <w:p>
      <w:pPr>
        <w:spacing w:after="0" w:line="15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report contains forward-looking statements that involve risks and uncertainties which may cause our actual results to differ materially from plans and results discussed from those forecast in forward-looking statements or implied in historical results and trends. We encourage you to review the risks and uncertainties discussed in the sections entitled Item 1A. “Risk Factors” and “Disclosure Regarding Forward-Looking Statements” included at the beginning of this Annual Report on Form 10-K.</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U.S. Securities and Exchange Commission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2" w:lineRule="exact"/>
        <w:rPr>
          <w:sz w:val="20"/>
          <w:szCs w:val="20"/>
          <w:color w:val="auto"/>
        </w:rPr>
      </w:pPr>
    </w:p>
    <w:p>
      <w:pPr>
        <w:jc w:val="both"/>
        <w:ind w:right="220" w:firstLine="749"/>
        <w:spacing w:after="0" w:line="257"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or “Green Thumb”) is for the years ended December 31, 2025, 2024 and 2023. It is supplemental to, and should be read in conjunction with, the Company’s consolidated financial statements for the years ended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right="260"/>
        <w:spacing w:after="0" w:line="266" w:lineRule="auto"/>
        <w:rPr>
          <w:sz w:val="20"/>
          <w:szCs w:val="20"/>
          <w:color w:val="auto"/>
        </w:rPr>
      </w:pPr>
      <w:r>
        <w:rPr>
          <w:rFonts w:ascii="Times New Roman" w:cs="Times New Roman" w:eastAsia="Times New Roman" w:hAnsi="Times New Roman"/>
          <w:sz w:val="18"/>
          <w:szCs w:val="18"/>
          <w:color w:val="auto"/>
        </w:rPr>
        <w:t>2024 and 2023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ind w:right="200" w:firstLine="749"/>
        <w:spacing w:after="0" w:line="289" w:lineRule="auto"/>
        <w:rPr>
          <w:sz w:val="20"/>
          <w:szCs w:val="20"/>
          <w:color w:val="auto"/>
        </w:rPr>
      </w:pPr>
      <w:r>
        <w:rPr>
          <w:rFonts w:ascii="Times New Roman" w:cs="Times New Roman" w:eastAsia="Times New Roman" w:hAnsi="Times New Roman"/>
          <w:sz w:val="17"/>
          <w:szCs w:val="17"/>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2025, Green Thumb has operations in fourteen U.S. markets, employs approximately 5,000 people and serves millions of patients and customers annually.</w:t>
      </w:r>
    </w:p>
    <w:p>
      <w:pPr>
        <w:spacing w:after="0" w:line="15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cannabis consumer packaged goods brands, including &amp;Shine, Beboe, Dogwalkers, Doctor Solomon’s, Good Green, incredibles and RYTHM (which we refer to as our Consumer Packaged Goods business). The Company distributes and markets these products to third-party licensed retail cannabis stores across the United States as well as to Green Thumb-owned retail stores (which we refer to as our Retail business). The Company developed and acquired its consumer packaged goods brands over the course of the Company’s operating history and then, in transactions that closed on May 20, 2025 and August 27, 2026, the Company, through sales of the equity interests of indirectly owned subsidiaries, sold the intellectual property related to those brands to RYTHM, Inc (formerly known as Agrify Corporation, and referred to herein as “RYM”). In connection with this sale, the Company entered into licensing arrangements with RYM for the Company’s continued, exclusive use of these brands for cannabis products in its existing markets. As of December 31, 2025, the Company owns approximately 33% of the outstanding shares of common stock of RYM.</w:t>
      </w:r>
    </w:p>
    <w:p>
      <w:pPr>
        <w:spacing w:after="0" w:line="33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Company’s Consumer Packaged Goods segment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aims to bring patients and customers a variety of high-quality products at multiple price points and provide excellent service. In addition, Green Thumb owns or operates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are located in the fourteen states in which we operate. As of December 31, 2025, the Company had 113 open and operating retail locations. The Company’s new store opening plans will remain fluid depending on market conditions, obtaining local licensing, construction and other permissions and subject to the Company’s capital allocation plans as described above and under the heading “Liquidity, Financing Activities During the Period, and Capital Resources” below.</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consolidated statements of operations for the years ended December 31, 2025, 2024 and 2023 and (ii) consolidated balance sheet as of December 31, 2025 and 2024 have been derived from, and should be read in conjunction with the consolidated financial statements and accompanying notes presented in Item 8 of this Annual Report on Form 10-K.</w:t>
      </w:r>
    </w:p>
    <w:p>
      <w:pPr>
        <w:spacing w:after="0" w:line="193" w:lineRule="exact"/>
        <w:rPr>
          <w:sz w:val="20"/>
          <w:szCs w:val="20"/>
          <w:color w:val="auto"/>
        </w:rPr>
      </w:pPr>
    </w:p>
    <w:p>
      <w:pPr>
        <w:jc w:val="both"/>
        <w:ind w:right="680" w:firstLine="74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6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Borders>
              <w:bottom w:val="single" w:sz="8" w:color="auto"/>
            </w:tcBorders>
            <w:gridSpan w:val="5"/>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except share and per share amounts)</w:t>
            </w: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 Net of Discounts</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1,175,295</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1,137,141</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1,054,553</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38,154</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82,588</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(600,402)</w:t>
            </w: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(536,032)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(528,058)</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64,370</w:t>
            </w: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7,974</w:t>
            </w: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574,893</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601,109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526,495</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(26,216)</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74,614</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437,193</w:t>
            </w:r>
          </w:p>
        </w:tc>
        <w:tc>
          <w:tcPr>
            <w:tcW w:w="1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376,684</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341,863</w:t>
            </w: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60,509</w:t>
            </w: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34,821</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6"/>
        </w:trPr>
        <w:tc>
          <w:tcPr>
            <w:tcW w:w="40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437,193</w:t>
            </w:r>
          </w:p>
        </w:tc>
        <w:tc>
          <w:tcPr>
            <w:tcW w:w="18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376,684</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341,863</w:t>
            </w:r>
          </w:p>
        </w:tc>
        <w:tc>
          <w:tcPr>
            <w:tcW w:w="2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60,509</w:t>
            </w:r>
          </w:p>
        </w:tc>
        <w:tc>
          <w:tcPr>
            <w:tcW w:w="5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34,821</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2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137,700</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224,425</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184,632</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(86,725)</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39,793</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125,655</w:t>
            </w: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(28,583)</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(149,941)</w:t>
            </w: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(4,297)</w:t>
            </w: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19"/>
        </w:trPr>
        <w:tc>
          <w:tcPr>
            <w:tcW w:w="40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Income Before Provision for Income Taxes And Non-Controlling</w:t>
            </w:r>
          </w:p>
        </w:tc>
        <w:tc>
          <w:tcPr>
            <w:tcW w:w="280" w:type="dxa"/>
            <w:vAlign w:val="bottom"/>
            <w:shd w:val="clear" w:color="auto" w:fill="CFF0FC"/>
          </w:tcPr>
          <w:p>
            <w:pPr>
              <w:spacing w:after="0"/>
              <w:rPr>
                <w:sz w:val="10"/>
                <w:szCs w:val="1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263,355</w:t>
            </w:r>
          </w:p>
        </w:tc>
        <w:tc>
          <w:tcPr>
            <w:tcW w:w="18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200,139</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156,049</w:t>
            </w:r>
          </w:p>
        </w:tc>
        <w:tc>
          <w:tcPr>
            <w:tcW w:w="2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63,216</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44,090</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147,302</w:t>
            </w: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126,288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118,630</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21,014</w:t>
            </w: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7,658</w:t>
            </w: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Before Non-Controlling Interest</w:t>
            </w:r>
          </w:p>
        </w:tc>
        <w:tc>
          <w:tcPr>
            <w:tcW w:w="2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116,053</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73,851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37,419</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42,202</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36,432</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w:t>
            </w: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2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114,152</w:t>
            </w:r>
          </w:p>
        </w:tc>
        <w:tc>
          <w:tcPr>
            <w:tcW w:w="1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73,083</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36,267</w:t>
            </w:r>
          </w:p>
        </w:tc>
        <w:tc>
          <w:tcPr>
            <w:tcW w:w="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41,069</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36,816</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29"/>
        </w:trPr>
        <w:tc>
          <w:tcPr>
            <w:tcW w:w="40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Income Per Share - Basic</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0.49</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0.31</w:t>
            </w:r>
          </w:p>
        </w:tc>
        <w:tc>
          <w:tcPr>
            <w:tcW w:w="220" w:type="dxa"/>
            <w:vAlign w:val="bottom"/>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0.15</w:t>
            </w: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0.18</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0.16</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2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1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0.30</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0.15</w:t>
            </w:r>
          </w:p>
        </w:tc>
        <w:tc>
          <w:tcPr>
            <w:tcW w:w="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0.18</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0.15</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9"/>
        </w:trPr>
        <w:tc>
          <w:tcPr>
            <w:tcW w:w="40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280" w:type="dxa"/>
            <w:vAlign w:val="bottom"/>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233,865,410</w:t>
            </w:r>
          </w:p>
        </w:tc>
        <w:tc>
          <w:tcPr>
            <w:tcW w:w="18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236,827,774</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237,927,867</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2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236,874,553</w:t>
            </w:r>
          </w:p>
        </w:tc>
        <w:tc>
          <w:tcPr>
            <w:tcW w:w="1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241,925,957</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239,827,390</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-1405255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-1409065</wp:posOffset>
            </wp:positionV>
            <wp:extent cx="13652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525" cy="13716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-1409065</wp:posOffset>
            </wp:positionV>
            <wp:extent cx="17145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-1409065</wp:posOffset>
            </wp:positionV>
            <wp:extent cx="9398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-504825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-488315</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-504825</wp:posOffset>
            </wp:positionV>
            <wp:extent cx="146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-488315</wp:posOffset>
            </wp:positionV>
            <wp:extent cx="1460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-504825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-488315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-504825</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-488315</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-264795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-264795</wp:posOffset>
            </wp:positionV>
            <wp:extent cx="1460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-247650</wp:posOffset>
            </wp:positionV>
            <wp:extent cx="146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-264795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460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460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r>
      <w:tr>
        <w:trPr>
          <w:trHeight w:val="199"/>
        </w:trPr>
        <w:tc>
          <w:tcPr>
            <w:tcW w:w="38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w:t>
            </w: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2,790,056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2,537,012</w:t>
            </w:r>
          </w:p>
        </w:tc>
        <w:tc>
          <w:tcPr>
            <w:tcW w:w="20" w:type="dxa"/>
            <w:vAlign w:val="bottom"/>
          </w:tcPr>
          <w:p>
            <w:pPr>
              <w:spacing w:after="0"/>
              <w:rPr>
                <w:sz w:val="17"/>
                <w:szCs w:val="17"/>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702,098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582,963</w:t>
            </w:r>
          </w:p>
        </w:tc>
        <w:tc>
          <w:tcPr>
            <w:tcW w:w="2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Streams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2025 was $1,175,295 thousand, up 3% from $1,137,141 thousand for the year ended December 31, 2024. The increase in revenue was largely due to the launch of adult-use sales in Minnesota and Ohio which began on September 16, 2025 and August 6, 2024, respectively, as well as continued growth in existing markets, particularly in Florida, Maryland, Nevada and New York, and revenue generated from new Retail stores opened and acquired in the current period, partially offset by price compression and increased competition in select markets.</w:t>
      </w:r>
    </w:p>
    <w:p>
      <w:pPr>
        <w:spacing w:after="0" w:line="18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generated revenue from 113 Retail locations during the year compared to 101 in the prior year. During the year ended December 31, 2025, Retail revenue made up 71% of total revenue compared to 73% of total revenue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 was the launch of adult-use sales in Minnesota and Ohio, as described above, as well as continued growth in existing markets, particularly in Maryland, Pennsylvania and New York, partially offset by price compression. During the year ended December 31, 2025, Consumer Packaged Goods revenue made up 29% of total revenue as compared to 27% of total revenue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2025 was $600,402 thousand, up 12% from $536,032 thousand for the year ended December 31, 2024, driven by continued growth in existing markets, particularly in Florida, Maryland, Nevada and New York, legalization of adult-use sales in Minnesota and Ohio as described above, and new and acquired Retail store openings since December 31, 2024. In addition, during the year ended December 31, 2025, the Company incurred licensing fees of $6,801 thousand in conjunction with its brand licensing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2025 was $574,893 thousand, representing a gross margin on the sale of branded cannabis flower and processed and packaged products including concentrates, edibles, topicals and other cannabis products, of 49%. This is compared to gross profit for the year ended December 31, 2024 of $601,109 thousand, or a 53% gross margin. The decrease in gross profit margin was primarily driven by price compression as well as the impact of the licensing fee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Total expenses for the year ended December 31, 2025 were $437,193 thousand or 37% of revenues, net of discounts, resulting in an increase of $60,509 thousand compared to the prior year. Total expenses for the year ended December 31, 2024 were $376,684 thousand or 33% of revenues, net of discounts. The increase in total expenses was attributable to overall salary and benefits of corporate staff and increased costs associated with the opening, acquiring and operation of Retail stores as described above. In addition, expenses for the year ended December 31, 2024, included the impact of one-time favorable fair value adjustments of $15,991 thousand associated with the Company's contingent consideration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Total other income for the year ended December 31, 2025 was $125,655 thousand, an increase of $149,941 thousand compared to the prior year. Excluding fair value adjustments on related party warrants of $125,946 thousand primarily associated with the repayment of the $10,000 thousand related-party convertible note, total other income (expense) would have been $291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2025 was $263,355 thousand, an increase of $63,216 thousand compared to the year ended December 31, 2024.</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$44,933 thousand and $33,312 thousand for the years ended December 31, 2025 and 2024, respectively, other non-operating items of $13,507 thousand and $371 thousand, Adjusted Earnings Before Interest, Taxes, Depreciation, and Amortization (“Adjusted EBITDA”) was $341,589 thousand and $371,318 thousand for the years ended December 31, 2025 and 2024, respectively. In addition, Adjusted EBITDA excluding the licensing fees recorded in conjunction with the Company's licensing agreement with RYM (“Normalized EBITDA”) was $348,390 thousand for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2025, federal and state income tax expense totaled $147,302 thousand compared to expense of $126,288 thousand for the year ended December 31, 2024.</w:t>
      </w:r>
    </w:p>
    <w:p>
      <w:pPr>
        <w:spacing w:after="0" w:line="176"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net expense of $147,302 thousand for the year ended December 31, 2025 includes current tax expense of $128,582 thousand and deferred tax expense of $18,720 thousand in the current period.</w:t>
      </w: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2024 was $1,137,141 thousand, up 8% from $1,054,553 thousand for the year ended December 31, 2023. The increase in revenue was largely due to legalization of adult-use sales in Maryland that began on July 1, 2023 and in Ohio that began on August 6, 2024, continued growth in existing markets, particularly in New York, as well as revenue generated from new Retail stores opened in the current period, partially offset by price compression.</w:t>
      </w:r>
    </w:p>
    <w:p>
      <w:pPr>
        <w:spacing w:after="0" w:line="18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generated revenue from 101 Retail locations during the year compared to 91 in the prior year. During the year ended December 31, 2024, Retail revenue made up 73% of total revenue as compared to 75% of total revenue in 2023. Since December 31, 2023, the Company opened seven new Retail locations in Florida, one in Minnesota, one in Nevada, and one in New York that contributed to the increase in Retail revenues.</w:t>
      </w:r>
    </w:p>
    <w:p>
      <w:pPr>
        <w:spacing w:after="0" w:line="10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 was the launch of adult-use sales in Maryland and Ohio, as described above, as well as continued growth in existing markets, particularly in New York, partially offset by price compression. During the year ended December 31, 2024 Consumer Packaged Goods revenue made up 27% of total revenue as compared to 25%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2024 was $536,032 thousand, up 2% from $528,058 thousand for the year ended December 31, 2023, driven by increased volume from open and operating Retail stores, and new Retail store openings in Florida, Minnesota, Nevada, and New York.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2024 was $601,109 thousand, representing a gross margin on the sale of branded cannabis flower and processed and packaged products including concentrates, edibles, topicals and other cannabis products, of 53%. This is compared to gross profit for the year ended December 31, 2023 of $526,495 thousand or a 50% gross margin. The increase in gross profit (dollars) was directly attributable to the revenue increase as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Total expenses for the year ended December 31, 2024 were $376,684 thousand or 33% of revenues, net of discounts, resulting in a increase of $34,821 thousand compared to the prior year. Total expenses for the year ended December 31, 2023 were $341,863 thousand or 32% of revenues, net of discounts. The increase in total expenses was attributable to Retail salaries and benefits, depreciation expense and other operational and facility expenses mainly as a result of the Company’s addition of ten new Retail stores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$24,286 thousand, a decrease of $4,297 thousand, primarily due to fair value adjustments on the Company’s equity investments partially offset by increased interest cost due to a reduction in capitalized interest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2024 was $200,139 thousand, an increase of $44,090 thousand compared to the year ended December 31, 2023.</w:t>
      </w:r>
    </w:p>
    <w:p>
      <w:pPr>
        <w:spacing w:after="0" w:line="162" w:lineRule="exact"/>
        <w:rPr>
          <w:sz w:val="20"/>
          <w:szCs w:val="20"/>
          <w:color w:val="auto"/>
        </w:rPr>
      </w:pPr>
    </w:p>
    <w:p>
      <w:pPr>
        <w:ind w:right="100" w:firstLine="749"/>
        <w:spacing w:after="0" w:line="289" w:lineRule="auto"/>
        <w:rPr>
          <w:sz w:val="20"/>
          <w:szCs w:val="20"/>
          <w:color w:val="auto"/>
        </w:rPr>
      </w:pPr>
      <w:r>
        <w:rPr>
          <w:rFonts w:ascii="Times New Roman" w:cs="Times New Roman" w:eastAsia="Times New Roman" w:hAnsi="Times New Roman"/>
          <w:sz w:val="17"/>
          <w:szCs w:val="17"/>
          <w:color w:val="auto"/>
        </w:rPr>
        <w:t>As presented under the heading “Non-GAAP Measures” below, after adjusting for non-cash equity incentive compensation of $33,312 thousand and $28,189 thousand for the years ended December 31, 2024 and 2023, respectively, as well as other nonoperating items of $371 thousand and $12,228 thousand, respectively, Adjusted EBITDA was $371,318 thousand and $325,839 thousand for the years ended December 31, 2024 and 2023, respectively.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2024, federal and state income tax expense totaled $126,288 thousand compared to expense of $118,630 thousand for the year ended December 31, 2023.</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$126,288 thousand for the year ended December 31, 2024 includes current tax expense of $132,338 thousand and deferred tax benefit of $(6,050)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2023 was $1,054,553 thousand, up 4% from $1,017,375 thousand for the year ended December 31, 2022. The increase in revenue was largely due to legalization of adult-use sales in New Jersey that began on April 21, 2022, Rhode Island that began on December 1, 2022, Connecticut that began on January 10, 2023 and Maryland that began on July 1, 2023, continued growth in existing markets, as well as revenue generated from new Retail stores opened in the current period, partially offset by price compression.</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generated revenue from 91 Retail locations during 2023 compared to 77 in the prior year. During the year ended December 31, 2023, Retail revenue made up 75% of total revenue as compared to 75% of total revenue in 2022. During 2023, the Company opened seven new Retail locations in Florida, two in Nevada, two in Virginia, two in Pennsylvania, one in Minnesota, and one in New York that contributed to the increase in Retail revenues. The Company also disposed of one Retail store in Massachusetts.</w:t>
      </w:r>
    </w:p>
    <w:p>
      <w:pPr>
        <w:spacing w:after="0" w:line="18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the launch of adult-use sales in New Jersey, Connecticut, and Maryland as described above, as well as continued growth in existing markets partially offset by price compression. Consumer Packaged Goods revenue made up 25% of total revenues in 2023 and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2023 was $528,058 thousand, up 3% from $513,412 thousand for the year ended December 31, 2022, driven by increased volume from open and operating Retail stores, new Retail store openings in Florida, Nevada, Virginia, Pennsylvania, Minnesota and New York, and legalization of adult-use sales in New Jersey, Rhode Island, Connecticut, and Maryland.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2023 was $526,495 thousand, representing a gross margin on the sale of branded cannabis flower and processed and packaged products including concentrates, edibles, topicals and other cannabis products, of 50%. This is compared to gross profit for the year ended December 31, 2022 of $503,963 thousand or a 50% gross margin. The increase in gross profit (dollars) was directly attributable to the revenue increase as described above.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Total expenses for the year ended December 31, 2023 were $341,863 thousand or 32% of revenues, net of discounts, resulting in a decrease of $41,036 thousand compared to the prior year. Total expenses for the year ended December 31, 2022 were $382,899 thousand or 38% of revenues, net of discounts. The decrease in total expenses was primarily due to the impairment charges of $88,503 thousand associated with the Company’s goodwill and intangible assets, partially offset by the impact of acquisition related non-cash credits, both recorded during the year ended December 31, 2022. The net decrease was partially offset by an increase in expense attributable to retail salaries and benefits, depreciation expense and other operational and facility expenses mainly as a result of the launch of adult-use sales in New Jersey, Rhode Island, Connecticut and Maryland, as well as the additional Retail stores opened during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2023 was $(28,583) thousand, a change of $15,951 thousand, primarily due to fair value adjustments on the Company’s equity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2023 was $156,049 thousand, an increase of $47,617 thousand compared to the year ended December 31, 2022.</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$28,189 thousand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$27,140 thousand for the years ended December 31, 2023 and 2022, respectively, as well as other nonoperating items of $12,228 thousand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$(21,893) thousand, respectively, and impairment of goodwill and intangible assets of $0 thousand and $88,503 thousand, respectively, Adjusted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$325,839 thousand and $311,478 thousand for the years ended December 31, 2023 and 2022,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2023, federal and state income tax expense totaled $118,630 thousand compared to expense of $94,777 thousand for the year ended December 31, 2022.</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$118,630 thousand for the year ended December 31, 2023 includes current tax expense of $133,073 thousand and deferred tax benefit of $(14,443)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 by Segment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years ended December 31, 2025, 2024 and 2023:</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6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40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30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9"/>
                <w:szCs w:val="9"/>
                <w:color w:val="auto"/>
              </w:rPr>
            </w:pPr>
          </w:p>
        </w:tc>
        <w:tc>
          <w:tcPr>
            <w:tcW w:w="86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Retail</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829,538</w:t>
            </w:r>
          </w:p>
        </w:tc>
        <w:tc>
          <w:tcPr>
            <w:tcW w:w="22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824,726</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791,480</w:t>
            </w:r>
          </w:p>
        </w:tc>
        <w:tc>
          <w:tcPr>
            <w:tcW w:w="180" w:type="dxa"/>
            <w:vAlign w:val="bottom"/>
            <w:vMerge w:val="continue"/>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4,812</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33,246</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Consumer Packaged Goods</w:t>
            </w:r>
          </w:p>
        </w:tc>
        <w:tc>
          <w:tcPr>
            <w:tcW w:w="6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677,350</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648,388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559,480</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28,962</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88,908</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Eliminations</w:t>
            </w:r>
          </w:p>
        </w:tc>
        <w:tc>
          <w:tcPr>
            <w:tcW w:w="64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(331,593)</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(335,973)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(296,407)</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(4,380)</w:t>
            </w: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39,566</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64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1,175,295</w:t>
            </w:r>
          </w:p>
        </w:tc>
        <w:tc>
          <w:tcPr>
            <w:tcW w:w="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1,137,141</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1,054,553</w:t>
            </w:r>
          </w:p>
        </w:tc>
        <w:tc>
          <w:tcPr>
            <w:tcW w:w="1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38,154</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26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rPr>
              <w:t>82,588</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-24765</wp:posOffset>
            </wp:positionV>
            <wp:extent cx="1289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128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1289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631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63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the Year Ended December 31, 2024</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Retail segment were $829,538 thousand for the year ended December 31, 2025, an increase of $4,812 thousand or 1%, compared to the year ended December 31, 2024. The increase in revenue was largely due to the launch of adult-use sales in Minnesota and Ohio which began on September 16, 2025 and August 6, 2024, respectively, as well as continued growth in existing markets, particularly in Florida, Maryland, Nevada and New York, and revenue generated from new Retail stores opened and acquired in the current period, partially offset by price compression and increased competition in select markets.</w:t>
      </w:r>
    </w:p>
    <w:p>
      <w:pPr>
        <w:spacing w:after="0" w:line="183"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$677,350 thousand for the year ended December 31, 2025, an increase of $28,962 thousand or 4%, compared to the year ended December 31, 2024. The increase in revenue was largely due to the launch of adult-use sales in Maryland, and Ohio, as described above, as well as continued growth in existing markets, particularly in Maryland, Nevada and New York, partially offset by price compression.</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$331,593 thousand for the year ended December 31, 2025, a decrease of $4,380 thousand or 1% compared to the year ended December 31, 2024. The decrease in intersegment eliminations was driven by a reduction in intercompany sales to Company-owned Retail stores primarily in Illinois, Massachusetts, New Jersey and Pennsylvania. Consumer Packaged Goods revenues, net of intersegment eliminations, made up 29% of total revenues for the year ended December 31, 2025, as compared to 27% for the year ended December 31, 2024.</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the Year Ended December 31, 2023</w:t>
      </w:r>
    </w:p>
    <w:p>
      <w:pPr>
        <w:spacing w:after="0" w:line="22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$824,726 thousand for the year ended December 31, 2024, an increase of $33,246 thousand or 4%, compared to the year ended December 31, 2023. The increase in revenue was largely due to the continued impact of adult-use sales in Maryland that began on July 1, 2023 and in Ohio, which began on August 6, 2024, increased store traffic to Green Thumb’s open and operating Retail stores, particularly in New York, and revenue generated from new Retail stores opened in the current period, partially offset by price compression.</w:t>
      </w:r>
    </w:p>
    <w:p>
      <w:pPr>
        <w:spacing w:after="0" w:line="11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$648,388 thousand for the year ended December 31, 2024, an increase of $88,908 thousand or 16%, compared to the year ended December 31, 2023. The increase in revenue was largely due to the launch of adult-use sales in Maryland, and Ohio, as described above, as well as continued growth in existing markets, particularly in New York, partially offset by price compression.</w:t>
      </w:r>
    </w:p>
    <w:p>
      <w:pPr>
        <w:spacing w:after="0" w:line="99"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$335,973 thousand for the year ended December 31, 2024, an increase of $39,566 thousand or 13% compared to the year ended December 31, 2023. The increase in intersegment eliminations was driven by increased intercompany sales to Company-owned Retail stores primarily in Florida, Maryland, Pennsylvania and New York. Consumer Packaged Goods revenues, net of intersegment eliminations, made up 27% of total revenues for the year ended December 31, 2024, as compared to 25% for the year ended December 31, 2023.</w:t>
      </w:r>
    </w:p>
    <w:p>
      <w:pPr>
        <w:spacing w:after="0" w:line="1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the Year Ended December 31, 2022</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$791,480 thousand for the year ended December 31, 2023, an increase of $28,314 thousand or 4%, compared to the year ended December 31, 2022.The increase in revenue was largely due to legalization of adult-use sales in New Jersey, which began on April 21, 2022, Rhode Island which began on December 1, 2022, Connecticut, which began on January 10, 2023, and Maryland, which began on July 1, 2023, as well as revenue generated from new Retail stores opened in the current period, partially offset by price compression.</w:t>
      </w:r>
    </w:p>
    <w:p>
      <w:pPr>
        <w:spacing w:after="0" w:line="9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$559,480 thousand for the year ended December 31, 2023, an increase of $64,379 thousand or 13%, compared to the year ended December 31, 2022. The increase in revenue was largely due to legalization of adult-use sales in New Jersey, Connecticut and Maryland as discussed above, partially offset by price compression.</w:t>
      </w:r>
    </w:p>
    <w:p>
      <w:pPr>
        <w:spacing w:after="0" w:line="10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Retail business in which it sells finished goods sourced from third-party cannabis manufacturers in addition to the Company’s own Consumer Packaged Goods business in which it manufactures, sells and distributes brands including &amp;Shine, Beboe, Dogwalkers, Doctor Solomon’s, Good Green incredibles, and RYTHM, primarily to third-party retail customers, as well as direct-to-consumer delivery where allowed by state law. Our consumer packaged goods are branded under intellectual property licensing arrangements from RYM following our sale of those brands to RYM in May and August 2025.</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revenue was contributed from Retail and Consumer Packaged Goods sales across California, Connecticut, Florida, Illinois, Maryland, Massachusetts, Minnesota, Nevada, New Jersey, New York, Ohio, Pennsylvania, Rhode Island and Virginia.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9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continued to focus on creating sustainable, profitable growth of the Company’s business while pursuing expansion. Green Thumb expects to continue its growth strategy for the foreseeable future as the Company expands its footprint within its current markets with acquisitions and partnerships, and scales resources into new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also includes a significant investment in the corporate infrastructure required to support the Company’s ongoing business.</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higher in the newer locations as the business continues to grow.</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incentive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The U.S. Internal Revenue Service has taken the position that cannabis companies are subject to the limitations of the U.S. Internal Revenue Code of 1986, as amended (“IRC”) Section 280E under which cannabis companies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EBITDA, Adjusted EBITDA, and Normalized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174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116,053</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73,851</w:t>
            </w:r>
          </w:p>
        </w:tc>
        <w:tc>
          <w:tcPr>
            <w:tcW w:w="20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37,419</w:t>
            </w: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(11,377)</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(9,074)</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149"/>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20,018</w:t>
            </w: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24,266</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19,073</w:t>
            </w: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147,302</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126,288</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118,630</w:t>
            </w: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w:t>
            </w:r>
          </w:p>
        </w:tc>
        <w:tc>
          <w:tcPr>
            <w:tcW w:w="1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(134,296)</w:t>
            </w: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9,094</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16,207</w:t>
            </w: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145,449</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113,210</w:t>
            </w: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100,790</w:t>
            </w:r>
          </w:p>
        </w:tc>
        <w:tc>
          <w:tcPr>
            <w:tcW w:w="0" w:type="dxa"/>
            <w:vAlign w:val="bottom"/>
          </w:tcPr>
          <w:p>
            <w:pPr>
              <w:spacing w:after="0"/>
              <w:rPr>
                <w:sz w:val="1"/>
                <w:szCs w:val="1"/>
                <w:color w:val="auto"/>
              </w:rPr>
            </w:pPr>
          </w:p>
        </w:tc>
      </w:tr>
      <w:tr>
        <w:trPr>
          <w:trHeight w:val="117"/>
        </w:trPr>
        <w:tc>
          <w:tcPr>
            <w:tcW w:w="486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Earnings before interest, taxes, depreciation and</w:t>
            </w:r>
          </w:p>
        </w:tc>
        <w:tc>
          <w:tcPr>
            <w:tcW w:w="1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283,149</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337,635</w:t>
            </w:r>
          </w:p>
        </w:tc>
        <w:tc>
          <w:tcPr>
            <w:tcW w:w="2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285,422</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1740" w:type="dxa"/>
            <w:vAlign w:val="bottom"/>
            <w:tcBorders>
              <w:bottom w:val="single" w:sz="8" w:color="CFF0FC"/>
            </w:tcBorders>
            <w:vMerge w:val="continue"/>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vMerge w:val="continue"/>
            <w:shd w:val="clear" w:color="auto" w:fill="CFF0FC"/>
          </w:tcPr>
          <w:p>
            <w:pPr>
              <w:spacing w:after="0"/>
              <w:rPr>
                <w:sz w:val="15"/>
                <w:szCs w:val="15"/>
                <w:color w:val="auto"/>
              </w:rPr>
            </w:pPr>
          </w:p>
        </w:tc>
        <w:tc>
          <w:tcPr>
            <w:tcW w:w="220" w:type="dxa"/>
            <w:vAlign w:val="bottom"/>
            <w:tcBorders>
              <w:bottom w:val="single" w:sz="8" w:color="CFF0FC"/>
            </w:tcBorders>
            <w:vMerge w:val="continue"/>
            <w:shd w:val="clear" w:color="auto" w:fill="CFF0FC"/>
          </w:tcPr>
          <w:p>
            <w:pPr>
              <w:spacing w:after="0"/>
              <w:rPr>
                <w:sz w:val="15"/>
                <w:szCs w:val="15"/>
                <w:color w:val="auto"/>
              </w:rPr>
            </w:pPr>
          </w:p>
        </w:tc>
        <w:tc>
          <w:tcPr>
            <w:tcW w:w="1400" w:type="dxa"/>
            <w:vAlign w:val="bottom"/>
            <w:tcBorders>
              <w:bottom w:val="single" w:sz="8" w:color="CFF0FC"/>
            </w:tcBorders>
            <w:vMerge w:val="continue"/>
            <w:shd w:val="clear" w:color="auto" w:fill="CFF0FC"/>
          </w:tcPr>
          <w:p>
            <w:pPr>
              <w:spacing w:after="0"/>
              <w:rPr>
                <w:sz w:val="15"/>
                <w:szCs w:val="15"/>
                <w:color w:val="auto"/>
              </w:rPr>
            </w:pPr>
          </w:p>
        </w:tc>
        <w:tc>
          <w:tcPr>
            <w:tcW w:w="200" w:type="dxa"/>
            <w:vAlign w:val="bottom"/>
            <w:tcBorders>
              <w:bottom w:val="single" w:sz="8" w:color="CFF0FC"/>
            </w:tcBorders>
            <w:vMerge w:val="continue"/>
            <w:shd w:val="clear" w:color="auto" w:fill="CFF0FC"/>
          </w:tcPr>
          <w:p>
            <w:pPr>
              <w:spacing w:after="0"/>
              <w:rPr>
                <w:sz w:val="15"/>
                <w:szCs w:val="15"/>
                <w:color w:val="auto"/>
              </w:rPr>
            </w:pPr>
          </w:p>
        </w:tc>
        <w:tc>
          <w:tcPr>
            <w:tcW w:w="124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174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44,933</w:t>
            </w:r>
          </w:p>
        </w:tc>
        <w:tc>
          <w:tcPr>
            <w:tcW w:w="220" w:type="dxa"/>
            <w:vAlign w:val="bottom"/>
            <w:tcBorders>
              <w:top w:val="single" w:sz="8" w:color="CFF0FC"/>
            </w:tcBorders>
          </w:tcPr>
          <w:p>
            <w:pPr>
              <w:spacing w:after="0"/>
              <w:rPr>
                <w:sz w:val="11"/>
                <w:szCs w:val="11"/>
                <w:color w:val="auto"/>
              </w:rPr>
            </w:pPr>
          </w:p>
        </w:tc>
        <w:tc>
          <w:tcPr>
            <w:tcW w:w="1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33,312</w:t>
            </w:r>
          </w:p>
        </w:tc>
        <w:tc>
          <w:tcPr>
            <w:tcW w:w="200" w:type="dxa"/>
            <w:vAlign w:val="bottom"/>
            <w:tcBorders>
              <w:top w:val="single" w:sz="8" w:color="CFF0FC"/>
            </w:tcBorders>
          </w:tcPr>
          <w:p>
            <w:pPr>
              <w:spacing w:after="0"/>
              <w:rPr>
                <w:sz w:val="11"/>
                <w:szCs w:val="11"/>
                <w:color w:val="auto"/>
              </w:rPr>
            </w:pPr>
          </w:p>
        </w:tc>
        <w:tc>
          <w:tcPr>
            <w:tcW w:w="12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28,189</w:t>
            </w:r>
          </w:p>
        </w:tc>
        <w:tc>
          <w:tcPr>
            <w:tcW w:w="0" w:type="dxa"/>
            <w:vAlign w:val="bottom"/>
          </w:tcPr>
          <w:p>
            <w:pPr>
              <w:spacing w:after="0"/>
              <w:rPr>
                <w:sz w:val="1"/>
                <w:szCs w:val="1"/>
                <w:color w:val="auto"/>
              </w:rPr>
            </w:pPr>
          </w:p>
        </w:tc>
      </w:tr>
      <w:tr>
        <w:trPr>
          <w:trHeight w:val="148"/>
        </w:trPr>
        <w:tc>
          <w:tcPr>
            <w:tcW w:w="48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 Transaction and Other Non-operating Costs</w:t>
            </w:r>
          </w:p>
        </w:tc>
        <w:tc>
          <w:tcPr>
            <w:tcW w:w="174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13,507</w:t>
            </w:r>
          </w:p>
        </w:tc>
        <w:tc>
          <w:tcPr>
            <w:tcW w:w="220" w:type="dxa"/>
            <w:vAlign w:val="bottom"/>
            <w:tcBorders>
              <w:bottom w:val="single" w:sz="8" w:color="CFF0FC"/>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2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12,228</w:t>
            </w:r>
          </w:p>
        </w:tc>
        <w:tc>
          <w:tcPr>
            <w:tcW w:w="0" w:type="dxa"/>
            <w:vAlign w:val="bottom"/>
          </w:tcPr>
          <w:p>
            <w:pPr>
              <w:spacing w:after="0"/>
              <w:rPr>
                <w:sz w:val="1"/>
                <w:szCs w:val="1"/>
                <w:color w:val="auto"/>
              </w:rPr>
            </w:pPr>
          </w:p>
        </w:tc>
      </w:tr>
      <w:tr>
        <w:trPr>
          <w:trHeight w:val="142"/>
        </w:trPr>
        <w:tc>
          <w:tcPr>
            <w:tcW w:w="4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 (Non-GAAP Measure)</w:t>
            </w:r>
          </w:p>
        </w:tc>
        <w:tc>
          <w:tcPr>
            <w:tcW w:w="17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341,589</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371,318</w:t>
            </w:r>
          </w:p>
        </w:tc>
        <w:tc>
          <w:tcPr>
            <w:tcW w:w="2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325,839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6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License Fee recorded in Cost of Sales</w:t>
            </w:r>
          </w:p>
        </w:tc>
        <w:tc>
          <w:tcPr>
            <w:tcW w:w="17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8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Normalized EBITDA (Non-GAAP Measure)</w:t>
            </w:r>
          </w:p>
        </w:tc>
        <w:tc>
          <w:tcPr>
            <w:tcW w:w="174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348,390</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371,318</w:t>
            </w:r>
          </w:p>
        </w:tc>
        <w:tc>
          <w:tcPr>
            <w:tcW w:w="20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-659130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-641985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-659130</wp:posOffset>
            </wp:positionV>
            <wp:extent cx="1289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-641985</wp:posOffset>
            </wp:positionV>
            <wp:extent cx="1289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-445135</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-445135</wp:posOffset>
            </wp:positionV>
            <wp:extent cx="1289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289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289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and Capital Resources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total current liabilities of $177,315 thousand and $164,969 thousand, respectively, and cash and cash equivalents of $274,298 thousand and $171,687 thousand, respectively, to meet its current obligations. The Company had working capital of $399,856 thousand as of December 31, 2025, an increase of $160,925 thousand as compared to December 31, 2024. This increase in working capital was largely attributable to: lower income taxes paid, the maturity of the $27,000 thousand related party note receivable, partially offset by the Company's investment in acquisition related activities and the repurchase of Subordinate and Super Voting Shares through the Company's share repurchase program.</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generates cash from its operations and deploys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research, design, development and marketing, as well as customer, supplier and investor and industry relations. For additional details regarding financing, See Note 9—Notes Payable.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Investing and Financing Activities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years ended December 31, 2025, 2024, and 2023,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199"/>
        </w:trPr>
        <w:tc>
          <w:tcPr>
            <w:tcW w:w="5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294,926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195,183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(227,908)</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(50,943)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(95,594)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Company's net cash flows provided by operating activities for the year ended December 31, 2025 of $294,926 thousand increased by $99,743 thousand from $195,183 thousand for the year ended December 31, 2024, primarily due to lower income taxes paid.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Company's net cash flows used in investing activities for the year ended December 31, 2025 of $130,388 thousand increased by $40,852 thousand from $89,536 thousand for the year ended December 31, 2024. The increase in cash used in investing activities was primarily attributable to the extension of convertible notes receivable to RYM, acquisitions, net of cash acquired and a reduction in proceeds received from the Company's investments in the current year. Those uses of cash were partially offset by an increase in proceeds received from the sale of the Company's intellectual property to RYM during the current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Company's net cash flows used in financing activities for the year ended December 31, 2025 of $50,943 thousand decreased by $44,651 thousand from $95,594 thousand for the year ended December 31, 2024 primarily due to a reduction in proceeds from the issuance of notes payable net of repayments during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 and Other Commitments and Contingencies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quantifies the Company’s future contractual obligations as of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3"/>
                <w:szCs w:val="13"/>
                <w:color w:val="auto"/>
              </w:rPr>
            </w:pPr>
          </w:p>
        </w:tc>
        <w:tc>
          <w:tcPr>
            <w:tcW w:w="11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500" w:type="dxa"/>
            <w:vAlign w:val="bottom"/>
          </w:tcPr>
          <w:p>
            <w:pPr>
              <w:spacing w:after="0"/>
              <w:rPr>
                <w:sz w:val="13"/>
                <w:szCs w:val="13"/>
                <w:color w:val="auto"/>
              </w:rPr>
            </w:pPr>
          </w:p>
        </w:tc>
        <w:tc>
          <w:tcPr>
            <w:tcW w:w="8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480" w:type="dxa"/>
            <w:vAlign w:val="bottom"/>
          </w:tcPr>
          <w:p>
            <w:pPr>
              <w:spacing w:after="0"/>
              <w:rPr>
                <w:sz w:val="13"/>
                <w:szCs w:val="13"/>
                <w:color w:val="auto"/>
              </w:rPr>
            </w:pPr>
          </w:p>
        </w:tc>
        <w:tc>
          <w:tcPr>
            <w:tcW w:w="8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480" w:type="dxa"/>
            <w:vAlign w:val="bottom"/>
          </w:tcPr>
          <w:p>
            <w:pPr>
              <w:spacing w:after="0"/>
              <w:rPr>
                <w:sz w:val="13"/>
                <w:szCs w:val="13"/>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2030</w:t>
            </w:r>
          </w:p>
        </w:tc>
        <w:tc>
          <w:tcPr>
            <w:tcW w:w="240" w:type="dxa"/>
            <w:vAlign w:val="bottom"/>
          </w:tcPr>
          <w:p>
            <w:pPr>
              <w:spacing w:after="0"/>
              <w:rPr>
                <w:sz w:val="13"/>
                <w:szCs w:val="13"/>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2031 and</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Syndicated Credit Facility</w:t>
            </w:r>
            <w:r>
              <w:rPr>
                <w:rFonts w:ascii="Times New Roman" w:cs="Times New Roman" w:eastAsia="Times New Roman" w:hAnsi="Times New Roman"/>
                <w:sz w:val="19"/>
                <w:szCs w:val="19"/>
                <w:color w:val="auto"/>
                <w:vertAlign w:val="superscript"/>
              </w:rPr>
              <w:t>(a)</w:t>
            </w:r>
          </w:p>
        </w:tc>
        <w:tc>
          <w:tcPr>
            <w:tcW w:w="2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40" w:type="dxa"/>
            <w:vAlign w:val="bottom"/>
            <w:vMerge w:val="continue"/>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142,500</w:t>
            </w: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97,500</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Mortgages Payable</w:t>
            </w:r>
            <w:r>
              <w:rPr>
                <w:rFonts w:ascii="Times New Roman" w:cs="Times New Roman" w:eastAsia="Times New Roman" w:hAnsi="Times New Roman"/>
                <w:sz w:val="17"/>
                <w:szCs w:val="17"/>
                <w:color w:val="auto"/>
                <w:vertAlign w:val="superscript"/>
              </w:rPr>
              <w:t>(b)</w:t>
            </w:r>
          </w:p>
        </w:tc>
        <w:tc>
          <w:tcPr>
            <w:tcW w:w="24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104,786</w:t>
            </w: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3,496</w:t>
            </w:r>
          </w:p>
        </w:tc>
        <w:tc>
          <w:tcPr>
            <w:tcW w:w="2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3,764</w:t>
            </w:r>
          </w:p>
        </w:tc>
        <w:tc>
          <w:tcPr>
            <w:tcW w:w="50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15,758</w:t>
            </w:r>
          </w:p>
        </w:tc>
        <w:tc>
          <w:tcPr>
            <w:tcW w:w="4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39,532</w:t>
            </w:r>
          </w:p>
        </w:tc>
        <w:tc>
          <w:tcPr>
            <w:tcW w:w="4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3,179</w:t>
            </w:r>
          </w:p>
        </w:tc>
        <w:tc>
          <w:tcPr>
            <w:tcW w:w="2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39,057</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Due on Notes Payable</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36,957</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11,662</w:t>
            </w:r>
          </w:p>
        </w:tc>
        <w:tc>
          <w:tcPr>
            <w:tcW w:w="2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10,348</w:t>
            </w: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9,034</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5,913</w:t>
            </w:r>
          </w:p>
        </w:tc>
        <w:tc>
          <w:tcPr>
            <w:tcW w:w="4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Interest Due on Mortgage Payable</w:t>
            </w:r>
          </w:p>
        </w:tc>
        <w:tc>
          <w:tcPr>
            <w:tcW w:w="24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41,411</w:t>
            </w:r>
          </w:p>
        </w:tc>
        <w:tc>
          <w:tcPr>
            <w:tcW w:w="260" w:type="dxa"/>
            <w:vAlign w:val="bottom"/>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7,771</w:t>
            </w:r>
          </w:p>
        </w:tc>
        <w:tc>
          <w:tcPr>
            <w:tcW w:w="260" w:type="dxa"/>
            <w:vAlign w:val="bottom"/>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7,503</w:t>
            </w:r>
          </w:p>
        </w:tc>
        <w:tc>
          <w:tcPr>
            <w:tcW w:w="50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7,237</w:t>
            </w:r>
          </w:p>
        </w:tc>
        <w:tc>
          <w:tcPr>
            <w:tcW w:w="48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4,429</w:t>
            </w:r>
          </w:p>
        </w:tc>
        <w:tc>
          <w:tcPr>
            <w:tcW w:w="48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2,989</w:t>
            </w:r>
          </w:p>
        </w:tc>
        <w:tc>
          <w:tcPr>
            <w:tcW w:w="24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11,482</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Operating Leases - Third-Party</w:t>
            </w:r>
            <w:r>
              <w:rPr>
                <w:rFonts w:ascii="Times New Roman" w:cs="Times New Roman" w:eastAsia="Times New Roman" w:hAnsi="Times New Roman"/>
                <w:sz w:val="17"/>
                <w:szCs w:val="17"/>
                <w:color w:val="auto"/>
                <w:vertAlign w:val="superscript"/>
              </w:rPr>
              <w:t>(c)</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492,650</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50,158</w:t>
            </w:r>
          </w:p>
        </w:tc>
        <w:tc>
          <w:tcPr>
            <w:tcW w:w="2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50,030</w:t>
            </w: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48,527</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45,210</w:t>
            </w:r>
          </w:p>
        </w:tc>
        <w:tc>
          <w:tcPr>
            <w:tcW w:w="4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43,038</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255,687</w:t>
            </w:r>
          </w:p>
        </w:tc>
        <w:tc>
          <w:tcPr>
            <w:tcW w:w="0" w:type="dxa"/>
            <w:vAlign w:val="bottom"/>
          </w:tcPr>
          <w:p>
            <w:pPr>
              <w:spacing w:after="0"/>
              <w:rPr>
                <w:sz w:val="1"/>
                <w:szCs w:val="1"/>
                <w:color w:val="auto"/>
              </w:rPr>
            </w:pPr>
          </w:p>
        </w:tc>
      </w:tr>
      <w:tr>
        <w:trPr>
          <w:trHeight w:val="153"/>
        </w:trPr>
        <w:tc>
          <w:tcPr>
            <w:tcW w:w="22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Operating Leases - Related Parties</w:t>
            </w:r>
            <w:r>
              <w:rPr>
                <w:rFonts w:ascii="Times New Roman" w:cs="Times New Roman" w:eastAsia="Times New Roman" w:hAnsi="Times New Roman"/>
                <w:sz w:val="17"/>
                <w:szCs w:val="17"/>
                <w:color w:val="auto"/>
                <w:vertAlign w:val="superscript"/>
              </w:rPr>
              <w:t>(c)</w:t>
            </w:r>
          </w:p>
        </w:tc>
        <w:tc>
          <w:tcPr>
            <w:tcW w:w="24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2,352</w:t>
            </w: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524</w:t>
            </w:r>
          </w:p>
        </w:tc>
        <w:tc>
          <w:tcPr>
            <w:tcW w:w="2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491</w:t>
            </w:r>
          </w:p>
        </w:tc>
        <w:tc>
          <w:tcPr>
            <w:tcW w:w="50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282</w:t>
            </w:r>
          </w:p>
        </w:tc>
        <w:tc>
          <w:tcPr>
            <w:tcW w:w="4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287</w:t>
            </w:r>
          </w:p>
        </w:tc>
        <w:tc>
          <w:tcPr>
            <w:tcW w:w="4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293</w:t>
            </w:r>
          </w:p>
        </w:tc>
        <w:tc>
          <w:tcPr>
            <w:tcW w:w="2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Commitments</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 of December 31, 2025</w:t>
            </w:r>
          </w:p>
        </w:tc>
        <w:tc>
          <w:tcPr>
            <w:tcW w:w="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823,556</w:t>
            </w:r>
          </w:p>
        </w:tc>
        <w:tc>
          <w:tcPr>
            <w:tcW w:w="2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91,511</w:t>
            </w:r>
          </w:p>
        </w:tc>
        <w:tc>
          <w:tcPr>
            <w:tcW w:w="2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87,136</w:t>
            </w:r>
          </w:p>
        </w:tc>
        <w:tc>
          <w:tcPr>
            <w:tcW w:w="5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95,838</w:t>
            </w:r>
          </w:p>
        </w:tc>
        <w:tc>
          <w:tcPr>
            <w:tcW w:w="4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192,871</w:t>
            </w:r>
          </w:p>
        </w:tc>
        <w:tc>
          <w:tcPr>
            <w:tcW w:w="4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49,499</w:t>
            </w:r>
          </w:p>
        </w:tc>
        <w:tc>
          <w:tcPr>
            <w:tcW w:w="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306,701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93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Syndicated Credit Facility, (the “Credit Facility”) excludes $1,591 thousand of unamortized debt discount as of December 31, 2025. See Note 9—Notes Payable for details.</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amount excludes $799 thousand of unamortized debt discount as of December 31, 2025. See Note 9—Notes Payable for details.</w:t>
      </w:r>
    </w:p>
    <w:p>
      <w:pPr>
        <w:ind w:left="200" w:hanging="192"/>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These amounts include a total of $221,549 thousand of imputed interest as of December 31, 2025 See Note 8—Leases for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Claims and Litigation</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2025:</w:t>
      </w:r>
    </w:p>
    <w:p>
      <w:pPr>
        <w:spacing w:after="0" w:line="54" w:lineRule="exact"/>
        <w:rPr>
          <w:sz w:val="20"/>
          <w:szCs w:val="20"/>
          <w:color w:val="auto"/>
        </w:rPr>
      </w:pPr>
    </w:p>
    <w:p>
      <w:pPr>
        <w:ind w:left="1260" w:right="120"/>
        <w:spacing w:after="0" w:line="256" w:lineRule="auto"/>
        <w:rPr>
          <w:sz w:val="20"/>
          <w:szCs w:val="20"/>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Company's consolidated balance sheets.</w:t>
      </w:r>
    </w:p>
    <w:p>
      <w:pPr>
        <w:spacing w:after="0" w:line="79" w:lineRule="exact"/>
        <w:rPr>
          <w:sz w:val="20"/>
          <w:szCs w:val="20"/>
          <w:color w:val="auto"/>
        </w:rPr>
      </w:pPr>
    </w:p>
    <w:p>
      <w:pPr>
        <w:ind w:left="1260" w:right="360"/>
        <w:spacing w:after="0" w:line="261" w:lineRule="auto"/>
        <w:rPr>
          <w:sz w:val="20"/>
          <w:szCs w:val="20"/>
          <w:color w:val="auto"/>
        </w:rPr>
      </w:pPr>
      <w:r>
        <w:rPr>
          <w:rFonts w:ascii="Times New Roman" w:cs="Times New Roman" w:eastAsia="Times New Roman" w:hAnsi="Times New Roman"/>
          <w:sz w:val="18"/>
          <w:szCs w:val="18"/>
          <w:color w:val="auto"/>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December 31, 2025, the Company held the bond in the amount of $9,284 thousand within restricted cash and cash equivalents on the Company's consolidated balance sheets.</w:t>
      </w:r>
    </w:p>
    <w:p>
      <w:pPr>
        <w:spacing w:after="0" w:line="18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2025 and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under Part II, Item 8, Notes to Consolidated Financial Statements, Note 2 – Significant Accounting Policies.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Useful Lives and Amortization of Intangible Assets</w:t>
      </w:r>
    </w:p>
    <w:p>
      <w:pPr>
        <w:spacing w:after="0" w:line="22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100" w:firstLine="749"/>
        <w:spacing w:after="0" w:line="273" w:lineRule="auto"/>
        <w:rPr>
          <w:sz w:val="20"/>
          <w:szCs w:val="20"/>
          <w:color w:val="auto"/>
        </w:rPr>
      </w:pPr>
      <w:r>
        <w:rPr>
          <w:rFonts w:ascii="Times New Roman" w:cs="Times New Roman" w:eastAsia="Times New Roman" w:hAnsi="Times New Roman"/>
          <w:sz w:val="17"/>
          <w:szCs w:val="17"/>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Private Holdings</w:t>
      </w:r>
    </w:p>
    <w:p>
      <w:pPr>
        <w:spacing w:after="0" w:line="227"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w:t>
      </w: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ind w:right="300"/>
        <w:spacing w:after="0" w:line="282" w:lineRule="auto"/>
        <w:rPr>
          <w:sz w:val="20"/>
          <w:szCs w:val="20"/>
          <w:color w:val="auto"/>
        </w:rPr>
      </w:pPr>
      <w:r>
        <w:rPr>
          <w:rFonts w:ascii="Times New Roman" w:cs="Times New Roman" w:eastAsia="Times New Roman" w:hAnsi="Times New Roman"/>
          <w:sz w:val="18"/>
          <w:szCs w:val="18"/>
          <w:color w:val="auto"/>
        </w:rPr>
        <w:t>include operating results, subsequent rounds of financing and other appropriate information. Any change in fair value is recognized on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Financial Accounting Standards Board (“FASB”)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“Step 0”) to determine whether further quantitative analysis for impairment of goodwill is necessary. In performing Step 0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0, the Company would perform a Step 1 quantitative impairment analysis to estimate the fair value of goodwill.</w:t>
      </w:r>
    </w:p>
    <w:p>
      <w:pPr>
        <w:spacing w:after="0" w:line="18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Step 1 of the quantitative test requires comparison of the fair value of each of the reporting units to the respective carrying value. If the carrying value of the reporting unit is less than the fair value, no impairment exists. If the carrying amount of a reporting unit exceeds the estimated fair value, an impairment loss is recognized by such amount. In performing Step 1, the Company is required to make various estimates and assumptions for each reporting unit, including, but not limited to projected future operating results, anticipated future cash flows, discount rates and the allocation of shared or corporate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Reporting Units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are aggregated into two reportable segments (Retail and Consumer Packaged Goods). Management evaluated its reporting units under the accounting guidance provided in Accounting Standards Codification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 xml:space="preserve"> and determined that the individual components within each respective reportable segment were economically similar and thus, aggregation of those components into two reporting units that align with our reportable segments, was applied.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Management records its accounts receivable net of the allowance for credit losses. Management determines the allowance for credit losses by evaluating the age of receivable balances which may become past-due based on the contractual terms extended to our customers. We consider actual payment patterns and circumstances of our customers such as their economic status and state-specific market conditions. This methodology takes into account historical loss experience and current and forecasted cash flows. Our accounts receivable are considered short-term and thus effective interest has not been applied to the balance.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Payments</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200" w:lineRule="exact"/>
        <w:rPr>
          <w:sz w:val="20"/>
          <w:szCs w:val="20"/>
          <w:color w:val="auto"/>
        </w:rPr>
      </w:pP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Liquidity Risk</w:t>
      </w:r>
    </w:p>
    <w:p>
      <w:pPr>
        <w:spacing w:after="0" w:line="225"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raw material and other commodity prices.</w:t>
      </w:r>
    </w:p>
    <w:p>
      <w:pPr>
        <w:spacing w:after="0" w:line="160"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Interest rate risk is the risk that the fair value or future cash flows of a financial instrument will fluctuate because of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 interest rates. Cash and cash equivalents bear interest at market rates. The Company’s notes payable bear interest at fixed and variable-rates allowing the Company to manage interest rate exposure.</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Commodities Price Risk</w:t>
      </w:r>
      <w:r>
        <w:rPr>
          <w:rFonts w:ascii="Times New Roman" w:cs="Times New Roman" w:eastAsia="Times New Roman" w:hAnsi="Times New Roman"/>
          <w:sz w:val="18"/>
          <w:szCs w:val="18"/>
          <w:color w:val="auto"/>
        </w:rPr>
        <w:t>. Commodities Price risk is the risk of variability in fair value due to movements in equity or market prices.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ectPr>
          <w:pgSz w:w="11900" w:h="16838" w:orient="portrait"/>
          <w:cols w:equalWidth="0" w:num="1">
            <w:col w:w="10500"/>
          </w:cols>
          <w:pgMar w:left="320" w:top="1413" w:right="1079" w:bottom="1440" w:gutter="0" w:footer="0" w:header="0"/>
        </w:sectPr>
      </w:pP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13" w:right="107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2025. Accordingly, as of December 31, 2025, the Company’s Chief Executive Officer and Chief Financial Officer concluded that the Company’s disclosure controls and procedures were effective as of such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Management, including the Chief Executive Officer and Chief Financial Officer, conducted an assessment of the effectiveness of our internal control over financial reporting based on the criteria established in “Internal Control - Integrated Framework” (2013) issued by the Committee of Sponsoring Organizations of the Treadway Commission (“COSO”). Based on its assessment, management believes that, as of December 31, 2025, our internal control over financial reporting was effective based on those criteria.</w:t>
      </w:r>
    </w:p>
    <w:p>
      <w:pPr>
        <w:spacing w:after="0" w:line="183" w:lineRule="exact"/>
        <w:rPr>
          <w:sz w:val="20"/>
          <w:szCs w:val="20"/>
          <w:color w:val="auto"/>
        </w:rPr>
      </w:pPr>
    </w:p>
    <w:p>
      <w:pPr>
        <w:jc w:val="both"/>
        <w:ind w:right="100" w:firstLine="749"/>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68"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our independent registered public accounting firm, as stated in their attestation report which is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2025, none of the Company’s directors or Section 16 officers adopted or terminated a “Rule 10b5-1 trading arrangement” or a “non-Rule 10b5-1 trading arrangement”, as each term is defined under Item 408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180" w:firstLine="849"/>
        <w:spacing w:after="0" w:line="261" w:lineRule="auto"/>
        <w:rPr>
          <w:sz w:val="20"/>
          <w:szCs w:val="20"/>
          <w:color w:val="auto"/>
        </w:rPr>
      </w:pPr>
      <w:r>
        <w:rPr>
          <w:rFonts w:ascii="Times New Roman" w:cs="Times New Roman" w:eastAsia="Times New Roman" w:hAnsi="Times New Roman"/>
          <w:sz w:val="18"/>
          <w:szCs w:val="18"/>
          <w:color w:val="auto"/>
        </w:rPr>
        <w:t>Except for the information about our Code of Conduct below, the information required by this Item regarding directors and executive officers will be included in the 2026 Proxy Statement for the Company’s 2026 Annual General Meeting of Shareholders (the “2025 Proxy Statement”) to be filed pursuant to Regulation 14A within 120 days after the end of the fiscal year to which this report relates and which section is incorporated herein by reference.</w:t>
      </w:r>
    </w:p>
    <w:p>
      <w:pPr>
        <w:spacing w:after="0" w:line="112" w:lineRule="exact"/>
        <w:rPr>
          <w:sz w:val="20"/>
          <w:szCs w:val="20"/>
          <w:color w:val="auto"/>
        </w:rPr>
      </w:pPr>
    </w:p>
    <w:p>
      <w:pPr>
        <w:ind w:right="260" w:firstLine="849"/>
        <w:spacing w:after="0" w:line="274" w:lineRule="auto"/>
        <w:rPr>
          <w:sz w:val="20"/>
          <w:szCs w:val="20"/>
          <w:color w:val="auto"/>
        </w:rPr>
      </w:pPr>
      <w:r>
        <w:rPr>
          <w:rFonts w:ascii="Times New Roman" w:cs="Times New Roman" w:eastAsia="Times New Roman" w:hAnsi="Times New Roman"/>
          <w:sz w:val="17"/>
          <w:szCs w:val="17"/>
          <w:color w:val="auto"/>
        </w:rPr>
        <w:t>We have adopted a Code of Ethical Business Conduct (“Code of Conduct”) that applies to all of our directors and employees, including our chief executive officer, president, chief financial officer and other persons performing similar functions as well as our other executive officers. We have posted a copy of our Code of Conduct on our website at https://www.gtigrows.com/. We intend to satisfy the disclosure requirements under Item 5.05 of Form 8-K regarding amendments to, or waivers from, the Code of Conduct by posting such information on the “Investors - Leadership &amp; Governance” section of our website at https://www.gtigrows.com/. Any of these items or any of our filings with the SEC are available in print to any shareholder who requests them. Requests should be sent to Green Thumb Industries Inc., 325 W. Huron Street, Chicago, IL 60654 Attn: Corporate Secretary.</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are not including the information contained on our website as part of, or incorporating it by reference into, this report.</w:t>
      </w:r>
    </w:p>
    <w:p>
      <w:pPr>
        <w:spacing w:after="0" w:line="158" w:lineRule="exact"/>
        <w:rPr>
          <w:sz w:val="20"/>
          <w:szCs w:val="20"/>
          <w:color w:val="auto"/>
        </w:rPr>
      </w:pPr>
    </w:p>
    <w:p>
      <w:pPr>
        <w:ind w:firstLine="894"/>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 other dispositions of securities of the Company by directors, officers, and employees that we believe are reasonably designed to promote compliance with insider trading laws, rules and regulations, including applicable Canadian laws, rules regulations.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Policy on Insider Trading filed as Exhibit 19 to this Annual Report on Form 10-K.</w:t>
      </w:r>
    </w:p>
    <w:p>
      <w:pPr>
        <w:spacing w:after="0" w:line="33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“Executive Compensation” in the 2026 Proxy Statement and which section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will be included in the 2026 Proxy Statement under the caption “Security Ownership of Certain Beneficial Owners and Management” and which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equity compensation plans will be included in the 2026 Proxy Statement under the caption “Security Based Compensation Arrangements” and which section is incorporated herein by reference. Notwithstanding anything to the contrary set forth in this report, the </w:t>
      </w:r>
      <w:r>
        <w:rPr>
          <w:rFonts w:ascii="Times New Roman" w:cs="Times New Roman" w:eastAsia="Times New Roman" w:hAnsi="Times New Roman"/>
          <w:sz w:val="18"/>
          <w:szCs w:val="18"/>
          <w:i w:val="1"/>
          <w:iCs w:val="1"/>
          <w:color w:val="auto"/>
        </w:rPr>
        <w:t>Report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section of the 2026 Proxy Statement shall be deemed to be "furnished" and not "filed" for purposes of the Exchange Act.</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tab/>
        <w:t>CERTAIN RELATIONSHIPS AND RELATED TRANSACTIONS, DIRECTOR INDEPENDENCE</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included in the 2026 Proxy Statement under the caption “Certain Relationships, Related Party Transactions and Policy Regarding Related Party Transactions” and which section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will be included in the 2026 Proxy Statement under the caption “Principal Audit Fees and Services” and which section is incorporated herein by reference.</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 .</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1000" w:hanging="560"/>
        <w:spacing w:after="0"/>
        <w:tabs>
          <w:tab w:leader="none" w:pos="10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listed in the accompanying index (page F-1) to the financial statements are filed as part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7" w:lineRule="exact"/>
        <w:rPr>
          <w:sz w:val="20"/>
          <w:szCs w:val="20"/>
          <w:color w:val="auto"/>
        </w:rPr>
      </w:pPr>
    </w:p>
    <w:p>
      <w:pPr>
        <w:ind w:left="1020" w:hanging="594"/>
        <w:spacing w:after="0"/>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index (page E-1) are filed as part of this Annual Report on Form 10-K.</w:t>
      </w:r>
    </w:p>
    <w:p>
      <w:pPr>
        <w:spacing w:after="0" w:line="207" w:lineRule="exact"/>
        <w:rPr>
          <w:sz w:val="20"/>
          <w:szCs w:val="20"/>
          <w:color w:val="auto"/>
        </w:rPr>
      </w:pPr>
    </w:p>
    <w:p>
      <w:pPr>
        <w:ind w:left="1000" w:hanging="560"/>
        <w:spacing w:after="0"/>
        <w:tabs>
          <w:tab w:leader="none" w:pos="10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Schedules omitted</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INDEX TO FINANCIAL STATEMENTS</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99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each of the three years in the period ended December 31, 2025</w:t>
            </w:r>
          </w:p>
        </w:tc>
        <w:tc>
          <w:tcPr>
            <w:tcW w:w="68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each of the three years in the period ended December 31, 2025</w:t>
            </w:r>
          </w:p>
        </w:tc>
        <w:tc>
          <w:tcPr>
            <w:tcW w:w="68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2025</w:t>
            </w:r>
          </w:p>
        </w:tc>
        <w:tc>
          <w:tcPr>
            <w:tcW w:w="68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8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Public Accounting Firm (Baker Tilly US, LLP PCAOB ID: 23)</w:t>
            </w:r>
          </w:p>
        </w:tc>
        <w:tc>
          <w:tcPr>
            <w:tcW w:w="68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F-57</w:t>
            </w:r>
          </w:p>
        </w:tc>
        <w:tc>
          <w:tcPr>
            <w:tcW w:w="0" w:type="dxa"/>
            <w:vAlign w:val="bottom"/>
          </w:tcPr>
          <w:p>
            <w:pPr>
              <w:spacing w:after="0"/>
              <w:rPr>
                <w:sz w:val="1"/>
                <w:szCs w:val="1"/>
                <w:color w:val="auto"/>
              </w:rPr>
            </w:pPr>
          </w:p>
        </w:tc>
      </w:tr>
      <w:tr>
        <w:trPr>
          <w:trHeight w:val="432"/>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EXHIBITS</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list of exhibits filed with this Annual Report on Form 10-K is included in the Exhibit Index on page E-1.</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896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960" w:type="dxa"/>
            <w:vAlign w:val="bottom"/>
          </w:tcPr>
          <w:p>
            <w:pPr>
              <w:ind w:left="100"/>
              <w:spacing w:after="0"/>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Amended and Restated Articles of Green Thumb Industries Inc.</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Coattail Agreement, dated June 12, 2018, by and among the Shareholders, Green Thumb Industries Inc. and Odyssey Trust Company.</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Description of Securities</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Credit Agreement, dated September 11, 2024</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Purchase Agreement dated August 27, 2025 by and between VCP23, LLC and Agrify Corporation</w:t>
              </w:r>
            </w:hyperlink>
          </w:p>
        </w:tc>
      </w:tr>
      <w:tr>
        <w:trPr>
          <w:trHeight w:val="14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Green Thumb Industries Inc. 2018 Stock and Incentive Plan, dated June 11, 2018.</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Amendment No. 1 to the Green Thumb Industries Inc. 2018 Stock and Incentive Plan, dated August 30, 2019.</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5">
              <w:r>
                <w:rPr>
                  <w:rFonts w:ascii="Times New Roman" w:cs="Times New Roman" w:eastAsia="Times New Roman" w:hAnsi="Times New Roman"/>
                  <w:sz w:val="14"/>
                  <w:szCs w:val="14"/>
                  <w:u w:val="single" w:color="auto"/>
                  <w:color w:val="0000FF"/>
                </w:rPr>
                <w:t>Amendment No. 2 to the Green Thumb Industries Inc. 2018 Stock and Incentive Plan, dated April 7, 2023.</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10.6&amp;%</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6">
              <w:r>
                <w:rPr>
                  <w:rFonts w:ascii="Times New Roman" w:cs="Times New Roman" w:eastAsia="Times New Roman" w:hAnsi="Times New Roman"/>
                  <w:sz w:val="14"/>
                  <w:szCs w:val="14"/>
                  <w:u w:val="single" w:color="auto"/>
                  <w:color w:val="0000FF"/>
                </w:rPr>
                <w:t>Amendment No. 3 to the Green Thumb Industries Inc. 2018 Stock and Incentive Plan, dated September 9, 2024</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7">
              <w:r>
                <w:rPr>
                  <w:rFonts w:ascii="Times New Roman" w:cs="Times New Roman" w:eastAsia="Times New Roman" w:hAnsi="Times New Roman"/>
                  <w:sz w:val="14"/>
                  <w:szCs w:val="14"/>
                  <w:u w:val="single" w:color="auto"/>
                  <w:color w:val="0000FF"/>
                </w:rPr>
                <w:t>Amendment No. 4 to the Green Thumb Industries 2018 Stock Incentive Plan dated June 12, 2025</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8">
              <w:r>
                <w:rPr>
                  <w:rFonts w:ascii="Times New Roman" w:cs="Times New Roman" w:eastAsia="Times New Roman" w:hAnsi="Times New Roman"/>
                  <w:sz w:val="14"/>
                  <w:szCs w:val="14"/>
                  <w:u w:val="single" w:color="auto"/>
                  <w:color w:val="0000FF"/>
                </w:rPr>
                <w:t>Form of Notice of Option Grant (awards granted prior to April 2023).</w:t>
              </w:r>
            </w:hyperlink>
          </w:p>
        </w:tc>
      </w:tr>
      <w:tr>
        <w:trPr>
          <w:trHeight w:val="14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Form of Option Agreement (awards granted prior to April 2023).</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0">
              <w:r>
                <w:rPr>
                  <w:rFonts w:ascii="Times New Roman" w:cs="Times New Roman" w:eastAsia="Times New Roman" w:hAnsi="Times New Roman"/>
                  <w:sz w:val="14"/>
                  <w:szCs w:val="14"/>
                  <w:u w:val="single" w:color="auto"/>
                  <w:color w:val="0000FF"/>
                </w:rPr>
                <w:t>Form of Notice of RSU Grant and Agreement (awards granted prior to April 2023).</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Form of Indemnification Agreement.</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2">
              <w:r>
                <w:rPr>
                  <w:rFonts w:ascii="Times New Roman" w:cs="Times New Roman" w:eastAsia="Times New Roman" w:hAnsi="Times New Roman"/>
                  <w:sz w:val="14"/>
                  <w:szCs w:val="14"/>
                  <w:u w:val="single" w:color="auto"/>
                  <w:color w:val="0000FF"/>
                </w:rPr>
                <w:t>Form of Annual Bonus Plan</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Form of Executive Confidentiality, Non-Compete, Non-Solicitation, Non-Disparagement and Invention Assignment Agreement (Kovler and Georgiadis).</w:t>
              </w:r>
            </w:hyperlink>
          </w:p>
        </w:tc>
      </w:tr>
      <w:tr>
        <w:trPr>
          <w:trHeight w:val="14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4">
              <w:r>
                <w:rPr>
                  <w:rFonts w:ascii="Times New Roman" w:cs="Times New Roman" w:eastAsia="Times New Roman" w:hAnsi="Times New Roman"/>
                  <w:sz w:val="14"/>
                  <w:szCs w:val="14"/>
                  <w:u w:val="single" w:color="auto"/>
                  <w:color w:val="0000FF"/>
                </w:rPr>
                <w:t>Kravitz Confidentiality, Non-Compete, Non-Solicitation and Invention Assignment Agreement.</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5">
              <w:r>
                <w:rPr>
                  <w:rFonts w:ascii="Times New Roman" w:cs="Times New Roman" w:eastAsia="Times New Roman" w:hAnsi="Times New Roman"/>
                  <w:sz w:val="14"/>
                  <w:szCs w:val="14"/>
                  <w:u w:val="single" w:color="auto"/>
                  <w:color w:val="0000FF"/>
                </w:rPr>
                <w:t>Faulkner Executive Confidentiality, Non-Compete, Non-Solicitation and Invention Assignment Agreement.</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6">
              <w:r>
                <w:rPr>
                  <w:rFonts w:ascii="Times New Roman" w:cs="Times New Roman" w:eastAsia="Times New Roman" w:hAnsi="Times New Roman"/>
                  <w:sz w:val="14"/>
                  <w:szCs w:val="14"/>
                  <w:u w:val="single" w:color="auto"/>
                  <w:color w:val="0000FF"/>
                </w:rPr>
                <w:t>2023 Form of Option Grant Agreement (awards granted beginning in April 2023)</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8960" w:type="dxa"/>
            <w:vAlign w:val="bottom"/>
          </w:tcPr>
          <w:p>
            <w:pPr>
              <w:ind w:left="100"/>
              <w:spacing w:after="0" w:line="149" w:lineRule="exact"/>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2023 Form of RSU Agreement (awards granted beginning in April 2023)</w:t>
              </w:r>
            </w:hyperlink>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Policy on Insider Trading</w:t>
            </w:r>
          </w:p>
        </w:tc>
      </w:tr>
      <w:tr>
        <w:trPr>
          <w:trHeight w:val="14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List of Significant Subsidiaries of Green Thumb Industries Inc.</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Consent of Independent Registered Public Accounting Firm (Baker Tilly).</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Executive Officer required by Rule 13a-14(a) of the Exchange Act.</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Financial Officer required by Rule 13a-14(a) of the Exchange Act.</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Executive Officer pursuant to Section 1350 of Chapter 63 of the United States Code.</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Financial Officer pursuant to Section 1350 of Chapter 63 of the United States Code.</w:t>
            </w:r>
          </w:p>
        </w:tc>
      </w:tr>
      <w:tr>
        <w:trPr>
          <w:trHeight w:val="14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101.INS</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Inline XBRL Instance Document</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101.SCH</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101.CAL</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101.DEF</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48"/>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101.LAB</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4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101.PRE</w:t>
            </w:r>
          </w:p>
        </w:tc>
        <w:tc>
          <w:tcPr>
            <w:tcW w:w="8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File)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-3130550</wp:posOffset>
            </wp:positionV>
            <wp:extent cx="7132320" cy="31203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r>
    </w:p>
    <w:p>
      <w:pPr>
        <w:spacing w:after="0" w:line="152" w:lineRule="exact"/>
        <w:rPr>
          <w:sz w:val="20"/>
          <w:szCs w:val="20"/>
          <w:color w:val="auto"/>
        </w:rPr>
      </w:pPr>
    </w:p>
    <w:p>
      <w:pPr>
        <w:ind w:left="800" w:hanging="792"/>
        <w:spacing w:after="0" w:line="191" w:lineRule="auto"/>
        <w:tabs>
          <w:tab w:leader="none" w:pos="80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Certain confidential information has been excluded from this exhibit because it is both (i) not material and (ii) would be competitively harmful if publicly disclosed.</w:t>
      </w:r>
    </w:p>
    <w:p>
      <w:pPr>
        <w:ind w:left="800" w:hanging="792"/>
        <w:spacing w:after="0" w:line="184" w:lineRule="auto"/>
        <w:tabs>
          <w:tab w:leader="none" w:pos="8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our Current Report on Form 8-K dated September 11, 2024, filed on September 13, 2024.</w:t>
      </w:r>
    </w:p>
    <w:p>
      <w:pPr>
        <w:ind w:left="800" w:hanging="792"/>
        <w:spacing w:after="0" w:line="183" w:lineRule="auto"/>
        <w:tabs>
          <w:tab w:leader="none" w:pos="8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our registration statement on Form 10 filed on December 20, 2019.</w:t>
      </w:r>
    </w:p>
    <w:p>
      <w:pPr>
        <w:ind w:left="800" w:hanging="792"/>
        <w:spacing w:after="0" w:line="184" w:lineRule="auto"/>
        <w:tabs>
          <w:tab w:leader="none" w:pos="8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 10.13 to our Annual Report on Form 10-K for the year ended December 31, 2021.</w:t>
      </w:r>
    </w:p>
    <w:p>
      <w:pPr>
        <w:ind w:left="800" w:hanging="792"/>
        <w:spacing w:after="0" w:line="184" w:lineRule="auto"/>
        <w:tabs>
          <w:tab w:leader="none" w:pos="8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Exhibits to our Annual Report for the year ended December 31, 2022.</w:t>
      </w:r>
    </w:p>
    <w:p>
      <w:pPr>
        <w:ind w:left="800" w:hanging="792"/>
        <w:spacing w:after="0" w:line="184" w:lineRule="auto"/>
        <w:tabs>
          <w:tab w:leader="none" w:pos="8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the applicable exhibits to our Quarterly Report for the period ended March, 31, 2023.</w:t>
      </w:r>
    </w:p>
    <w:p>
      <w:pPr>
        <w:ind w:left="800" w:hanging="792"/>
        <w:spacing w:after="0" w:line="183" w:lineRule="auto"/>
        <w:tabs>
          <w:tab w:leader="none" w:pos="8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This Exhibit is a management contract or compensatory arrangement.</w:t>
      </w:r>
    </w:p>
    <w:p>
      <w:pPr>
        <w:ind w:left="800" w:hanging="792"/>
        <w:spacing w:after="0" w:line="184" w:lineRule="auto"/>
        <w:tabs>
          <w:tab w:leader="none" w:pos="8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 10.1 to our Quarterly Report on Form 10-Q for the period ended September 30, 2024.</w:t>
      </w:r>
    </w:p>
    <w:p>
      <w:pPr>
        <w:ind w:left="800" w:hanging="792"/>
        <w:spacing w:after="0" w:line="184" w:lineRule="auto"/>
        <w:tabs>
          <w:tab w:leader="none" w:pos="80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 10.1 to our Quarterly Report on Form 10-Q for the period ended June 30, 2025.</w:t>
      </w:r>
    </w:p>
    <w:p>
      <w:pPr>
        <w:ind w:left="800" w:hanging="792"/>
        <w:spacing w:after="0" w:line="184" w:lineRule="auto"/>
        <w:tabs>
          <w:tab w:leader="none" w:pos="8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 10.1 to our Current Report on Form 8K dated August 25, 2025.</w:t>
      </w:r>
    </w:p>
    <w:p>
      <w:pPr>
        <w:spacing w:after="0" w:line="200" w:lineRule="exact"/>
        <w:rPr>
          <w:rFonts w:ascii="Times New Roman" w:cs="Times New Roman" w:eastAsia="Times New Roman" w:hAnsi="Times New Roman"/>
          <w:sz w:val="23"/>
          <w:szCs w:val="23"/>
          <w:color w:val="auto"/>
          <w:vertAlign w:val="superscript"/>
        </w:rPr>
      </w:pPr>
    </w:p>
    <w:p>
      <w:pPr>
        <w:spacing w:after="0" w:line="220" w:lineRule="exact"/>
        <w:rPr>
          <w:rFonts w:ascii="Times New Roman" w:cs="Times New Roman" w:eastAsia="Times New Roman" w:hAnsi="Times New Roman"/>
          <w:sz w:val="23"/>
          <w:szCs w:val="23"/>
          <w:color w:val="auto"/>
          <w:vertAlign w:val="superscript"/>
        </w:rPr>
      </w:pPr>
    </w:p>
    <w:p>
      <w:pPr>
        <w:ind w:left="5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97" w:right="79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44450</wp:posOffset>
            </wp:positionV>
            <wp:extent cx="2846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Signature</w:t>
            </w:r>
          </w:p>
        </w:tc>
        <w:tc>
          <w:tcPr>
            <w:tcW w:w="320" w:type="dxa"/>
            <w:vAlign w:val="bottom"/>
          </w:tcPr>
          <w:p>
            <w:pPr>
              <w:spacing w:after="0"/>
              <w:rPr>
                <w:sz w:val="20"/>
                <w:szCs w:val="20"/>
                <w:color w:val="auto"/>
              </w:rPr>
            </w:pPr>
          </w:p>
        </w:tc>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/s/Benjamin Kovler</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20" w:type="dxa"/>
            <w:vAlign w:val="bottom"/>
          </w:tcPr>
          <w:p>
            <w:pPr>
              <w:spacing w:after="0"/>
              <w:rPr>
                <w:sz w:val="19"/>
                <w:szCs w:val="19"/>
                <w:color w:val="auto"/>
              </w:rPr>
            </w:pP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/s/Mathew Faulkner</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176"/>
        </w:trPr>
        <w:tc>
          <w:tcPr>
            <w:tcW w:w="41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Mathew Faulkner</w:t>
            </w:r>
          </w:p>
        </w:tc>
        <w:tc>
          <w:tcPr>
            <w:tcW w:w="20" w:type="dxa"/>
            <w:vAlign w:val="bottom"/>
          </w:tcPr>
          <w:p>
            <w:pPr>
              <w:spacing w:after="0"/>
              <w:rPr>
                <w:sz w:val="15"/>
                <w:szCs w:val="15"/>
                <w:color w:val="auto"/>
              </w:rPr>
            </w:pPr>
          </w:p>
        </w:tc>
        <w:tc>
          <w:tcPr>
            <w:tcW w:w="4720" w:type="dxa"/>
            <w:vAlign w:val="bottom"/>
            <w:gridSpan w:val="2"/>
          </w:tcPr>
          <w:p>
            <w:pPr>
              <w:ind w:left="320"/>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w:t>
            </w: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36"/>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/s/Anthony Georgiadis</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President and 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/s/Dawn Wilson Barnes</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/s/Jeffrey Goldman</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Jeffrey Goldman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/s/Ethan Nadelmann</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/s/Richard Reisin</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/s/Hannah (Buchan) Ross</w:t>
            </w:r>
          </w:p>
        </w:tc>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63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S-1</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2025 and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tcBorders>
              <w:bottom w:val="single" w:sz="8" w:color="auto"/>
            </w:tcBorders>
            <w:gridSpan w:val="3"/>
          </w:tcPr>
          <w:p>
            <w:pPr>
              <w:jc w:val="center"/>
              <w:ind w:right="964"/>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156"/>
        </w:trPr>
        <w:tc>
          <w:tcPr>
            <w:tcW w:w="8200" w:type="dxa"/>
            <w:vAlign w:val="bottom"/>
            <w:shd w:val="clear" w:color="auto" w:fill="CFF0FC"/>
          </w:tcPr>
          <w:p>
            <w:pPr>
              <w:ind w:left="3740"/>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gridSpan w:val="2"/>
            <w:shd w:val="clear" w:color="auto" w:fill="CFF0FC"/>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274,298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center"/>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171,687</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Restricted Cash and Cash Equivalents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10,984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51,269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52,831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Income Tax Receivable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25,766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Convertible Note Receivable from Related Party</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27,000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Inventories,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158,288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147,162</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11,168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16,856</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18,398</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4,676</w:t>
            </w:r>
          </w:p>
        </w:tc>
        <w:tc>
          <w:tcPr>
            <w:tcW w:w="100" w:type="dxa"/>
            <w:vAlign w:val="bottom"/>
          </w:tcPr>
          <w:p>
            <w:pPr>
              <w:spacing w:after="0"/>
              <w:rPr>
                <w:sz w:val="14"/>
                <w:szCs w:val="14"/>
                <w:color w:val="auto"/>
              </w:rPr>
            </w:pPr>
          </w:p>
        </w:tc>
      </w:tr>
      <w:tr>
        <w:trPr>
          <w:trHeight w:val="156"/>
        </w:trPr>
        <w:tc>
          <w:tcPr>
            <w:tcW w:w="8200" w:type="dxa"/>
            <w:vAlign w:val="bottom"/>
            <w:shd w:val="clear" w:color="auto" w:fill="CFF0FC"/>
          </w:tcPr>
          <w:p>
            <w:pPr>
              <w:ind w:left="30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577,171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403,900</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690,893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716,014</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Right of Use Assets, Net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239,662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246,281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Investments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32,720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43,578</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Investments in Associates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173,157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40,305</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Note Receivable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4,270</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Convertible Note Receivable from Related Party</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45,000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436,681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488,287</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592,151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589,691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Deferred Tax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18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2,519</w:t>
            </w:r>
          </w:p>
        </w:tc>
        <w:tc>
          <w:tcPr>
            <w:tcW w:w="100" w:type="dxa"/>
            <w:vAlign w:val="bottom"/>
          </w:tcPr>
          <w:p>
            <w:pPr>
              <w:spacing w:after="0"/>
              <w:rPr>
                <w:sz w:val="14"/>
                <w:szCs w:val="14"/>
                <w:color w:val="auto"/>
              </w:rPr>
            </w:pPr>
          </w:p>
        </w:tc>
      </w:tr>
      <w:tr>
        <w:trPr>
          <w:trHeight w:val="162"/>
        </w:trPr>
        <w:tc>
          <w:tcPr>
            <w:tcW w:w="82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Deposits and Other Assets</w:t>
            </w: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2,097</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2,167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2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0" w:type="dxa"/>
            <w:vAlign w:val="bottom"/>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2,790,056</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center"/>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2,537,012</w:t>
            </w:r>
          </w:p>
        </w:tc>
        <w:tc>
          <w:tcPr>
            <w:tcW w:w="100" w:type="dxa"/>
            <w:vAlign w:val="bottom"/>
          </w:tcPr>
          <w:p>
            <w:pPr>
              <w:spacing w:after="0"/>
              <w:rPr>
                <w:sz w:val="13"/>
                <w:szCs w:val="13"/>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200" w:type="dxa"/>
            <w:vAlign w:val="bottom"/>
            <w:shd w:val="clear" w:color="auto" w:fill="CFF0FC"/>
          </w:tcPr>
          <w:p>
            <w:pPr>
              <w:ind w:left="2360"/>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24,569</w:t>
            </w:r>
          </w:p>
        </w:tc>
        <w:tc>
          <w:tcPr>
            <w:tcW w:w="240" w:type="dxa"/>
            <w:vAlign w:val="bottom"/>
          </w:tcPr>
          <w:p>
            <w:pPr>
              <w:spacing w:after="0"/>
              <w:rPr>
                <w:sz w:val="14"/>
                <w:szCs w:val="14"/>
                <w:color w:val="auto"/>
              </w:rPr>
            </w:pPr>
          </w:p>
        </w:tc>
        <w:tc>
          <w:tcPr>
            <w:tcW w:w="16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24,767</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88,498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86,162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Compensation Payable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27,402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25,350</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Current Portion of Notes Payable</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18,495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12,062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Current Portion of Lease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18,351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14,296</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Income Tax Payable</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8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2,332</w:t>
            </w:r>
          </w:p>
        </w:tc>
        <w:tc>
          <w:tcPr>
            <w:tcW w:w="100" w:type="dxa"/>
            <w:vAlign w:val="bottom"/>
            <w:shd w:val="clear" w:color="auto" w:fill="CFF0FC"/>
          </w:tcPr>
          <w:p>
            <w:pPr>
              <w:spacing w:after="0"/>
              <w:rPr>
                <w:sz w:val="14"/>
                <w:szCs w:val="14"/>
                <w:color w:val="auto"/>
              </w:rPr>
            </w:pPr>
          </w:p>
        </w:tc>
      </w:tr>
      <w:tr>
        <w:trPr>
          <w:trHeight w:val="155"/>
        </w:trPr>
        <w:tc>
          <w:tcPr>
            <w:tcW w:w="8200" w:type="dxa"/>
            <w:vAlign w:val="bottom"/>
            <w:tcBorders>
              <w:top w:val="single" w:sz="8" w:color="CFF0FC"/>
            </w:tcBorders>
          </w:tcPr>
          <w:p>
            <w:pPr>
              <w:ind w:left="30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177,315</w:t>
            </w: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164,969</w:t>
            </w:r>
          </w:p>
        </w:tc>
        <w:tc>
          <w:tcPr>
            <w:tcW w:w="100" w:type="dxa"/>
            <w:vAlign w:val="bottom"/>
            <w:tcBorders>
              <w:top w:val="single" w:sz="8" w:color="CFF0FC"/>
            </w:tcBorders>
          </w:tcPr>
          <w:p>
            <w:pPr>
              <w:spacing w:after="0"/>
              <w:rPr>
                <w:sz w:val="13"/>
                <w:szCs w:val="13"/>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Long-Term Liabilities: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Lease Liabilities, Net of Current Portion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255,102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261,446</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226,401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242,896</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220,595</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78,621</w:t>
            </w:r>
          </w:p>
        </w:tc>
        <w:tc>
          <w:tcPr>
            <w:tcW w:w="100" w:type="dxa"/>
            <w:vAlign w:val="bottom"/>
          </w:tcPr>
          <w:p>
            <w:pPr>
              <w:spacing w:after="0"/>
              <w:rPr>
                <w:sz w:val="14"/>
                <w:szCs w:val="14"/>
                <w:color w:val="auto"/>
              </w:rPr>
            </w:pPr>
          </w:p>
        </w:tc>
      </w:tr>
      <w:tr>
        <w:trPr>
          <w:trHeight w:val="156"/>
        </w:trPr>
        <w:tc>
          <w:tcPr>
            <w:tcW w:w="8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879,413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747,932</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SHAREHOLDERS' EQUITY</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5"/>
        </w:trPr>
        <w:tc>
          <w:tcPr>
            <w:tcW w:w="82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December 31,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Unlimited, 206,629,845, and 206,629,845, respectively, at December 31, 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Unlimited, 211,128,045, and 211,128,045, respectively)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82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December 31, 2025:</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2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Unlimited, 37,472 and 37,472, respectively, at December 31, 2024:</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9"/>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Unlimited, 37,623 and 37,623, respectively)</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82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December 31,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Unlimited, 201,690 and 201,690, respectively, at December 31, 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Unlimited, 206,690 and 206,690, respectively)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Share Capital</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1,780,590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1,758,504</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Contributed 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128"/>
              <w:spacing w:after="0" w:line="162" w:lineRule="exact"/>
              <w:rPr>
                <w:sz w:val="20"/>
                <w:szCs w:val="20"/>
                <w:color w:val="auto"/>
              </w:rPr>
            </w:pPr>
            <w:r>
              <w:rPr>
                <w:rFonts w:ascii="Times New Roman" w:cs="Times New Roman" w:eastAsia="Times New Roman" w:hAnsi="Times New Roman"/>
                <w:sz w:val="15"/>
                <w:szCs w:val="15"/>
                <w:color w:val="auto"/>
              </w:rPr>
              <w:t>(40,576)</w:t>
            </w:r>
          </w:p>
        </w:tc>
        <w:tc>
          <w:tcPr>
            <w:tcW w:w="160" w:type="dxa"/>
            <w:vAlign w:val="bottom"/>
          </w:tcPr>
          <w:p>
            <w:pPr>
              <w:spacing w:after="0"/>
              <w:rPr>
                <w:sz w:val="14"/>
                <w:szCs w:val="14"/>
                <w:color w:val="auto"/>
              </w:rPr>
            </w:pPr>
          </w:p>
        </w:tc>
        <w:tc>
          <w:tcPr>
            <w:tcW w:w="12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(26,854)</w:t>
            </w: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Deferred Share Issuances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8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6,362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Accumulated Earnings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165,417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51,265</w:t>
            </w:r>
          </w:p>
        </w:tc>
        <w:tc>
          <w:tcPr>
            <w:tcW w:w="100" w:type="dxa"/>
            <w:vAlign w:val="bottom"/>
          </w:tcPr>
          <w:p>
            <w:pPr>
              <w:spacing w:after="0"/>
              <w:rPr>
                <w:sz w:val="14"/>
                <w:szCs w:val="14"/>
                <w:color w:val="auto"/>
              </w:rPr>
            </w:pPr>
          </w:p>
        </w:tc>
      </w:tr>
      <w:tr>
        <w:trPr>
          <w:trHeight w:val="155"/>
        </w:trPr>
        <w:tc>
          <w:tcPr>
            <w:tcW w:w="8200" w:type="dxa"/>
            <w:vAlign w:val="bottom"/>
            <w:shd w:val="clear" w:color="auto" w:fill="CFF0FC"/>
          </w:tcPr>
          <w:p>
            <w:pPr>
              <w:ind w:left="300"/>
              <w:spacing w:after="0" w:line="156" w:lineRule="exact"/>
              <w:rPr>
                <w:sz w:val="20"/>
                <w:szCs w:val="20"/>
                <w:color w:val="auto"/>
              </w:rPr>
            </w:pPr>
            <w:r>
              <w:rPr>
                <w:rFonts w:ascii="Times New Roman" w:cs="Times New Roman" w:eastAsia="Times New Roman" w:hAnsi="Times New Roman"/>
                <w:sz w:val="15"/>
                <w:szCs w:val="15"/>
                <w:color w:val="auto"/>
              </w:rPr>
              <w:t>Equity of Green Thumb Industries Inc.</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1,905,431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1,789,277</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Noncontrolling 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5,212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(197)</w:t>
            </w:r>
          </w:p>
        </w:tc>
      </w:tr>
      <w:tr>
        <w:trPr>
          <w:trHeight w:val="155"/>
        </w:trPr>
        <w:tc>
          <w:tcPr>
            <w:tcW w:w="82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1,910,643</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1,789,080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82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60" w:type="dxa"/>
            <w:vAlign w:val="bottom"/>
            <w:tcBorders>
              <w:bottom w:val="single" w:sz="8" w:color="auto"/>
            </w:tcBorders>
            <w:gridSpan w:val="2"/>
          </w:tcPr>
          <w:p>
            <w:pPr>
              <w:jc w:val="right"/>
              <w:ind w:right="25"/>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2,790,056</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center"/>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2,537,012</w:t>
            </w:r>
          </w:p>
        </w:tc>
        <w:tc>
          <w:tcPr>
            <w:tcW w:w="100" w:type="dxa"/>
            <w:vAlign w:val="bottom"/>
          </w:tcPr>
          <w:p>
            <w:pPr>
              <w:spacing w:after="0"/>
              <w:rPr>
                <w:sz w:val="13"/>
                <w:szCs w:val="13"/>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-3710940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-2647950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1,175,295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1,137,141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1,054,553</w:t>
            </w:r>
          </w:p>
        </w:tc>
        <w:tc>
          <w:tcPr>
            <w:tcW w:w="1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(600,402)</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(536,032)</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(528,058)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574,893</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601,109</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526,495</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437,193</w:t>
            </w:r>
          </w:p>
        </w:tc>
        <w:tc>
          <w:tcPr>
            <w:tcW w:w="200" w:type="dxa"/>
            <w:vAlign w:val="bottom"/>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376,684</w:t>
            </w:r>
          </w:p>
        </w:tc>
        <w:tc>
          <w:tcPr>
            <w:tcW w:w="22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341,863</w:t>
            </w:r>
          </w:p>
        </w:tc>
        <w:tc>
          <w:tcPr>
            <w:tcW w:w="16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437,193</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376,684</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341,863</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137,700</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224,425</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184,632</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Adjustments on Related Party Warrants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125,946</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125,655</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5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263,355</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156,049</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147,302</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118,630</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116,053</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196"/>
        </w:trPr>
        <w:tc>
          <w:tcPr>
            <w:tcW w:w="5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233,865,410</w:t>
            </w:r>
          </w:p>
        </w:tc>
        <w:tc>
          <w:tcPr>
            <w:tcW w:w="2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236,827,774</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237,927,867</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197"/>
        </w:trPr>
        <w:tc>
          <w:tcPr>
            <w:tcW w:w="5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236,874,553</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241,925,957</w:t>
            </w:r>
          </w:p>
        </w:tc>
        <w:tc>
          <w:tcPr>
            <w:tcW w:w="22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239,827,390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-2939415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-2939415</wp:posOffset>
            </wp:positionV>
            <wp:extent cx="1289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-2939415</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-2669540</wp:posOffset>
            </wp:positionV>
            <wp:extent cx="16256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162560" cy="17970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-2669540</wp:posOffset>
            </wp:positionV>
            <wp:extent cx="15430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154305" cy="17970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-2669540</wp:posOffset>
            </wp:positionV>
            <wp:extent cx="13652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-2365375</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-2365375</wp:posOffset>
            </wp:positionV>
            <wp:extent cx="128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-2365375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-1525270</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-1525270</wp:posOffset>
            </wp:positionV>
            <wp:extent cx="1289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-1525270</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-1105535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-1105535</wp:posOffset>
            </wp:positionV>
            <wp:extent cx="1289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-1105535</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-822325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-822325</wp:posOffset>
            </wp:positionV>
            <wp:extent cx="128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-822325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-513715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-496570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-513715</wp:posOffset>
            </wp:positionV>
            <wp:extent cx="128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1289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-513715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-496570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1289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40" w:type="dxa"/>
            <w:vAlign w:val="bottom"/>
          </w:tcPr>
          <w:p>
            <w:pPr>
              <w:spacing w:after="0"/>
              <w:rPr>
                <w:sz w:val="17"/>
                <w:szCs w:val="17"/>
                <w:color w:val="auto"/>
              </w:rPr>
            </w:pPr>
          </w:p>
        </w:tc>
        <w:tc>
          <w:tcPr>
            <w:tcW w:w="10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40" w:type="dxa"/>
            <w:vAlign w:val="bottom"/>
          </w:tcPr>
          <w:p>
            <w:pPr>
              <w:spacing w:after="0"/>
              <w:rPr>
                <w:sz w:val="8"/>
                <w:szCs w:val="8"/>
                <w:color w:val="auto"/>
              </w:rPr>
            </w:pPr>
          </w:p>
        </w:tc>
        <w:tc>
          <w:tcPr>
            <w:tcW w:w="108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8"/>
                <w:szCs w:val="8"/>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8"/>
                <w:szCs w:val="8"/>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8"/>
                <w:szCs w:val="8"/>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126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(58,085)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Indemnification of deferred shares associated with</w:t>
            </w: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60" w:type="dxa"/>
            <w:vAlign w:val="bottom"/>
          </w:tcPr>
          <w:p>
            <w:pPr>
              <w:spacing w:after="0"/>
              <w:rPr>
                <w:sz w:val="16"/>
                <w:szCs w:val="16"/>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(2,784)</w:t>
            </w:r>
          </w:p>
        </w:tc>
        <w:tc>
          <w:tcPr>
            <w:tcW w:w="0" w:type="dxa"/>
            <w:vAlign w:val="bottom"/>
          </w:tcPr>
          <w:p>
            <w:pPr>
              <w:spacing w:after="0"/>
              <w:rPr>
                <w:sz w:val="1"/>
                <w:szCs w:val="1"/>
                <w:color w:val="auto"/>
              </w:rPr>
            </w:pPr>
          </w:p>
        </w:tc>
      </w:tr>
      <w:tr>
        <w:trPr>
          <w:trHeight w:val="102"/>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post acquisition costs</w:t>
            </w:r>
          </w:p>
        </w:tc>
        <w:tc>
          <w:tcPr>
            <w:tcW w:w="2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(3,695)</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(1,290)</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(39,856)</w:t>
            </w:r>
          </w:p>
        </w:tc>
        <w:tc>
          <w:tcPr>
            <w:tcW w:w="14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(39,856)</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(21,818)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Dissolution of non-controlling interest entity</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(8,263)</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exercised through net share settlement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2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(16,792)</w:t>
            </w:r>
          </w:p>
        </w:tc>
        <w:tc>
          <w:tcPr>
            <w:tcW w:w="14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(5,933)</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(1,247)</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(43,078)</w:t>
            </w:r>
          </w:p>
        </w:tc>
        <w:tc>
          <w:tcPr>
            <w:tcW w:w="14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(43,078)</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73,083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73,851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1,758,504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(26,854)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1,789,080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-1739265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-1739265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-1739265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-1739265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-1739265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-162560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-162560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-162560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00" w:type="dxa"/>
            <w:vAlign w:val="bottom"/>
          </w:tcPr>
          <w:p>
            <w:pPr>
              <w:spacing w:after="0"/>
              <w:rPr>
                <w:sz w:val="8"/>
                <w:szCs w:val="8"/>
                <w:color w:val="auto"/>
              </w:rPr>
            </w:pPr>
          </w:p>
        </w:tc>
        <w:tc>
          <w:tcPr>
            <w:tcW w:w="11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8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20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0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1260" w:type="dxa"/>
            <w:vAlign w:val="bottom"/>
            <w:tcBorders>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January 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1,789,080</w:t>
            </w: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Contributions from limited liability company unit</w:t>
            </w:r>
          </w:p>
        </w:tc>
        <w:tc>
          <w:tcPr>
            <w:tcW w:w="16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20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0" w:type="dxa"/>
            <w:vAlign w:val="bottom"/>
          </w:tcPr>
          <w:p>
            <w:pPr>
              <w:spacing w:after="0"/>
              <w:rPr>
                <w:sz w:val="1"/>
                <w:szCs w:val="1"/>
                <w:color w:val="auto"/>
              </w:rPr>
            </w:pPr>
          </w:p>
        </w:tc>
      </w:tr>
      <w:tr>
        <w:trPr>
          <w:trHeight w:val="102"/>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holders</w:t>
            </w:r>
          </w:p>
        </w:tc>
        <w:tc>
          <w:tcPr>
            <w:tcW w:w="160" w:type="dxa"/>
            <w:vAlign w:val="bottom"/>
            <w:shd w:val="clear" w:color="auto" w:fill="CFF0FC"/>
          </w:tcPr>
          <w:p>
            <w:pPr>
              <w:spacing w:after="0"/>
              <w:rPr>
                <w:sz w:val="8"/>
                <w:szCs w:val="8"/>
                <w:color w:val="auto"/>
              </w:rPr>
            </w:pPr>
          </w:p>
        </w:tc>
        <w:tc>
          <w:tcPr>
            <w:tcW w:w="114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5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associated with investment interests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exercised through net share settlement</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10,344</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44,933</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44,933</w:t>
            </w: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shares to non-employee contractors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Subordinate and Super Voting Shares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(38,873)</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(38,873)</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114,152</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116,053</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1,780,590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165,417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1,910,643</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-24765</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102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111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1117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1289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1289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1289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1289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1282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1282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attributable to Green Thumb Industries Inc.</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114,152</w:t>
            </w:r>
          </w:p>
        </w:tc>
        <w:tc>
          <w:tcPr>
            <w:tcW w:w="80" w:type="dxa"/>
            <w:vAlign w:val="bottom"/>
          </w:tcPr>
          <w:p>
            <w:pPr>
              <w:spacing w:after="0"/>
              <w:rPr>
                <w:sz w:val="12"/>
                <w:szCs w:val="12"/>
                <w:color w:val="auto"/>
              </w:rPr>
            </w:pP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73,083</w:t>
            </w:r>
          </w:p>
        </w:tc>
        <w:tc>
          <w:tcPr>
            <w:tcW w:w="22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145,449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113,210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operating lease right of use assets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5,787</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Impairment of long-lived property and equipment</w:t>
            </w:r>
          </w:p>
        </w:tc>
        <w:tc>
          <w:tcPr>
            <w:tcW w:w="2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on equity method investments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10,812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8,686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gain on divestitures of intellectual property</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(29,876)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Reserve for obsolete inventory expense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44,933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33,312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Decrease in fair value of investments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Interest on notes receivable</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(2,161)</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on settlement of contingent consideration</w:t>
            </w:r>
          </w:p>
        </w:tc>
        <w:tc>
          <w:tcPr>
            <w:tcW w:w="2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(15,991)</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Decrease in fair value of warrants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(2,691)</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(1,403)</w:t>
            </w: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Fair value adjustments on related party warrants</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(125,946)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Interest on related party convertible note receivable</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(4,213)</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 non-cash items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 and divestitures: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(9,856)</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(12,000)</w:t>
            </w: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(12,891)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(35,023)</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(1,932)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(5,603)</w:t>
            </w: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Deposits and other assets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(47,236)</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(48,685)</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(42,721)</w:t>
            </w:r>
          </w:p>
        </w:tc>
        <w:tc>
          <w:tcPr>
            <w:tcW w:w="0" w:type="dxa"/>
            <w:vAlign w:val="bottom"/>
          </w:tcPr>
          <w:p>
            <w:pPr>
              <w:spacing w:after="0"/>
              <w:rPr>
                <w:sz w:val="1"/>
                <w:szCs w:val="1"/>
                <w:color w:val="auto"/>
              </w:rPr>
            </w:pPr>
          </w:p>
        </w:tc>
      </w:tr>
      <w:tr>
        <w:trPr>
          <w:trHeight w:val="148"/>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receivable and payable, net</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(27,409)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(9,061)</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NET CASH FLOWS PROVIDED BY OPERATING ACTIVITIES</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294,926</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195,183</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224,968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(81,068)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(80,188)</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(220,035)</w:t>
            </w: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disposal of property and equipment</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Investments in securities and associates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(75,659)</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(39,631)</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(8,800)</w:t>
            </w: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equity investments and notes receivable</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29,833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(29,499)</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divestiture of intellectual property</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NET CASH FLOWS USED IN INVESTING ACTIVITIES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(130,388)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(89,536)</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(227,908)</w:t>
            </w:r>
          </w:p>
        </w:tc>
        <w:tc>
          <w:tcPr>
            <w:tcW w:w="0" w:type="dxa"/>
            <w:vAlign w:val="bottom"/>
          </w:tcPr>
          <w:p>
            <w:pPr>
              <w:spacing w:after="0"/>
              <w:rPr>
                <w:sz w:val="1"/>
                <w:szCs w:val="1"/>
                <w:color w:val="auto"/>
              </w:rPr>
            </w:pPr>
          </w:p>
        </w:tc>
      </w:tr>
      <w:tr>
        <w:trPr>
          <w:trHeight w:val="142"/>
        </w:trPr>
        <w:tc>
          <w:tcPr>
            <w:tcW w:w="69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Contributions from limited liability company unit holders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(1,247)</w:t>
            </w:r>
          </w:p>
        </w:tc>
        <w:tc>
          <w:tcPr>
            <w:tcW w:w="26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(1,290)</w:t>
            </w: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Repurchase of Subordinate and Super Voting Shares</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(38,873)</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(43,078)</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(39,856)</w:t>
            </w: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taxes related to net share settlement of equity awards</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(5,933)</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exercise of options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notes payable</w:t>
            </w:r>
          </w:p>
        </w:tc>
        <w:tc>
          <w:tcPr>
            <w:tcW w:w="2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170,923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Principal repayment of notes payable</w:t>
            </w:r>
          </w:p>
        </w:tc>
        <w:tc>
          <w:tcPr>
            <w:tcW w:w="2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(10,701)</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(227,561)</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(25,485)</w:t>
            </w:r>
          </w:p>
        </w:tc>
        <w:tc>
          <w:tcPr>
            <w:tcW w:w="0" w:type="dxa"/>
            <w:vAlign w:val="bottom"/>
          </w:tcPr>
          <w:p>
            <w:pPr>
              <w:spacing w:after="0"/>
              <w:rPr>
                <w:sz w:val="1"/>
                <w:szCs w:val="1"/>
                <w:color w:val="auto"/>
              </w:rPr>
            </w:pPr>
          </w:p>
        </w:tc>
      </w:tr>
      <w:tr>
        <w:trPr>
          <w:trHeight w:val="142"/>
        </w:trPr>
        <w:tc>
          <w:tcPr>
            <w:tcW w:w="698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NET CASH FLOWS USED IN FINANCING ACTIVITIES</w:t>
            </w: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(50,943)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(95,594)</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980" w:type="dxa"/>
            <w:vAlign w:val="bottom"/>
          </w:tcPr>
          <w:p>
            <w:pPr>
              <w:ind w:left="260"/>
              <w:spacing w:after="0" w:line="132" w:lineRule="exact"/>
              <w:rPr>
                <w:sz w:val="20"/>
                <w:szCs w:val="20"/>
                <w:color w:val="auto"/>
              </w:rPr>
            </w:pPr>
            <w:r>
              <w:rPr>
                <w:rFonts w:ascii="Times New Roman" w:cs="Times New Roman" w:eastAsia="Times New Roman" w:hAnsi="Times New Roman"/>
                <w:sz w:val="13"/>
                <w:szCs w:val="13"/>
                <w:b w:val="1"/>
                <w:bCs w:val="1"/>
                <w:color w:val="auto"/>
              </w:rPr>
              <w:t>NET INCREASE (DECREASE) IN CASH AND CASH EQUIVALENTS AND RESTRICTED CASH AND</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9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(16,048)</w:t>
            </w:r>
          </w:p>
        </w:tc>
        <w:tc>
          <w:tcPr>
            <w:tcW w:w="0" w:type="dxa"/>
            <w:vAlign w:val="bottom"/>
          </w:tcPr>
          <w:p>
            <w:pPr>
              <w:spacing w:after="0"/>
              <w:rPr>
                <w:sz w:val="1"/>
                <w:szCs w:val="1"/>
                <w:color w:val="auto"/>
              </w:rPr>
            </w:pPr>
          </w:p>
        </w:tc>
      </w:tr>
      <w:tr>
        <w:trPr>
          <w:trHeight w:val="132"/>
        </w:trPr>
        <w:tc>
          <w:tcPr>
            <w:tcW w:w="6980" w:type="dxa"/>
            <w:vAlign w:val="bottom"/>
            <w:shd w:val="clear" w:color="auto" w:fill="CFF0FC"/>
          </w:tcPr>
          <w:p>
            <w:pPr>
              <w:ind w:left="260"/>
              <w:spacing w:after="0" w:line="13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 BEGINNING OF</w:t>
            </w:r>
          </w:p>
        </w:tc>
        <w:tc>
          <w:tcPr>
            <w:tcW w:w="2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171,687</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161,634</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980" w:type="dxa"/>
            <w:vAlign w:val="bottom"/>
          </w:tcPr>
          <w:p>
            <w:pPr>
              <w:ind w:left="260"/>
              <w:spacing w:after="0" w:line="126"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 END OF</w:t>
            </w:r>
          </w:p>
        </w:tc>
        <w:tc>
          <w:tcPr>
            <w:tcW w:w="260" w:type="dxa"/>
            <w:vAlign w:val="bottom"/>
            <w:vMerge w:val="restart"/>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285,282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171,687</w:t>
            </w:r>
          </w:p>
        </w:tc>
        <w:tc>
          <w:tcPr>
            <w:tcW w:w="220" w:type="dxa"/>
            <w:vAlign w:val="bottom"/>
          </w:tcPr>
          <w:p>
            <w:pPr>
              <w:spacing w:after="0"/>
              <w:rPr>
                <w:sz w:val="10"/>
                <w:szCs w:val="10"/>
                <w:color w:val="auto"/>
              </w:rPr>
            </w:pPr>
          </w:p>
        </w:tc>
        <w:tc>
          <w:tcPr>
            <w:tcW w:w="260" w:type="dxa"/>
            <w:vAlign w:val="bottom"/>
            <w:vMerge w:val="restart"/>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161,634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980" w:type="dxa"/>
            <w:vAlign w:val="bottom"/>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26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-2313940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-2313940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-1542415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-1542415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-791845</wp:posOffset>
            </wp:positionV>
            <wp:extent cx="93980" cy="136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-791845</wp:posOffset>
            </wp:positionV>
            <wp:extent cx="93980" cy="136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-791845</wp:posOffset>
            </wp:positionV>
            <wp:extent cx="93980" cy="136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-205105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-205105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6"/>
          </w:tcPr>
          <w:p>
            <w:pPr>
              <w:jc w:val="center"/>
              <w:ind w:left="62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6"/>
        </w:trPr>
        <w:tc>
          <w:tcPr>
            <w:tcW w:w="6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96"/>
        </w:trPr>
        <w:tc>
          <w:tcPr>
            <w:tcW w:w="6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2"/>
        </w:trPr>
        <w:tc>
          <w:tcPr>
            <w:tcW w:w="6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21,722</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21,468</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20,912</w:t>
            </w:r>
          </w:p>
        </w:tc>
        <w:tc>
          <w:tcPr>
            <w:tcW w:w="10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Taxes paid</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30,246</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130,583</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99,535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6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Forgiveness of note receivable in exchange for real property</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9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Accrued capital expenditures</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(7,077)</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12,232</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(30,966)</w:t>
            </w:r>
          </w:p>
        </w:tc>
        <w:tc>
          <w:tcPr>
            <w:tcW w:w="100" w:type="dxa"/>
            <w:vAlign w:val="bottom"/>
          </w:tcPr>
          <w:p>
            <w:pPr>
              <w:spacing w:after="0"/>
              <w:rPr>
                <w:sz w:val="12"/>
                <w:szCs w:val="1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Noncash change in right of use asset</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(5,490)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(12,102)</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69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Noncash change in lease liability</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5,490</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12,102</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w:t>
            </w:r>
          </w:p>
        </w:tc>
        <w:tc>
          <w:tcPr>
            <w:tcW w:w="100" w:type="dxa"/>
            <w:vAlign w:val="bottom"/>
          </w:tcPr>
          <w:p>
            <w:pPr>
              <w:spacing w:after="0"/>
              <w:rPr>
                <w:sz w:val="12"/>
                <w:szCs w:val="1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Issuance of shares associated with investment interests</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69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Issuance of shares to non-employee contractors</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Warrant issuance associated with note payable</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69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Issuance of shares associated with contingent consideration</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17,259</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12,524</w:t>
            </w:r>
          </w:p>
        </w:tc>
        <w:tc>
          <w:tcPr>
            <w:tcW w:w="100" w:type="dxa"/>
            <w:vAlign w:val="bottom"/>
          </w:tcPr>
          <w:p>
            <w:pPr>
              <w:spacing w:after="0"/>
              <w:rPr>
                <w:sz w:val="12"/>
                <w:szCs w:val="1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Distribution of deferred shares</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(6,362)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(6,611)</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(20,454)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ACQUISITIONS AND DISPOSITIONS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(447)</w:t>
            </w: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(128)</w:t>
            </w:r>
          </w:p>
        </w:tc>
      </w:tr>
      <w:tr>
        <w:trPr>
          <w:trHeight w:val="202"/>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Identifiable Intangible assets</w:t>
            </w: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Liabilities assumed</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Gain on divestiture of Project Remix assets</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(29,876)</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consideration payable</w:t>
            </w: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consideration receivable</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FF0FC"/>
          </w:tcPr>
          <w:p>
            <w:pPr>
              <w:spacing w:after="0"/>
              <w:rPr>
                <w:sz w:val="17"/>
                <w:szCs w:val="17"/>
                <w:color w:val="auto"/>
              </w:rPr>
            </w:pPr>
          </w:p>
        </w:tc>
      </w:tr>
      <w:tr>
        <w:trPr>
          <w:trHeight w:val="142"/>
        </w:trPr>
        <w:tc>
          <w:tcPr>
            <w:tcW w:w="69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(25,576)</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4"/>
        </w:trPr>
        <w:tc>
          <w:tcPr>
            <w:tcW w:w="698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RECONCILIATION OF CASH, AND CASH EQUIVALENTS AND</w:t>
            </w: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73"/>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274,298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171,687</w:t>
            </w:r>
          </w:p>
        </w:tc>
        <w:tc>
          <w:tcPr>
            <w:tcW w:w="240" w:type="dxa"/>
            <w:vAlign w:val="bottom"/>
          </w:tcPr>
          <w:p>
            <w:pPr>
              <w:spacing w:after="0"/>
              <w:rPr>
                <w:sz w:val="17"/>
                <w:szCs w:val="17"/>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161,634</w:t>
            </w:r>
          </w:p>
        </w:tc>
        <w:tc>
          <w:tcPr>
            <w:tcW w:w="100" w:type="dxa"/>
            <w:vAlign w:val="bottom"/>
          </w:tcPr>
          <w:p>
            <w:pPr>
              <w:spacing w:after="0"/>
              <w:rPr>
                <w:sz w:val="17"/>
                <w:szCs w:val="17"/>
                <w:color w:val="auto"/>
              </w:rPr>
            </w:pPr>
          </w:p>
        </w:tc>
      </w:tr>
      <w:tr>
        <w:trPr>
          <w:trHeight w:val="18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6980" w:type="dxa"/>
            <w:vAlign w:val="bottom"/>
            <w:tcBorders>
              <w:top w:val="single" w:sz="8" w:color="CFF0FC"/>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CASH, AND CASH EQUIVALENTS AND RESTRICED CASH</w:t>
            </w: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285,282</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171,687</w:t>
            </w: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161,634</w:t>
            </w:r>
          </w:p>
        </w:tc>
        <w:tc>
          <w:tcPr>
            <w:tcW w:w="100" w:type="dxa"/>
            <w:vAlign w:val="bottom"/>
            <w:tcBorders>
              <w:top w:val="single" w:sz="8" w:color="CFF0FC"/>
            </w:tcBorders>
          </w:tcPr>
          <w:p>
            <w:pPr>
              <w:spacing w:after="0"/>
              <w:rPr>
                <w:sz w:val="13"/>
                <w:szCs w:val="13"/>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-3822700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-3805555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-3822700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-3805555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-3565525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-3548380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-3565525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-3548380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-3308350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-3291205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-3308350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-3291205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-3051175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-3034030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-3051175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-3034030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-2794000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-2776855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-2794000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-2776855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-2536825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-2519680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-2536825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-2519680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-145415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-145415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manufactures, and distributes a portfolio of cannabis consumer packaged goods brands including &amp;Shine, Beboe, Dogwalkers, Doctor Solomon’s, Good Green, incredibles, and RYTHM, to third-party retail stores across the United States as well as to Green Thumb owned retail stores. The Company also owns and operates retail cannabis stores that include a national chain named RISE Dispensaries, which sell our products and third-party products. As of December 31, 2025, Green Thumb has revenue in fourteen markets (California, Connecticut, Florida, Illinois, Maryland, Massachusetts, Minnesota, Nevada, New Jersey, New York, Ohio, Pennsylvania, Rhode Island and Virginia), employs approximately 5,000 people and serves millions of patients and customers annually.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“us” and “our” refer to the Company together with its consolidated subsidiaries.</w:t>
      </w:r>
    </w:p>
    <w:p>
      <w:pPr>
        <w:spacing w:after="0" w:line="23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 headquarters is at 325 W. Huron St., Suite 700, Chicago, IL 60654.</w:t>
      </w:r>
    </w:p>
    <w:p>
      <w:pPr>
        <w:spacing w:after="0" w:line="194"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Statement of Compliance</w:t>
      </w:r>
    </w:p>
    <w:p>
      <w:pPr>
        <w:spacing w:after="0" w:line="256"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2025, 2024 and 2023 (the “Consolidated Financial Statements”), have been prepared in accordance with accounting principles generally accepted in the United States of America (“GAAP”).</w:t>
      </w:r>
    </w:p>
    <w:p>
      <w:pPr>
        <w:spacing w:after="0" w:line="162" w:lineRule="exact"/>
        <w:rPr>
          <w:sz w:val="20"/>
          <w:szCs w:val="20"/>
          <w:color w:val="auto"/>
        </w:rPr>
      </w:pPr>
    </w:p>
    <w:p>
      <w:pPr>
        <w:ind w:left="520" w:right="40"/>
        <w:spacing w:after="0" w:line="254" w:lineRule="auto"/>
        <w:rPr>
          <w:sz w:val="20"/>
          <w:szCs w:val="20"/>
          <w:color w:val="auto"/>
        </w:rPr>
      </w:pPr>
      <w:r>
        <w:rPr>
          <w:rFonts w:ascii="Times New Roman" w:cs="Times New Roman" w:eastAsia="Times New Roman" w:hAnsi="Times New Roman"/>
          <w:sz w:val="18"/>
          <w:szCs w:val="18"/>
          <w:color w:val="auto"/>
        </w:rPr>
        <w:t>During the preparation of the December 31, 2025 consolidated financial statements, the Company became aware of an error in relation to the application of useful lives of its leasehold improvements. The Company in certain instances used useful lives for its leasehold improvements that were greater than the remaining term of the associated lease. The error was corrected with a cumulative catch-up adjustment to increase cost of sales and selling, general and administrative expenses in the amount of $15,906 thousand and $9,799 thousand, respectively and a corresponding reduction to property and equipment, net of $25,705 thousand along with a reduction in income tax expense and deferred tax liability of $5,163 thousand in the December 31, 2025 consolidated financial statements. This correction in the current period resulted in an overstatement of cost of sales and selling, general and administrative expenses of $10,974 thousand and $4,994 thousand, respectively along with an understatement of income tax expense of $3,435 thousand for the portion of the correction that pertains to prior periods. The error was not considered material to the current period or any prior period, including the Company's quarterly unaudited interim condensed consolidated financial statements.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previously reported amounts have been reclassified between line items to conform to the current period presentation.</w:t>
      </w:r>
    </w:p>
    <w:p>
      <w:pPr>
        <w:spacing w:after="0" w:line="32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56"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26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56"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as determined by management, is the United States (“U.S.”) dollar. These consolidated financial statements are presented in U.S. dollars.</w:t>
      </w:r>
    </w:p>
    <w:p>
      <w:pPr>
        <w:spacing w:after="0" w:line="26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56" w:lineRule="exact"/>
        <w:rPr>
          <w:sz w:val="20"/>
          <w:szCs w:val="20"/>
          <w:color w:val="auto"/>
        </w:rPr>
      </w:pPr>
    </w:p>
    <w:p>
      <w:pPr>
        <w:jc w:val="both"/>
        <w:ind w:left="520" w:right="34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2025, 2024 and 2023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960" w:hanging="443"/>
        <w:spacing w:after="0"/>
        <w:tabs>
          <w:tab w:leader="none" w:pos="9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100"/>
        <w:spacing w:after="0" w:line="289" w:lineRule="auto"/>
        <w:rPr>
          <w:sz w:val="20"/>
          <w:szCs w:val="20"/>
          <w:color w:val="auto"/>
        </w:rPr>
      </w:pPr>
      <w:r>
        <w:rPr>
          <w:rFonts w:ascii="Times New Roman" w:cs="Times New Roman" w:eastAsia="Times New Roman" w:hAnsi="Times New Roman"/>
          <w:sz w:val="17"/>
          <w:szCs w:val="17"/>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58"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The following are the Company’s significant wholly owned subsidiaries that are included in these consolidated financial statements as of and for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120" w:type="dxa"/>
            <w:vAlign w:val="bottom"/>
            <w:tcBorders>
              <w:bottom w:val="single" w:sz="8" w:color="auto"/>
            </w:tcBorders>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680" w:type="dxa"/>
            <w:vAlign w:val="bottom"/>
          </w:tcPr>
          <w:p>
            <w:pPr>
              <w:spacing w:after="0"/>
              <w:rPr>
                <w:sz w:val="20"/>
                <w:szCs w:val="20"/>
                <w:color w:val="auto"/>
              </w:rPr>
            </w:pPr>
          </w:p>
        </w:tc>
        <w:tc>
          <w:tcPr>
            <w:tcW w:w="26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GTI23, Inc.</w:t>
            </w:r>
          </w:p>
        </w:tc>
        <w:tc>
          <w:tcPr>
            <w:tcW w:w="412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VCP23, LLC</w:t>
            </w:r>
          </w:p>
        </w:tc>
        <w:tc>
          <w:tcPr>
            <w:tcW w:w="412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GTI Core, LLC</w:t>
            </w:r>
          </w:p>
        </w:tc>
        <w:tc>
          <w:tcPr>
            <w:tcW w:w="412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5" w:lineRule="exact"/>
        <w:rPr>
          <w:sz w:val="20"/>
          <w:szCs w:val="20"/>
          <w:color w:val="auto"/>
        </w:rPr>
      </w:pPr>
    </w:p>
    <w:p>
      <w:pPr>
        <w:ind w:left="520" w:right="320"/>
        <w:spacing w:after="0" w:line="282" w:lineRule="auto"/>
        <w:rPr>
          <w:sz w:val="20"/>
          <w:szCs w:val="20"/>
          <w:color w:val="auto"/>
        </w:rPr>
      </w:pPr>
      <w:r>
        <w:rPr>
          <w:rFonts w:ascii="Times New Roman" w:cs="Times New Roman" w:eastAsia="Times New Roman" w:hAnsi="Times New Roman"/>
          <w:sz w:val="18"/>
          <w:szCs w:val="18"/>
          <w:color w:val="auto"/>
        </w:rPr>
        <w:t>The following are VCP23, LLC’s and GTI Core, LLC’s wholly owned subsidiaries and significant entities over which the Company has control, that are included in these consolidated financial statements for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580" w:type="dxa"/>
            <w:vAlign w:val="bottom"/>
          </w:tcPr>
          <w:p>
            <w:pPr>
              <w:spacing w:after="0"/>
              <w:rPr>
                <w:sz w:val="20"/>
                <w:szCs w:val="20"/>
                <w:color w:val="auto"/>
              </w:rPr>
            </w:pPr>
          </w:p>
        </w:tc>
        <w:tc>
          <w:tcPr>
            <w:tcW w:w="1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GTI-Clinic Illinois Holdings,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ILDISP,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RISE Holdings, Inc.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Liberty Compassion Inc.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GTI Maryland,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 Investors 2017,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GTI Ohio,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GTI Nevada,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GTI Pennsylvania,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GTI Florida,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KSGNF,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GTI New Jersey,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Jersey</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KW Ventures Holdings,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Chesapeake Alternatives,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Meshow,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 Health and Wellness Center, Inc.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Advanced Grow Labs,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Bluepoint Wellness of Westport,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Bluepoint Apothecary,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CT Wellness and Healing</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Integral Associates,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Dharma Pharmaceuticals,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Summit Medical Compassion Center, Inc.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LeafLine Industries,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 Success Holding Company</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Vision Management Services,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RSLGH,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TWD18, LLC</w:t>
            </w:r>
          </w:p>
        </w:tc>
        <w:tc>
          <w:tcPr>
            <w:tcW w:w="2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company</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VCP Real Estate Holdings, LLC</w:t>
            </w:r>
          </w:p>
        </w:tc>
        <w:tc>
          <w:tcPr>
            <w:tcW w:w="2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holding company</w:t>
            </w:r>
          </w:p>
        </w:tc>
      </w:tr>
      <w:tr>
        <w:trPr>
          <w:trHeight w:val="414"/>
        </w:trPr>
        <w:tc>
          <w:tcPr>
            <w:tcW w:w="3860" w:type="dxa"/>
            <w:vAlign w:val="bottom"/>
          </w:tcPr>
          <w:p>
            <w:pPr>
              <w:spacing w:after="0"/>
              <w:rPr>
                <w:sz w:val="24"/>
                <w:szCs w:val="24"/>
                <w:color w:val="auto"/>
              </w:rPr>
            </w:pPr>
          </w:p>
        </w:tc>
        <w:tc>
          <w:tcPr>
            <w:tcW w:w="2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F-8</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Associates</w:t>
      </w:r>
    </w:p>
    <w:p>
      <w:pPr>
        <w:spacing w:after="0" w:line="229" w:lineRule="exact"/>
        <w:rPr>
          <w:sz w:val="20"/>
          <w:szCs w:val="20"/>
          <w:color w:val="auto"/>
        </w:rPr>
      </w:pPr>
    </w:p>
    <w:p>
      <w:pPr>
        <w:ind w:left="520" w:right="340"/>
        <w:spacing w:after="0" w:line="266" w:lineRule="auto"/>
        <w:rPr>
          <w:sz w:val="20"/>
          <w:szCs w:val="20"/>
          <w:color w:val="auto"/>
        </w:rPr>
      </w:pPr>
      <w:r>
        <w:rPr>
          <w:rFonts w:ascii="Times New Roman" w:cs="Times New Roman" w:eastAsia="Times New Roman" w:hAnsi="Times New Roman"/>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spacing w:after="0" w:line="176"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statements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28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291"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 and Restricted Cash Equivalents</w:t>
      </w:r>
    </w:p>
    <w:p>
      <w:pPr>
        <w:spacing w:after="0" w:line="25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162"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Restricted cash and restricted cash equivalents represent deposits which meet the definition of cash and cash equivalents but are legally or contractually restricted regarding withdrawal or usage. Such restrictions primarily relate to amounts pledged as collateral in connection with ongoing litigation as well as cash held in escrow in connection with acquisitions or for other specified purposes. The classification of restricted cash as current or noncurrent is based upon the expected duration of the restriction.</w:t>
      </w:r>
    </w:p>
    <w:p>
      <w:pPr>
        <w:spacing w:after="0" w:line="28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Notes Receivable</w:t>
      </w:r>
    </w:p>
    <w:p>
      <w:pPr>
        <w:spacing w:after="0" w:line="256" w:lineRule="exact"/>
        <w:rPr>
          <w:sz w:val="20"/>
          <w:szCs w:val="20"/>
          <w:color w:val="auto"/>
        </w:rPr>
      </w:pPr>
    </w:p>
    <w:p>
      <w:pPr>
        <w:jc w:val="both"/>
        <w:ind w:left="520" w:right="80"/>
        <w:spacing w:after="0" w:line="272" w:lineRule="auto"/>
        <w:rPr>
          <w:sz w:val="20"/>
          <w:szCs w:val="20"/>
          <w:color w:val="auto"/>
        </w:rPr>
      </w:pPr>
      <w:r>
        <w:rPr>
          <w:rFonts w:ascii="Times New Roman" w:cs="Times New Roman" w:eastAsia="Times New Roman" w:hAnsi="Times New Roman"/>
          <w:sz w:val="17"/>
          <w:szCs w:val="17"/>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2025 and 2024 the Company recorded approximately $4,649 thousand and $4,484 thousand, respectively, in allowance for doubtful accounts.</w:t>
      </w:r>
    </w:p>
    <w:p>
      <w:pPr>
        <w:spacing w:after="0" w:line="2" w:lineRule="exact"/>
        <w:rPr>
          <w:sz w:val="20"/>
          <w:szCs w:val="20"/>
          <w:color w:val="auto"/>
        </w:rPr>
      </w:pPr>
    </w:p>
    <w:p>
      <w:pPr>
        <w:ind w:left="520" w:right="14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bad debt expense of $450 thousand, $3,088 thousand and $729 thousand, respectively.</w:t>
      </w:r>
    </w:p>
    <w:p>
      <w:pPr>
        <w:spacing w:after="0" w:line="181"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Notes receivable are initially recorded at their fair value, which generally reflects the face value of the instrument. Notes receivable are subsequently carried at amortized cost minus impairment. Allowance for the uncollectibility of notes receivable is evaluated individually based on specific credit risk characteristics, including the borrower’s financial condition, collateral and payment history.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52" w:hanging="452"/>
        <w:spacing w:after="0"/>
        <w:tabs>
          <w:tab w:leader="none" w:pos="45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12" w:hanging="503"/>
        <w:spacing w:after="0"/>
        <w:tabs>
          <w:tab w:leader="none" w:pos="101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512" w:right="220"/>
        <w:spacing w:after="0" w:line="282" w:lineRule="auto"/>
        <w:rPr>
          <w:sz w:val="20"/>
          <w:szCs w:val="20"/>
          <w:color w:val="auto"/>
        </w:rPr>
      </w:pPr>
      <w:r>
        <w:rPr>
          <w:rFonts w:ascii="Times New Roman" w:cs="Times New Roman" w:eastAsia="Times New Roman" w:hAnsi="Times New Roman"/>
          <w:sz w:val="18"/>
          <w:szCs w:val="18"/>
          <w:color w:val="auto"/>
        </w:rPr>
        <w:t>Inventories of purchased finished goods and packing materials are initially valued at cost and subsequently at the lower of cost and net realizable value.</w:t>
      </w:r>
    </w:p>
    <w:p>
      <w:pPr>
        <w:spacing w:after="0" w:line="162" w:lineRule="exact"/>
        <w:rPr>
          <w:sz w:val="20"/>
          <w:szCs w:val="20"/>
          <w:color w:val="auto"/>
        </w:rPr>
      </w:pPr>
    </w:p>
    <w:p>
      <w:pPr>
        <w:ind w:left="512" w:right="160"/>
        <w:spacing w:after="0" w:line="282" w:lineRule="auto"/>
        <w:rPr>
          <w:sz w:val="20"/>
          <w:szCs w:val="20"/>
          <w:color w:val="auto"/>
        </w:rPr>
      </w:pPr>
      <w:r>
        <w:rPr>
          <w:rFonts w:ascii="Times New Roman" w:cs="Times New Roman" w:eastAsia="Times New Roman" w:hAnsi="Times New Roman"/>
          <w:sz w:val="18"/>
          <w:szCs w:val="18"/>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162" w:lineRule="exact"/>
        <w:rPr>
          <w:sz w:val="20"/>
          <w:szCs w:val="20"/>
          <w:color w:val="auto"/>
        </w:rPr>
      </w:pPr>
    </w:p>
    <w:p>
      <w:pPr>
        <w:ind w:left="512" w:right="80"/>
        <w:spacing w:after="0" w:line="261" w:lineRule="auto"/>
        <w:rPr>
          <w:sz w:val="20"/>
          <w:szCs w:val="20"/>
          <w:color w:val="auto"/>
        </w:rPr>
      </w:pPr>
      <w:r>
        <w:rPr>
          <w:rFonts w:ascii="Times New Roman" w:cs="Times New Roman" w:eastAsia="Times New Roman" w:hAnsi="Times New Roman"/>
          <w:sz w:val="18"/>
          <w:szCs w:val="18"/>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84" w:lineRule="exact"/>
        <w:rPr>
          <w:sz w:val="20"/>
          <w:szCs w:val="20"/>
          <w:color w:val="auto"/>
        </w:rPr>
      </w:pPr>
    </w:p>
    <w:p>
      <w:pPr>
        <w:ind w:left="1012" w:hanging="503"/>
        <w:spacing w:after="0"/>
        <w:tabs>
          <w:tab w:leader="none" w:pos="101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12" w:right="4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194" w:lineRule="exact"/>
        <w:rPr>
          <w:sz w:val="20"/>
          <w:szCs w:val="20"/>
          <w:color w:val="auto"/>
        </w:rPr>
      </w:pPr>
    </w:p>
    <w:tbl>
      <w:tblPr>
        <w:tblLayout w:type="fixed"/>
        <w:tblInd w:w="2152" w:type="dxa"/>
        <w:tblCellMar>
          <w:top w:w="0" w:type="dxa"/>
          <w:left w:w="0" w:type="dxa"/>
          <w:bottom w:w="0" w:type="dxa"/>
          <w:right w:w="0" w:type="dxa"/>
        </w:tblCellMar>
      </w:tblP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w:t>
            </w:r>
          </w:p>
        </w:tc>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Depreciated</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30 Years</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Years</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19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100" w:type="dxa"/>
            <w:vAlign w:val="bottom"/>
            <w:gridSpan w:val="2"/>
          </w:tcPr>
          <w:p>
            <w:pPr>
              <w:jc w:val="center"/>
              <w:ind w:left="730"/>
              <w:spacing w:after="0" w:line="198" w:lineRule="exact"/>
              <w:rPr>
                <w:sz w:val="20"/>
                <w:szCs w:val="20"/>
                <w:color w:val="auto"/>
              </w:rPr>
            </w:pPr>
            <w:r>
              <w:rPr>
                <w:rFonts w:ascii="Times New Roman" w:cs="Times New Roman" w:eastAsia="Times New Roman" w:hAnsi="Times New Roman"/>
                <w:sz w:val="18"/>
                <w:szCs w:val="18"/>
                <w:color w:val="auto"/>
                <w:w w:val="99"/>
              </w:rPr>
              <w:t>Lesser of Usefule Life or</w:t>
            </w:r>
          </w:p>
        </w:tc>
        <w:tc>
          <w:tcPr>
            <w:tcW w:w="0" w:type="dxa"/>
            <w:vAlign w:val="bottom"/>
          </w:tcPr>
          <w:p>
            <w:pPr>
              <w:spacing w:after="0"/>
              <w:rPr>
                <w:sz w:val="1"/>
                <w:szCs w:val="1"/>
                <w:color w:val="auto"/>
              </w:rPr>
            </w:pPr>
          </w:p>
        </w:tc>
      </w:tr>
      <w:tr>
        <w:trPr>
          <w:trHeight w:val="126"/>
        </w:trPr>
        <w:tc>
          <w:tcPr>
            <w:tcW w:w="3840" w:type="dxa"/>
            <w:vAlign w:val="bottom"/>
            <w:vMerge w:val="continue"/>
          </w:tcPr>
          <w:p>
            <w:pPr>
              <w:spacing w:after="0"/>
              <w:rPr>
                <w:sz w:val="10"/>
                <w:szCs w:val="10"/>
                <w:color w:val="auto"/>
              </w:rPr>
            </w:pPr>
          </w:p>
        </w:tc>
        <w:tc>
          <w:tcPr>
            <w:tcW w:w="3100" w:type="dxa"/>
            <w:vAlign w:val="bottom"/>
            <w:gridSpan w:val="2"/>
            <w:vMerge w:val="restart"/>
          </w:tcPr>
          <w:p>
            <w:pPr>
              <w:jc w:val="center"/>
              <w:ind w:left="770"/>
              <w:spacing w:after="0"/>
              <w:rPr>
                <w:sz w:val="20"/>
                <w:szCs w:val="20"/>
                <w:color w:val="auto"/>
              </w:rPr>
            </w:pPr>
            <w:r>
              <w:rPr>
                <w:rFonts w:ascii="Times New Roman" w:cs="Times New Roman" w:eastAsia="Times New Roman" w:hAnsi="Times New Roman"/>
                <w:sz w:val="18"/>
                <w:szCs w:val="18"/>
                <w:color w:val="auto"/>
                <w:w w:val="99"/>
              </w:rPr>
              <w:t>Remaining Lease Term</w:t>
            </w: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and Processing Equipment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Depreciated</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12" w:right="20"/>
        <w:spacing w:after="0" w:line="261" w:lineRule="auto"/>
        <w:rPr>
          <w:sz w:val="20"/>
          <w:szCs w:val="20"/>
          <w:color w:val="auto"/>
        </w:rPr>
      </w:pPr>
      <w:r>
        <w:rPr>
          <w:rFonts w:ascii="Times New Roman" w:cs="Times New Roman" w:eastAsia="Times New Roman" w:hAnsi="Times New Roman"/>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207" w:lineRule="exact"/>
        <w:rPr>
          <w:sz w:val="20"/>
          <w:szCs w:val="20"/>
          <w:color w:val="auto"/>
        </w:rPr>
      </w:pPr>
    </w:p>
    <w:p>
      <w:pPr>
        <w:ind w:left="512"/>
        <w:spacing w:after="0" w:line="253"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 During the year ended December 31, 2025 the Company recorded no impairment charges. During the years ended 2024 and 2023, the Company recorded impairment charges of $450 thousand and $5,467 thousand, respectively, within selling, general, and administrative expenses on the consolidated statements of operations.</w:t>
      </w:r>
    </w:p>
    <w:p>
      <w:pPr>
        <w:spacing w:after="0" w:line="19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765" w:right="41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Notes receivable instruments and investments in equity of private companies represent financial assets without readily determinable fair values. The Company measures such investments at cost minus impairment, plus or minus changes resulting from observable price changes in orderly transactions for identical or similar investments of the same issuer. Subsequent changes in fair value are recognized in profit or loss. The Company performs an assessment on a quarterly basis to determine whether triggering events for impairment exist.</w:t>
      </w:r>
    </w:p>
    <w:p>
      <w:pPr>
        <w:spacing w:after="0" w:line="28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2025:</w:t>
      </w:r>
    </w:p>
    <w:p>
      <w:pPr>
        <w:spacing w:after="0" w:line="194"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and Permits</w:t>
            </w:r>
          </w:p>
        </w:tc>
        <w:tc>
          <w:tcPr>
            <w:tcW w:w="31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1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5-15 years</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1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1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ind w:left="520" w:right="58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6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6"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October 1, for impairment or more frequently if events or circumstances indicate that the carrying value may not be recoverable. An impaired asset is written down to its estimated fair value based on the most recent information available.</w:t>
      </w:r>
    </w:p>
    <w:p>
      <w:pPr>
        <w:spacing w:after="0" w:line="180"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For the annual goodwill impairment review, the Company has the option to perform a qualitative test (“Step 0”) or a quantitative test (“Step 1”). Under the Step 0 test, the Company first assesses qualitative factors to determine whether it is more likely than not that the fair value of the reporting unit is less than its carrying value. If after assessing these qualitative factors, the Company determines it is not “more-likely-than-not” that the fair value of the reporting unit is less than the carrying value, then the Step 1 quantitative test is not required.</w:t>
      </w:r>
    </w:p>
    <w:p>
      <w:pPr>
        <w:spacing w:after="0" w:line="180" w:lineRule="exact"/>
        <w:rPr>
          <w:sz w:val="20"/>
          <w:szCs w:val="20"/>
          <w:color w:val="auto"/>
        </w:rPr>
      </w:pPr>
    </w:p>
    <w:p>
      <w:pPr>
        <w:jc w:val="both"/>
        <w:ind w:left="520" w:right="380"/>
        <w:spacing w:after="0" w:line="266" w:lineRule="auto"/>
        <w:rPr>
          <w:sz w:val="20"/>
          <w:szCs w:val="20"/>
          <w:color w:val="auto"/>
        </w:rPr>
      </w:pPr>
      <w:r>
        <w:rPr>
          <w:rFonts w:ascii="Times New Roman" w:cs="Times New Roman" w:eastAsia="Times New Roman" w:hAnsi="Times New Roman"/>
          <w:sz w:val="18"/>
          <w:szCs w:val="18"/>
          <w:color w:val="auto"/>
        </w:rPr>
        <w:t>Step 1 of the quantitative test requires comparison of the fair value of each of the reporting units to the respective carrying value. If the carrying value of the reporting unit is less than the fair value, no impairment exists. If the carrying amount of a reporting unit exceeds the estimated fair value, an impairment loss is recognized by such amount.</w:t>
      </w:r>
    </w:p>
    <w:p>
      <w:pPr>
        <w:spacing w:after="0" w:line="176" w:lineRule="exact"/>
        <w:rPr>
          <w:sz w:val="20"/>
          <w:szCs w:val="20"/>
          <w:color w:val="auto"/>
        </w:rPr>
      </w:pPr>
    </w:p>
    <w:p>
      <w:pPr>
        <w:ind w:left="520" w:right="3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performed a Step 1 test. The analysis included estimating the fair value of each reporting unit using an income and market approach. The income approach required management to estimate a number of factors for each reporting unit, including projected future operating results, anticipated future cash flows, discount rates, the allocation of shared or corporate costs and income taxes. The market approach estimated fair value using comparable marketplace fair value data from within a comparable industry grouping.</w:t>
      </w:r>
    </w:p>
    <w:p>
      <w:pPr>
        <w:spacing w:after="0" w:line="180" w:lineRule="exact"/>
        <w:rPr>
          <w:sz w:val="20"/>
          <w:szCs w:val="20"/>
          <w:color w:val="auto"/>
        </w:rPr>
      </w:pPr>
    </w:p>
    <w:p>
      <w:pPr>
        <w:ind w:left="520" w:right="840"/>
        <w:spacing w:after="0" w:line="261" w:lineRule="auto"/>
        <w:rPr>
          <w:sz w:val="20"/>
          <w:szCs w:val="20"/>
          <w:color w:val="auto"/>
        </w:rPr>
      </w:pPr>
      <w:r>
        <w:rPr>
          <w:rFonts w:ascii="Times New Roman" w:cs="Times New Roman" w:eastAsia="Times New Roman" w:hAnsi="Times New Roman"/>
          <w:sz w:val="18"/>
          <w:szCs w:val="18"/>
          <w:color w:val="auto"/>
        </w:rPr>
        <w:t>As a result of the Company’s Step 1 test, the estimated fair values of the reporting units exceeded their carrying values. Consequently, no impairment charges were recorded for the year ended December 31, 2025.</w:t>
      </w: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952" w:hanging="443"/>
        <w:spacing w:after="0"/>
        <w:tabs>
          <w:tab w:leader="none" w:pos="95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12" w:right="1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performed a Step 0 test. As a result, no further quantitative impairment test was deemed necessary and no impairment charges were recorded as of the period then ended.</w:t>
      </w:r>
    </w:p>
    <w:p>
      <w:pPr>
        <w:spacing w:after="0" w:line="266" w:lineRule="exact"/>
        <w:rPr>
          <w:sz w:val="20"/>
          <w:szCs w:val="20"/>
          <w:color w:val="auto"/>
        </w:rPr>
      </w:pPr>
    </w:p>
    <w:p>
      <w:pPr>
        <w:ind w:left="1012" w:hanging="503"/>
        <w:spacing w:after="0"/>
        <w:tabs>
          <w:tab w:leader="none" w:pos="101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180" w:lineRule="exact"/>
        <w:rPr>
          <w:sz w:val="20"/>
          <w:szCs w:val="20"/>
          <w:color w:val="auto"/>
        </w:rPr>
      </w:pPr>
    </w:p>
    <w:p>
      <w:pPr>
        <w:ind w:left="512" w:right="12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the enacted taxes rates. The effect on deferred tax assets and liabilities of a change in tax law or tax rates is recognized in income in the period that enactment occurs. The U.S. Internal Revenue Service (“IRS”) has taken the position that cannabis companies are subject to the limitations of the U.S. Internal Revenue Code of 1986, as amended (“IRC”) Section 280E under which cannabis companies are only allowed to deduct expenses directly related to sales of product.</w:t>
      </w:r>
    </w:p>
    <w:p>
      <w:pPr>
        <w:spacing w:after="0" w:line="284" w:lineRule="exact"/>
        <w:rPr>
          <w:sz w:val="20"/>
          <w:szCs w:val="20"/>
          <w:color w:val="auto"/>
        </w:rPr>
      </w:pPr>
    </w:p>
    <w:p>
      <w:pPr>
        <w:ind w:left="1012" w:hanging="503"/>
        <w:spacing w:after="0"/>
        <w:tabs>
          <w:tab w:leader="none" w:pos="101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4" w:lineRule="exact"/>
        <w:rPr>
          <w:sz w:val="20"/>
          <w:szCs w:val="20"/>
          <w:color w:val="auto"/>
        </w:rPr>
      </w:pPr>
    </w:p>
    <w:p>
      <w:pPr>
        <w:jc w:val="both"/>
        <w:ind w:left="512"/>
        <w:spacing w:after="0" w:line="267" w:lineRule="auto"/>
        <w:rPr>
          <w:sz w:val="20"/>
          <w:szCs w:val="20"/>
          <w:color w:val="auto"/>
        </w:rPr>
      </w:pPr>
      <w:r>
        <w:rPr>
          <w:rFonts w:ascii="Times New Roman" w:cs="Times New Roman" w:eastAsia="Times New Roman" w:hAnsi="Times New Roman"/>
          <w:sz w:val="18"/>
          <w:szCs w:val="18"/>
          <w:color w:val="auto"/>
        </w:rPr>
        <w:t xml:space="preserve">Revenue is recognized by the Company in accordance with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17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 xml:space="preserve">In order to recognize revenue under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the Company applies the following five (5) steps:</w:t>
      </w:r>
    </w:p>
    <w:p>
      <w:pPr>
        <w:spacing w:after="0" w:line="227" w:lineRule="exact"/>
        <w:rPr>
          <w:sz w:val="20"/>
          <w:szCs w:val="20"/>
          <w:color w:val="auto"/>
        </w:rPr>
      </w:pPr>
    </w:p>
    <w:p>
      <w:pPr>
        <w:ind w:left="1452" w:hanging="345"/>
        <w:spacing w:after="0"/>
        <w:tabs>
          <w:tab w:leader="none" w:pos="14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225" w:lineRule="exact"/>
        <w:rPr>
          <w:rFonts w:ascii="Times New Roman" w:cs="Times New Roman" w:eastAsia="Times New Roman" w:hAnsi="Times New Roman"/>
          <w:sz w:val="18"/>
          <w:szCs w:val="18"/>
          <w:color w:val="auto"/>
        </w:rPr>
      </w:pPr>
    </w:p>
    <w:p>
      <w:pPr>
        <w:ind w:left="1452" w:hanging="345"/>
        <w:spacing w:after="0"/>
        <w:tabs>
          <w:tab w:leader="none" w:pos="14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252" w:lineRule="exact"/>
        <w:rPr>
          <w:rFonts w:ascii="Times New Roman" w:cs="Times New Roman" w:eastAsia="Times New Roman" w:hAnsi="Times New Roman"/>
          <w:sz w:val="18"/>
          <w:szCs w:val="18"/>
          <w:color w:val="auto"/>
        </w:rPr>
      </w:pPr>
    </w:p>
    <w:p>
      <w:pPr>
        <w:ind w:left="1452" w:right="320" w:hanging="332"/>
        <w:spacing w:after="0" w:line="282" w:lineRule="auto"/>
        <w:tabs>
          <w:tab w:leader="none" w:pos="145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spacing w:after="0" w:line="161" w:lineRule="exact"/>
        <w:rPr>
          <w:rFonts w:ascii="Times New Roman" w:cs="Times New Roman" w:eastAsia="Times New Roman" w:hAnsi="Times New Roman"/>
          <w:sz w:val="18"/>
          <w:szCs w:val="18"/>
          <w:color w:val="auto"/>
        </w:rPr>
      </w:pPr>
    </w:p>
    <w:p>
      <w:pPr>
        <w:ind w:left="1452" w:hanging="332"/>
        <w:spacing w:after="0"/>
        <w:tabs>
          <w:tab w:leader="none" w:pos="145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1492" w:hanging="372"/>
        <w:spacing w:after="0"/>
        <w:tabs>
          <w:tab w:leader="none" w:pos="14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225" w:lineRule="exact"/>
        <w:rPr>
          <w:sz w:val="20"/>
          <w:szCs w:val="20"/>
          <w:color w:val="auto"/>
        </w:rPr>
      </w:pPr>
    </w:p>
    <w:p>
      <w:pPr>
        <w:ind w:left="512" w:right="160"/>
        <w:spacing w:after="0" w:line="261" w:lineRule="auto"/>
        <w:rPr>
          <w:sz w:val="20"/>
          <w:szCs w:val="20"/>
          <w:color w:val="auto"/>
        </w:rPr>
      </w:pPr>
      <w:r>
        <w:rPr>
          <w:rFonts w:ascii="Times New Roman" w:cs="Times New Roman" w:eastAsia="Times New Roman" w:hAnsi="Times New Roman"/>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2025, 2024 and 2023, sales discounts totaled $323,790 thousand, $267,298 thousand and $232,031 thousand, respectively.</w:t>
      </w:r>
    </w:p>
    <w:p>
      <w:pPr>
        <w:spacing w:after="0" w:line="180" w:lineRule="exact"/>
        <w:rPr>
          <w:sz w:val="20"/>
          <w:szCs w:val="20"/>
          <w:color w:val="auto"/>
        </w:rPr>
      </w:pPr>
    </w:p>
    <w:p>
      <w:pPr>
        <w:ind w:left="512" w:right="100"/>
        <w:spacing w:after="0" w:line="282" w:lineRule="auto"/>
        <w:rPr>
          <w:sz w:val="20"/>
          <w:szCs w:val="20"/>
          <w:color w:val="auto"/>
        </w:rPr>
      </w:pPr>
      <w:r>
        <w:rPr>
          <w:rFonts w:ascii="Times New Roman" w:cs="Times New Roman" w:eastAsia="Times New Roman" w:hAnsi="Times New Roman"/>
          <w:sz w:val="18"/>
          <w:szCs w:val="18"/>
          <w:color w:val="auto"/>
        </w:rPr>
        <w:t>Revenue is recognized upon the satisfaction of the performance obligation. The Company satisfies its performance obligation and transfers control upon delivery and acceptance by the customer.</w:t>
      </w:r>
    </w:p>
    <w:p>
      <w:pPr>
        <w:spacing w:after="0" w:line="162" w:lineRule="exact"/>
        <w:rPr>
          <w:sz w:val="20"/>
          <w:szCs w:val="20"/>
          <w:color w:val="auto"/>
        </w:rPr>
      </w:pPr>
    </w:p>
    <w:p>
      <w:pPr>
        <w:ind w:left="512" w:right="120"/>
        <w:spacing w:after="0" w:line="255" w:lineRule="auto"/>
        <w:rPr>
          <w:sz w:val="20"/>
          <w:szCs w:val="20"/>
          <w:color w:val="auto"/>
        </w:rPr>
      </w:pPr>
      <w:r>
        <w:rPr>
          <w:rFonts w:ascii="Times New Roman" w:cs="Times New Roman" w:eastAsia="Times New Roman" w:hAnsi="Times New Roman"/>
          <w:sz w:val="18"/>
          <w:szCs w:val="18"/>
          <w:color w:val="auto"/>
        </w:rPr>
        <w:t>At some locations, the Company offers a loyalty reward program to its retail customers. A portion of the revenue generated in a sale must be allocated to the loyalty points earned. The amount allocated to the points earned is deferred until the loyalty points are redeemed or expire. As of December 31, 2025 and 2024, the loyalty liability totaled $3,963 thousand and $5,149 thousand, respectively, and is included in accrued liabilities on the consolidated balance sheets.</w:t>
      </w:r>
    </w:p>
    <w:p>
      <w:pPr>
        <w:spacing w:after="0" w:line="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183" w:lineRule="exact"/>
        <w:rPr>
          <w:sz w:val="20"/>
          <w:szCs w:val="20"/>
          <w:color w:val="auto"/>
        </w:rPr>
      </w:pPr>
    </w:p>
    <w:p>
      <w:pPr>
        <w:ind w:left="520" w:right="1000"/>
        <w:spacing w:after="0" w:line="282" w:lineRule="auto"/>
        <w:rPr>
          <w:sz w:val="20"/>
          <w:szCs w:val="20"/>
          <w:color w:val="auto"/>
        </w:rPr>
      </w:pPr>
      <w:r>
        <w:rPr>
          <w:rFonts w:ascii="Times New Roman" w:cs="Times New Roman" w:eastAsia="Times New Roman" w:hAnsi="Times New Roman"/>
          <w:sz w:val="18"/>
          <w:szCs w:val="18"/>
          <w:color w:val="auto"/>
        </w:rPr>
        <w:t>Equity settled stock-based payments under stock-based payments plans are ultimately recognized as an expense in profit or loss with a corresponding credit to contributed surplus, in equity.</w:t>
      </w:r>
    </w:p>
    <w:p>
      <w:pPr>
        <w:spacing w:after="0" w:line="162"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No adjustment is made to any expense recognized in a prior period if share options ultimately exercised are different to that estimated on vesting.</w:t>
      </w:r>
    </w:p>
    <w:p>
      <w:pPr>
        <w:spacing w:after="0" w:line="71"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ind w:left="520" w:right="18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29" w:lineRule="exact"/>
        <w:rPr>
          <w:sz w:val="20"/>
          <w:szCs w:val="20"/>
          <w:color w:val="auto"/>
        </w:rPr>
      </w:pPr>
    </w:p>
    <w:p>
      <w:pPr>
        <w:ind w:left="760" w:right="2020"/>
        <w:spacing w:after="0" w:line="260"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r>
        <w:rPr>
          <w:rFonts w:ascii="Times New Roman" w:cs="Times New Roman" w:eastAsia="Times New Roman" w:hAnsi="Times New Roman"/>
          <w:sz w:val="18"/>
          <w:szCs w:val="18"/>
          <w:i w:val="1"/>
          <w:iCs w:val="1"/>
          <w:color w:val="auto"/>
        </w:rPr>
        <w:t xml:space="preserve"> 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further details, see Note 14—Fair Value Measurements.</w:t>
      </w:r>
    </w:p>
    <w:p>
      <w:pPr>
        <w:spacing w:after="0" w:line="32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207" w:lineRule="exact"/>
        <w:rPr>
          <w:sz w:val="20"/>
          <w:szCs w:val="20"/>
          <w:color w:val="auto"/>
        </w:rPr>
      </w:pPr>
    </w:p>
    <w:p>
      <w:pPr>
        <w:ind w:left="520" w:right="40"/>
        <w:spacing w:after="0" w:line="257"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 xml:space="preserve">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 Codification (“ASC”) </w:t>
      </w:r>
      <w:r>
        <w:rPr>
          <w:rFonts w:ascii="Times New Roman" w:cs="Times New Roman" w:eastAsia="Times New Roman" w:hAnsi="Times New Roman"/>
          <w:sz w:val="18"/>
          <w:szCs w:val="18"/>
          <w:i w:val="1"/>
          <w:iCs w:val="1"/>
          <w:color w:val="auto"/>
        </w:rPr>
        <w:t>740, Income Taxes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options and warrants. As of December 31, 2025, the Company had 7,692,764 options, 9,518,293 RSUs and 1,702,347 warrants outstanding. As of December 31, 2024, the Company had 8,238,472 options, 7,678,310 RSUs and 1,811,075 warrants outstanding. As of December 31, 2023, the Company had 10,071,467 options, 3,620,638 RSUs and 3,734,555 warrants outstanding.</w:t>
      </w:r>
    </w:p>
    <w:p>
      <w:pPr>
        <w:spacing w:after="0" w:line="192" w:lineRule="exact"/>
        <w:rPr>
          <w:sz w:val="20"/>
          <w:szCs w:val="20"/>
          <w:color w:val="auto"/>
        </w:rPr>
      </w:pPr>
    </w:p>
    <w:p>
      <w:pPr>
        <w:ind w:left="520" w:right="100"/>
        <w:spacing w:after="0" w:line="254"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exercise of dilutive unvested RSUs, options, and warrants would be used to repurchase Common Shares at the average market price during the period. Under the treasury stock method, the diluted earnings per share calculation excludes any potential conversion of options and convertible debt that would increase earnings per share or decrease loss per share. For the year ended December 31, 2025, the computation of diluted earnings per share included 3,009,143 RSUs. There were no dilutive options or warrants included in the December 31, 2025 computation of diluted earnings per share, as the relevant strike prices were greater than the average stock price for the period. For the year ended December 31, 2024, the computation of diluted earnings per share included 895,518 options, 4,189,705 RSUs and 12,960 warrants. For the year ended December 31, 2023, the computation of diluted earnings per share included 220,325 options and 1,679,198 RSUs. There were no dilutive warrants included in the December 31, 2023 computation of diluted earnings per share.</w:t>
      </w:r>
    </w:p>
    <w:p>
      <w:pPr>
        <w:spacing w:after="0" w:line="192"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weighted average number of anti-dilutive options excluded from the computation of diluted earnings per share were 1,145,439; 970,606; and 2,477,120, respectively.</w:t>
      </w:r>
    </w:p>
    <w:p>
      <w:pPr>
        <w:spacing w:after="0" w:line="266"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56"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189" w:lineRule="exact"/>
        <w:rPr>
          <w:sz w:val="20"/>
          <w:szCs w:val="20"/>
          <w:color w:val="auto"/>
        </w:rPr>
      </w:pPr>
    </w:p>
    <w:p>
      <w:pPr>
        <w:ind w:left="520" w:right="60"/>
        <w:spacing w:after="0" w:line="255" w:lineRule="auto"/>
        <w:rPr>
          <w:sz w:val="20"/>
          <w:szCs w:val="20"/>
          <w:color w:val="auto"/>
        </w:rPr>
      </w:pPr>
      <w:r>
        <w:rPr>
          <w:rFonts w:ascii="Times New Roman" w:cs="Times New Roman" w:eastAsia="Times New Roman" w:hAnsi="Times New Roman"/>
          <w:sz w:val="18"/>
          <w:szCs w:val="18"/>
          <w:color w:val="auto"/>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Other Long-Lived Assets</w:t>
      </w:r>
    </w:p>
    <w:p>
      <w:pPr>
        <w:spacing w:after="0" w:line="256"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87"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w:t>
      </w:r>
    </w:p>
    <w:p>
      <w:pPr>
        <w:spacing w:after="0" w:line="180"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no impairment charges associated with long-lived fixed assets. During the years ended December 31, 2024 and 2023 the Company recorded impairment charges of $450 thousand and $1,419 thousand, respectively, within selling, general, and administrative expenses on the consolidated statements of operations.</w:t>
      </w:r>
    </w:p>
    <w:p>
      <w:pPr>
        <w:spacing w:after="0" w:line="280"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56"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ind w:left="1460" w:hanging="453"/>
        <w:spacing w:after="0"/>
        <w:tabs>
          <w:tab w:leader="none" w:pos="14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Estimated Useful Lives and Amortization of Intangible Assets (Also see 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 and Goodwill)</w:t>
      </w:r>
    </w:p>
    <w:p>
      <w:pPr>
        <w:spacing w:after="0" w:line="227"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w:t>
      </w:r>
    </w:p>
    <w:p>
      <w:pPr>
        <w:spacing w:after="0" w:line="160" w:lineRule="exact"/>
        <w:rPr>
          <w:sz w:val="20"/>
          <w:szCs w:val="20"/>
          <w:color w:val="auto"/>
        </w:rPr>
      </w:pPr>
    </w:p>
    <w:p>
      <w:pPr>
        <w:ind w:left="1440" w:hanging="447"/>
        <w:spacing w:after="0"/>
        <w:tabs>
          <w:tab w:leader="none" w:pos="144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Judgments, Estimates and Assumptions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520" w:right="660"/>
        <w:spacing w:after="0" w:line="282" w:lineRule="auto"/>
        <w:rPr>
          <w:sz w:val="20"/>
          <w:szCs w:val="20"/>
          <w:color w:val="auto"/>
        </w:rPr>
      </w:pPr>
      <w:r>
        <w:rPr>
          <w:rFonts w:ascii="Times New Roman" w:cs="Times New Roman" w:eastAsia="Times New Roman" w:hAnsi="Times New Roman"/>
          <w:sz w:val="18"/>
          <w:szCs w:val="18"/>
          <w:color w:val="auto"/>
        </w:rPr>
        <w:t>Company applies probability weighting to the expected future net cash flows in calculating the fair value of these intangible assets. The key assumptions used in these cash flow projections include discount rates and terminal growth rates.</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76"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ind w:left="1020"/>
        <w:spacing w:after="0"/>
        <w:tabs>
          <w:tab w:leader="none" w:pos="1420" w:val="left"/>
        </w:tabs>
        <w:rPr>
          <w:sz w:val="20"/>
          <w:szCs w:val="20"/>
          <w:color w:val="auto"/>
        </w:rPr>
      </w:pPr>
      <w:r>
        <w:rPr>
          <w:rFonts w:ascii="Times New Roman" w:cs="Times New Roman" w:eastAsia="Times New Roman" w:hAnsi="Times New Roman"/>
          <w:sz w:val="18"/>
          <w:szCs w:val="18"/>
          <w:i w:val="1"/>
          <w:iCs w:val="1"/>
          <w:color w:val="auto"/>
        </w:rPr>
        <w:t>(iii)</w:t>
      </w:r>
      <w:r>
        <w:rPr>
          <w:sz w:val="20"/>
          <w:szCs w:val="20"/>
          <w:color w:val="auto"/>
        </w:rPr>
        <w:tab/>
      </w:r>
      <w:r>
        <w:rPr>
          <w:rFonts w:ascii="Times New Roman" w:cs="Times New Roman" w:eastAsia="Times New Roman" w:hAnsi="Times New Roman"/>
          <w:sz w:val="17"/>
          <w:szCs w:val="17"/>
          <w:i w:val="1"/>
          <w:iCs w:val="1"/>
          <w:color w:val="auto"/>
        </w:rPr>
        <w:t>Inventories</w:t>
      </w:r>
    </w:p>
    <w:p>
      <w:pPr>
        <w:spacing w:after="0" w:line="227" w:lineRule="exact"/>
        <w:rPr>
          <w:sz w:val="20"/>
          <w:szCs w:val="20"/>
          <w:color w:val="auto"/>
        </w:rPr>
      </w:pPr>
    </w:p>
    <w:p>
      <w:pPr>
        <w:ind w:left="520" w:right="120"/>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90" w:lineRule="exact"/>
        <w:rPr>
          <w:sz w:val="20"/>
          <w:szCs w:val="20"/>
          <w:color w:val="auto"/>
        </w:rPr>
      </w:pPr>
    </w:p>
    <w:p>
      <w:pPr>
        <w:ind w:left="1460" w:hanging="480"/>
        <w:spacing w:after="0"/>
        <w:tabs>
          <w:tab w:leader="none" w:pos="14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Private Holdings</w:t>
      </w:r>
    </w:p>
    <w:p>
      <w:pPr>
        <w:spacing w:after="0" w:line="227" w:lineRule="exact"/>
        <w:rPr>
          <w:sz w:val="20"/>
          <w:szCs w:val="20"/>
          <w:color w:val="auto"/>
        </w:rPr>
      </w:pPr>
    </w:p>
    <w:p>
      <w:pPr>
        <w:ind w:left="520" w:right="400"/>
        <w:spacing w:after="0" w:line="289" w:lineRule="auto"/>
        <w:rPr>
          <w:sz w:val="20"/>
          <w:szCs w:val="20"/>
          <w:color w:val="auto"/>
        </w:rPr>
      </w:pPr>
      <w:r>
        <w:rPr>
          <w:rFonts w:ascii="Times New Roman" w:cs="Times New Roman" w:eastAsia="Times New Roman" w:hAnsi="Times New Roman"/>
          <w:sz w:val="17"/>
          <w:szCs w:val="17"/>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statements of operations.</w:t>
      </w:r>
    </w:p>
    <w:p>
      <w:pPr>
        <w:spacing w:after="0" w:line="156" w:lineRule="exact"/>
        <w:rPr>
          <w:sz w:val="20"/>
          <w:szCs w:val="20"/>
          <w:color w:val="auto"/>
        </w:rPr>
      </w:pPr>
    </w:p>
    <w:p>
      <w:pPr>
        <w:ind w:left="1460" w:hanging="440"/>
        <w:spacing w:after="0"/>
        <w:tabs>
          <w:tab w:leader="none" w:pos="14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and whenever events or changes in circumstances indicate that the carrying amount of goodwill has been impaired.</w:t>
      </w:r>
    </w:p>
    <w:p>
      <w:pPr>
        <w:spacing w:after="0" w:line="162"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For the annual goodwill impairment review, the Company has the option to perform a qualitative test (“Step 0”) or a quantitative test (“Step 1”). Under the Step 0 test, the Company first assesses qualitative factors to determine whether it is more likely than not that the fair value of the reporting unit is less than its carrying value. If after assessing these qualitative factors, the Company determines it is not “more-likely-than-not” that the fair value of the reporting unit is less than the carrying value, then the Step 1 quantitative test is not required.</w:t>
      </w:r>
    </w:p>
    <w:p>
      <w:pPr>
        <w:spacing w:after="0" w:line="180" w:lineRule="exact"/>
        <w:rPr>
          <w:sz w:val="20"/>
          <w:szCs w:val="20"/>
          <w:color w:val="auto"/>
        </w:rPr>
      </w:pPr>
    </w:p>
    <w:p>
      <w:pPr>
        <w:jc w:val="both"/>
        <w:ind w:left="520" w:right="380"/>
        <w:spacing w:after="0" w:line="266" w:lineRule="auto"/>
        <w:rPr>
          <w:sz w:val="20"/>
          <w:szCs w:val="20"/>
          <w:color w:val="auto"/>
        </w:rPr>
      </w:pPr>
      <w:r>
        <w:rPr>
          <w:rFonts w:ascii="Times New Roman" w:cs="Times New Roman" w:eastAsia="Times New Roman" w:hAnsi="Times New Roman"/>
          <w:sz w:val="18"/>
          <w:szCs w:val="18"/>
          <w:color w:val="auto"/>
        </w:rPr>
        <w:t>Step 1 of the quantitative test requires comparison of the fair value of each of the reporting units to the respective carrying value. If the carrying value of the reporting unit is less than the fair value, no impairment exists. If the carrying amount of a reporting unit exceeds the estimated fair value, an impairment loss is recognized by such amount.</w:t>
      </w:r>
    </w:p>
    <w:p>
      <w:pPr>
        <w:spacing w:after="0" w:line="176"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In performing either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Judgments, Estimates and Assumptions </w:t>
      </w:r>
      <w:r>
        <w:rPr>
          <w:rFonts w:ascii="Times New Roman" w:cs="Times New Roman" w:eastAsia="Times New Roman" w:hAnsi="Times New Roman"/>
          <w:sz w:val="18"/>
          <w:szCs w:val="18"/>
          <w:color w:val="auto"/>
        </w:rPr>
        <w:t>(Continued)</w:t>
      </w:r>
    </w:p>
    <w:p>
      <w:pPr>
        <w:spacing w:after="0" w:line="227" w:lineRule="exact"/>
        <w:rPr>
          <w:rFonts w:ascii="Times New Roman" w:cs="Times New Roman" w:eastAsia="Times New Roman" w:hAnsi="Times New Roman"/>
          <w:sz w:val="18"/>
          <w:szCs w:val="18"/>
          <w:b w:val="1"/>
          <w:bCs w:val="1"/>
          <w:color w:val="auto"/>
        </w:rPr>
      </w:pPr>
    </w:p>
    <w:p>
      <w:pPr>
        <w:ind w:left="1460" w:hanging="440"/>
        <w:spacing w:after="0"/>
        <w:tabs>
          <w:tab w:leader="none" w:pos="1460" w:val="left"/>
        </w:tabs>
        <w:numPr>
          <w:ilvl w:val="1"/>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Impairment (Continued)</w:t>
      </w:r>
    </w:p>
    <w:p>
      <w:pPr>
        <w:spacing w:after="0" w:line="227"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 the Company performed a Step 1 goodwill impairment test and determined the estimated fair values of the reporting units exceeded their carrying values as of such date. Consequently, no impairment charge was recorded for the year ended December 31, 2025.</w:t>
      </w:r>
    </w:p>
    <w:p>
      <w:pPr>
        <w:spacing w:after="0" w:line="176"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performed a Step 0 test. As a result, no further quantitative impairment test was deemed necessary and no impairment charges were recorded as of the period then ended.</w:t>
      </w:r>
    </w:p>
    <w:p>
      <w:pPr>
        <w:spacing w:after="0" w:line="160" w:lineRule="exact"/>
        <w:rPr>
          <w:sz w:val="20"/>
          <w:szCs w:val="20"/>
          <w:color w:val="auto"/>
        </w:rPr>
      </w:pPr>
    </w:p>
    <w:p>
      <w:pPr>
        <w:ind w:left="1460" w:hanging="480"/>
        <w:spacing w:after="0"/>
        <w:tabs>
          <w:tab w:leader="none" w:pos="146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Reporting Units</w:t>
      </w:r>
    </w:p>
    <w:p>
      <w:pPr>
        <w:spacing w:after="0" w:line="225" w:lineRule="exact"/>
        <w:rPr>
          <w:sz w:val="20"/>
          <w:szCs w:val="20"/>
          <w:color w:val="auto"/>
        </w:rPr>
      </w:pPr>
    </w:p>
    <w:p>
      <w:pPr>
        <w:ind w:left="520" w:right="120"/>
        <w:spacing w:after="0" w:line="267" w:lineRule="auto"/>
        <w:rPr>
          <w:sz w:val="20"/>
          <w:szCs w:val="20"/>
          <w:color w:val="auto"/>
        </w:rPr>
      </w:pPr>
      <w:r>
        <w:rPr>
          <w:rFonts w:ascii="Times New Roman" w:cs="Times New Roman" w:eastAsia="Times New Roman" w:hAnsi="Times New Roman"/>
          <w:sz w:val="18"/>
          <w:szCs w:val="18"/>
          <w:color w:val="auto"/>
        </w:rPr>
        <w:t>The Company evaluated its reporting units in accordance with ASC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xml:space="preserve"> and determined that the individual components within each respective reportable segment were economically similar and thus, aggregation of those components into two reporting units (Retail and Consumer Packaged Goods) that align with our reportable segments, was applied.</w:t>
      </w:r>
    </w:p>
    <w:p>
      <w:pPr>
        <w:spacing w:after="0" w:line="173" w:lineRule="exact"/>
        <w:rPr>
          <w:sz w:val="20"/>
          <w:szCs w:val="20"/>
          <w:color w:val="auto"/>
        </w:rPr>
      </w:pPr>
    </w:p>
    <w:p>
      <w:pPr>
        <w:ind w:left="1000"/>
        <w:spacing w:after="0"/>
        <w:tabs>
          <w:tab w:leader="none" w:pos="1440" w:val="left"/>
        </w:tabs>
        <w:rPr>
          <w:sz w:val="20"/>
          <w:szCs w:val="20"/>
          <w:color w:val="auto"/>
        </w:rPr>
      </w:pPr>
      <w:r>
        <w:rPr>
          <w:rFonts w:ascii="Times New Roman" w:cs="Times New Roman" w:eastAsia="Times New Roman" w:hAnsi="Times New Roman"/>
          <w:sz w:val="18"/>
          <w:szCs w:val="18"/>
          <w:i w:val="1"/>
          <w:iCs w:val="1"/>
          <w:color w:val="auto"/>
        </w:rPr>
        <w:t>(vii)</w:t>
      </w:r>
      <w:r>
        <w:rPr>
          <w:sz w:val="20"/>
          <w:szCs w:val="20"/>
          <w:color w:val="auto"/>
        </w:rPr>
        <w:tab/>
      </w:r>
      <w:r>
        <w:rPr>
          <w:rFonts w:ascii="Times New Roman" w:cs="Times New Roman" w:eastAsia="Times New Roman" w:hAnsi="Times New Roman"/>
          <w:sz w:val="17"/>
          <w:szCs w:val="17"/>
          <w:i w:val="1"/>
          <w:iCs w:val="1"/>
          <w:color w:val="auto"/>
        </w:rPr>
        <w:t>Consolidation</w:t>
      </w:r>
    </w:p>
    <w:p>
      <w:pPr>
        <w:spacing w:after="0" w:line="227"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3" w:lineRule="exact"/>
        <w:rPr>
          <w:sz w:val="20"/>
          <w:szCs w:val="20"/>
          <w:color w:val="auto"/>
        </w:rPr>
      </w:pPr>
    </w:p>
    <w:p>
      <w:pPr>
        <w:ind w:left="1460" w:hanging="561"/>
        <w:spacing w:after="0"/>
        <w:tabs>
          <w:tab w:leader="none" w:pos="146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Allowance for Uncollectible Accounts</w:t>
      </w:r>
    </w:p>
    <w:p>
      <w:pPr>
        <w:spacing w:after="0" w:line="225"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Management records its accounts receivable net of the allowance for credit losses. Management determines the allowance for credit losses by evaluating the age of receivable balances which may become past-due based on the contractual terms extended to our customers. We consider actual payment patterns and circumstances of our customers such as their economic status and state-specific market conditions. This methodology takes into account historical loss experience and current and forecasted cash flows. Our accounts receivable are considered short-term and thus effective interest has not been applied to the balance.</w:t>
      </w:r>
    </w:p>
    <w:p>
      <w:pPr>
        <w:spacing w:after="0" w:line="181" w:lineRule="exact"/>
        <w:rPr>
          <w:sz w:val="20"/>
          <w:szCs w:val="20"/>
          <w:color w:val="auto"/>
        </w:rPr>
      </w:pPr>
    </w:p>
    <w:p>
      <w:pPr>
        <w:ind w:left="1480" w:hanging="460"/>
        <w:spacing w:after="0"/>
        <w:tabs>
          <w:tab w:leader="none" w:pos="148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Payments</w:t>
      </w:r>
    </w:p>
    <w:p>
      <w:pPr>
        <w:spacing w:after="0" w:line="22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ind w:left="1480" w:hanging="460"/>
        <w:spacing w:after="0"/>
        <w:tabs>
          <w:tab w:leader="none" w:pos="148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left="520" w:right="100"/>
        <w:spacing w:after="0" w:line="253"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or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and Revised Standards</w:t>
      </w:r>
    </w:p>
    <w:p>
      <w:pPr>
        <w:spacing w:after="0" w:line="254" w:lineRule="exact"/>
        <w:rPr>
          <w:rFonts w:ascii="Times New Roman" w:cs="Times New Roman" w:eastAsia="Times New Roman" w:hAnsi="Times New Roman"/>
          <w:sz w:val="18"/>
          <w:szCs w:val="18"/>
          <w:b w:val="1"/>
          <w:bCs w:val="1"/>
          <w:color w:val="auto"/>
        </w:rPr>
      </w:pPr>
    </w:p>
    <w:p>
      <w:pPr>
        <w:ind w:left="1420" w:right="40" w:hanging="514"/>
        <w:spacing w:after="0" w:line="253" w:lineRule="auto"/>
        <w:tabs>
          <w:tab w:leader="none" w:pos="142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2024, the Financial Accounting Standards Board (“FASB”) issued </w:t>
      </w:r>
      <w:r>
        <w:rPr>
          <w:rFonts w:ascii="Times New Roman" w:cs="Times New Roman" w:eastAsia="Times New Roman" w:hAnsi="Times New Roman"/>
          <w:sz w:val="18"/>
          <w:szCs w:val="18"/>
          <w:i w:val="1"/>
          <w:iCs w:val="1"/>
          <w:color w:val="auto"/>
        </w:rPr>
        <w:t>ASU No. 2024-03, Income Statement –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 – Expense Disaggregation Disclosures (Subtopic 220-40): Disaggregation of Income Statement Expenses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spacing w:after="0" w:line="301" w:lineRule="exact"/>
        <w:rPr>
          <w:rFonts w:ascii="Times New Roman" w:cs="Times New Roman" w:eastAsia="Times New Roman" w:hAnsi="Times New Roman"/>
          <w:sz w:val="18"/>
          <w:szCs w:val="18"/>
          <w:color w:val="auto"/>
        </w:rPr>
      </w:pPr>
    </w:p>
    <w:p>
      <w:pPr>
        <w:ind w:left="1420" w:hanging="514"/>
        <w:spacing w:after="0" w:line="258" w:lineRule="auto"/>
        <w:tabs>
          <w:tab w:leader="none" w:pos="142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did not have a material impact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inventories include the following at December 31, 2025 and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r>
      <w:tr>
        <w:trPr>
          <w:trHeight w:val="199"/>
        </w:trPr>
        <w:tc>
          <w:tcPr>
            <w:tcW w:w="4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20" w:type="dxa"/>
            <w:vAlign w:val="bottom"/>
          </w:tcPr>
          <w:p>
            <w:pPr>
              <w:spacing w:after="0"/>
              <w:rPr>
                <w:sz w:val="17"/>
                <w:szCs w:val="17"/>
                <w:color w:val="auto"/>
              </w:rPr>
            </w:pPr>
          </w:p>
        </w:tc>
      </w:tr>
      <w:tr>
        <w:trPr>
          <w:trHeight w:val="202"/>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2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2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80,665</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57,893</w:t>
            </w:r>
          </w:p>
        </w:tc>
        <w:tc>
          <w:tcPr>
            <w:tcW w:w="20" w:type="dxa"/>
            <w:vAlign w:val="bottom"/>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76,626</w:t>
            </w:r>
          </w:p>
        </w:tc>
        <w:tc>
          <w:tcPr>
            <w:tcW w:w="2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222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(5,907)</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20" w:type="dxa"/>
            <w:vAlign w:val="bottom"/>
          </w:tcPr>
          <w:p>
            <w:pPr>
              <w:spacing w:after="0"/>
              <w:rPr>
                <w:sz w:val="17"/>
                <w:szCs w:val="17"/>
                <w:color w:val="auto"/>
              </w:rPr>
            </w:pPr>
          </w:p>
        </w:tc>
      </w:tr>
      <w:tr>
        <w:trPr>
          <w:trHeight w:val="196"/>
        </w:trPr>
        <w:tc>
          <w:tcPr>
            <w:tcW w:w="4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Inventories, Net</w:t>
            </w:r>
          </w:p>
        </w:tc>
        <w:tc>
          <w:tcPr>
            <w:tcW w:w="2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158,288</w:t>
            </w:r>
          </w:p>
        </w:tc>
        <w:tc>
          <w:tcPr>
            <w:tcW w:w="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147,162</w:t>
            </w:r>
          </w:p>
        </w:tc>
        <w:tc>
          <w:tcPr>
            <w:tcW w:w="20" w:type="dxa"/>
            <w:vAlign w:val="bottom"/>
          </w:tcPr>
          <w:p>
            <w:pPr>
              <w:spacing w:after="0"/>
              <w:rPr>
                <w:sz w:val="17"/>
                <w:szCs w:val="17"/>
                <w:color w:val="auto"/>
              </w:rPr>
            </w:pP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-162560</wp:posOffset>
            </wp:positionV>
            <wp:extent cx="1111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63" w:lineRule="exact"/>
        <w:rPr>
          <w:sz w:val="20"/>
          <w:szCs w:val="20"/>
          <w:color w:val="auto"/>
        </w:rPr>
      </w:pPr>
    </w:p>
    <w:p>
      <w:pPr>
        <w:ind w:left="540" w:hanging="532"/>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and 2024, property and equipment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3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20" w:type="dxa"/>
            <w:vAlign w:val="bottom"/>
            <w:tcBorders>
              <w:bottom w:val="single" w:sz="8" w:color="auto"/>
            </w:tcBorders>
          </w:tcPr>
          <w:p>
            <w:pPr>
              <w:spacing w:after="0"/>
              <w:rPr>
                <w:sz w:val="17"/>
                <w:szCs w:val="17"/>
                <w:color w:val="auto"/>
              </w:rPr>
            </w:pPr>
          </w:p>
        </w:tc>
      </w:tr>
      <w:tr>
        <w:trPr>
          <w:trHeight w:val="19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361,898</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356,612</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230,532</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196,139</w:t>
            </w:r>
          </w:p>
        </w:tc>
      </w:tr>
      <w:tr>
        <w:trPr>
          <w:trHeight w:val="20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7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277,518</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241,544</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1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w:t>
            </w:r>
          </w:p>
        </w:tc>
      </w:tr>
      <w:tr>
        <w:trPr>
          <w:trHeight w:val="20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17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40,325</w:t>
            </w:r>
          </w:p>
        </w:tc>
      </w:tr>
      <w:tr>
        <w:trPr>
          <w:trHeight w:val="203"/>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7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34,763</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32,499</w:t>
            </w: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969,084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903,375</w:t>
            </w:r>
          </w:p>
        </w:tc>
      </w:tr>
      <w:tr>
        <w:trPr>
          <w:trHeight w:val="203"/>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7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(278,191)</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(187,361)</w:t>
            </w: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690,893</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716,014</w:t>
            </w:r>
          </w:p>
        </w:tc>
      </w:tr>
      <w:tr>
        <w:trPr>
          <w:trHeight w:val="20"/>
        </w:trPr>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-427990</wp:posOffset>
            </wp:positionV>
            <wp:extent cx="2146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-161925</wp:posOffset>
            </wp:positionV>
            <wp:extent cx="2146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Assets under construction represent costs associated with construction projects related to cultivation and production facilities and retail stores.</w:t>
      </w:r>
    </w:p>
    <w:p>
      <w:pPr>
        <w:spacing w:after="0" w:line="225"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2025, 2024 and 2023 totaled $95,540 thousand, $62,819 thousand and $49,949 thousand, respectively, of which $60,144 thousand, $40,563 thousand and $32,936 thousand, respectively, is included in cost of goods sold.</w:t>
      </w: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32" w:hanging="532"/>
        <w:spacing w:after="0"/>
        <w:tabs>
          <w:tab w:leader="none" w:pos="53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892" w:hanging="383"/>
        <w:spacing w:after="0"/>
        <w:tabs>
          <w:tab w:leader="none" w:pos="892"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12" w:right="2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At December 31, 2025 and 2024, intangible assets consisted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5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tcPr>
          <w:p>
            <w:pPr>
              <w:jc w:val="right"/>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00" w:type="dxa"/>
            <w:vAlign w:val="bottom"/>
          </w:tcPr>
          <w:p>
            <w:pPr>
              <w:spacing w:after="0"/>
              <w:rPr>
                <w:sz w:val="10"/>
                <w:szCs w:val="10"/>
                <w:color w:val="auto"/>
              </w:rPr>
            </w:pPr>
          </w:p>
        </w:tc>
        <w:tc>
          <w:tcPr>
            <w:tcW w:w="1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280" w:type="dxa"/>
            <w:vAlign w:val="bottom"/>
          </w:tcPr>
          <w:p>
            <w:pPr>
              <w:spacing w:after="0"/>
              <w:rPr>
                <w:sz w:val="10"/>
                <w:szCs w:val="10"/>
                <w:color w:val="auto"/>
              </w:rPr>
            </w:pPr>
          </w:p>
        </w:tc>
        <w:tc>
          <w:tcPr>
            <w:tcW w:w="1080" w:type="dxa"/>
            <w:vAlign w:val="bottom"/>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Licenses and Permits</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682,639</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246,669</w:t>
            </w:r>
          </w:p>
        </w:tc>
        <w:tc>
          <w:tcPr>
            <w:tcW w:w="30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435,970</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660,716</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201,862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458,854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6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2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3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2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41,511</w:t>
            </w:r>
          </w:p>
        </w:tc>
        <w:tc>
          <w:tcPr>
            <w:tcW w:w="26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6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15,140</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14,832</w:t>
            </w: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24,438</w:t>
            </w: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699,209</w:t>
            </w:r>
          </w:p>
        </w:tc>
        <w:tc>
          <w:tcPr>
            <w:tcW w:w="2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262,528</w:t>
            </w:r>
          </w:p>
        </w:tc>
        <w:tc>
          <w:tcPr>
            <w:tcW w:w="300" w:type="dxa"/>
            <w:vAlign w:val="bottom"/>
          </w:tcPr>
          <w:p>
            <w:pPr>
              <w:jc w:val="right"/>
              <w:ind w:right="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436,681</w:t>
            </w: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726,665</w:t>
            </w:r>
          </w:p>
        </w:tc>
        <w:tc>
          <w:tcPr>
            <w:tcW w:w="2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238,378</w:t>
            </w:r>
          </w:p>
        </w:tc>
        <w:tc>
          <w:tcPr>
            <w:tcW w:w="100" w:type="dxa"/>
            <w:vAlign w:val="bottom"/>
          </w:tcPr>
          <w:p>
            <w:pPr>
              <w:spacing w:after="0"/>
              <w:rPr>
                <w:sz w:val="12"/>
                <w:szCs w:val="12"/>
                <w:color w:val="auto"/>
              </w:rPr>
            </w:pP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488,287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12" w:right="16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the years ended December 31, 2025, 2024 and 2023 of $49,909 thousand, $50,391 thousand and $50,841 thousand, respectively.</w:t>
      </w:r>
    </w:p>
    <w:p>
      <w:pPr>
        <w:spacing w:after="0" w:line="162" w:lineRule="exact"/>
        <w:rPr>
          <w:sz w:val="20"/>
          <w:szCs w:val="20"/>
          <w:color w:val="auto"/>
        </w:rPr>
      </w:pPr>
    </w:p>
    <w:p>
      <w:pPr>
        <w:ind w:left="512" w:right="20"/>
        <w:spacing w:after="0" w:line="261" w:lineRule="auto"/>
        <w:rPr>
          <w:sz w:val="20"/>
          <w:szCs w:val="20"/>
          <w:color w:val="auto"/>
        </w:rPr>
      </w:pPr>
      <w:r>
        <w:rPr>
          <w:rFonts w:ascii="Times New Roman" w:cs="Times New Roman" w:eastAsia="Times New Roman" w:hAnsi="Times New Roman"/>
          <w:sz w:val="18"/>
          <w:szCs w:val="18"/>
          <w:color w:val="auto"/>
        </w:rPr>
        <w:t>One June 11, 2025, the Company acquired a permit intangible, allowing the Company to operate three retail dispensaries. The consideration paid was $10,500 thousand in cash. As substantially all of the assets acquired were concentrated in the permit intangible, the Company accounted for the transaction as an asset acquisition. The weighted average amortization period for the permit intangible was 15 years. Acquisition-related costs associated with the transaction were not material.</w:t>
      </w:r>
    </w:p>
    <w:p>
      <w:pPr>
        <w:spacing w:after="0" w:line="180" w:lineRule="exact"/>
        <w:rPr>
          <w:sz w:val="20"/>
          <w:szCs w:val="20"/>
          <w:color w:val="auto"/>
        </w:rPr>
      </w:pPr>
    </w:p>
    <w:p>
      <w:pPr>
        <w:ind w:left="512" w:right="60"/>
        <w:spacing w:after="0" w:line="266" w:lineRule="auto"/>
        <w:rPr>
          <w:sz w:val="20"/>
          <w:szCs w:val="20"/>
          <w:color w:val="auto"/>
        </w:rPr>
      </w:pPr>
      <w:r>
        <w:rPr>
          <w:rFonts w:ascii="Times New Roman" w:cs="Times New Roman" w:eastAsia="Times New Roman" w:hAnsi="Times New Roman"/>
          <w:sz w:val="18"/>
          <w:szCs w:val="18"/>
          <w:color w:val="auto"/>
        </w:rPr>
        <w:t>During 2025, Green Thumb sold its intellectual property rights to RYM, a related party, in brands including RYTHM, incredibles, Beboe, Dogwalkers, Doctor Solomon's, &amp;Shine and Good Green. As a result of those transactions, the Company divested $24,119 thousand in trademarks, net associated with those brands. See Note 15 - Related Party Transactions with Affiliated Entities for additional details.</w:t>
      </w:r>
    </w:p>
    <w:p>
      <w:pPr>
        <w:spacing w:after="0" w:line="176" w:lineRule="exact"/>
        <w:rPr>
          <w:sz w:val="20"/>
          <w:szCs w:val="20"/>
          <w:color w:val="auto"/>
        </w:rPr>
      </w:pPr>
    </w:p>
    <w:p>
      <w:pPr>
        <w:ind w:left="512" w:right="40"/>
        <w:spacing w:after="0" w:line="282" w:lineRule="auto"/>
        <w:rPr>
          <w:sz w:val="20"/>
          <w:szCs w:val="20"/>
          <w:color w:val="auto"/>
        </w:rPr>
      </w:pPr>
      <w:r>
        <w:rPr>
          <w:rFonts w:ascii="Times New Roman" w:cs="Times New Roman" w:eastAsia="Times New Roman" w:hAnsi="Times New Roman"/>
          <w:sz w:val="18"/>
          <w:szCs w:val="18"/>
          <w:color w:val="auto"/>
        </w:rPr>
        <w:t>Intangible assets are carried net of accumulated impairment losses of $31,131 thousand as of December 31, 2025 and 2024. No impairment charges were recognized by the Company during the years ended December 31, 2025, 2024 and 2023.</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December 31, 2025:</w:t>
      </w:r>
    </w:p>
    <w:p>
      <w:pPr>
        <w:spacing w:after="0" w:line="206" w:lineRule="exact"/>
        <w:rPr>
          <w:sz w:val="20"/>
          <w:szCs w:val="20"/>
          <w:color w:val="auto"/>
        </w:rPr>
      </w:pPr>
    </w:p>
    <w:tbl>
      <w:tblPr>
        <w:tblLayout w:type="fixed"/>
        <w:tblInd w:w="23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220" w:type="dxa"/>
            <w:vAlign w:val="bottom"/>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of December 31, 2025, the weighted average amortization period remaining for intangible assets was 9.83 years.</w:t>
      </w:r>
    </w:p>
    <w:p>
      <w:pPr>
        <w:spacing w:after="0" w:line="22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90" w:name="page91"/>
    <w:bookmarkEnd w:id="90"/>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32" w:hanging="532"/>
        <w:spacing w:after="0"/>
        <w:tabs>
          <w:tab w:leader="none" w:pos="53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(b)  Goodwill</w:t>
      </w:r>
    </w:p>
    <w:p>
      <w:pPr>
        <w:spacing w:after="0" w:line="1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At December 31, 2025 the balances of goodwill, by segment, consisted of the following:</w:t>
      </w:r>
    </w:p>
    <w:p>
      <w:pPr>
        <w:spacing w:after="0" w:line="394" w:lineRule="exact"/>
        <w:rPr>
          <w:sz w:val="20"/>
          <w:szCs w:val="20"/>
          <w:color w:val="auto"/>
        </w:rPr>
      </w:pPr>
    </w:p>
    <w:tbl>
      <w:tblPr>
        <w:tblLayout w:type="fixed"/>
        <w:tblInd w:w="292"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7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37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r>
      <w:tr>
        <w:trPr>
          <w:trHeight w:val="19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277,342</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273,802</w:t>
            </w:r>
          </w:p>
        </w:tc>
      </w:tr>
      <w:tr>
        <w:trPr>
          <w:trHeight w:val="203"/>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Consumer Packaged Goods</w:t>
            </w:r>
          </w:p>
        </w:tc>
        <w:tc>
          <w:tcPr>
            <w:tcW w:w="2160" w:type="dxa"/>
            <w:vAlign w:val="bottom"/>
            <w:tcBorders>
              <w:bottom w:val="single" w:sz="8" w:color="CFF0FC"/>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314,809</w:t>
            </w:r>
          </w:p>
        </w:tc>
        <w:tc>
          <w:tcPr>
            <w:tcW w:w="2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r>
      <w:tr>
        <w:trPr>
          <w:trHeight w:val="23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592,151</w:t>
            </w:r>
          </w:p>
        </w:tc>
        <w:tc>
          <w:tcPr>
            <w:tcW w:w="2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-24765</wp:posOffset>
            </wp:positionV>
            <wp:extent cx="137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-7620</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-162560</wp:posOffset>
            </wp:positionV>
            <wp:extent cx="137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512" w:right="60"/>
        <w:spacing w:after="0" w:line="282" w:lineRule="auto"/>
        <w:rPr>
          <w:sz w:val="20"/>
          <w:szCs w:val="20"/>
          <w:color w:val="auto"/>
        </w:rPr>
      </w:pPr>
      <w:r>
        <w:rPr>
          <w:rFonts w:ascii="Times New Roman" w:cs="Times New Roman" w:eastAsia="Times New Roman" w:hAnsi="Times New Roman"/>
          <w:sz w:val="18"/>
          <w:szCs w:val="18"/>
          <w:color w:val="auto"/>
        </w:rPr>
        <w:t>Goodwill is recognized net of accumulated impairment losses of $57,372 thousand as of December 31, 2025 and 2024. No goodwill impairment charges were recognized by the Company during the years ended December 31, 2025, 2024 and 2023.</w:t>
      </w:r>
    </w:p>
    <w:p>
      <w:pPr>
        <w:spacing w:after="0" w:line="162"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2"/>
          </w:cols>
          <w:pgMar w:left="328" w:top="765" w:right="61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held various equity interests in cannabis-related companies as well as investments in note(s) receivable instruments that had a combined fair value of $32,720 thousand and $43,578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investments during the years ended December 31, 2025 and 2024:</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7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3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24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43,578</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64,361</w:t>
            </w:r>
          </w:p>
        </w:tc>
        <w:tc>
          <w:tcPr>
            <w:tcW w:w="20" w:type="dxa"/>
            <w:vAlign w:val="bottom"/>
          </w:tcPr>
          <w:p>
            <w:pPr>
              <w:spacing w:after="0"/>
              <w:rPr>
                <w:sz w:val="12"/>
                <w:szCs w:val="12"/>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2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12,029</w:t>
            </w:r>
          </w:p>
        </w:tc>
        <w:tc>
          <w:tcPr>
            <w:tcW w:w="20" w:type="dxa"/>
            <w:vAlign w:val="bottom"/>
          </w:tcPr>
          <w:p>
            <w:pPr>
              <w:spacing w:after="0"/>
              <w:rPr>
                <w:sz w:val="12"/>
                <w:szCs w:val="12"/>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24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(29,824)</w:t>
            </w:r>
          </w:p>
        </w:tc>
        <w:tc>
          <w:tcPr>
            <w:tcW w:w="20" w:type="dxa"/>
            <w:vAlign w:val="bottom"/>
          </w:tcPr>
          <w:p>
            <w:pPr>
              <w:spacing w:after="0"/>
              <w:rPr>
                <w:sz w:val="12"/>
                <w:szCs w:val="12"/>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adjustments</w:t>
            </w:r>
          </w:p>
        </w:tc>
        <w:tc>
          <w:tcPr>
            <w:tcW w:w="2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(10,998)</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(2,988)</w:t>
            </w:r>
          </w:p>
        </w:tc>
        <w:tc>
          <w:tcPr>
            <w:tcW w:w="20" w:type="dxa"/>
            <w:vAlign w:val="bottom"/>
          </w:tcPr>
          <w:p>
            <w:pPr>
              <w:spacing w:after="0"/>
              <w:rPr>
                <w:sz w:val="12"/>
                <w:szCs w:val="12"/>
                <w:color w:val="auto"/>
              </w:rPr>
            </w:pPr>
          </w:p>
        </w:tc>
      </w:tr>
      <w:tr>
        <w:trPr>
          <w:trHeight w:val="148"/>
        </w:trPr>
        <w:tc>
          <w:tcPr>
            <w:tcW w:w="35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2420" w:type="dxa"/>
            <w:vAlign w:val="bottom"/>
            <w:tcBorders>
              <w:bottom w:val="single" w:sz="8" w:color="CFF0FC"/>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3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24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32,720</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43,578</w:t>
            </w:r>
          </w:p>
        </w:tc>
        <w:tc>
          <w:tcPr>
            <w:tcW w:w="20" w:type="dxa"/>
            <w:vAlign w:val="bottom"/>
          </w:tcPr>
          <w:p>
            <w:pPr>
              <w:spacing w:after="0"/>
              <w:rPr>
                <w:sz w:val="12"/>
                <w:szCs w:val="12"/>
                <w:color w:val="auto"/>
              </w:rPr>
            </w:pPr>
          </w:p>
        </w:tc>
      </w:tr>
      <w:tr>
        <w:trPr>
          <w:trHeight w:val="20"/>
        </w:trPr>
        <w:tc>
          <w:tcPr>
            <w:tcW w:w="3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-128270</wp:posOffset>
            </wp:positionV>
            <wp:extent cx="137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change in the Company’s investments recorded during the years ended December 31, 2025, 2024 and 2023.</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54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(8,856)</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(20,713)</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Notes Receivable Instruments</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Interest on Notes Receivable Instruments</w:t>
            </w:r>
          </w:p>
        </w:tc>
        <w:tc>
          <w:tcPr>
            <w:tcW w:w="22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fair value losses</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(10,998)</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(2,988)</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(17,460)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137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137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137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The Company recorded fair value gains (losses) related to equity and note receivable investments within other income (expense) and accrued interest to interest income on the consolidated statements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Equity Investments</w:t>
      </w:r>
    </w:p>
    <w:p>
      <w:pPr>
        <w:spacing w:after="0" w:line="229"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The Company held equity investments in both publicly and privately traded entities during the twelve months ended December 31, 2025, 2024 and 2023. Publicly traded entities generally have readily determinable fair values and are classified as Level 1 investments. Meanwhile, non-publicly traded entities generally do no have readily determinable fair values and are classified as Level 3 investments. The Company has classified all of its holdings as trading securities and recorded such amounts within investments on the Company’s consolidated balance sheets.</w:t>
      </w:r>
    </w:p>
    <w:p>
      <w:pPr>
        <w:spacing w:after="0" w:line="18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1 equity investments during the twelve months ended December 31, 2025, 2024 and 2023.</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52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3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spacing w:after="0"/>
              <w:rPr>
                <w:sz w:val="12"/>
                <w:szCs w:val="12"/>
                <w:color w:val="auto"/>
              </w:rPr>
            </w:pPr>
          </w:p>
        </w:tc>
        <w:tc>
          <w:tcPr>
            <w:tcW w:w="400" w:type="dxa"/>
            <w:vAlign w:val="bottom"/>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2,001</w:t>
            </w:r>
          </w:p>
        </w:tc>
        <w:tc>
          <w:tcPr>
            <w:tcW w:w="26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w:t>
            </w:r>
          </w:p>
        </w:tc>
      </w:tr>
      <w:tr>
        <w:trPr>
          <w:trHeight w:val="148"/>
        </w:trPr>
        <w:tc>
          <w:tcPr>
            <w:tcW w:w="5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26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r>
      <w:tr>
        <w:trPr>
          <w:trHeight w:val="148"/>
        </w:trPr>
        <w:tc>
          <w:tcPr>
            <w:tcW w:w="5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340" w:type="dxa"/>
            <w:vAlign w:val="bottom"/>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60" w:type="dxa"/>
            <w:vAlign w:val="bottom"/>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r>
      <w:tr>
        <w:trPr>
          <w:trHeight w:val="142"/>
        </w:trPr>
        <w:tc>
          <w:tcPr>
            <w:tcW w:w="5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jc w:val="right"/>
              <w:ind w:right="2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2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2,001</w:t>
            </w:r>
          </w:p>
        </w:tc>
      </w:tr>
      <w:tr>
        <w:trPr>
          <w:trHeight w:val="20"/>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(a) Equity Investments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3 equity investments during the twelve months ended December 31, 2025, 2024 and 2023.</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Beginning</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36,487</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25,953</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40,330</w:t>
            </w: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3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2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7,352</w:t>
            </w:r>
          </w:p>
        </w:tc>
        <w:tc>
          <w:tcPr>
            <w:tcW w:w="26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adjustments</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(8,856)</w:t>
            </w:r>
          </w:p>
        </w:tc>
        <w:tc>
          <w:tcPr>
            <w:tcW w:w="2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(20,377)</w:t>
            </w:r>
          </w:p>
        </w:tc>
        <w:tc>
          <w:tcPr>
            <w:tcW w:w="0" w:type="dxa"/>
            <w:vAlign w:val="bottom"/>
          </w:tcPr>
          <w:p>
            <w:pPr>
              <w:spacing w:after="0"/>
              <w:rPr>
                <w:sz w:val="1"/>
                <w:szCs w:val="1"/>
                <w:color w:val="auto"/>
              </w:rPr>
            </w:pPr>
          </w:p>
        </w:tc>
      </w:tr>
      <w:tr>
        <w:trPr>
          <w:trHeight w:val="148"/>
        </w:trPr>
        <w:tc>
          <w:tcPr>
            <w:tcW w:w="51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36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w:t>
            </w:r>
          </w:p>
        </w:tc>
        <w:tc>
          <w:tcPr>
            <w:tcW w:w="26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6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29,775</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36,487</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25,953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-128270</wp:posOffset>
            </wp:positionV>
            <wp:extent cx="1625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-128270</wp:posOffset>
            </wp:positionV>
            <wp:extent cx="1631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8"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summarized unrealized (losses) gains recognized on the Company’s equity investments held during the twelve months ended December 31, 2025, 2024 and 2023.</w:t>
      </w:r>
    </w:p>
    <w:p>
      <w:pPr>
        <w:spacing w:after="0" w:line="155"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Unrealized loss recognized on equity investments</w:t>
            </w: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(8,856)</w:t>
            </w:r>
          </w:p>
        </w:tc>
        <w:tc>
          <w:tcPr>
            <w:tcW w:w="2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(20,713)</w:t>
            </w:r>
          </w:p>
        </w:tc>
        <w:tc>
          <w:tcPr>
            <w:tcW w:w="0" w:type="dxa"/>
            <w:vAlign w:val="bottom"/>
          </w:tcPr>
          <w:p>
            <w:pPr>
              <w:spacing w:after="0"/>
              <w:rPr>
                <w:sz w:val="1"/>
                <w:szCs w:val="1"/>
                <w:color w:val="auto"/>
              </w:rPr>
            </w:pPr>
          </w:p>
        </w:tc>
      </w:tr>
      <w:tr>
        <w:trPr>
          <w:trHeight w:val="148"/>
        </w:trPr>
        <w:tc>
          <w:tcPr>
            <w:tcW w:w="3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Realized (loss) gain recognized on equity investments</w:t>
            </w:r>
          </w:p>
        </w:tc>
        <w:tc>
          <w:tcPr>
            <w:tcW w:w="220" w:type="dxa"/>
            <w:vAlign w:val="bottom"/>
            <w:tcBorders>
              <w:bottom w:val="single" w:sz="8" w:color="CFF0FC"/>
            </w:tcBorders>
            <w:shd w:val="clear" w:color="auto" w:fill="CFF0FC"/>
          </w:tcPr>
          <w:p>
            <w:pPr>
              <w:spacing w:after="0"/>
              <w:rPr>
                <w:sz w:val="12"/>
                <w:szCs w:val="12"/>
                <w:color w:val="auto"/>
              </w:rPr>
            </w:pPr>
          </w:p>
        </w:tc>
        <w:tc>
          <w:tcPr>
            <w:tcW w:w="2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tcBorders>
              <w:bottom w:val="single" w:sz="8" w:color="CFF0FC"/>
            </w:tcBorders>
            <w:shd w:val="clear" w:color="auto" w:fill="CFF0FC"/>
          </w:tcPr>
          <w:p>
            <w:pPr>
              <w:spacing w:after="0"/>
              <w:rPr>
                <w:sz w:val="12"/>
                <w:szCs w:val="12"/>
                <w:color w:val="auto"/>
              </w:rPr>
            </w:pPr>
          </w:p>
        </w:tc>
        <w:tc>
          <w:tcPr>
            <w:tcW w:w="2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unrealized loss on equity investments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(8,856)</w:t>
            </w:r>
          </w:p>
        </w:tc>
        <w:tc>
          <w:tcPr>
            <w:tcW w:w="2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(1,636)</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(20,660)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-128270</wp:posOffset>
            </wp:positionV>
            <wp:extent cx="137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-128270</wp:posOffset>
            </wp:positionV>
            <wp:extent cx="137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Note Receivable Instruments</w:t>
      </w:r>
    </w:p>
    <w:p>
      <w:pPr>
        <w:spacing w:after="0" w:line="229" w:lineRule="exact"/>
        <w:rPr>
          <w:sz w:val="20"/>
          <w:szCs w:val="20"/>
          <w:color w:val="auto"/>
        </w:rPr>
      </w:pPr>
    </w:p>
    <w:p>
      <w:pPr>
        <w:jc w:val="both"/>
        <w:ind w:left="520" w:right="200"/>
        <w:spacing w:after="0" w:line="266" w:lineRule="auto"/>
        <w:rPr>
          <w:sz w:val="20"/>
          <w:szCs w:val="20"/>
          <w:color w:val="auto"/>
        </w:rPr>
      </w:pPr>
      <w:r>
        <w:rPr>
          <w:rFonts w:ascii="Times New Roman" w:cs="Times New Roman" w:eastAsia="Times New Roman" w:hAnsi="Times New Roman"/>
          <w:sz w:val="18"/>
          <w:szCs w:val="18"/>
          <w:color w:val="auto"/>
        </w:rPr>
        <w:t>The Company held note(s) receivable instrument(s) in publicly and privately traded entities during the twelve months ended December 31, 2025, 2024 and 2023. The fair value of these notes receivable instruments include the initial investment and contractual accrued interest recorded within interest income on the consolidated statements of operations.</w:t>
      </w:r>
    </w:p>
    <w:p>
      <w:pPr>
        <w:spacing w:after="0" w:line="176"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All of the Company’s notes receivable instruments are classified as trading securities and are included within investments on the Company’s consolidated balance sheet.</w:t>
      </w:r>
    </w:p>
    <w:p>
      <w:pPr>
        <w:spacing w:after="0" w:line="162"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1 note receivable instrument during the twelve months ended December 31, 2025, 2024 and 2023.</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54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Beginning</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c>
          <w:tcPr>
            <w:tcW w:w="4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22,214</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22,214</w:t>
            </w: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w:t>
            </w:r>
          </w:p>
        </w:tc>
        <w:tc>
          <w:tcPr>
            <w:tcW w:w="26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(22,712)</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360" w:type="dxa"/>
            <w:vAlign w:val="bottom"/>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260" w:type="dxa"/>
            <w:vAlign w:val="bottom"/>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jc w:val="right"/>
              <w:ind w:right="2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2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22,214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60"/>
        <w:spacing w:after="0" w:line="261" w:lineRule="auto"/>
        <w:rPr>
          <w:sz w:val="20"/>
          <w:szCs w:val="20"/>
          <w:color w:val="auto"/>
        </w:rPr>
      </w:pPr>
      <w:r>
        <w:rPr>
          <w:rFonts w:ascii="Times New Roman" w:cs="Times New Roman" w:eastAsia="Times New Roman" w:hAnsi="Times New Roman"/>
          <w:sz w:val="18"/>
          <w:szCs w:val="18"/>
          <w:color w:val="auto"/>
        </w:rPr>
        <w:t>On November 27, 2024, the Company collected the outstanding principal balance of the note receivable instrument along with accrued interest in cash. As of December 31, 2025 and 2024, the Company held no Level 1 note receivable instruments.</w:t>
      </w: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32" w:hanging="532"/>
        <w:spacing w:after="0"/>
        <w:tabs>
          <w:tab w:leader="none" w:pos="53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 xml:space="preserve">(b) Note Receivable Instruments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512"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summarized the change in the Company’s Level 3 notes receivable instruments during the twelve months ended December 31, 2025, 2024 and 2023.</w:t>
      </w:r>
    </w:p>
    <w:p>
      <w:pPr>
        <w:spacing w:after="0" w:line="160" w:lineRule="exact"/>
        <w:rPr>
          <w:sz w:val="20"/>
          <w:szCs w:val="20"/>
          <w:color w:val="auto"/>
        </w:rPr>
      </w:pPr>
    </w:p>
    <w:tbl>
      <w:tblPr>
        <w:tblLayout w:type="fixed"/>
        <w:tblInd w:w="232"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top w:val="single" w:sz="8" w:color="auto"/>
              <w:bottom w:val="single" w:sz="8" w:color="auto"/>
            </w:tcBorders>
          </w:tcPr>
          <w:p>
            <w:pPr>
              <w:spacing w:after="0"/>
              <w:rPr>
                <w:sz w:val="14"/>
                <w:szCs w:val="14"/>
                <w:color w:val="auto"/>
              </w:rPr>
            </w:pPr>
          </w:p>
        </w:tc>
        <w:tc>
          <w:tcPr>
            <w:tcW w:w="20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60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Beginning</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7,091</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14,193</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9,090</w:t>
            </w:r>
          </w:p>
        </w:tc>
        <w:tc>
          <w:tcPr>
            <w:tcW w:w="0" w:type="dxa"/>
            <w:vAlign w:val="bottom"/>
          </w:tcPr>
          <w:p>
            <w:pPr>
              <w:spacing w:after="0"/>
              <w:rPr>
                <w:sz w:val="1"/>
                <w:szCs w:val="1"/>
                <w:color w:val="auto"/>
              </w:rPr>
            </w:pPr>
          </w:p>
        </w:tc>
      </w:tr>
      <w:tr>
        <w:trPr>
          <w:trHeight w:val="149"/>
        </w:trPr>
        <w:tc>
          <w:tcPr>
            <w:tcW w:w="3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w:t>
            </w:r>
          </w:p>
        </w:tc>
        <w:tc>
          <w:tcPr>
            <w:tcW w:w="220" w:type="dxa"/>
            <w:vAlign w:val="bottom"/>
            <w:shd w:val="clear" w:color="auto" w:fill="CFF0FC"/>
          </w:tcPr>
          <w:p>
            <w:pPr>
              <w:spacing w:after="0"/>
              <w:rPr>
                <w:sz w:val="12"/>
                <w:szCs w:val="12"/>
                <w:color w:val="auto"/>
              </w:rPr>
            </w:pPr>
          </w:p>
        </w:tc>
        <w:tc>
          <w:tcPr>
            <w:tcW w:w="2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(5,020)</w:t>
            </w:r>
          </w:p>
        </w:tc>
        <w:tc>
          <w:tcPr>
            <w:tcW w:w="220" w:type="dxa"/>
            <w:vAlign w:val="bottom"/>
          </w:tcPr>
          <w:p>
            <w:pPr>
              <w:spacing w:after="0"/>
              <w:rPr>
                <w:sz w:val="12"/>
                <w:szCs w:val="12"/>
                <w:color w:val="auto"/>
              </w:rPr>
            </w:pPr>
          </w:p>
        </w:tc>
        <w:tc>
          <w:tcPr>
            <w:tcW w:w="2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3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adjustments</w:t>
            </w: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22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2"/>
                <w:szCs w:val="12"/>
                <w:color w:val="auto"/>
              </w:rPr>
            </w:pPr>
          </w:p>
        </w:tc>
        <w:tc>
          <w:tcPr>
            <w:tcW w:w="2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48"/>
        </w:trPr>
        <w:tc>
          <w:tcPr>
            <w:tcW w:w="3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22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(1,854)</w:t>
            </w:r>
          </w:p>
        </w:tc>
        <w:tc>
          <w:tcPr>
            <w:tcW w:w="220" w:type="dxa"/>
            <w:vAlign w:val="bottom"/>
            <w:tcBorders>
              <w:bottom w:val="single" w:sz="8" w:color="CFF0FC"/>
            </w:tcBorders>
            <w:shd w:val="clear" w:color="auto" w:fill="CFF0FC"/>
          </w:tcPr>
          <w:p>
            <w:pPr>
              <w:spacing w:after="0"/>
              <w:rPr>
                <w:sz w:val="12"/>
                <w:szCs w:val="12"/>
                <w:color w:val="auto"/>
              </w:rPr>
            </w:pPr>
          </w:p>
        </w:tc>
        <w:tc>
          <w:tcPr>
            <w:tcW w:w="2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20" w:type="dxa"/>
            <w:vAlign w:val="bottom"/>
            <w:tcBorders>
              <w:bottom w:val="single" w:sz="8" w:color="CFF0FC"/>
            </w:tcBorders>
            <w:shd w:val="clear" w:color="auto" w:fill="CFF0FC"/>
          </w:tcPr>
          <w:p>
            <w:pPr>
              <w:spacing w:after="0"/>
              <w:rPr>
                <w:sz w:val="12"/>
                <w:szCs w:val="12"/>
                <w:color w:val="auto"/>
              </w:rPr>
            </w:pPr>
          </w:p>
        </w:tc>
        <w:tc>
          <w:tcPr>
            <w:tcW w:w="2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2,945</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7,091</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14,193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-128270</wp:posOffset>
            </wp:positionV>
            <wp:extent cx="137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-128270</wp:posOffset>
            </wp:positionV>
            <wp:extent cx="1371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Company’s Level 3 notes receivable instruments had stated interest rates of 10.0% and terms between twelve months to five years.</w:t>
      </w:r>
    </w:p>
    <w:p>
      <w:pPr>
        <w:spacing w:after="0" w:line="225" w:lineRule="exact"/>
        <w:rPr>
          <w:sz w:val="20"/>
          <w:szCs w:val="20"/>
          <w:color w:val="auto"/>
        </w:rPr>
      </w:pPr>
    </w:p>
    <w:p>
      <w:pPr>
        <w:ind w:left="512" w:right="140"/>
        <w:spacing w:after="0" w:line="282" w:lineRule="auto"/>
        <w:rPr>
          <w:sz w:val="20"/>
          <w:szCs w:val="20"/>
          <w:color w:val="auto"/>
        </w:rPr>
      </w:pPr>
      <w:r>
        <w:rPr>
          <w:rFonts w:ascii="Times New Roman" w:cs="Times New Roman" w:eastAsia="Times New Roman" w:hAnsi="Times New Roman"/>
          <w:sz w:val="18"/>
          <w:szCs w:val="18"/>
          <w:color w:val="auto"/>
        </w:rPr>
        <w:t>On January 9, 2024, one of the Company’s privately held note receivable instruments matured and the Company collected the principal amount of $4,000 thousand along with accrued interest of $605 thousand on such date.</w:t>
      </w:r>
    </w:p>
    <w:p>
      <w:pPr>
        <w:spacing w:after="0" w:line="162" w:lineRule="exact"/>
        <w:rPr>
          <w:sz w:val="20"/>
          <w:szCs w:val="20"/>
          <w:color w:val="auto"/>
        </w:rPr>
      </w:pPr>
    </w:p>
    <w:p>
      <w:pPr>
        <w:ind w:left="512"/>
        <w:spacing w:after="0" w:line="266" w:lineRule="auto"/>
        <w:rPr>
          <w:sz w:val="20"/>
          <w:szCs w:val="20"/>
          <w:color w:val="auto"/>
        </w:rPr>
      </w:pPr>
      <w:r>
        <w:rPr>
          <w:rFonts w:ascii="Times New Roman" w:cs="Times New Roman" w:eastAsia="Times New Roman" w:hAnsi="Times New Roman"/>
          <w:sz w:val="18"/>
          <w:szCs w:val="18"/>
          <w:color w:val="auto"/>
        </w:rPr>
        <w:t>On August 16, 2024, a separate privately held convertible note receivable instrument in the amount of $5,000 thousand was exchanged for shares of preferred stock of the investee. As a result, the investment was transferred from Level 3 note receivable instruments to the Level 3 equity investments.</w:t>
      </w:r>
    </w:p>
    <w:p>
      <w:pPr>
        <w:spacing w:after="0" w:line="176" w:lineRule="exact"/>
        <w:rPr>
          <w:sz w:val="20"/>
          <w:szCs w:val="20"/>
          <w:color w:val="auto"/>
        </w:rPr>
      </w:pPr>
    </w:p>
    <w:p>
      <w:pPr>
        <w:jc w:val="both"/>
        <w:ind w:left="512" w:right="100"/>
        <w:spacing w:after="0" w:line="312" w:lineRule="auto"/>
        <w:rPr>
          <w:sz w:val="20"/>
          <w:szCs w:val="20"/>
          <w:color w:val="auto"/>
        </w:rPr>
      </w:pPr>
      <w:r>
        <w:rPr>
          <w:rFonts w:ascii="Times New Roman" w:cs="Times New Roman" w:eastAsia="Times New Roman" w:hAnsi="Times New Roman"/>
          <w:sz w:val="17"/>
          <w:szCs w:val="17"/>
          <w:color w:val="auto"/>
        </w:rPr>
        <w:t>On August 6, 2025, a separate privately held convertible note receivable instrument in the amount of $1,712 thousand was exchanged for shares of preferred stock of the investee. As a result, the investment was transferred from Level 3 note receivable instruments to Level 3 equity investments.</w:t>
      </w:r>
    </w:p>
    <w:p>
      <w:pPr>
        <w:spacing w:after="0" w:line="13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22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ind w:left="520" w:right="20"/>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below described acquisitions are business combinations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They were accounted for by applying the acquisition method whereby the assets acquired, and the liabilities assumed were recorded at their fair values with any excess consideration over the fair value of the identifiable net assets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entities with those of the Company.</w:t>
      </w:r>
    </w:p>
    <w:p>
      <w:pPr>
        <w:spacing w:after="0" w:line="184"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During 2025, the Company acquired all of the membership interests in entities that owned seven retail stores for the purposes of expanding Green Thumb's national presence. The Company paid approximately $19,308 thousand in cash for these interests. As part of the initial purchase accounting, the Company recorded an intangible asset of $12,489 thousand, all of which was associated with licenses that allow for the retail sale of cannabis. The weighted-average amortization period for the license intangibles is 15 years. Acquisition-related costs associated with the transactions were not material.</w:t>
      </w:r>
    </w:p>
    <w:p>
      <w:pPr>
        <w:spacing w:after="0" w:line="183"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The Company completed preliminary allocations of the purchase price of the assets acquired and liabilities assumed in association with the seven retail stores. The preliminary valuation was based on management’s estimates and assumptions which are subject to change within the measurement period (generally one year from the acquisition date). The details of the transaction are discussed below. The primary areas of the purchase price allocation that are not yet finalized relate to the valuation of the tangible and intangible assets acquired and the residual goodwill. The following table summarizes the initial accounting estimates: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Retail Stores</w:t>
            </w:r>
          </w:p>
        </w:tc>
      </w:tr>
      <w:tr>
        <w:trPr>
          <w:trHeight w:val="210"/>
        </w:trPr>
        <w:tc>
          <w:tcPr>
            <w:tcW w:w="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8"/>
                <w:szCs w:val="18"/>
                <w:color w:val="auto"/>
              </w:rPr>
            </w:pPr>
          </w:p>
        </w:tc>
      </w:tr>
      <w:tr>
        <w:trPr>
          <w:trHeight w:val="209"/>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9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3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Licenses and permits</w:t>
            </w: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500" w:type="dxa"/>
            <w:vAlign w:val="bottom"/>
          </w:tcPr>
          <w:p>
            <w:pPr>
              <w:spacing w:after="0"/>
              <w:rPr>
                <w:sz w:val="18"/>
                <w:szCs w:val="18"/>
                <w:color w:val="auto"/>
              </w:rPr>
            </w:pPr>
          </w:p>
        </w:tc>
      </w:tr>
      <w:tr>
        <w:trPr>
          <w:trHeight w:val="250"/>
        </w:trPr>
        <w:tc>
          <w:tcPr>
            <w:tcW w:w="520" w:type="dxa"/>
            <w:vAlign w:val="bottom"/>
          </w:tcPr>
          <w:p>
            <w:pPr>
              <w:spacing w:after="0"/>
              <w:rPr>
                <w:sz w:val="21"/>
                <w:szCs w:val="21"/>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w:t>
            </w:r>
          </w:p>
        </w:tc>
        <w:tc>
          <w:tcPr>
            <w:tcW w:w="3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19,308</w:t>
            </w:r>
          </w:p>
        </w:tc>
        <w:tc>
          <w:tcPr>
            <w:tcW w:w="500" w:type="dxa"/>
            <w:vAlign w:val="bottom"/>
          </w:tcPr>
          <w:p>
            <w:pPr>
              <w:spacing w:after="0"/>
              <w:rPr>
                <w:sz w:val="21"/>
                <w:szCs w:val="21"/>
                <w:color w:val="auto"/>
              </w:rPr>
            </w:pPr>
          </w:p>
        </w:tc>
      </w:tr>
      <w:tr>
        <w:trPr>
          <w:trHeight w:val="413"/>
        </w:trPr>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40" w:type="dxa"/>
            <w:vAlign w:val="bottom"/>
            <w:gridSpan w:val="2"/>
          </w:tcPr>
          <w:p>
            <w:pPr>
              <w:jc w:val="right"/>
              <w:ind w:right="2050"/>
              <w:spacing w:after="0"/>
              <w:rPr>
                <w:sz w:val="20"/>
                <w:szCs w:val="20"/>
                <w:color w:val="auto"/>
              </w:rPr>
            </w:pPr>
            <w:r>
              <w:rPr>
                <w:rFonts w:ascii="Times New Roman" w:cs="Times New Roman" w:eastAsia="Times New Roman" w:hAnsi="Times New Roman"/>
                <w:sz w:val="18"/>
                <w:szCs w:val="18"/>
                <w:color w:val="auto"/>
              </w:rPr>
              <w:t>F-25</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960" w:hanging="443"/>
        <w:spacing w:after="0"/>
        <w:tabs>
          <w:tab w:leader="none" w:pos="9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The Company records material real estate and equipment leases with an initial term of twelve months or more on the balance sheet. Real estate lease agreements for some locations provide for rent escalations and renewal options. Certain real estate leases require payment for fixed and variable non-lease components, such as taxes, insurance and maintenance, as part of base rent. In those circumstances, the Company elected the practical expedient to not separate the lease components from non-lease components.</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2025, 2024 and 2023 the Company recorded operating lease expense of $51,566 thousand, $54,385 thousand and $48,231 thousand, respectively.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December 31, 2025 and 2024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r>
      <w:tr>
        <w:trPr>
          <w:trHeight w:val="142"/>
        </w:trPr>
        <w:tc>
          <w:tcPr>
            <w:tcW w:w="82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6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9.80</w:t>
            </w:r>
          </w:p>
        </w:tc>
        <w:tc>
          <w:tcPr>
            <w:tcW w:w="2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w:t>
            </w:r>
          </w:p>
        </w:tc>
        <w:tc>
          <w:tcPr>
            <w:tcW w:w="20" w:type="dxa"/>
            <w:vAlign w:val="bottom"/>
          </w:tcPr>
          <w:p>
            <w:pPr>
              <w:spacing w:after="0"/>
              <w:rPr>
                <w:sz w:val="12"/>
                <w:szCs w:val="12"/>
                <w:color w:val="auto"/>
              </w:rPr>
            </w:pPr>
          </w:p>
        </w:tc>
      </w:tr>
      <w:tr>
        <w:trPr>
          <w:trHeight w:val="188"/>
        </w:trPr>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12.16%</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0" w:type="dxa"/>
            <w:vAlign w:val="bottom"/>
          </w:tcPr>
          <w:p>
            <w:pPr>
              <w:spacing w:after="0"/>
              <w:rPr>
                <w:sz w:val="16"/>
                <w:szCs w:val="16"/>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December 31,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240" w:type="dxa"/>
            <w:vAlign w:val="bottom"/>
          </w:tcPr>
          <w:p>
            <w:pPr>
              <w:spacing w:after="0"/>
              <w:rPr>
                <w:sz w:val="12"/>
                <w:szCs w:val="12"/>
                <w:color w:val="auto"/>
              </w:rPr>
            </w:pPr>
          </w:p>
        </w:tc>
        <w:tc>
          <w:tcPr>
            <w:tcW w:w="146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Pr>
          <w:p>
            <w:pPr>
              <w:spacing w:after="0"/>
              <w:rPr>
                <w:sz w:val="12"/>
                <w:szCs w:val="12"/>
                <w:color w:val="auto"/>
              </w:rPr>
            </w:pPr>
          </w:p>
        </w:tc>
        <w:tc>
          <w:tcPr>
            <w:tcW w:w="1440" w:type="dxa"/>
            <w:vAlign w:val="bottom"/>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50,158</w:t>
            </w:r>
          </w:p>
        </w:tc>
        <w:tc>
          <w:tcPr>
            <w:tcW w:w="240" w:type="dxa"/>
            <w:vAlign w:val="bottom"/>
            <w:tcBorders>
              <w:left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524</w:t>
            </w:r>
          </w:p>
        </w:tc>
        <w:tc>
          <w:tcPr>
            <w:tcW w:w="200" w:type="dxa"/>
            <w:vAlign w:val="bottom"/>
            <w:tcBorders>
              <w:lef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50,030</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48,527</w:t>
            </w:r>
          </w:p>
        </w:tc>
        <w:tc>
          <w:tcPr>
            <w:tcW w:w="240" w:type="dxa"/>
            <w:vAlign w:val="bottom"/>
            <w:tcBorders>
              <w:left w:val="single" w:sz="8" w:color="CFF0FC"/>
            </w:tcBorders>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00" w:type="dxa"/>
            <w:vAlign w:val="bottom"/>
            <w:tcBorders>
              <w:left w:val="single" w:sz="8" w:color="CFF0FC"/>
            </w:tcBorders>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45,210</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2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43,038</w:t>
            </w:r>
          </w:p>
        </w:tc>
        <w:tc>
          <w:tcPr>
            <w:tcW w:w="240" w:type="dxa"/>
            <w:vAlign w:val="bottom"/>
            <w:tcBorders>
              <w:left w:val="single" w:sz="8" w:color="CFF0FC"/>
            </w:tcBorders>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200" w:type="dxa"/>
            <w:vAlign w:val="bottom"/>
            <w:tcBorders>
              <w:left w:val="single" w:sz="8" w:color="CFF0FC"/>
            </w:tcBorders>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2031 and Thereafter</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255,687</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492,650</w:t>
            </w:r>
          </w:p>
        </w:tc>
        <w:tc>
          <w:tcPr>
            <w:tcW w:w="240" w:type="dxa"/>
            <w:vAlign w:val="bottom"/>
            <w:tcBorders>
              <w:left w:val="single" w:sz="8" w:color="CFF0FC"/>
            </w:tcBorders>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2,352</w:t>
            </w:r>
          </w:p>
        </w:tc>
        <w:tc>
          <w:tcPr>
            <w:tcW w:w="200" w:type="dxa"/>
            <w:vAlign w:val="bottom"/>
            <w:tcBorders>
              <w:left w:val="single" w:sz="8" w:color="CFF0FC"/>
            </w:tcBorders>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495,002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(220,906)</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2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271,744</w:t>
            </w:r>
          </w:p>
        </w:tc>
        <w:tc>
          <w:tcPr>
            <w:tcW w:w="240" w:type="dxa"/>
            <w:vAlign w:val="bottom"/>
            <w:tcBorders>
              <w:left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1,709</w:t>
            </w:r>
          </w:p>
        </w:tc>
        <w:tc>
          <w:tcPr>
            <w:tcW w:w="200" w:type="dxa"/>
            <w:vAlign w:val="bottom"/>
            <w:tcBorders>
              <w:lef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273,453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1454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1454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137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37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ind w:left="960" w:hanging="443"/>
        <w:spacing w:after="0"/>
        <w:tabs>
          <w:tab w:leader="none" w:pos="9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Mosaic Real Estate, LLC owns certain facilities leased by the Company and is owned in part by Benjamin Kovler, the Chairman and Chief Executive Officer of the Company (through KP Capital, LLC), and Anthony Georgiadis, the President and a director of the Company (through Three One Four Holdings, LLC). For the years ended December 31, 2025, 2024 and 2023, the Company recorded lease expense of $504 thousand, $595 thousand and $553 thousand, respectively, associated with these leasing arrangements.</w:t>
      </w:r>
    </w:p>
    <w:p>
      <w:pPr>
        <w:spacing w:after="0" w:line="180"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r>
        <w:trPr>
          <w:trHeight w:val="318"/>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December 31, 2025 and 2024, notes payable consisted of the following:</w:t>
            </w: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24"/>
                <w:szCs w:val="24"/>
                <w:color w:val="auto"/>
              </w:rPr>
            </w:pPr>
          </w:p>
        </w:tc>
      </w:tr>
      <w:tr>
        <w:trPr>
          <w:trHeight w:val="199"/>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Syndicated credit facility dated September 11, 2024</w:t>
            </w:r>
            <w:r>
              <w:rPr>
                <w:rFonts w:ascii="Times New Roman" w:cs="Times New Roman" w:eastAsia="Times New Roman" w:hAnsi="Times New Roman"/>
                <w:sz w:val="21"/>
                <w:szCs w:val="21"/>
                <w:color w:val="auto"/>
                <w:vertAlign w:val="superscript"/>
              </w:rPr>
              <w:t>1</w:t>
            </w:r>
          </w:p>
        </w:tc>
        <w:tc>
          <w:tcPr>
            <w:tcW w:w="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140,909</w:t>
            </w:r>
          </w:p>
        </w:tc>
        <w:tc>
          <w:tcPr>
            <w:tcW w:w="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147,979</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60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2</w:t>
            </w:r>
          </w:p>
        </w:tc>
        <w:tc>
          <w:tcPr>
            <w:tcW w:w="480" w:type="dxa"/>
            <w:vAlign w:val="bottom"/>
          </w:tcPr>
          <w:p>
            <w:pPr>
              <w:spacing w:after="0"/>
              <w:rPr>
                <w:sz w:val="17"/>
                <w:szCs w:val="17"/>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103,987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106,979</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48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244,896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254,958</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480" w:type="dxa"/>
            <w:vAlign w:val="bottom"/>
          </w:tcPr>
          <w:p>
            <w:pPr>
              <w:spacing w:after="0"/>
              <w:rPr>
                <w:sz w:val="17"/>
                <w:szCs w:val="17"/>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0" w:type="dxa"/>
            <w:vAlign w:val="bottom"/>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6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226,401</w:t>
            </w:r>
          </w:p>
        </w:tc>
        <w:tc>
          <w:tcPr>
            <w:tcW w:w="24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242,896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1625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625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01" w:lineRule="exact"/>
        <w:rPr>
          <w:sz w:val="20"/>
          <w:szCs w:val="20"/>
          <w:color w:val="auto"/>
        </w:rPr>
      </w:pPr>
    </w:p>
    <w:p>
      <w:pPr>
        <w:ind w:left="1020" w:right="240" w:firstLine="6"/>
        <w:spacing w:after="0" w:line="249" w:lineRule="auto"/>
        <w:tabs>
          <w:tab w:leader="none" w:pos="1101" w:val="left"/>
        </w:tabs>
        <w:numPr>
          <w:ilvl w:val="0"/>
          <w:numId w:val="84"/>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Credit Facility (as defined below in Section (a) of this Note 8) was issued in an aggregate amount of $150,000 thousand, and will bear interest at the Secured Overnight Financing Rate (“SOFR”) plus 500 basis points, payable monthly. As of December 31, 2025 and December 31, 2024, the Credit Facility’s outstanding principal balance was $142,500 thousand and $150,000 thousand, respectively. The Credit Facility was issued at a discount, the carrying value of which was $1,591 thousand and $2,021 thousand as of December 31, 2025 and December 31, 2024, respectively. The Credit Facility matures on September 11, 2029.</w:t>
      </w:r>
    </w:p>
    <w:p>
      <w:pPr>
        <w:spacing w:after="0" w:line="202" w:lineRule="exact"/>
        <w:rPr>
          <w:sz w:val="20"/>
          <w:szCs w:val="20"/>
          <w:color w:val="auto"/>
        </w:rPr>
      </w:pPr>
    </w:p>
    <w:p>
      <w:pPr>
        <w:ind w:left="1020" w:right="40" w:firstLine="6"/>
        <w:spacing w:after="0" w:line="244" w:lineRule="auto"/>
        <w:tabs>
          <w:tab w:leader="none" w:pos="1115" w:val="left"/>
        </w:tabs>
        <w:numPr>
          <w:ilvl w:val="0"/>
          <w:numId w:val="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issued mortgage notes in connection with various operating properties at an aggregate value of $112,285 thousand as of December 31, 2025 and 2024, respectively. The mortgage notes were issued at a discount, the aggregate carrying value of which was $799 thousand and $1,007 thousand, and are presented net of principal payments of $7,499 thousand and $4,299 thousand as of December 31, 2025 and 2024, respectively. These mortgage notes mature between December 31, 2028 and June 5, 2035 with interest rates ranging between 5.00% and 7.77%.</w:t>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notes payable as of December 31, 2025 were as follows:</w:t>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Maturities of Notes Payable</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175"/>
        </w:trPr>
        <w:tc>
          <w:tcPr>
            <w:tcW w:w="32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000" w:type="dxa"/>
            <w:vAlign w:val="bottom"/>
          </w:tcPr>
          <w:p>
            <w:pPr>
              <w:spacing w:after="0"/>
              <w:rPr>
                <w:sz w:val="15"/>
                <w:szCs w:val="15"/>
                <w:color w:val="auto"/>
              </w:rPr>
            </w:pPr>
          </w:p>
        </w:tc>
        <w:tc>
          <w:tcPr>
            <w:tcW w:w="2040" w:type="dxa"/>
            <w:vAlign w:val="bottom"/>
          </w:tcPr>
          <w:p>
            <w:pPr>
              <w:jc w:val="right"/>
              <w:ind w:right="439"/>
              <w:spacing w:after="0" w:line="175" w:lineRule="exact"/>
              <w:rPr>
                <w:sz w:val="20"/>
                <w:szCs w:val="20"/>
                <w:color w:val="auto"/>
              </w:rPr>
            </w:pPr>
            <w:r>
              <w:rPr>
                <w:rFonts w:ascii="Times New Roman" w:cs="Times New Roman" w:eastAsia="Times New Roman" w:hAnsi="Times New Roman"/>
                <w:sz w:val="16"/>
                <w:szCs w:val="16"/>
                <w:b w:val="1"/>
                <w:bCs w:val="1"/>
                <w:color w:val="auto"/>
              </w:rPr>
              <w:t>Credit Facility</w:t>
            </w:r>
          </w:p>
        </w:tc>
        <w:tc>
          <w:tcPr>
            <w:tcW w:w="2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Mortgage Notes</w:t>
            </w:r>
          </w:p>
        </w:tc>
        <w:tc>
          <w:tcPr>
            <w:tcW w:w="220" w:type="dxa"/>
            <w:vAlign w:val="bottom"/>
          </w:tcPr>
          <w:p>
            <w:pPr>
              <w:spacing w:after="0"/>
              <w:rPr>
                <w:sz w:val="15"/>
                <w:szCs w:val="15"/>
                <w:color w:val="auto"/>
              </w:rPr>
            </w:pPr>
          </w:p>
        </w:tc>
        <w:tc>
          <w:tcPr>
            <w:tcW w:w="2060" w:type="dxa"/>
            <w:vAlign w:val="bottom"/>
          </w:tcPr>
          <w:p>
            <w:pPr>
              <w:jc w:val="right"/>
              <w:ind w:right="77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18,496</w:t>
            </w:r>
          </w:p>
        </w:tc>
      </w:tr>
      <w:tr>
        <w:trPr>
          <w:trHeight w:val="203"/>
        </w:trPr>
        <w:tc>
          <w:tcPr>
            <w:tcW w:w="20" w:type="dxa"/>
            <w:vAlign w:val="bottom"/>
          </w:tcPr>
          <w:p>
            <w:pPr>
              <w:spacing w:after="0"/>
              <w:rPr>
                <w:sz w:val="17"/>
                <w:szCs w:val="17"/>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22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18,764</w:t>
            </w: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15,758</w:t>
            </w:r>
          </w:p>
        </w:tc>
        <w:tc>
          <w:tcPr>
            <w:tcW w:w="22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30,758</w:t>
            </w:r>
          </w:p>
        </w:tc>
      </w:tr>
      <w:tr>
        <w:trPr>
          <w:trHeight w:val="203"/>
        </w:trPr>
        <w:tc>
          <w:tcPr>
            <w:tcW w:w="20" w:type="dxa"/>
            <w:vAlign w:val="bottom"/>
          </w:tcPr>
          <w:p>
            <w:pPr>
              <w:spacing w:after="0"/>
              <w:rPr>
                <w:sz w:val="17"/>
                <w:szCs w:val="17"/>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22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39,532</w:t>
            </w:r>
          </w:p>
        </w:tc>
        <w:tc>
          <w:tcPr>
            <w:tcW w:w="22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137,032</w:t>
            </w: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22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203"/>
        </w:trPr>
        <w:tc>
          <w:tcPr>
            <w:tcW w:w="20" w:type="dxa"/>
            <w:vAlign w:val="bottom"/>
          </w:tcPr>
          <w:p>
            <w:pPr>
              <w:spacing w:after="0"/>
              <w:rPr>
                <w:sz w:val="17"/>
                <w:szCs w:val="17"/>
                <w:color w:val="auto"/>
              </w:rPr>
            </w:pPr>
          </w:p>
        </w:tc>
        <w:tc>
          <w:tcPr>
            <w:tcW w:w="3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100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39,057</w:t>
            </w:r>
          </w:p>
        </w:tc>
        <w:tc>
          <w:tcPr>
            <w:tcW w:w="22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39,057</w:t>
            </w:r>
          </w:p>
        </w:tc>
      </w:tr>
      <w:tr>
        <w:trPr>
          <w:trHeight w:val="234"/>
        </w:trPr>
        <w:tc>
          <w:tcPr>
            <w:tcW w:w="20" w:type="dxa"/>
            <w:vAlign w:val="bottom"/>
          </w:tcPr>
          <w:p>
            <w:pPr>
              <w:spacing w:after="0"/>
              <w:rPr>
                <w:sz w:val="20"/>
                <w:szCs w:val="20"/>
                <w:color w:val="auto"/>
              </w:rPr>
            </w:pPr>
          </w:p>
        </w:tc>
        <w:tc>
          <w:tcPr>
            <w:tcW w:w="3180" w:type="dxa"/>
            <w:vAlign w:val="bottom"/>
            <w:gridSpan w:val="2"/>
          </w:tcPr>
          <w:p>
            <w:pPr>
              <w:spacing w:after="0" w:line="234" w:lineRule="exact"/>
              <w:rPr>
                <w:sz w:val="20"/>
                <w:szCs w:val="20"/>
                <w:color w:val="auto"/>
              </w:rPr>
            </w:pPr>
            <w:r>
              <w:rPr>
                <w:rFonts w:ascii="Times New Roman" w:cs="Times New Roman" w:eastAsia="Times New Roman" w:hAnsi="Times New Roman"/>
                <w:sz w:val="16"/>
                <w:szCs w:val="16"/>
                <w:b w:val="1"/>
                <w:bCs w:val="1"/>
                <w:color w:val="auto"/>
              </w:rPr>
              <w:t xml:space="preserve">Total maturities of notes payable </w:t>
            </w:r>
            <w:r>
              <w:rPr>
                <w:rFonts w:ascii="Times New Roman" w:cs="Times New Roman" w:eastAsia="Times New Roman" w:hAnsi="Times New Roman"/>
                <w:sz w:val="21"/>
                <w:szCs w:val="21"/>
                <w:b w:val="1"/>
                <w:bCs w:val="1"/>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104,786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-160655</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-160655</wp:posOffset>
            </wp:positionV>
            <wp:extent cx="137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-23495</wp:posOffset>
            </wp:positionV>
            <wp:extent cx="417449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4174490" cy="2540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91" w:lineRule="exact"/>
        <w:rPr>
          <w:sz w:val="20"/>
          <w:szCs w:val="20"/>
          <w:color w:val="auto"/>
        </w:rPr>
      </w:pPr>
    </w:p>
    <w:p>
      <w:pPr>
        <w:ind w:left="1020" w:right="120" w:firstLine="6"/>
        <w:spacing w:after="0" w:line="215" w:lineRule="auto"/>
        <w:tabs>
          <w:tab w:leader="none" w:pos="1110" w:val="left"/>
        </w:tabs>
        <w:numPr>
          <w:ilvl w:val="0"/>
          <w:numId w:val="8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Total maturities of notes payable excludes unamortized debt discount of $1,591 thousand associated with the Credit Facility and $799 thousand associated with the mortgage notes.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32" w:hanging="532"/>
        <w:spacing w:after="0"/>
        <w:tabs>
          <w:tab w:leader="none" w:pos="53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2" w:hanging="512"/>
        <w:spacing w:after="0"/>
        <w:tabs>
          <w:tab w:leader="none" w:pos="51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Syndicated Credit Facility</w:t>
      </w:r>
    </w:p>
    <w:p>
      <w:pPr>
        <w:spacing w:after="0" w:line="219" w:lineRule="exact"/>
        <w:rPr>
          <w:rFonts w:ascii="Times New Roman" w:cs="Times New Roman" w:eastAsia="Times New Roman" w:hAnsi="Times New Roman"/>
          <w:sz w:val="18"/>
          <w:szCs w:val="18"/>
          <w:b w:val="1"/>
          <w:bCs w:val="1"/>
          <w:color w:val="auto"/>
        </w:rPr>
      </w:pPr>
    </w:p>
    <w:p>
      <w:pPr>
        <w:ind w:left="512"/>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September 11, 2024, the Company entered into a $150,000 thousand syndicated credit facility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led by Valley National Bank. The Credit Facility has a maturity date of September 11, 2029 and bears interest from the date of issuance at the SOFR plus 500 basis points, payable quarterly. As of December 31, 2025, the floating interest rate on the Credit Facility was 8.76%.</w:t>
      </w:r>
    </w:p>
    <w:p>
      <w:pPr>
        <w:spacing w:after="0" w:line="176" w:lineRule="exact"/>
        <w:rPr>
          <w:rFonts w:ascii="Times New Roman" w:cs="Times New Roman" w:eastAsia="Times New Roman" w:hAnsi="Times New Roman"/>
          <w:sz w:val="18"/>
          <w:szCs w:val="18"/>
          <w:b w:val="1"/>
          <w:bCs w:val="1"/>
          <w:color w:val="auto"/>
        </w:rPr>
      </w:pPr>
    </w:p>
    <w:p>
      <w:pPr>
        <w:ind w:left="512"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Facility includes certain covenants which require the Company to maintain a debt service coverage ratio of 1.5 to 1.0, a funded debt to Adjusted EBITDA (see “Non-GAAP Measure” below for additional information on Adjusted EBITDA) ratio no greater than 3.5 to 1.0, and a tangible net worth of at least $500 thousand. As of December 31, 2025, the Company was in compliance with all covenants associated with the Credit Facility.</w:t>
      </w:r>
    </w:p>
    <w:p>
      <w:pPr>
        <w:spacing w:after="0" w:line="67"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Warwick, New York Mortgage Note</w:t>
      </w:r>
    </w:p>
    <w:p>
      <w:pPr>
        <w:spacing w:after="0" w:line="229" w:lineRule="exact"/>
        <w:rPr>
          <w:sz w:val="20"/>
          <w:szCs w:val="20"/>
          <w:color w:val="auto"/>
        </w:rPr>
      </w:pPr>
    </w:p>
    <w:p>
      <w:pPr>
        <w:ind w:left="512" w:right="80"/>
        <w:spacing w:after="0" w:line="261" w:lineRule="auto"/>
        <w:rPr>
          <w:sz w:val="20"/>
          <w:szCs w:val="20"/>
          <w:color w:val="auto"/>
        </w:rPr>
      </w:pPr>
      <w:r>
        <w:rPr>
          <w:rFonts w:ascii="Times New Roman" w:cs="Times New Roman" w:eastAsia="Times New Roman" w:hAnsi="Times New Roman"/>
          <w:sz w:val="18"/>
          <w:szCs w:val="18"/>
          <w:color w:val="auto"/>
        </w:rPr>
        <w:t>On September 4, 2024, the Company entered into a $23,500 thousand mortgage note associated with its Warwick, New York Consumer Packaged Goods facility bearing an interest rate of 7.75% per annum, with a maturity date of September 4, 2029. The mortgage includes various covenants requiring the Company to maintain certain financial ratios related to its ability to service the debt. As of December 31, 2025, the Company was in compliance with all covenants associated with the mortgage.</w:t>
      </w:r>
    </w:p>
    <w:p>
      <w:pPr>
        <w:spacing w:after="0" w:line="18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765" w:right="4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113" w:lineRule="exact"/>
        <w:rPr>
          <w:sz w:val="20"/>
          <w:szCs w:val="20"/>
          <w:color w:val="auto"/>
        </w:rPr>
      </w:pPr>
    </w:p>
    <w:p>
      <w:pPr>
        <w:ind w:left="1540" w:hanging="484"/>
        <w:spacing w:after="0"/>
        <w:tabs>
          <w:tab w:leader="none" w:pos="1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spacing w:after="0" w:line="64" w:lineRule="exact"/>
        <w:rPr>
          <w:sz w:val="20"/>
          <w:szCs w:val="20"/>
          <w:color w:val="auto"/>
        </w:rPr>
      </w:pPr>
    </w:p>
    <w:p>
      <w:pPr>
        <w:ind w:left="1540" w:hanging="484"/>
        <w:spacing w:after="0"/>
        <w:tabs>
          <w:tab w:leader="none" w:pos="1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Multiple Voting Shares</w:t>
      </w:r>
    </w:p>
    <w:p>
      <w:pPr>
        <w:spacing w:after="0" w:line="121"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w:t>
      </w:r>
    </w:p>
    <w:p>
      <w:pPr>
        <w:spacing w:after="0" w:line="50" w:lineRule="exact"/>
        <w:rPr>
          <w:sz w:val="20"/>
          <w:szCs w:val="20"/>
          <w:color w:val="auto"/>
        </w:rPr>
      </w:pPr>
    </w:p>
    <w:p>
      <w:pPr>
        <w:ind w:left="1540" w:hanging="484"/>
        <w:spacing w:after="0"/>
        <w:tabs>
          <w:tab w:leader="none" w:pos="1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 Voting Shares</w:t>
      </w:r>
    </w:p>
    <w:p>
      <w:pPr>
        <w:spacing w:after="0" w:line="121" w:lineRule="exact"/>
        <w:rPr>
          <w:sz w:val="20"/>
          <w:szCs w:val="20"/>
          <w:color w:val="auto"/>
        </w:rPr>
      </w:pPr>
    </w:p>
    <w:p>
      <w:pPr>
        <w:ind w:left="900" w:right="320"/>
        <w:spacing w:after="0" w:line="282"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one Multiple Voting Share, which is then convertible into 100 Subordinate Voting Shares.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960" w:hanging="443"/>
        <w:spacing w:after="0"/>
        <w:tabs>
          <w:tab w:leader="none" w:pos="9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17"/>
        </w:trPr>
        <w:tc>
          <w:tcPr>
            <w:tcW w:w="47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60" w:type="dxa"/>
            <w:vAlign w:val="bottom"/>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Subordinate</w:t>
            </w:r>
          </w:p>
        </w:tc>
        <w:tc>
          <w:tcPr>
            <w:tcW w:w="180" w:type="dxa"/>
            <w:vAlign w:val="bottom"/>
          </w:tcPr>
          <w:p>
            <w:pPr>
              <w:spacing w:after="0"/>
              <w:rPr>
                <w:sz w:val="10"/>
                <w:szCs w:val="10"/>
                <w:color w:val="auto"/>
              </w:rPr>
            </w:pP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Multiple</w:t>
            </w:r>
          </w:p>
        </w:tc>
        <w:tc>
          <w:tcPr>
            <w:tcW w:w="180" w:type="dxa"/>
            <w:vAlign w:val="bottom"/>
          </w:tcPr>
          <w:p>
            <w:pPr>
              <w:spacing w:after="0"/>
              <w:rPr>
                <w:sz w:val="10"/>
                <w:szCs w:val="10"/>
                <w:color w:val="auto"/>
              </w:rPr>
            </w:pPr>
          </w:p>
        </w:tc>
        <w:tc>
          <w:tcPr>
            <w:tcW w:w="1580" w:type="dxa"/>
            <w:vAlign w:val="bottom"/>
          </w:tcPr>
          <w:p>
            <w:pPr>
              <w:jc w:val="right"/>
              <w:ind w:right="532"/>
              <w:spacing w:after="0" w:line="118" w:lineRule="exact"/>
              <w:rPr>
                <w:sz w:val="20"/>
                <w:szCs w:val="20"/>
                <w:color w:val="auto"/>
              </w:rPr>
            </w:pPr>
            <w:r>
              <w:rPr>
                <w:rFonts w:ascii="Times New Roman" w:cs="Times New Roman" w:eastAsia="Times New Roman" w:hAnsi="Times New Roman"/>
                <w:sz w:val="13"/>
                <w:szCs w:val="13"/>
                <w:b w:val="1"/>
                <w:bCs w:val="1"/>
                <w:color w:val="auto"/>
              </w:rPr>
              <w:t>Super</w:t>
            </w:r>
          </w:p>
        </w:tc>
      </w:tr>
      <w:tr>
        <w:trPr>
          <w:trHeight w:val="148"/>
        </w:trPr>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6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tcPr>
          <w:p>
            <w:pPr>
              <w:spacing w:after="0"/>
              <w:rPr>
                <w:sz w:val="12"/>
                <w:szCs w:val="12"/>
                <w:color w:val="auto"/>
              </w:rPr>
            </w:pPr>
          </w:p>
        </w:tc>
        <w:tc>
          <w:tcPr>
            <w:tcW w:w="158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r>
      <w:tr>
        <w:trPr>
          <w:trHeight w:val="173"/>
        </w:trPr>
        <w:tc>
          <w:tcPr>
            <w:tcW w:w="4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 2023</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206,991,275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251,690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1,614,871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680,089</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477,545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451,138</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(3,843,126)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of shares</w:t>
            </w:r>
          </w:p>
        </w:tc>
        <w:tc>
          <w:tcPr>
            <w:tcW w:w="15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209,871,792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216,690</w:t>
            </w:r>
          </w:p>
        </w:tc>
      </w:tr>
      <w:tr>
        <w:trPr>
          <w:trHeight w:val="20"/>
        </w:trPr>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 2024</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209,871,792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216,690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309,337</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upon exercise of warrants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1,504,764</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1,037,812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(3,972,000)</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Exchange of shares</w:t>
            </w:r>
          </w:p>
        </w:tc>
        <w:tc>
          <w:tcPr>
            <w:tcW w:w="15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1,090,800</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5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211,128,045</w:t>
            </w:r>
          </w:p>
        </w:tc>
        <w:tc>
          <w:tcPr>
            <w:tcW w:w="1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37,623</w:t>
            </w:r>
          </w:p>
        </w:tc>
        <w:tc>
          <w:tcPr>
            <w:tcW w:w="1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206,690</w:t>
            </w:r>
          </w:p>
        </w:tc>
      </w:tr>
      <w:tr>
        <w:trPr>
          <w:trHeight w:val="41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January 1, 2025</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211,128,045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206,690</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shares associated with investment interests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77,525</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244,986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270,332</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2,070,501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shares to non-employee contractors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33,231</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(7,209,875)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Super Voting Shares</w:t>
            </w:r>
          </w:p>
        </w:tc>
        <w:tc>
          <w:tcPr>
            <w:tcW w:w="15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Exchange of shares</w:t>
            </w:r>
          </w:p>
        </w:tc>
        <w:tc>
          <w:tcPr>
            <w:tcW w:w="15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15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206,629,845</w:t>
            </w:r>
          </w:p>
        </w:tc>
        <w:tc>
          <w:tcPr>
            <w:tcW w:w="1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37,472</w:t>
            </w:r>
          </w:p>
        </w:tc>
        <w:tc>
          <w:tcPr>
            <w:tcW w:w="1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201,690</w:t>
            </w:r>
          </w:p>
        </w:tc>
      </w:tr>
      <w:tr>
        <w:trPr>
          <w:trHeight w:val="736"/>
        </w:trPr>
        <w:tc>
          <w:tcPr>
            <w:tcW w:w="4700" w:type="dxa"/>
            <w:vAlign w:val="bottom"/>
          </w:tcPr>
          <w:p>
            <w:pPr>
              <w:spacing w:after="0"/>
              <w:rPr>
                <w:sz w:val="24"/>
                <w:szCs w:val="24"/>
                <w:color w:val="auto"/>
              </w:rPr>
            </w:pPr>
          </w:p>
        </w:tc>
        <w:tc>
          <w:tcPr>
            <w:tcW w:w="3060" w:type="dxa"/>
            <w:vAlign w:val="bottom"/>
            <w:gridSpan w:val="2"/>
          </w:tcPr>
          <w:p>
            <w:pPr>
              <w:jc w:val="right"/>
              <w:ind w:right="1877"/>
              <w:spacing w:after="0"/>
              <w:rPr>
                <w:sz w:val="20"/>
                <w:szCs w:val="20"/>
                <w:color w:val="auto"/>
              </w:rPr>
            </w:pPr>
            <w:r>
              <w:rPr>
                <w:rFonts w:ascii="Times New Roman" w:cs="Times New Roman" w:eastAsia="Times New Roman" w:hAnsi="Times New Roman"/>
                <w:sz w:val="18"/>
                <w:szCs w:val="18"/>
                <w:color w:val="auto"/>
              </w:rPr>
              <w:t>F-30</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-4097020</wp:posOffset>
            </wp:positionV>
            <wp:extent cx="1111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-4097020</wp:posOffset>
            </wp:positionV>
            <wp:extent cx="1111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-2545080</wp:posOffset>
            </wp:positionV>
            <wp:extent cx="1111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-2527935</wp:posOffset>
            </wp:positionV>
            <wp:extent cx="1111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-2545080</wp:posOffset>
            </wp:positionV>
            <wp:extent cx="1111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-2527935</wp:posOffset>
            </wp:positionV>
            <wp:extent cx="1111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-1002030</wp:posOffset>
            </wp:positionV>
            <wp:extent cx="1111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-985520</wp:posOffset>
            </wp:positionV>
            <wp:extent cx="1111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-1002030</wp:posOffset>
            </wp:positionV>
            <wp:extent cx="1111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-985520</wp:posOffset>
            </wp:positionV>
            <wp:extent cx="1111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60" w:hanging="443"/>
        <w:spacing w:after="0"/>
        <w:tabs>
          <w:tab w:leader="none" w:pos="9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(i)Distribution of Contingent Consideration</w:t>
      </w:r>
    </w:p>
    <w:p>
      <w:pPr>
        <w:spacing w:after="0" w:line="3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Dharma Pharmaceuticals, LLC</w:t>
      </w:r>
    </w:p>
    <w:p>
      <w:pPr>
        <w:spacing w:after="0" w:line="227"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which was dependent upon 1) the successful opening of five retail stores in the Virginia area within the first three years of following the signing of the agreement and 2) the legal sale of adult-use cannabis in a retail store on or before January 1, 2025 (the “Recreational Sales Milestone”).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provides an overview of store count, share quantities, and the fair value of shares at the issuance date:</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Dharma Pharmaceuticals,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57689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5600"/>
        <w:spacing w:after="0" w:line="189" w:lineRule="auto"/>
        <w:rPr>
          <w:sz w:val="20"/>
          <w:szCs w:val="20"/>
          <w:color w:val="auto"/>
        </w:rPr>
      </w:pPr>
      <w:r>
        <w:rPr>
          <w:rFonts w:ascii="Times New Roman" w:cs="Times New Roman" w:eastAsia="Times New Roman" w:hAnsi="Times New Roman"/>
          <w:sz w:val="17"/>
          <w:szCs w:val="17"/>
          <w:b w:val="1"/>
          <w:bCs w:val="1"/>
          <w:color w:val="auto"/>
        </w:rPr>
        <w:t>Number of Subordinate Voting</w:t>
      </w:r>
    </w:p>
    <w:p>
      <w:pPr>
        <w:ind w:left="1720"/>
        <w:spacing w:after="0" w:line="188" w:lineRule="auto"/>
        <w:tabs>
          <w:tab w:leader="none" w:pos="3840" w:val="left"/>
          <w:tab w:leader="none" w:pos="8200" w:val="left"/>
        </w:tabs>
        <w:rPr>
          <w:sz w:val="20"/>
          <w:szCs w:val="20"/>
          <w:color w:val="auto"/>
        </w:rPr>
      </w:pPr>
      <w:r>
        <w:rPr>
          <w:rFonts w:ascii="Times New Roman" w:cs="Times New Roman" w:eastAsia="Times New Roman" w:hAnsi="Times New Roman"/>
          <w:sz w:val="12"/>
          <w:szCs w:val="12"/>
          <w:b w:val="1"/>
          <w:bCs w:val="1"/>
          <w:color w:val="auto"/>
        </w:rPr>
        <w:t>Date of issuance</w:t>
      </w:r>
      <w:r>
        <w:rPr>
          <w:sz w:val="20"/>
          <w:szCs w:val="20"/>
          <w:color w:val="auto"/>
        </w:rPr>
        <w:tab/>
      </w:r>
      <w:r>
        <w:rPr>
          <w:rFonts w:ascii="Times New Roman" w:cs="Times New Roman" w:eastAsia="Times New Roman" w:hAnsi="Times New Roman"/>
          <w:sz w:val="12"/>
          <w:szCs w:val="12"/>
          <w:b w:val="1"/>
          <w:bCs w:val="1"/>
          <w:color w:val="auto"/>
        </w:rPr>
        <w:t># of stores opened</w:t>
      </w:r>
      <w:r>
        <w:rPr>
          <w:sz w:val="20"/>
          <w:szCs w:val="20"/>
          <w:color w:val="auto"/>
        </w:rPr>
        <w:tab/>
      </w:r>
      <w:r>
        <w:rPr>
          <w:rFonts w:ascii="Times New Roman" w:cs="Times New Roman" w:eastAsia="Times New Roman" w:hAnsi="Times New Roman"/>
          <w:sz w:val="12"/>
          <w:szCs w:val="12"/>
          <w:b w:val="1"/>
          <w:bCs w:val="1"/>
          <w:color w:val="auto"/>
        </w:rPr>
        <w:t>Fair Value in thousands</w:t>
      </w:r>
    </w:p>
    <w:p>
      <w:pPr>
        <w:ind w:left="6300"/>
        <w:spacing w:after="0"/>
        <w:rPr>
          <w:sz w:val="20"/>
          <w:szCs w:val="20"/>
          <w:color w:val="auto"/>
        </w:rPr>
      </w:pPr>
      <w:r>
        <w:rPr>
          <w:rFonts w:ascii="Times New Roman" w:cs="Times New Roman" w:eastAsia="Times New Roman" w:hAnsi="Times New Roman"/>
          <w:sz w:val="18"/>
          <w:szCs w:val="18"/>
          <w:b w:val="1"/>
          <w:bCs w:val="1"/>
          <w:color w:val="auto"/>
        </w:rPr>
        <w:t>Shares issued</w:t>
      </w:r>
    </w:p>
    <w:p>
      <w:pPr>
        <w:spacing w:after="0" w:line="7" w:lineRule="exact"/>
        <w:rPr>
          <w:sz w:val="20"/>
          <w:szCs w:val="20"/>
          <w:color w:val="auto"/>
        </w:rPr>
      </w:pPr>
    </w:p>
    <w:tbl>
      <w:tblPr>
        <w:tblLayout w:type="fixed"/>
        <w:tblInd w:w="1080" w:type="dxa"/>
        <w:tblCellMar>
          <w:top w:w="0" w:type="dxa"/>
          <w:left w:w="0" w:type="dxa"/>
          <w:bottom w:w="0" w:type="dxa"/>
          <w:right w:w="0" w:type="dxa"/>
        </w:tblCellMar>
      </w:tblPr>
      <w:tr>
        <w:trPr>
          <w:trHeight w:val="209"/>
        </w:trPr>
        <w:tc>
          <w:tcPr>
            <w:tcW w:w="2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August 16, 2021</w:t>
            </w:r>
          </w:p>
        </w:tc>
        <w:tc>
          <w:tcPr>
            <w:tcW w:w="2400" w:type="dxa"/>
            <w:vAlign w:val="bottom"/>
            <w:tcBorders>
              <w:top w:val="single" w:sz="8" w:color="auto"/>
            </w:tcBorders>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199,993</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1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2022</w:t>
            </w:r>
          </w:p>
        </w:tc>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2</w:t>
            </w:r>
          </w:p>
        </w:tc>
        <w:tc>
          <w:tcPr>
            <w:tcW w:w="2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667,080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r>
      <w:tr>
        <w:trPr>
          <w:trHeight w:val="216"/>
        </w:trPr>
        <w:tc>
          <w:tcPr>
            <w:tcW w:w="2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June 1, 2023</w:t>
            </w:r>
          </w:p>
        </w:tc>
        <w:tc>
          <w:tcPr>
            <w:tcW w:w="240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822,447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w:t>
            </w:r>
          </w:p>
        </w:tc>
      </w:tr>
      <w:tr>
        <w:trPr>
          <w:trHeight w:val="21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10, 2023</w:t>
            </w:r>
          </w:p>
        </w:tc>
        <w:tc>
          <w:tcPr>
            <w:tcW w:w="24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792,424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10"/>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5</w:t>
            </w:r>
          </w:p>
        </w:tc>
        <w:tc>
          <w:tcPr>
            <w:tcW w:w="2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2,481,944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$31,584</w:t>
            </w:r>
          </w:p>
        </w:tc>
      </w:tr>
      <w:tr>
        <w:trPr>
          <w:trHeight w:val="20"/>
        </w:trPr>
        <w:tc>
          <w:tcPr>
            <w:tcW w:w="25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8"/>
          <w:szCs w:val="18"/>
          <w:color w:val="auto"/>
        </w:rPr>
        <w:t>As of December 31, 2023, the estimated fair value of the remaining contingent consideration associated with the Recreational Sales Milestone, which was valued based on a probability weighting of the potential payments, was $33,250 thousand and was included as a non-current liability on the Company’s consolidated balance sheets.</w:t>
      </w:r>
    </w:p>
    <w:p>
      <w:pPr>
        <w:spacing w:after="0" w:line="176" w:lineRule="exact"/>
        <w:rPr>
          <w:sz w:val="20"/>
          <w:szCs w:val="20"/>
          <w:color w:val="auto"/>
        </w:rPr>
      </w:pPr>
    </w:p>
    <w:p>
      <w:pPr>
        <w:ind w:left="900" w:right="120"/>
        <w:spacing w:after="0" w:line="255" w:lineRule="auto"/>
        <w:rPr>
          <w:sz w:val="20"/>
          <w:szCs w:val="20"/>
          <w:color w:val="auto"/>
        </w:rPr>
      </w:pPr>
      <w:r>
        <w:rPr>
          <w:rFonts w:ascii="Times New Roman" w:cs="Times New Roman" w:eastAsia="Times New Roman" w:hAnsi="Times New Roman"/>
          <w:sz w:val="18"/>
          <w:szCs w:val="18"/>
          <w:color w:val="auto"/>
        </w:rPr>
        <w:t>On February 9, 2024, the Company and the former owners of Dharma agreed to amend the conditions as set forth in the original purchase agreement in relation to the Recreational Sales Milestone (the “Amended Agreement”). Under the Amended Agreement, the former owners waived their right to the Recreational Sales Milestone in exchange for the delivery of 1,250,000 Subordinate Voting Shares of Green Thumb. As a result, the Company recorded a gain of $15,991 thousand within selling, general, and administrative expenses on the consolidated statements of operations. On February 15, 2024, the Company distributed the shares to the former owners of Dharma, which had a fair market value of $17,259 thousand, which was based on the value of the shares as traded on the Canadian Securities Exchange on the date of distribution. As of such date, the balance of contingent consideration was fully extinguished.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84" w:lineRule="exact"/>
        <w:rPr>
          <w:sz w:val="20"/>
          <w:szCs w:val="20"/>
          <w:color w:val="auto"/>
        </w:rPr>
      </w:pPr>
    </w:p>
    <w:p>
      <w:pPr>
        <w:ind w:left="540" w:hanging="532"/>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60" w:hanging="443"/>
        <w:spacing w:after="0"/>
        <w:tabs>
          <w:tab w:leader="none" w:pos="9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(ii)Distribution of Deferred Shares</w:t>
      </w:r>
    </w:p>
    <w:p>
      <w:pPr>
        <w:spacing w:after="0" w:line="121" w:lineRule="exact"/>
        <w:rPr>
          <w:sz w:val="20"/>
          <w:szCs w:val="20"/>
          <w:color w:val="auto"/>
        </w:rPr>
      </w:pPr>
    </w:p>
    <w:p>
      <w:pPr>
        <w:ind w:left="860" w:right="200"/>
        <w:spacing w:after="0" w:line="282" w:lineRule="auto"/>
        <w:rPr>
          <w:sz w:val="20"/>
          <w:szCs w:val="20"/>
          <w:color w:val="auto"/>
        </w:rPr>
      </w:pPr>
      <w:r>
        <w:rPr>
          <w:rFonts w:ascii="Times New Roman" w:cs="Times New Roman" w:eastAsia="Times New Roman" w:hAnsi="Times New Roman"/>
          <w:sz w:val="18"/>
          <w:szCs w:val="18"/>
          <w:color w:val="auto"/>
        </w:rPr>
        <w:t>As part of the consideration exchanged for acquisitions completed in previous periods, the Company deferred the distribution of Subordinate Voting Shares to secure the Company’s indemnification rights associated with post-acquisition costs.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following table summarizes the activity during the years ended December 31, 2025, 2024 and 2023:</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Related Acquisition</w:t>
            </w:r>
          </w:p>
        </w:tc>
        <w:tc>
          <w:tcPr>
            <w:tcW w:w="1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80" w:type="dxa"/>
            <w:vAlign w:val="bottom"/>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Mobley Pain</w:t>
            </w:r>
          </w:p>
        </w:tc>
        <w:tc>
          <w:tcPr>
            <w:tcW w:w="1040" w:type="dxa"/>
            <w:vAlign w:val="bottom"/>
          </w:tcPr>
          <w:p>
            <w:pPr>
              <w:spacing w:after="0"/>
              <w:rPr>
                <w:sz w:val="10"/>
                <w:szCs w:val="10"/>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Maryland Health</w:t>
            </w:r>
          </w:p>
        </w:tc>
        <w:tc>
          <w:tcPr>
            <w:tcW w:w="10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LeafLine</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Liberty Compassion,</w:t>
            </w:r>
          </w:p>
        </w:tc>
        <w:tc>
          <w:tcPr>
            <w:tcW w:w="14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Dharma</w:t>
            </w:r>
          </w:p>
        </w:tc>
        <w:tc>
          <w:tcPr>
            <w:tcW w:w="1680" w:type="dxa"/>
            <w:vAlign w:val="bottom"/>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Management and</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GreenStar</w:t>
            </w:r>
          </w:p>
        </w:tc>
        <w:tc>
          <w:tcPr>
            <w:tcW w:w="12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68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Wellness Center, LLC</w:t>
            </w:r>
          </w:p>
        </w:tc>
        <w:tc>
          <w:tcPr>
            <w:tcW w:w="1040" w:type="dxa"/>
            <w:vAlign w:val="bottom"/>
            <w:vMerge w:val="continue"/>
          </w:tcPr>
          <w:p>
            <w:pPr>
              <w:spacing w:after="0"/>
              <w:rPr>
                <w:sz w:val="5"/>
                <w:szCs w:val="5"/>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and Wellness</w:t>
            </w:r>
          </w:p>
        </w:tc>
        <w:tc>
          <w:tcPr>
            <w:tcW w:w="10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Industries,</w:t>
            </w:r>
          </w:p>
        </w:tc>
        <w:tc>
          <w:tcPr>
            <w:tcW w:w="8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tcPr>
          <w:p>
            <w:pPr>
              <w:jc w:val="right"/>
              <w:ind w:right="528"/>
              <w:spacing w:after="0" w:line="146" w:lineRule="exact"/>
              <w:rPr>
                <w:sz w:val="20"/>
                <w:szCs w:val="20"/>
                <w:color w:val="auto"/>
              </w:rPr>
            </w:pPr>
            <w:r>
              <w:rPr>
                <w:rFonts w:ascii="Times New Roman" w:cs="Times New Roman" w:eastAsia="Times New Roman" w:hAnsi="Times New Roman"/>
                <w:sz w:val="14"/>
                <w:szCs w:val="14"/>
                <w:b w:val="1"/>
                <w:bCs w:val="1"/>
                <w:color w:val="auto"/>
              </w:rPr>
              <w:t>Inc.</w:t>
            </w:r>
          </w:p>
        </w:tc>
        <w:tc>
          <w:tcPr>
            <w:tcW w:w="14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Pharmaceuticals, LLC</w:t>
            </w:r>
          </w:p>
        </w:tc>
        <w:tc>
          <w:tcPr>
            <w:tcW w:w="1680" w:type="dxa"/>
            <w:vAlign w:val="bottom"/>
            <w:vMerge w:val="continue"/>
          </w:tcPr>
          <w:p>
            <w:pPr>
              <w:spacing w:after="0"/>
              <w:rPr>
                <w:sz w:val="12"/>
                <w:szCs w:val="12"/>
                <w:color w:val="auto"/>
              </w:rPr>
            </w:pPr>
          </w:p>
        </w:tc>
        <w:tc>
          <w:tcPr>
            <w:tcW w:w="1040" w:type="dxa"/>
            <w:vAlign w:val="bottom"/>
          </w:tcPr>
          <w:p>
            <w:pPr>
              <w:jc w:val="right"/>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Herbals, Inc.</w:t>
            </w:r>
          </w:p>
        </w:tc>
        <w:tc>
          <w:tcPr>
            <w:tcW w:w="12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80" w:type="dxa"/>
            <w:vAlign w:val="bottom"/>
          </w:tcPr>
          <w:p>
            <w:pPr>
              <w:jc w:val="center"/>
              <w:ind w:right="70"/>
              <w:spacing w:after="0" w:line="84" w:lineRule="exact"/>
              <w:rPr>
                <w:sz w:val="20"/>
                <w:szCs w:val="20"/>
                <w:color w:val="auto"/>
              </w:rPr>
            </w:pPr>
            <w:r>
              <w:rPr>
                <w:rFonts w:ascii="Times New Roman" w:cs="Times New Roman" w:eastAsia="Times New Roman" w:hAnsi="Times New Roman"/>
                <w:sz w:val="9"/>
                <w:szCs w:val="9"/>
                <w:b w:val="1"/>
                <w:bCs w:val="1"/>
                <w:color w:val="auto"/>
              </w:rPr>
              <w:t>and Canwell Processing,</w:t>
            </w:r>
          </w:p>
        </w:tc>
        <w:tc>
          <w:tcPr>
            <w:tcW w:w="1040" w:type="dxa"/>
            <w:vAlign w:val="bottom"/>
          </w:tcPr>
          <w:p>
            <w:pPr>
              <w:spacing w:after="0"/>
              <w:rPr>
                <w:sz w:val="7"/>
                <w:szCs w:val="7"/>
                <w:color w:val="auto"/>
              </w:rPr>
            </w:pPr>
          </w:p>
        </w:tc>
        <w:tc>
          <w:tcPr>
            <w:tcW w:w="1260" w:type="dxa"/>
            <w:vAlign w:val="bottom"/>
          </w:tcPr>
          <w:p>
            <w:pPr>
              <w:jc w:val="center"/>
              <w:ind w:right="10"/>
              <w:spacing w:after="0" w:line="84" w:lineRule="exact"/>
              <w:rPr>
                <w:sz w:val="20"/>
                <w:szCs w:val="20"/>
                <w:color w:val="auto"/>
              </w:rPr>
            </w:pPr>
            <w:r>
              <w:rPr>
                <w:rFonts w:ascii="Times New Roman" w:cs="Times New Roman" w:eastAsia="Times New Roman" w:hAnsi="Times New Roman"/>
                <w:sz w:val="9"/>
                <w:szCs w:val="9"/>
                <w:b w:val="1"/>
                <w:bCs w:val="1"/>
                <w:color w:val="auto"/>
              </w:rPr>
              <w:t>Center, Inc.</w:t>
            </w:r>
          </w:p>
        </w:tc>
        <w:tc>
          <w:tcPr>
            <w:tcW w:w="1040" w:type="dxa"/>
            <w:vAlign w:val="bottom"/>
          </w:tcPr>
          <w:p>
            <w:pPr>
              <w:jc w:val="center"/>
              <w:ind w:right="150"/>
              <w:spacing w:after="0" w:line="84" w:lineRule="exact"/>
              <w:rPr>
                <w:sz w:val="20"/>
                <w:szCs w:val="20"/>
                <w:color w:val="auto"/>
              </w:rPr>
            </w:pPr>
            <w:r>
              <w:rPr>
                <w:rFonts w:ascii="Times New Roman" w:cs="Times New Roman" w:eastAsia="Times New Roman" w:hAnsi="Times New Roman"/>
                <w:sz w:val="9"/>
                <w:szCs w:val="9"/>
                <w:b w:val="1"/>
                <w:bCs w:val="1"/>
                <w:color w:val="auto"/>
              </w:rPr>
              <w:t>LLC</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LLC</w:t>
            </w: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 at January 1, 2023</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214,768</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229,878</w:t>
            </w:r>
          </w:p>
        </w:tc>
        <w:tc>
          <w:tcPr>
            <w:tcW w:w="168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264,760</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161,306</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61,832</w:t>
            </w:r>
          </w:p>
        </w:tc>
        <w:tc>
          <w:tcPr>
            <w:tcW w:w="1040" w:type="dxa"/>
            <w:vAlign w:val="bottom"/>
            <w:shd w:val="clear" w:color="auto" w:fill="CFF0FC"/>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386,002</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Distributed Shares</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(214,768)</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(229,878)</w:t>
            </w:r>
          </w:p>
        </w:tc>
        <w:tc>
          <w:tcPr>
            <w:tcW w:w="1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(12,305)</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(161,306)</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(61,832)</w:t>
            </w:r>
          </w:p>
        </w:tc>
        <w:tc>
          <w:tcPr>
            <w:tcW w:w="104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(680,089)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Cancelled Shares</w:t>
            </w: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(84,122)</w:t>
            </w: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As at December 31, 2023</w:t>
            </w: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168,333</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386,002</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554,335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 at January 1, 2024</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168,333</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386,002</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Distributed Shares</w:t>
            </w: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(309,337)</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(309,337)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As at December 31, 2024</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168,333</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76,665</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244,998</w:t>
            </w:r>
          </w:p>
        </w:tc>
        <w:tc>
          <w:tcPr>
            <w:tcW w:w="0" w:type="dxa"/>
            <w:vAlign w:val="bottom"/>
          </w:tcPr>
          <w:p>
            <w:pPr>
              <w:spacing w:after="0"/>
              <w:rPr>
                <w:sz w:val="1"/>
                <w:szCs w:val="1"/>
                <w:color w:val="auto"/>
              </w:rPr>
            </w:pPr>
          </w:p>
        </w:tc>
      </w:tr>
      <w:tr>
        <w:trPr>
          <w:trHeight w:val="345"/>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at January 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168,333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76,665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Distributed Shares</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(168,333)</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(76,653)</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Cancelled Shares</w:t>
            </w: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As at December 31, 2025</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60"/>
        <w:spacing w:after="0" w:line="261" w:lineRule="auto"/>
        <w:rPr>
          <w:sz w:val="20"/>
          <w:szCs w:val="20"/>
          <w:color w:val="auto"/>
        </w:rPr>
      </w:pPr>
      <w:r>
        <w:rPr>
          <w:rFonts w:ascii="Times New Roman" w:cs="Times New Roman" w:eastAsia="Times New Roman" w:hAnsi="Times New Roman"/>
          <w:sz w:val="18"/>
          <w:szCs w:val="18"/>
          <w:color w:val="auto"/>
        </w:rPr>
        <w:t>As of December 31, 2023, in accordance with the relevant acquisition agreement, a portion of the outstanding deferred shares were cancelled in order to indemnify the Company for post-acquisition costs. As the cancellation of the deferred shares occurred outside of the purchase price allocation measurement period (generally one year from the acquisition date), the Company recorded a gain of $2,784 thousand within selling general and administrative expenses on the Company’s consolidated statements of operations during the year ended December 31, 2024.</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60" w:hanging="443"/>
        <w:spacing w:after="0"/>
        <w:tabs>
          <w:tab w:leader="none" w:pos="96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400" w:hanging="539"/>
        <w:spacing w:after="0"/>
        <w:tabs>
          <w:tab w:leader="none" w:pos="1400" w:val="left"/>
        </w:tabs>
        <w:numPr>
          <w:ilvl w:val="2"/>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Repurchase of Subordinate and Super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On September 23, 2025, the Company's Board of Directors authorized a new share repurchase program that commenced immediately following the expiration of the Company's previous share repurchase program. The new program authorizes the Company to repurchase up to 10,364,640 of its Subordinate Voting Shares over a 12-month period at an aggregate cost of up to $50,000 thousand.</w:t>
      </w:r>
    </w:p>
    <w:p>
      <w:pPr>
        <w:spacing w:after="0" w:line="68"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Under the Company's previous share repurchase programs, the Company repurchased a total of 7,209,875 and 3,972,000 Subordinate Voting Shares at an average price of $4.84 and $10.85 during each of the years ended December 31, 2025 and 2024, respectively.</w:t>
      </w:r>
    </w:p>
    <w:p>
      <w:pPr>
        <w:spacing w:after="0" w:line="54"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returned $117,814 thousand to shareholders in the form of share repurchases from the commencement of its share repurchase program.</w:t>
      </w:r>
    </w:p>
    <w:p>
      <w:pPr>
        <w:spacing w:after="0" w:line="54" w:lineRule="exact"/>
        <w:rPr>
          <w:sz w:val="20"/>
          <w:szCs w:val="20"/>
          <w:color w:val="auto"/>
        </w:rPr>
      </w:pPr>
    </w:p>
    <w:p>
      <w:pPr>
        <w:ind w:left="520" w:right="140"/>
        <w:spacing w:after="0" w:line="261" w:lineRule="auto"/>
        <w:rPr>
          <w:sz w:val="20"/>
          <w:szCs w:val="20"/>
          <w:color w:val="auto"/>
        </w:rPr>
      </w:pPr>
      <w:r>
        <w:rPr>
          <w:rFonts w:ascii="Times New Roman" w:cs="Times New Roman" w:eastAsia="Times New Roman" w:hAnsi="Times New Roman"/>
          <w:sz w:val="18"/>
          <w:szCs w:val="18"/>
          <w:color w:val="auto"/>
        </w:rPr>
        <w:t>Separately, on December 28, 2025, the Company entered into a securities purchase agreement with Benjamin Kovler, the Chairman and Chief Executive Officer and Anthony Georgiadis, the President and a Director, to purchase 2,500 Super Voting Shares from each in private transactions. The price per Super Voting Share was determined based on the closing price of $7.988 per underlying Subordinate Voting Shares as traded on the OTCQX Best Market on the date of the transaction.</w:t>
      </w:r>
    </w:p>
    <w:p>
      <w:pPr>
        <w:spacing w:after="0" w:line="284" w:lineRule="exact"/>
        <w:rPr>
          <w:sz w:val="20"/>
          <w:szCs w:val="20"/>
          <w:color w:val="auto"/>
        </w:rPr>
      </w:pPr>
    </w:p>
    <w:p>
      <w:pPr>
        <w:ind w:left="980" w:hanging="463"/>
        <w:spacing w:after="0"/>
        <w:tabs>
          <w:tab w:leader="none" w:pos="9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Amendments No. 1 through 4 thereto (as amended, the “Plan”). The maximum number of RSUs and options issuable under the Plan shall not exceed 15% of the Company’s issued and outstanding shares on an as-converted basis.</w:t>
      </w:r>
    </w:p>
    <w:p>
      <w:pPr>
        <w:spacing w:after="0" w:line="68"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2" w:lineRule="exact"/>
        <w:rPr>
          <w:sz w:val="20"/>
          <w:szCs w:val="20"/>
          <w:color w:val="auto"/>
        </w:rPr>
      </w:pPr>
    </w:p>
    <w:p>
      <w:pPr>
        <w:ind w:left="520" w:right="40"/>
        <w:spacing w:after="0" w:line="257" w:lineRule="auto"/>
        <w:rPr>
          <w:sz w:val="20"/>
          <w:szCs w:val="20"/>
          <w:color w:val="auto"/>
        </w:rPr>
      </w:pPr>
      <w:r>
        <w:rPr>
          <w:rFonts w:ascii="Times New Roman" w:cs="Times New Roman" w:eastAsia="Times New Roman" w:hAnsi="Times New Roman"/>
          <w:sz w:val="18"/>
          <w:szCs w:val="18"/>
          <w:color w:val="auto"/>
        </w:rPr>
        <w:t>Option and RSU grants generally vest over three years, and options typically have a life of seven to ten years. Option grants are determined by the Compensation Committee of the Company’s Board of Directors with the option price set at no less than 100% of the fair market value of a share on the date of grant.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479"/>
        <w:spacing w:after="0"/>
        <w:tabs>
          <w:tab w:leader="none" w:pos="1020"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2300" w:type="dxa"/>
            <w:vAlign w:val="bottom"/>
            <w:vMerge w:val="restart"/>
          </w:tcPr>
          <w:p>
            <w:pPr>
              <w:jc w:val="right"/>
              <w:ind w:right="513"/>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3640" w:type="dxa"/>
            <w:vAlign w:val="bottom"/>
            <w:gridSpan w:val="2"/>
            <w:vMerge w:val="restart"/>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Exercise Price Remaining Contractual</w:t>
            </w: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80" w:type="dxa"/>
            <w:vAlign w:val="bottom"/>
            <w:vMerge w:val="restart"/>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Life</w:t>
            </w: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20" w:type="dxa"/>
            <w:vAlign w:val="bottom"/>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8,238,472</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956,520</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(270,332)</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(1,231,896)</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7,692,764</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5,743,426</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December 31, 2025 and 2024, respectively, and the exercise price, multiplied by the number of in-the-money options) that would have been received by the option holders had all option holders exercised their in-the-money options on December 31, 2025 and 2024, respectively. This amount will change in future periods based on the fair market value of the Company’s Subordinate Voting Shares and the number of options outstanding.</w:t>
      </w:r>
    </w:p>
    <w:p>
      <w:pPr>
        <w:spacing w:after="0" w:line="75"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year ended December 31, 2025, 2024 and 2023:</w:t>
      </w:r>
    </w:p>
    <w:p>
      <w:pPr>
        <w:spacing w:after="0" w:line="18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209"/>
        </w:trPr>
        <w:tc>
          <w:tcPr>
            <w:tcW w:w="8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stock option units granted</w:t>
            </w:r>
          </w:p>
        </w:tc>
        <w:tc>
          <w:tcPr>
            <w:tcW w:w="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8"/>
              </w:rPr>
              <w:t>$3.28</w:t>
            </w:r>
          </w:p>
        </w:tc>
        <w:tc>
          <w:tcPr>
            <w:tcW w:w="11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$7.79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r>
      <w:tr>
        <w:trPr>
          <w:trHeight w:val="23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Intrinsic value of stock option units exercised, using market price at exercise date </w:t>
            </w:r>
            <w:r>
              <w:rPr>
                <w:rFonts w:ascii="Times New Roman" w:cs="Times New Roman" w:eastAsia="Times New Roman" w:hAnsi="Times New Roman"/>
                <w:sz w:val="18"/>
                <w:szCs w:val="18"/>
                <w:i w:val="1"/>
                <w:iCs w:val="1"/>
                <w:color w:val="auto"/>
              </w:rPr>
              <w:t>(in thousands)</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$7,505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Pr>
          <w:p>
            <w:pPr>
              <w:spacing w:after="0"/>
              <w:rPr>
                <w:sz w:val="20"/>
                <w:szCs w:val="20"/>
                <w:color w:val="auto"/>
              </w:rPr>
            </w:pPr>
          </w:p>
        </w:tc>
      </w:tr>
    </w:tbl>
    <w:p>
      <w:pPr>
        <w:spacing w:after="0" w:line="204"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years ended December 31, 2025 and 2024, using the following ranges of assumptions: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0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3.61% - 4.33%</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2.72% - 3.92%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 - 64%</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 - 64%</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3.76 - 4.68 years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4.46 - 4.5 years</w:t>
            </w:r>
          </w:p>
        </w:tc>
      </w:tr>
    </w:tbl>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permitted under </w:t>
      </w:r>
      <w:r>
        <w:rPr>
          <w:rFonts w:ascii="Times New Roman" w:cs="Times New Roman" w:eastAsia="Times New Roman" w:hAnsi="Times New Roman"/>
          <w:sz w:val="18"/>
          <w:szCs w:val="18"/>
          <w:i w:val="1"/>
          <w:iCs w:val="1"/>
          <w:color w:val="auto"/>
        </w:rPr>
        <w:t>ASC 718, Stock Compensation</w:t>
      </w:r>
      <w:r>
        <w:rPr>
          <w:rFonts w:ascii="Times New Roman" w:cs="Times New Roman" w:eastAsia="Times New Roman" w:hAnsi="Times New Roman"/>
          <w:sz w:val="18"/>
          <w:szCs w:val="18"/>
          <w:color w:val="auto"/>
        </w:rPr>
        <w:t>, the Company has made an accounting policy choice to account for forfeitures when they occur.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number of non-vested RSU awards as of December 31, 2025 and 2024 and the changes during the year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3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2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41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340" w:type="dxa"/>
            <w:vAlign w:val="bottom"/>
            <w:vMerge w:val="restart"/>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4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4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7,678,310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5,855,948</w:t>
            </w:r>
          </w:p>
        </w:tc>
        <w:tc>
          <w:tcPr>
            <w:tcW w:w="20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4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(1,945,464)</w:t>
            </w:r>
          </w:p>
        </w:tc>
        <w:tc>
          <w:tcPr>
            <w:tcW w:w="20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tcPr>
          <w:p>
            <w:pPr>
              <w:spacing w:after="0"/>
              <w:rPr>
                <w:sz w:val="18"/>
                <w:szCs w:val="18"/>
                <w:color w:val="auto"/>
              </w:rPr>
            </w:pPr>
          </w:p>
        </w:tc>
        <w:tc>
          <w:tcPr>
            <w:tcW w:w="2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(2,070,501)</w:t>
            </w: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4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9,518,293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45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F-34</w:t>
            </w: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479"/>
        <w:spacing w:after="0"/>
        <w:tabs>
          <w:tab w:leader="none" w:pos="102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RSUs granted for the years ended December 31, 2025,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60" w:type="dxa"/>
            <w:vAlign w:val="bottom"/>
            <w:tcBorders>
              <w:bottom w:val="single" w:sz="8" w:color="auto"/>
            </w:tcBorders>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4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r>
      <w:tr>
        <w:trPr>
          <w:trHeight w:val="23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RSUs granted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r>
    </w:tbl>
    <w:p>
      <w:pPr>
        <w:spacing w:after="0" w:line="3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stock-based compensation expense for the years ended December 31, 2025, 2024 and 2023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96"/>
        </w:trPr>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expense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6,944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1460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460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37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37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As of December 31, 2025, $61,419 thousand of total unrecognized expense related to stock-based compensation awards is expected to be recognized over a weighted-average period of 1.76 years.</w:t>
      </w:r>
    </w:p>
    <w:p>
      <w:pPr>
        <w:spacing w:after="0" w:line="198" w:lineRule="exact"/>
        <w:rPr>
          <w:sz w:val="20"/>
          <w:szCs w:val="20"/>
          <w:color w:val="auto"/>
        </w:rPr>
      </w:pPr>
    </w:p>
    <w:p>
      <w:pPr>
        <w:ind w:left="540" w:hanging="53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tax assets and liabilities are recognized based upon anticipated future tax consequences attributable to differences between financial statement carrying values of assets and liabilities and the respective tax basis.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Green Thumb Industries Inc. is organized in Canada but maintains all of its operations in the United States. Due to this inverted entity structure, the Company is subject to both US and Canadian taxation.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income taxes expense consisted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116,811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22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128,582</w:t>
            </w:r>
          </w:p>
        </w:tc>
        <w:tc>
          <w:tcPr>
            <w:tcW w:w="22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132,338</w:t>
            </w: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22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Deferred</w:t>
            </w: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147,302</w:t>
            </w:r>
          </w:p>
        </w:tc>
        <w:tc>
          <w:tcPr>
            <w:tcW w:w="2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126,288</w:t>
            </w:r>
          </w:p>
        </w:tc>
        <w:tc>
          <w:tcPr>
            <w:tcW w:w="2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118,630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300" w:type="dxa"/>
            <w:vAlign w:val="bottom"/>
            <w:tcBorders>
              <w:top w:val="single" w:sz="8" w:color="CFF0FC"/>
            </w:tcBorders>
          </w:tcPr>
          <w:p>
            <w:pPr>
              <w:spacing w:after="0"/>
              <w:rPr>
                <w:sz w:val="24"/>
                <w:szCs w:val="24"/>
                <w:color w:val="auto"/>
              </w:rPr>
            </w:pPr>
          </w:p>
        </w:tc>
        <w:tc>
          <w:tcPr>
            <w:tcW w:w="3100" w:type="dxa"/>
            <w:vAlign w:val="bottom"/>
            <w:tcBorders>
              <w:top w:val="single" w:sz="8" w:color="CFF0FC"/>
            </w:tcBorders>
          </w:tcPr>
          <w:p>
            <w:pPr>
              <w:jc w:val="right"/>
              <w:ind w:right="510"/>
              <w:spacing w:after="0"/>
              <w:rPr>
                <w:sz w:val="20"/>
                <w:szCs w:val="20"/>
                <w:color w:val="auto"/>
              </w:rPr>
            </w:pPr>
            <w:r>
              <w:rPr>
                <w:rFonts w:ascii="Times New Roman" w:cs="Times New Roman" w:eastAsia="Times New Roman" w:hAnsi="Times New Roman"/>
                <w:sz w:val="18"/>
                <w:szCs w:val="18"/>
                <w:color w:val="auto"/>
              </w:rPr>
              <w:t>F-35</w:t>
            </w: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-1645285</wp:posOffset>
            </wp:positionV>
            <wp:extent cx="137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-1645285</wp:posOffset>
            </wp:positionV>
            <wp:extent cx="14605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-1087755</wp:posOffset>
            </wp:positionV>
            <wp:extent cx="137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1460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-796290</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-779145</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-796290</wp:posOffset>
            </wp:positionV>
            <wp:extent cx="1460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-779145</wp:posOffset>
            </wp:positionV>
            <wp:extent cx="1460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difference between the income tax expense for the years ended December 31, 2025, 2024 and 2023 and the expected income taxes based on the statutory tax rate applied to earnings (loss) arises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99"/>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r>
      <w:tr>
        <w:trPr>
          <w:trHeight w:val="196"/>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(Dollars in thousands except percentages)</w:t>
            </w: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55,305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42,029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32,770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FFFFFF"/>
              </w:rPr>
              <w:t>p</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 and Local Income Taxes, Net of Federal Income Tax</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(a)</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14,154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20,718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15,639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(450)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10,110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49,926</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45,925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29.43%</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75,030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10,290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23,362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Adjustments - Federal</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(8,292)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2,941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929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 - States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1,445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147,302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126,288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118,630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State Taxes in Illinois, Maryland, and Pennsylvania made up the majority (greater than 50%) of the tax effect in this category.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paid for the years ended December 31, 2025, 2024 and 2023 were $30,214 thousand, $130,583 thousand and $99,535 thousand, respectively. For the year ended December 31, 2025, federal taxes paid were $13,402 thousand and state taxes paid for Illinois, Maryland and New Jersey were $12,095 thousand.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the Company operates in the cannabis industry, the IRS contends the Company is subject to IRC Section 280E under which the Company is only allowed to deduct expenses directly related to sales of product. This results in unrecognized tax benefits which can cause the effective tax rate to be highly variable and may not necessarily correlate with pre-tax income or loss.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the components of deferred tax assets and liabilities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5"/>
                <w:szCs w:val="15"/>
                <w:color w:val="auto"/>
              </w:rPr>
            </w:pPr>
          </w:p>
        </w:tc>
      </w:tr>
      <w:tr>
        <w:trPr>
          <w:trHeight w:val="209"/>
        </w:trPr>
        <w:tc>
          <w:tcPr>
            <w:tcW w:w="4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280" w:type="dxa"/>
            <w:vAlign w:val="bottom"/>
            <w:tcBorders>
              <w:bottom w:val="single" w:sz="8" w:color="CFF0FC"/>
            </w:tcBorders>
          </w:tcPr>
          <w:p>
            <w:pPr>
              <w:spacing w:after="0"/>
              <w:rPr>
                <w:sz w:val="19"/>
                <w:szCs w:val="19"/>
                <w:color w:val="auto"/>
              </w:rPr>
            </w:pPr>
          </w:p>
        </w:tc>
        <w:tc>
          <w:tcPr>
            <w:tcW w:w="20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Borders>
              <w:bottom w:val="single" w:sz="8" w:color="auto"/>
            </w:tcBorders>
          </w:tcPr>
          <w:p>
            <w:pPr>
              <w:spacing w:after="0"/>
              <w:rPr>
                <w:sz w:val="19"/>
                <w:szCs w:val="19"/>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Operating Losses</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163(j) Interest Limitation</w:t>
            </w: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Bonus</w:t>
            </w: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Fair Value Investments</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Capitalized Inventory</w:t>
            </w: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Rent</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 Impairment</w:t>
            </w: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Valuation Allowance</w:t>
            </w:r>
          </w:p>
        </w:tc>
        <w:tc>
          <w:tcPr>
            <w:tcW w:w="20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10"/>
        </w:trPr>
        <w:tc>
          <w:tcPr>
            <w:tcW w:w="4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151,339</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w:t>
            </w:r>
          </w:p>
        </w:tc>
      </w:tr>
      <w:tr>
        <w:trPr>
          <w:trHeight w:val="209"/>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(82,360)</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(55,645)</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 Fair Value Derivative</w:t>
            </w: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Intangibles</w:t>
            </w:r>
          </w:p>
        </w:tc>
        <w:tc>
          <w:tcPr>
            <w:tcW w:w="2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(49,142)</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RYM Note Receivable Settlement</w:t>
            </w:r>
          </w:p>
        </w:tc>
        <w:tc>
          <w:tcPr>
            <w:tcW w:w="20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(168,692)</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(110,522)</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(17,353)</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0"/>
        </w:trPr>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-1010920</wp:posOffset>
            </wp:positionV>
            <wp:extent cx="24828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2482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pacing w:after="0" w:line="17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2025 and 2024 in the amount of $334 thousand and $1,126 thousand, respectively.</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$1,300 thousand of gross federal net operating loss carryforwards. Additionally, the Company had $3,779 thousand of gross state net operating loss carryforwards, if not claimed, begin to expire in 2031. The Company’s evaluation concluded that the majority of the net operating losses will be realized.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Pursuant to IRC Sections 382 and 383 of the Internal Revenue Code of 1986, as amended,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 operates in a number of tax jurisdictions and is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recognizes the benefits of uncertain tax positions in our consolidated financial statements only after determining that it is more likely than not that the uncertain tax positions will be sustained.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600" w:hanging="547"/>
        <w:spacing w:after="0"/>
        <w:tabs>
          <w:tab w:leader="none" w:pos="60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09"/>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76,782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66,492</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43,130</w:t>
            </w:r>
          </w:p>
        </w:tc>
        <w:tc>
          <w:tcPr>
            <w:tcW w:w="20" w:type="dxa"/>
            <w:vAlign w:val="bottom"/>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tax positions in a prior period</w:t>
            </w:r>
          </w:p>
        </w:tc>
        <w:tc>
          <w:tcPr>
            <w:tcW w:w="2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64,042</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related to tax positions in a prior period</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(20,347)</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0" w:type="dxa"/>
            <w:vAlign w:val="bottom"/>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tax positions in the current period</w:t>
            </w:r>
          </w:p>
        </w:tc>
        <w:tc>
          <w:tcPr>
            <w:tcW w:w="2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84,975</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14,218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related to tax positions in a current period</w:t>
            </w:r>
          </w:p>
        </w:tc>
        <w:tc>
          <w:tcPr>
            <w:tcW w:w="2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203,348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76,782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66,492</w:t>
            </w:r>
          </w:p>
        </w:tc>
        <w:tc>
          <w:tcPr>
            <w:tcW w:w="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1797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1797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7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Company recognizes accrued interest and penalties related to unrecognized tax benefits in the provision for income taxes. As of December 31, 2025, 2024 and 2023, we recognized $5,863 thousand, $4,726 thousand and $10,043 thousand of interest and penalties, respectively. As of December 31, 2025 and 2024 we have accrued for interest and penalties of $25,207 thousand and $19,344 thousand of interest and penalties, respectively. As of December 31, 2025, $22,806 thousand of unrecognized tax benefits are expected to be recovered over the next 12 months. We file income tax returns in the US, various state jurisdictions, and Canada, which jurisdictions have varying statutes of limitations. The US federal statute of limitation and state income tax returns generally remain open for the 2022 tax year to the present. Net operating loss arising prior to these years are also open to examination if and when utilized.</w:t>
      </w:r>
    </w:p>
    <w:p>
      <w:pPr>
        <w:spacing w:after="0" w:line="209" w:lineRule="exact"/>
        <w:rPr>
          <w:sz w:val="20"/>
          <w:szCs w:val="20"/>
          <w:color w:val="auto"/>
        </w:rPr>
      </w:pPr>
    </w:p>
    <w:p>
      <w:pPr>
        <w:ind w:left="540" w:hanging="53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other income (expense) was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4260" w:type="dxa"/>
            <w:vAlign w:val="bottom"/>
          </w:tcPr>
          <w:p>
            <w:pPr>
              <w:spacing w:after="0"/>
              <w:rPr>
                <w:sz w:val="15"/>
                <w:szCs w:val="15"/>
                <w:color w:val="auto"/>
              </w:rPr>
            </w:pPr>
          </w:p>
        </w:tc>
        <w:tc>
          <w:tcPr>
            <w:tcW w:w="2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5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spacing w:after="0"/>
              <w:rPr>
                <w:sz w:val="14"/>
                <w:szCs w:val="14"/>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(17,868)</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Net gain on divestitures of intellectual property</w:t>
            </w: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29,876</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1,283</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adjustments on warrants liability</w:t>
            </w: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34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1,403</w:t>
            </w:r>
          </w:p>
        </w:tc>
      </w:tr>
      <w:tr>
        <w:trPr>
          <w:trHeight w:val="20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equity method investments</w:t>
            </w:r>
          </w:p>
        </w:tc>
        <w:tc>
          <w:tcPr>
            <w:tcW w:w="1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3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(1,166)</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4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40" w:type="dxa"/>
            <w:vAlign w:val="bottom"/>
          </w:tcPr>
          <w:p>
            <w:pPr>
              <w:spacing w:after="0"/>
              <w:rPr>
                <w:sz w:val="17"/>
                <w:szCs w:val="17"/>
                <w:color w:val="auto"/>
              </w:rPr>
            </w:pP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141</w:t>
            </w:r>
          </w:p>
        </w:tc>
      </w:tr>
      <w:tr>
        <w:trPr>
          <w:trHeight w:val="23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15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8,350</w:t>
            </w:r>
          </w:p>
        </w:tc>
        <w:tc>
          <w:tcPr>
            <w:tcW w:w="34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(9,094)</w:t>
            </w:r>
          </w:p>
        </w:tc>
        <w:tc>
          <w:tcPr>
            <w:tcW w:w="3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(16,207)</w:t>
            </w:r>
          </w:p>
        </w:tc>
      </w:tr>
      <w:tr>
        <w:trPr>
          <w:trHeight w:val="521"/>
        </w:trPr>
        <w:tc>
          <w:tcPr>
            <w:tcW w:w="4260" w:type="dxa"/>
            <w:vAlign w:val="bottom"/>
          </w:tcPr>
          <w:p>
            <w:pPr>
              <w:spacing w:after="0"/>
              <w:rPr>
                <w:sz w:val="24"/>
                <w:szCs w:val="24"/>
                <w:color w:val="auto"/>
              </w:rPr>
            </w:pPr>
          </w:p>
        </w:tc>
        <w:tc>
          <w:tcPr>
            <w:tcW w:w="26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F-38</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-864870</wp:posOffset>
            </wp:positionV>
            <wp:extent cx="21463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-847725</wp:posOffset>
            </wp:positionV>
            <wp:extent cx="2146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-864870</wp:posOffset>
            </wp:positionV>
            <wp:extent cx="21463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-847725</wp:posOffset>
            </wp:positionV>
            <wp:extent cx="2146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w:t>
      </w:r>
    </w:p>
    <w:p>
      <w:pPr>
        <w:spacing w:after="0" w:line="68"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2025 and 2024, cannabis and other regulations continue to evolve and are subject to differing interpretations. As a result, the Company may be subject to regulatory fines, penalties, or restrictions in the future.</w:t>
      </w:r>
    </w:p>
    <w:p>
      <w:pPr>
        <w:spacing w:after="0" w:line="71"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121"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2025:</w:t>
      </w:r>
    </w:p>
    <w:p>
      <w:pPr>
        <w:spacing w:after="0" w:line="54" w:lineRule="exact"/>
        <w:rPr>
          <w:sz w:val="20"/>
          <w:szCs w:val="20"/>
          <w:color w:val="auto"/>
        </w:rPr>
      </w:pPr>
    </w:p>
    <w:p>
      <w:pPr>
        <w:ind w:left="1260" w:right="80"/>
        <w:spacing w:after="0" w:line="256" w:lineRule="auto"/>
        <w:rPr>
          <w:sz w:val="20"/>
          <w:szCs w:val="20"/>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Company's consolidated balance sheets.</w:t>
      </w:r>
    </w:p>
    <w:p>
      <w:pPr>
        <w:spacing w:after="0" w:line="79" w:lineRule="exact"/>
        <w:rPr>
          <w:sz w:val="20"/>
          <w:szCs w:val="20"/>
          <w:color w:val="auto"/>
        </w:rPr>
      </w:pPr>
    </w:p>
    <w:p>
      <w:pPr>
        <w:ind w:left="1260" w:right="320"/>
        <w:spacing w:after="0" w:line="261" w:lineRule="auto"/>
        <w:rPr>
          <w:sz w:val="20"/>
          <w:szCs w:val="20"/>
          <w:color w:val="auto"/>
        </w:rPr>
      </w:pPr>
      <w:r>
        <w:rPr>
          <w:rFonts w:ascii="Times New Roman" w:cs="Times New Roman" w:eastAsia="Times New Roman" w:hAnsi="Times New Roman"/>
          <w:sz w:val="18"/>
          <w:szCs w:val="18"/>
          <w:color w:val="auto"/>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December 31, 2025, the Company held the bond in the amount of $9,284 thousand within restricted cash and cash equivalents on the Company's consolidated balance sheets.</w:t>
      </w:r>
    </w:p>
    <w:p>
      <w:pPr>
        <w:spacing w:after="0" w:line="72"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At December 31, 2025 and 2024, other than as discussed above, there were no pending or threatened lawsuits considered probable or reasonably possible to result in an unfavorable outcome with an exposure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8"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Commitments</w:t>
      </w:r>
    </w:p>
    <w:p>
      <w:pPr>
        <w:spacing w:after="0" w:line="121" w:lineRule="exact"/>
        <w:rPr>
          <w:sz w:val="20"/>
          <w:szCs w:val="20"/>
          <w:color w:val="auto"/>
        </w:rPr>
      </w:pPr>
    </w:p>
    <w:p>
      <w:pPr>
        <w:ind w:left="520" w:right="4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held approximately $2,900 thousand of open construction commitments to contractors on work being performed which are generally expected to be completed within 12 months.</w:t>
      </w: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Company’s long-term notes payable (the Credit Facility and mortgage notes), for which there were no quoted market prices or active trading markets, it was not practicable to estimate the fair value of these financial instruments. The carrying amount of notes payable at December 31, 2025 and 2024 was $244,896 thousand and $254,958 thousand, which includes $18,495 thousand and $12,062 thousand, respectively, of short-term debt due within one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which are measured at fair value as of December 31, 2025 and 2024:</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274,298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4"/>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274,298</w:t>
            </w:r>
          </w:p>
        </w:tc>
        <w:tc>
          <w:tcPr>
            <w:tcW w:w="12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80" w:type="dxa"/>
            <w:vAlign w:val="bottom"/>
            <w:gridSpan w:val="4"/>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32,720</w:t>
            </w:r>
          </w:p>
        </w:tc>
        <w:tc>
          <w:tcPr>
            <w:tcW w:w="120" w:type="dxa"/>
            <w:vAlign w:val="bottom"/>
            <w:shd w:val="clear" w:color="auto" w:fill="CFF0FC"/>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285,282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32,720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318,002</w:t>
            </w:r>
          </w:p>
        </w:tc>
        <w:tc>
          <w:tcPr>
            <w:tcW w:w="12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3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10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171,687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4"/>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171,687</w:t>
            </w:r>
          </w:p>
        </w:tc>
        <w:tc>
          <w:tcPr>
            <w:tcW w:w="12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43,578</w:t>
            </w: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30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3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171,687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8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215,197</w:t>
            </w:r>
          </w:p>
        </w:tc>
        <w:tc>
          <w:tcPr>
            <w:tcW w:w="12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-1949450</wp:posOffset>
            </wp:positionV>
            <wp:extent cx="85725" cy="1714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-1949450</wp:posOffset>
            </wp:positionV>
            <wp:extent cx="85090" cy="1714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85090" cy="17145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-1949450</wp:posOffset>
            </wp:positionV>
            <wp:extent cx="85725"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-1949450</wp:posOffset>
            </wp:positionV>
            <wp:extent cx="93980"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-835025</wp:posOffset>
            </wp:positionV>
            <wp:extent cx="85725" cy="1708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-835025</wp:posOffset>
            </wp:positionV>
            <wp:extent cx="85090" cy="1708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-835025</wp:posOffset>
            </wp:positionV>
            <wp:extent cx="85725" cy="1708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-835025</wp:posOffset>
            </wp:positionV>
            <wp:extent cx="93980" cy="1708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-162560</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596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-162560</wp:posOffset>
            </wp:positionV>
            <wp:extent cx="60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-162560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24" w:lineRule="exact"/>
        <w:rPr>
          <w:sz w:val="20"/>
          <w:szCs w:val="20"/>
          <w:color w:val="auto"/>
        </w:rPr>
      </w:pPr>
    </w:p>
    <w:p>
      <w:pPr>
        <w:ind w:left="540" w:hanging="532"/>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WITH AFFILIATED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5, 2024, the Company acquired a noncontrolling financial interest in Agrify Corporation (now known as RYTHM Inc. and referred to herein as “RYM”), in exchange for $15,000 thousand in cash and $3,280 thousand in Subordinate Voting Shares of Green Thumb. As part of the transaction, the Company also acquired warrants that would allow the Company to extend its ownership stake if exercised, subject to certain beneficial ownership limitations - all of which remained outstanding as of December 31, 2025 and 2024, respectively. In addition, on November 5, 2024, the Company extended a convertible secured note to RYM (the “Original Notes”), the carrying value of which was $10,000 thousand as of such date. The Original Notes, bear interest at an annualized rate of 10%.</w:t>
      </w:r>
    </w:p>
    <w:p>
      <w:pPr>
        <w:spacing w:after="0" w:line="7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Benjamin Kovler, Chairman and Chief Executive Officer of Green Thumb, and Armon Vakali, Vice President, Strategic Initiatives and Partnerships of Green Thumb, were appointed by RYM's Board of Directors to serve as RYM's Chairman and Interim Chief Executive Officer and member of RYM's Board, respectively.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20, 2025, Green Thumb entered into an agreement with RYM whereby Green Thumb agreed to sell its intellectual property in its incredibles brand as well as its hemp business, operated in its former subsidiary, Core Growth LLC for $5,075 thousand in cash. As part of the transaction, RYM agreed to license the intellectual property back to Green Thumb allowing the Company to continue production and sale of incredibles branded cannabis products. As part of the transaction, the Company evaluated the repurchase rights in the sale agreement and concluded that they would not preclude the Company from accounting for the transaction as a sale. Separately, Green Thumb agreed to license its intellectual property in Beboe and RYM branded products to RYM (the “May Licensing Agreement”). As a result of the transaction, Green Thumb recorded a loss on the sale of $11,678 thousand within other income (expense) on the consolidated statements of operations.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22, 2025, RYM and Green Thumb amended the Original Notes to allow Green Thumb to receive pre-funded warrants in lieu of shares of RYM upon conversion of the Original Notes. No other terms of the Original Notes were amended. In addition, Green Thumb extended an additional $27,000 thousand in convertible notes (the “May 2025 Notes”) to RYM, due November 22, 2026. Other than the amount and maturity date, all of the terms of the May 2025 Notes are consistent with the Original Notes, as amended.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25, 2025, Green Thumb extended another Convertible Note in the amount of $45,000 thousand (the “August 2025 Notes”) to RYM. The August 2025 Notes mature on February 25, 2027, bear interest at an annualized rate of 10% and may be converted into shares of RYM or, at the election of the holder, into pre-funded warrants, subject to beneficial ownership limitations as well as applicable Nasdaq listing rules. If converted into common shares of RYM, such shares would be converted at a rate of $29.475 per share.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accrued interest on the “Combined Notes” (the Original Notes, May 2025 Notes and August 2025 Notes, collectively) was $2,326 thousand and $156 thousand, respectively.</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August 27, 2025, Green Thumb sold its intellectual property rights in brands including RYTHM, Beboe, Dogwalkers, Doctor Solomon's, &amp;Shine and Good Green for $50,000 thousand in cash. As part of the transaction, RYM agreed to license the intellectual property back to Green Thumb and cancel the May Licensing Agreement between RYM and the Company. Upon closing, Agrify Corporation formally changed its name to RYTHM, Inc. As a result of the transaction, Green Thumb recorded a gain on the sale of $41,554 thousand within other income (expense) on the consolidated statements of operations as of such date. As part of the transaction, the Company evaluated the repurchase rights in the sale agreement and concluded that they would not preclude the Company from accounting for the transaction as a sale. As of December 31, 2025, the Company owed RYM an immaterial amount in licensing fees in association with the licensing agreements. Such amount was included within accounts payable on the consolidated balance sheets.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5, 2025, the Original Notes matured and were exchanged for 3,222,997 pre-funded warrants representing the principal amount plus accrued interest on the Original Notes. The pre-funded warrants were recorded at fair value, based on the trading price of RYM's stock price as traded on the NASDAQ exchange on the date of the transaction and resulted in a gain of $122,769 thousand which was included within other income (expense) on the consolidated statements of operations.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Green Thumb's investment in RYM had a carrying value of $152,374 thousand and $18,873 thousand as of December 31, 2025 and 2024, respectively. Such amounts were included within investment in associates on the Company’s consolidated balance sheets. As of December 31, 2025 and 2024, the Company held a 32.5% and 34.0% ownership interest in RYM, respectively, and accounted for its investment using the equity method of accounting due to the significant influence Green Thumb has the ability to exert over RYM.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24" w:lineRule="exact"/>
        <w:rPr>
          <w:sz w:val="20"/>
          <w:szCs w:val="20"/>
          <w:color w:val="auto"/>
        </w:rPr>
      </w:pPr>
    </w:p>
    <w:p>
      <w:pPr>
        <w:ind w:left="540" w:hanging="532"/>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WITH AFFILIATED ENTITIES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Green Thumb performed various services for RYM, pursuant to two shared services agreements, pursuant to which the Company provides operational support for RYM, for which the Company was owed $3,186 thousand and $319 thousand, respectively.</w:t>
      </w:r>
    </w:p>
    <w:p>
      <w:pPr>
        <w:spacing w:after="0" w:line="374" w:lineRule="exact"/>
        <w:rPr>
          <w:sz w:val="20"/>
          <w:szCs w:val="20"/>
          <w:color w:val="auto"/>
        </w:rPr>
      </w:pPr>
    </w:p>
    <w:p>
      <w:pPr>
        <w:ind w:left="540" w:hanging="532"/>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net revenue, significant expenses, and gross profit by segment for the years ended December 31, 2025,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r>
      <w:tr>
        <w:trPr>
          <w:trHeight w:val="209"/>
        </w:trPr>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791,480</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677,350</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648,388</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559,480</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(331,593)</w:t>
            </w:r>
          </w:p>
        </w:tc>
        <w:tc>
          <w:tcPr>
            <w:tcW w:w="2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(335,973)</w:t>
            </w:r>
          </w:p>
        </w:tc>
        <w:tc>
          <w:tcPr>
            <w:tcW w:w="220" w:type="dxa"/>
            <w:vAlign w:val="bottom"/>
          </w:tcPr>
          <w:p>
            <w:pPr>
              <w:spacing w:after="0"/>
              <w:rPr>
                <w:sz w:val="18"/>
                <w:szCs w:val="18"/>
                <w:color w:val="auto"/>
              </w:rPr>
            </w:pPr>
          </w:p>
        </w:tc>
        <w:tc>
          <w:tcPr>
            <w:tcW w:w="2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(296,407)</w:t>
            </w: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1,175,295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1,137,141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1,054,553</w:t>
            </w:r>
          </w:p>
        </w:tc>
      </w:tr>
      <w:tr>
        <w:trPr>
          <w:trHeight w:val="197"/>
        </w:trPr>
        <w:tc>
          <w:tcPr>
            <w:tcW w:w="376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Cost of Goods Sold</w:t>
            </w: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531,468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541,135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517,845</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434,486</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367,573</w:t>
            </w:r>
          </w:p>
        </w:tc>
        <w:tc>
          <w:tcPr>
            <w:tcW w:w="220" w:type="dxa"/>
            <w:vAlign w:val="bottom"/>
          </w:tcPr>
          <w:p>
            <w:pPr>
              <w:spacing w:after="0"/>
              <w:rPr>
                <w:sz w:val="18"/>
                <w:szCs w:val="18"/>
                <w:color w:val="auto"/>
              </w:rPr>
            </w:pP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326,384</w:t>
            </w:r>
          </w:p>
        </w:tc>
      </w:tr>
      <w:tr>
        <w:trPr>
          <w:trHeight w:val="216"/>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(365,552)</w:t>
            </w:r>
          </w:p>
        </w:tc>
        <w:tc>
          <w:tcPr>
            <w:tcW w:w="2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(372,676)</w:t>
            </w:r>
          </w:p>
        </w:tc>
        <w:tc>
          <w:tcPr>
            <w:tcW w:w="22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(316,171)</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600,402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536,032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528,058</w:t>
            </w:r>
          </w:p>
        </w:tc>
      </w:tr>
      <w:tr>
        <w:trPr>
          <w:trHeight w:val="20"/>
        </w:trPr>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96"/>
        </w:trPr>
        <w:tc>
          <w:tcPr>
            <w:tcW w:w="3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Gross Profit</w:t>
            </w:r>
          </w:p>
        </w:tc>
        <w:tc>
          <w:tcPr>
            <w:tcW w:w="10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273,635</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242,864</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280,815</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233,096</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2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36,703</w:t>
            </w:r>
          </w:p>
        </w:tc>
        <w:tc>
          <w:tcPr>
            <w:tcW w:w="220" w:type="dxa"/>
            <w:vAlign w:val="bottom"/>
          </w:tcPr>
          <w:p>
            <w:pPr>
              <w:spacing w:after="0"/>
              <w:rPr>
                <w:sz w:val="18"/>
                <w:szCs w:val="18"/>
                <w:color w:val="auto"/>
              </w:rPr>
            </w:pPr>
          </w:p>
        </w:tc>
        <w:tc>
          <w:tcPr>
            <w:tcW w:w="2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19,764</w:t>
            </w: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574,893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601,109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526,495</w:t>
            </w:r>
          </w:p>
        </w:tc>
      </w:tr>
      <w:tr>
        <w:trPr>
          <w:trHeight w:val="196"/>
        </w:trPr>
        <w:tc>
          <w:tcPr>
            <w:tcW w:w="376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37,568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89,357</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220" w:type="dxa"/>
            <w:vAlign w:val="bottom"/>
          </w:tcPr>
          <w:p>
            <w:pPr>
              <w:spacing w:after="0"/>
              <w:rPr>
                <w:sz w:val="18"/>
                <w:szCs w:val="18"/>
                <w:color w:val="auto"/>
              </w:rPr>
            </w:pP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63,222</w:t>
            </w:r>
          </w:p>
        </w:tc>
      </w:tr>
      <w:tr>
        <w:trPr>
          <w:trHeight w:val="216"/>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100,790</w:t>
            </w:r>
          </w:p>
        </w:tc>
      </w:tr>
      <w:tr>
        <w:trPr>
          <w:trHeight w:val="20"/>
        </w:trPr>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-2185670</wp:posOffset>
            </wp:positionV>
            <wp:extent cx="14605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-2167890</wp:posOffset>
            </wp:positionV>
            <wp:extent cx="1460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-2185670</wp:posOffset>
            </wp:positionV>
            <wp:extent cx="137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-2167890</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-1610995</wp:posOffset>
            </wp:positionV>
            <wp:extent cx="14605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-1610995</wp:posOffset>
            </wp:positionV>
            <wp:extent cx="137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-745490</wp:posOffset>
            </wp:positionV>
            <wp:extent cx="1460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-728345</wp:posOffset>
            </wp:positionV>
            <wp:extent cx="1460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-745490</wp:posOffset>
            </wp:positionV>
            <wp:extent cx="137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-728345</wp:posOffset>
            </wp:positionV>
            <wp:extent cx="1371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1460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137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Goodwill assigned to the Retail segment as of December 31, 2025 and 2024 was $277,342 and $273,802 thousand, respectively. Intangible assets, net assigned to the Retail segment as of December 31, 2025 and 2024 was $251,846 thousand and $254,358 thousand, respectively.</w:t>
      </w:r>
    </w:p>
    <w:p>
      <w:pPr>
        <w:spacing w:after="0" w:line="5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December 31, 2025 and 2024 was $314,809 thousand and $315,889 thousand, respectively. Intangible assets, net assigned to the Consumer Packaged Goods segment as of December 31, 2025 and 2024 was $184,835 thousand and $233,929 thousand, respectively.</w:t>
      </w:r>
    </w:p>
    <w:p>
      <w:pPr>
        <w:spacing w:after="0" w:line="6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assets are aggregated into two reporting units (Retail and Consumer Packaged Goods) which align with our reportable segments. All revenues are derived from customers domiciled in the United States and all assets are located in the United States.</w:t>
      </w: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32" w:hanging="532"/>
        <w:spacing w:after="0"/>
        <w:tabs>
          <w:tab w:leader="none" w:pos="53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2" w:hanging="512"/>
        <w:spacing w:after="0"/>
        <w:tabs>
          <w:tab w:leader="none" w:pos="51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337" w:lineRule="exact"/>
        <w:rPr>
          <w:rFonts w:ascii="Times New Roman" w:cs="Times New Roman" w:eastAsia="Times New Roman" w:hAnsi="Times New Roman"/>
          <w:sz w:val="18"/>
          <w:szCs w:val="18"/>
          <w:b w:val="1"/>
          <w:bCs w:val="1"/>
          <w:color w:val="auto"/>
        </w:rPr>
      </w:pPr>
    </w:p>
    <w:p>
      <w:pPr>
        <w:ind w:left="51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quarter, on February 5, 2026, the Company was notified of an arbitration award in favor of Green Thumb in relation to a 2018 agreement with Ascend Wellness Holdings Inc.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Ascend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On February 12, 2026, Ascend remitted $17,000 thousand to Green Thumb in order to settle the matter in accordance with the parties settlement agreement.</w:t>
      </w:r>
    </w:p>
    <w:p>
      <w:pPr>
        <w:spacing w:after="0" w:line="66"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Syndicated Credit Facility</w:t>
      </w:r>
    </w:p>
    <w:p>
      <w:pPr>
        <w:spacing w:after="0" w:line="229" w:lineRule="exact"/>
        <w:rPr>
          <w:rFonts w:ascii="Times New Roman" w:cs="Times New Roman" w:eastAsia="Times New Roman" w:hAnsi="Times New Roman"/>
          <w:sz w:val="18"/>
          <w:szCs w:val="18"/>
          <w:b w:val="1"/>
          <w:bCs w:val="1"/>
          <w:color w:val="auto"/>
        </w:rPr>
      </w:pPr>
    </w:p>
    <w:p>
      <w:pPr>
        <w:ind w:left="51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quarter. on February 19, 2026, the Company amended its existing syndicated credit facility agreement, for the purpose of borrowing an additional $50,000 thousand (issued as “Amended Credit Facility”), as permitted under the original agreement. The Amended Credit Facility has terms which are consistent with the terms under the existing syndicated credit facility, which include, an interest rate at SOFR plus 500 basis points. The Amended Credit Facility increased the total amount borrowed to $200,000 thousand with a current principal balance of $188,750 thousand as of the date of the transaction.</w:t>
      </w:r>
    </w:p>
    <w:p>
      <w:pPr>
        <w:spacing w:after="0" w:line="39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765" w:right="4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quarterly data for 2025 and 2024.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73"/>
        </w:trPr>
        <w:tc>
          <w:tcPr>
            <w:tcW w:w="4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42"/>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 net of discounts</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279,540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293,257</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291,369</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311,129</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1,175,295</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42,482</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39,433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36,741</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19,044</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137,700</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Green Thumb Industries, Inc.</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8,306</w:t>
            </w:r>
          </w:p>
        </w:tc>
        <w:tc>
          <w:tcPr>
            <w:tcW w:w="2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23,288</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83,203</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114,152</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 per share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per share - diluted</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100" w:type="dxa"/>
            <w:vAlign w:val="bottom"/>
          </w:tcPr>
          <w:p>
            <w:pPr>
              <w:spacing w:after="0"/>
              <w:rPr>
                <w:sz w:val="12"/>
                <w:szCs w:val="12"/>
                <w:color w:val="auto"/>
              </w:rPr>
            </w:pPr>
          </w:p>
        </w:tc>
      </w:tr>
      <w:tr>
        <w:trPr>
          <w:trHeight w:val="149"/>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236,120,511</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235,842,313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231,652,595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231,912,718</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233,865,410</w:t>
            </w:r>
          </w:p>
        </w:tc>
        <w:tc>
          <w:tcPr>
            <w:tcW w:w="100" w:type="dxa"/>
            <w:vAlign w:val="bottom"/>
            <w:shd w:val="clear" w:color="auto" w:fill="CFF0FC"/>
          </w:tcPr>
          <w:p>
            <w:pPr>
              <w:spacing w:after="0"/>
              <w:rPr>
                <w:sz w:val="12"/>
                <w:szCs w:val="12"/>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236,822,468</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235,842,313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233,535,805</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234,391,318</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236,874,553</w:t>
            </w:r>
          </w:p>
        </w:tc>
        <w:tc>
          <w:tcPr>
            <w:tcW w:w="100" w:type="dxa"/>
            <w:vAlign w:val="bottom"/>
          </w:tcPr>
          <w:p>
            <w:pPr>
              <w:spacing w:after="0"/>
              <w:rPr>
                <w:sz w:val="16"/>
                <w:szCs w:val="16"/>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3"/>
                <w:szCs w:val="13"/>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3"/>
                <w:szCs w:val="13"/>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73"/>
        </w:trPr>
        <w:tc>
          <w:tcPr>
            <w:tcW w:w="4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42"/>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 net of discounts</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275,806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280,147</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286,865</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294,323</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1,137,141</w:t>
            </w:r>
          </w:p>
        </w:tc>
        <w:tc>
          <w:tcPr>
            <w:tcW w:w="100" w:type="dxa"/>
            <w:vAlign w:val="bottom"/>
          </w:tcPr>
          <w:p>
            <w:pPr>
              <w:spacing w:after="0"/>
              <w:rPr>
                <w:sz w:val="12"/>
                <w:szCs w:val="12"/>
                <w:color w:val="auto"/>
              </w:rPr>
            </w:pPr>
          </w:p>
        </w:tc>
      </w:tr>
      <w:tr>
        <w:trPr>
          <w:trHeight w:val="149"/>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70,671</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54,020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57,110</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224,425</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31,076</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20,712</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12,679</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73,083</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236,759,731</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237,416,373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236,303,348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236,848,914</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236,827,774</w:t>
            </w:r>
          </w:p>
        </w:tc>
        <w:tc>
          <w:tcPr>
            <w:tcW w:w="100" w:type="dxa"/>
            <w:vAlign w:val="bottom"/>
            <w:shd w:val="clear" w:color="auto" w:fill="CFF0FC"/>
          </w:tcPr>
          <w:p>
            <w:pPr>
              <w:spacing w:after="0"/>
              <w:rPr>
                <w:sz w:val="12"/>
                <w:szCs w:val="12"/>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240,561,864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240,137,922</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238,295,887</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239,061,803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241,925,957</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Green Thumb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Consolidated Financial Statements and Internal Control over Financial Reporting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Green Thumb Industries Inc. (the “Company”) as of December 31, 2025 and 2024, the related consolidated statements of operations, changes in shareholders' equity, and cash flows, for each of the three years in the period ended December 31, 2025, and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00" w:firstLine="45"/>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5" w:name="page116"/>
    <w:bookmarkEnd w:id="115"/>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Core Growth LLC, and Intellectual Property to RYTHM,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described in Note 15 to the consolidated financial statements as of December 31, 2025, the Company entered into two complex contractual agreements with a related party: RYTHM, Inc. These transactions disposed of the Company’s Core Growth, LLC subsidiary and other intellectual property (Tradenames). Challenging and complex judgments were required in accounting for these transactions under the appropriate asset derecognition frameworks in accordance with US GAAP.</w:t>
      </w:r>
    </w:p>
    <w:p>
      <w:pPr>
        <w:spacing w:after="0" w:line="180"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Auditing management’s evaluation of the technical conclusions drawn for each of these transactions required significant auditor judgment due to the reliance on the contractual structure underlying each of these transactions and the applicable accounting frameworks governing asset derecognition.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04" w:lineRule="exact"/>
        <w:rPr>
          <w:sz w:val="20"/>
          <w:szCs w:val="20"/>
          <w:color w:val="auto"/>
        </w:rPr>
      </w:pPr>
    </w:p>
    <w:p>
      <w:pPr>
        <w:ind w:left="760" w:right="240" w:hanging="378"/>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internal controls established surrounding management’s technical accounting conclusions over the sale of Core Growth, LLC and other intellectual property (Tradenames);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judgments and technical accounting conclusions used in management’s accounting for the following transactions:</w:t>
      </w:r>
    </w:p>
    <w:p>
      <w:pPr>
        <w:spacing w:after="0" w:line="185" w:lineRule="exact"/>
        <w:rPr>
          <w:sz w:val="20"/>
          <w:szCs w:val="20"/>
          <w:color w:val="auto"/>
        </w:rPr>
      </w:pPr>
    </w:p>
    <w:p>
      <w:pPr>
        <w:ind w:left="1500" w:right="440" w:hanging="369"/>
        <w:spacing w:after="0" w:line="282"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20, 2025 loss on the sale of Core Growth LLC, including the sale of intellectual property rights in the incredibles brand and simultaneous license back of that intellectual property to the Company;</w:t>
      </w:r>
    </w:p>
    <w:p>
      <w:pPr>
        <w:spacing w:after="0" w:line="134"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reviewed transaction agreements between the Company and RYTHM;</w:t>
      </w:r>
    </w:p>
    <w:p>
      <w:pPr>
        <w:spacing w:after="0" w:line="184" w:lineRule="exact"/>
        <w:rPr>
          <w:rFonts w:ascii="Times New Roman" w:cs="Times New Roman" w:eastAsia="Times New Roman" w:hAnsi="Times New Roman"/>
          <w:sz w:val="18"/>
          <w:szCs w:val="18"/>
          <w:color w:val="auto"/>
        </w:rPr>
      </w:pPr>
    </w:p>
    <w:p>
      <w:pPr>
        <w:ind w:left="2260" w:right="240" w:hanging="380"/>
        <w:spacing w:after="0" w:line="282" w:lineRule="auto"/>
        <w:tabs>
          <w:tab w:leader="none" w:pos="2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and evaluated the Company’s technical analysis regarding the sale of the Company’s interest in Core Growth, LLC and the respective accounting determinations as follows;</w:t>
      </w:r>
    </w:p>
    <w:p>
      <w:pPr>
        <w:spacing w:after="0" w:line="121" w:lineRule="exact"/>
        <w:rPr>
          <w:rFonts w:ascii="Times New Roman" w:cs="Times New Roman" w:eastAsia="Times New Roman" w:hAnsi="Times New Roman"/>
          <w:sz w:val="18"/>
          <w:szCs w:val="18"/>
          <w:color w:val="auto"/>
        </w:rPr>
      </w:pPr>
    </w:p>
    <w:p>
      <w:pPr>
        <w:ind w:left="3000" w:right="480" w:hanging="371"/>
        <w:spacing w:after="0" w:line="282" w:lineRule="auto"/>
        <w:tabs>
          <w:tab w:leader="none" w:pos="300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Evaluated the Company’s determination that the disposition of Core Growth, LLC qualified as the sale of a business under </w:t>
      </w:r>
      <w:r>
        <w:rPr>
          <w:rFonts w:ascii="Times New Roman" w:cs="Times New Roman" w:eastAsia="Times New Roman" w:hAnsi="Times New Roman"/>
          <w:sz w:val="18"/>
          <w:szCs w:val="18"/>
          <w:i w:val="1"/>
          <w:iCs w:val="1"/>
          <w:color w:val="auto"/>
        </w:rPr>
        <w:t>ASC 805 – Business Combinations</w:t>
      </w:r>
      <w:r>
        <w:rPr>
          <w:rFonts w:ascii="Times New Roman" w:cs="Times New Roman" w:eastAsia="Times New Roman" w:hAnsi="Times New Roman"/>
          <w:sz w:val="18"/>
          <w:szCs w:val="18"/>
          <w:color w:val="auto"/>
        </w:rPr>
        <w:t xml:space="preserve"> (“ASC 805”);</w:t>
      </w:r>
    </w:p>
    <w:p>
      <w:pPr>
        <w:spacing w:after="0" w:line="134" w:lineRule="exact"/>
        <w:rPr>
          <w:rFonts w:ascii="Times New Roman" w:cs="Times New Roman" w:eastAsia="Times New Roman" w:hAnsi="Times New Roman"/>
          <w:sz w:val="18"/>
          <w:szCs w:val="18"/>
          <w:color w:val="auto"/>
        </w:rPr>
      </w:pPr>
    </w:p>
    <w:p>
      <w:pPr>
        <w:ind w:left="3000" w:hanging="371"/>
        <w:spacing w:after="0" w:line="266" w:lineRule="auto"/>
        <w:tabs>
          <w:tab w:leader="none" w:pos="300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Evaluated the Company’s determination that the sale should be accounted for under the derecognition principles of </w:t>
      </w:r>
      <w:r>
        <w:rPr>
          <w:rFonts w:ascii="Times New Roman" w:cs="Times New Roman" w:eastAsia="Times New Roman" w:hAnsi="Times New Roman"/>
          <w:sz w:val="18"/>
          <w:szCs w:val="18"/>
          <w:i w:val="1"/>
          <w:iCs w:val="1"/>
          <w:color w:val="auto"/>
        </w:rPr>
        <w:t>ASC 810 – Consolidation</w:t>
      </w:r>
      <w:r>
        <w:rPr>
          <w:rFonts w:ascii="Times New Roman" w:cs="Times New Roman" w:eastAsia="Times New Roman" w:hAnsi="Times New Roman"/>
          <w:sz w:val="18"/>
          <w:szCs w:val="18"/>
          <w:color w:val="auto"/>
        </w:rPr>
        <w:t xml:space="preserve"> (“ASC 810”), vs. </w:t>
      </w:r>
      <w:r>
        <w:rPr>
          <w:rFonts w:ascii="Times New Roman" w:cs="Times New Roman" w:eastAsia="Times New Roman" w:hAnsi="Times New Roman"/>
          <w:sz w:val="18"/>
          <w:szCs w:val="18"/>
          <w:i w:val="1"/>
          <w:iCs w:val="1"/>
          <w:color w:val="auto"/>
        </w:rPr>
        <w:t>ASC 610 Other Income—Gains and Losses from the Derecognition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Nonfinancial Assets </w:t>
      </w:r>
      <w:r>
        <w:rPr>
          <w:rFonts w:ascii="Times New Roman" w:cs="Times New Roman" w:eastAsia="Times New Roman" w:hAnsi="Times New Roman"/>
          <w:sz w:val="18"/>
          <w:szCs w:val="18"/>
          <w:color w:val="auto"/>
        </w:rPr>
        <w:t>(“ASC 610”);</w:t>
      </w:r>
    </w:p>
    <w:p>
      <w:pPr>
        <w:spacing w:after="0" w:line="135" w:lineRule="exact"/>
        <w:rPr>
          <w:rFonts w:ascii="Times New Roman" w:cs="Times New Roman" w:eastAsia="Times New Roman" w:hAnsi="Times New Roman"/>
          <w:sz w:val="18"/>
          <w:szCs w:val="18"/>
          <w:color w:val="auto"/>
        </w:rPr>
      </w:pPr>
    </w:p>
    <w:p>
      <w:pPr>
        <w:ind w:left="3000" w:right="20" w:hanging="371"/>
        <w:spacing w:after="0" w:line="255" w:lineRule="auto"/>
        <w:tabs>
          <w:tab w:leader="none" w:pos="300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Evaluated repurchase rights present within the sales agreement. ASC 810 does not contemplate the derecognition of a business when the sale agreement includes repurchase features for the seller. In considering whether a failed-sale may exist, we examined analogous guidance underlying ASC 610. ASC 610 requires the derecognition of non-financial assets where repurchase arrangements are present examine the transaction by examining repurchase arrangement considerations as found in </w:t>
      </w:r>
      <w:r>
        <w:rPr>
          <w:rFonts w:ascii="Times New Roman" w:cs="Times New Roman" w:eastAsia="Times New Roman" w:hAnsi="Times New Roman"/>
          <w:sz w:val="18"/>
          <w:szCs w:val="18"/>
          <w:i w:val="1"/>
          <w:iCs w:val="1"/>
          <w:color w:val="auto"/>
        </w:rPr>
        <w:t>ASC 606, Revenue from Contracts with Customers</w:t>
      </w:r>
      <w:r>
        <w:rPr>
          <w:rFonts w:ascii="Times New Roman" w:cs="Times New Roman" w:eastAsia="Times New Roman" w:hAnsi="Times New Roman"/>
          <w:sz w:val="18"/>
          <w:szCs w:val="18"/>
          <w:color w:val="auto"/>
        </w:rPr>
        <w:t xml:space="preserve"> (“ASC 606”). We evaluated repurchase rights in the sale agreement and whether they were (1) in control of either party and (2) aligned to conditions considered to be more than remote in likelihood at the date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16" w:name="page117"/>
    <w:bookmarkEnd w:id="116"/>
    <w:p>
      <w:pPr>
        <w:ind w:left="2260" w:right="60" w:hanging="380"/>
        <w:spacing w:after="0" w:line="282" w:lineRule="auto"/>
        <w:tabs>
          <w:tab w:leader="none" w:pos="2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inputs into the Company’s calculation of loss on sale to determine whether assets were derecognized and the loss on sale was the deficit of consideration received.</w:t>
      </w:r>
    </w:p>
    <w:p>
      <w:pPr>
        <w:spacing w:after="0" w:line="121" w:lineRule="exact"/>
        <w:rPr>
          <w:sz w:val="20"/>
          <w:szCs w:val="20"/>
          <w:color w:val="auto"/>
        </w:rPr>
      </w:pPr>
    </w:p>
    <w:p>
      <w:pPr>
        <w:ind w:left="1500" w:right="680" w:hanging="369"/>
        <w:spacing w:after="0" w:line="282" w:lineRule="auto"/>
        <w:tabs>
          <w:tab w:leader="none" w:pos="1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27, 2025 gain on sale of the Company’s intellectual property rights in various tradenames (the “Tradenames”) with a simultaneous license back of those tradenames to the Company;</w:t>
      </w:r>
    </w:p>
    <w:p>
      <w:pPr>
        <w:spacing w:after="0" w:line="12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reviewed transaction agreements between the Company and RYTHM;</w:t>
      </w:r>
    </w:p>
    <w:p>
      <w:pPr>
        <w:spacing w:after="0" w:line="198" w:lineRule="exact"/>
        <w:rPr>
          <w:rFonts w:ascii="Times New Roman" w:cs="Times New Roman" w:eastAsia="Times New Roman" w:hAnsi="Times New Roman"/>
          <w:sz w:val="18"/>
          <w:szCs w:val="18"/>
          <w:color w:val="auto"/>
        </w:rPr>
      </w:pPr>
    </w:p>
    <w:p>
      <w:pPr>
        <w:ind w:left="2260" w:right="160" w:hanging="380"/>
        <w:spacing w:after="0" w:line="282" w:lineRule="auto"/>
        <w:tabs>
          <w:tab w:leader="none" w:pos="22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and evaluated the Company’s technical analysis regarding the sale of the Tradenames and the respective accounting determinations as follows;</w:t>
      </w:r>
    </w:p>
    <w:p>
      <w:pPr>
        <w:spacing w:after="0" w:line="121" w:lineRule="exact"/>
        <w:rPr>
          <w:rFonts w:ascii="Times New Roman" w:cs="Times New Roman" w:eastAsia="Times New Roman" w:hAnsi="Times New Roman"/>
          <w:sz w:val="18"/>
          <w:szCs w:val="18"/>
          <w:color w:val="auto"/>
        </w:rPr>
      </w:pPr>
    </w:p>
    <w:p>
      <w:pPr>
        <w:ind w:left="2560" w:right="40" w:hanging="516"/>
        <w:spacing w:after="0" w:line="312" w:lineRule="auto"/>
        <w:tabs>
          <w:tab w:leader="none" w:pos="2560"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Company’s determination that the disposition of the Tradenames did not qualify as the sale of a business under ASC 805 and that the corresponding derecognition should be accounted for under ASC 610 vs ASC 805.</w:t>
      </w:r>
    </w:p>
    <w:p>
      <w:pPr>
        <w:spacing w:after="0" w:line="99" w:lineRule="exact"/>
        <w:rPr>
          <w:rFonts w:ascii="Times New Roman" w:cs="Times New Roman" w:eastAsia="Times New Roman" w:hAnsi="Times New Roman"/>
          <w:sz w:val="17"/>
          <w:szCs w:val="17"/>
          <w:color w:val="auto"/>
        </w:rPr>
      </w:pPr>
    </w:p>
    <w:p>
      <w:pPr>
        <w:ind w:left="2560" w:right="20" w:hanging="516"/>
        <w:spacing w:after="0" w:line="272" w:lineRule="auto"/>
        <w:tabs>
          <w:tab w:leader="none" w:pos="2560"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repurchase rights present within the Tradenames sales agreement. ASC 610 requires the derecognition of non-financial assets where repurchase arrangements are present to follow the requirements for repurchase arrangement considerations as found in ASC 606. We evaluated repurchase rights within the sales agreement and whether they were</w:t>
      </w:r>
    </w:p>
    <w:p>
      <w:pPr>
        <w:spacing w:after="0" w:line="1" w:lineRule="exact"/>
        <w:rPr>
          <w:rFonts w:ascii="Times New Roman" w:cs="Times New Roman" w:eastAsia="Times New Roman" w:hAnsi="Times New Roman"/>
          <w:sz w:val="17"/>
          <w:szCs w:val="17"/>
          <w:color w:val="auto"/>
        </w:rPr>
      </w:pPr>
    </w:p>
    <w:p>
      <w:pPr>
        <w:ind w:left="2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in control of either party and (2) aligned to conditions considered to be more than remote in likelihood at the date of the sale.</w:t>
      </w:r>
    </w:p>
    <w:p>
      <w:pPr>
        <w:spacing w:after="0" w:line="154" w:lineRule="exact"/>
        <w:rPr>
          <w:sz w:val="20"/>
          <w:szCs w:val="20"/>
          <w:color w:val="auto"/>
        </w:rPr>
      </w:pPr>
    </w:p>
    <w:p>
      <w:pPr>
        <w:ind w:left="2040" w:right="240" w:hanging="505"/>
        <w:spacing w:after="0" w:line="261" w:lineRule="auto"/>
        <w:tabs>
          <w:tab w:leader="none" w:pos="20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inputs into the Company’s calculation of gain on sale to determine whether assets were derecognized and the gain on sale was the excess of consideration received.</w:t>
      </w: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0" w:right="4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of February 29, 2024, Green Thumb Industries Inc. (“we,” “us,” “our,” “Company,” “Corporation” or “Green Thumb”) has three classes of securities registered under Section 12 of the Securities Exchange Act of 1934, as amended (the “Exchange Act”): our Subordinate Voting Shares, our Multiple Voting Shares and our Super Voting Shares.</w:t>
      </w:r>
    </w:p>
    <w:p>
      <w:pPr>
        <w:spacing w:after="0" w:line="17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terms of our Subordinate Voting Shares, Multiple Voting Shares and Super Voting Shares. This summary does not purport to be complete and is subject to, and qualified in its entirety by, our Amended and Restated Articles (the “Articles”), which is included as an exhibit to the Annual Report on Form 10-K of which this Exhibit 4.2 is a part, as well as the provisions of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Under our Articles, we are authorized to issue an unlimited number of Subordinate Voting Shares, without nominal or par value, an unlimited number of Multiple Voting Shares, without nominal or par value, and an unlimited number of Super Voting Shares, without nominal or par value.</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As of February 19, 2024, our issued and outstanding capital stock consisted of: (i) 211,630,766 Subordinate Voting Shares; (ii) 37,683 Multiple Voting Shares; and (iii) 216,690 Super Voting Shares.</w:t>
      </w:r>
    </w:p>
    <w:p>
      <w:pPr>
        <w:spacing w:after="0" w:line="162"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 Multiple Voting Shares are convertible 1-for-100 into Subordinate Voting Shares, under the circumstances and subject to the conditions described herein. The Super Voting Shares are convertible 1-for-1 into Multiple Voting Shares, under the circumstances and subject to the conditions described herein.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equity shares assuming all are converted into Subordinate Voting Shares would be 237,068,066 Subordinate Voting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 Voting Shares</w:t>
      </w:r>
    </w:p>
    <w:p>
      <w:pPr>
        <w:spacing w:after="0" w:line="227"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Subordinate Voting Shares are entitled to notice of and to attend at any meeting of our shareholders,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meeting of which only holders of another particular class or series of our shares have the right to vote. At each such meeting, holders of Subordinate Voting Shares are entitled to one vote in respect of each Subordinate Voting Share held.</w:t>
      </w:r>
    </w:p>
    <w:p>
      <w:pPr>
        <w:spacing w:after="0" w:line="17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Subordinate Voting Shares remain outstanding, we will not, without the consent of the holders of the Subordinate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Green Thumb.</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Subordinate Voting Shares will, subject to the prior rights of the holders of any of our shares ranking in priority to the Subordinate Voting Shares, be entitled to participate ratably along with all other holders of Subordinate Voting Shares, Multiple Voting Shares (on an as-converted to Subordinate Voting Shares basis) and Super Voting Shares (on an as-converted to Subordinate Voting Shares basis).</w:t>
      </w:r>
    </w:p>
    <w:p>
      <w:pPr>
        <w:spacing w:after="0" w:line="183"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In the event that an offer is made to purchase Multiple Voting Shares and the offer is one which is required,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currently 1 Multiple Voting Share into 100 Subordinate Voting Shares or 1 Super Voting Share into 1 Multiple Voting Share, as applicable,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pursuant to the offer, and for no other reason. In such event, our transfer agent shall deposit the resulting Multiple Voting Shares on behalf of the 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Green Thumb or on the part of the holder, into Subordinate Voting Shares at the conversion ratio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ind w:right="2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Subordinate Voting Shares are entitled to receive, as and when declared by our directors, dividends in cash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No dividend will be declared or paid on the Subordinate Voting Shares unless we simultaneously declare or pay, as applicable, equivalent dividends (on an as-converted to Subordinate Voting Shares basis) on the Multiple Voting Shares and Super Voting Shares.</w:t>
      </w:r>
    </w:p>
    <w:p>
      <w:pPr>
        <w:spacing w:after="0" w:line="173"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Multiple Voting Shares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Multiple Voting Shares are entitled to notice of and to attend any meeting of our shareholders,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which only holders of another particular class or series of our shares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Multiple Voting Shares remain outstanding, Green Thumb will not, without the consent of the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our Subordinate Voting Shares, or bonds, debentures or other securities.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Multiple Voting Shares will, subject to the prior rights of the holders of any of our shares ranking in priority to the Multiple Voting Shares, be entitled to participate ratably along with all other holders of Multiple Voting Shares (on an as-converted to Subordinate Voting Share basis), Subordinate Voting Shares and Super Voting Shares (on an as-converted to Subordinate Voting Share basis).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The Multiple Voting Shares each have a restricted right to convert into 100 Subordinate Voting Shares,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for certain customary corporate changes. The ability to convert the Multiple Voting Shares is subject to a restriction that the aggregate number of Subordinate Voting Shares, Multiple Voting Shares and Super Voting Shares held of record, directly or indirectly, by residents of the United States (as determined in accordance with Rules 3b-4 and 12g3-2(a) under the Exchange Act),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 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our part or on the part of the holder, into Multiple Voting Shares at the inverse of the conversion ratio then in effect.</w:t>
      </w:r>
    </w:p>
    <w:p>
      <w:pPr>
        <w:spacing w:after="0" w:line="19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the Multiple Voting Shares are entitled to receive such dividends as may be declared and paid to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in any financial year as our Board may by resolution determine, on an as-converted to Subordinate Voting Share basis. No dividend will be declared or paid on the Multiple Voting Shares unless we simultaneously declare or pay, as applicable, equivalent dividends (on an as-converted to Subordinate Voting Share basis) on the Subordinate Voting Shares and Super Voting Shares.</w:t>
      </w:r>
    </w:p>
    <w:p>
      <w:pPr>
        <w:spacing w:after="0" w:line="180"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Super Voting Shares</w:t>
      </w:r>
    </w:p>
    <w:p>
      <w:pPr>
        <w:spacing w:after="0" w:line="227" w:lineRule="exact"/>
        <w:rPr>
          <w:sz w:val="20"/>
          <w:szCs w:val="20"/>
          <w:color w:val="auto"/>
        </w:rPr>
      </w:pPr>
    </w:p>
    <w:p>
      <w:pPr>
        <w:jc w:val="both"/>
        <w:ind w:right="3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Super Voting Shares are entitled to notice of and to attend at any meeting of our shareholders,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which only holders of another particular class or series of our shares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Super Voting Shares remain outstanding, Green Thumb will not, without the consent of the holders of the Super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our Subordinate Voting Shares, bonds, debentures or other securities not convertible into Super Voting Shares.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Super Voting Shares will, subject to the prior rights of the holders of any of our shares ranking in priority to the Super Voting Shares, be entitled to participate ratably along with all other holders of Super Voting Shares (on an as-converted to Subordinate Voting Share basis), Subordinate Voting Shares and Multiple Voting Shares (on an as-converted to Subordinate Voting Share basis).</w:t>
      </w:r>
    </w:p>
    <w:p>
      <w:pPr>
        <w:spacing w:after="0" w:line="183"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Each Super Voting Share has a right to convert into 1 Multiple Voting Share subject to customary adjustments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changes.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at the Option of Green Thumb. </w:t>
      </w:r>
      <w:r>
        <w:rPr>
          <w:rFonts w:ascii="Times New Roman" w:cs="Times New Roman" w:eastAsia="Times New Roman" w:hAnsi="Times New Roman"/>
          <w:sz w:val="18"/>
          <w:szCs w:val="18"/>
          <w:color w:val="auto"/>
        </w:rPr>
        <w:t>We have the right to convert all or some of the Super Voting Shares from a holder of Super Voting Shares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equal number of Multiple Voting Shares subject to customary adjustments for certain corporate changes:</w:t>
      </w:r>
    </w:p>
    <w:p>
      <w:pPr>
        <w:spacing w:after="0" w:line="160" w:lineRule="exact"/>
        <w:rPr>
          <w:sz w:val="20"/>
          <w:szCs w:val="20"/>
          <w:color w:val="auto"/>
        </w:rPr>
      </w:pPr>
    </w:p>
    <w:p>
      <w:pPr>
        <w:ind w:left="760" w:right="40" w:hanging="3"/>
        <w:spacing w:after="0" w:line="258"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by the holder thereof to anyone other than (i) an immediate family member of Benjamin Kovler, Peter Kadens, Anthony Georgiadis or Andrew Grossman (who we refer to as the Initial Holders)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us (who, together with the Initial Holders, we refer to as the Permitted Holders); or</w:t>
      </w:r>
    </w:p>
    <w:p>
      <w:pPr>
        <w:spacing w:after="0" w:line="183" w:lineRule="exact"/>
        <w:rPr>
          <w:rFonts w:ascii="Times New Roman" w:cs="Times New Roman" w:eastAsia="Times New Roman" w:hAnsi="Times New Roman"/>
          <w:sz w:val="18"/>
          <w:szCs w:val="18"/>
          <w:color w:val="auto"/>
        </w:rPr>
      </w:pPr>
    </w:p>
    <w:p>
      <w:pPr>
        <w:ind w:left="760" w:right="40" w:hanging="3"/>
        <w:spacing w:after="0" w:line="253"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whereby we, 1165318 B.C. Ltd. (a wholly-owned subsidiary of Bayswater Uranium Corporation), VCP23, LLC, GTI23, Inc. and GTI Finco Inc. combined our respective businesses, is less than 50%. The Initial Holders of Super Voting Shares will, from time to time upon our request, provide us with evidence as to such Initial Holders’ direct and indirect beneficial ownership (and that of our permitted transferees and permitted successors) of Super Voting Shares to enable us to determine if our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required to convert Super Voting Shares on a prorated basis among the holders of Super Voting Shares.</w:t>
      </w:r>
    </w:p>
    <w:p>
      <w:pPr>
        <w:spacing w:after="0" w:line="223"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There are no transfer restrictions in our Articles for the Super Voting Shares, subject to conversion rights at our option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at the Option of Green Thumb” above).</w:t>
      </w:r>
    </w:p>
    <w:p>
      <w:pPr>
        <w:spacing w:after="0" w:line="158"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the Super Voting Shares are entitled to receive such dividends as may be declared and paid to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in any financial year as the Board may by resolution determine, on an as-converted to Subordinate Voting Share basis. No dividend will be declared or paid on the Super Voting Shares unless we simultaneously declare or pay, as applicable, equivalent dividends (on an as-converted to Subordinate Voting Share basis) on the Multiple Voting Shares and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transfer agent for our Subordinate Voting Shares is Odyssey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are listed on OTCQX Best Market under the symbol “GTBIF.” Our Subordinate Voting Shares are also listed on the Canadian Securities Exchange under the symbol “GTII.”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160020</wp:posOffset>
            </wp:positionV>
            <wp:extent cx="1954530" cy="2571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19545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POLICY ON INSIDER TRADING</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Adopted Effective: February 21, 2024</w:t>
      </w:r>
    </w:p>
    <w:p>
      <w:pPr>
        <w:spacing w:after="0" w:line="200" w:lineRule="exact"/>
        <w:rPr>
          <w:sz w:val="20"/>
          <w:szCs w:val="20"/>
          <w:color w:val="auto"/>
        </w:rPr>
      </w:pPr>
    </w:p>
    <w:p>
      <w:pPr>
        <w:spacing w:after="0" w:line="33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Green Thumb Industries Inc. (referred to herein, inclusive of its subsidiaries and affiliates, as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concerning the rules and procedures governing transactions in Securities (as defined below) by Covered Persons (as defined below).</w:t>
      </w:r>
    </w:p>
    <w:p>
      <w:pPr>
        <w:spacing w:after="0" w:line="295" w:lineRule="exact"/>
        <w:rPr>
          <w:sz w:val="20"/>
          <w:szCs w:val="20"/>
          <w:color w:val="auto"/>
        </w:rPr>
      </w:pPr>
    </w:p>
    <w:p>
      <w:pPr>
        <w:ind w:left="880" w:hanging="503"/>
        <w:spacing w:after="0"/>
        <w:tabs>
          <w:tab w:leader="none" w:pos="8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have the meaning provided above.</w:t>
      </w:r>
    </w:p>
    <w:p>
      <w:pPr>
        <w:spacing w:after="0" w:line="229" w:lineRule="exact"/>
        <w:rPr>
          <w:sz w:val="20"/>
          <w:szCs w:val="20"/>
          <w:color w:val="auto"/>
        </w:rPr>
      </w:pPr>
    </w:p>
    <w:p>
      <w:pPr>
        <w:jc w:val="both"/>
        <w:ind w:right="120" w:firstLine="112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means all employees, officers, directors, agents, contractors, vendors and service providers of the Company and the Related Persons of each such individual. In addition, individuals outside of the Company can become temporary “insiders” who are treated as Covered Persons by having a special confidential relationship with the Company resulting in access to Material Nonpublic Information.</w:t>
      </w:r>
    </w:p>
    <w:p>
      <w:pPr>
        <w:spacing w:after="0" w:line="1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Insider</w:t>
      </w:r>
      <w:r>
        <w:rPr>
          <w:rFonts w:ascii="Times New Roman" w:cs="Times New Roman" w:eastAsia="Times New Roman" w:hAnsi="Times New Roman"/>
          <w:sz w:val="20"/>
          <w:szCs w:val="20"/>
          <w:color w:val="auto"/>
        </w:rPr>
        <w:t>” shall have the meaning set forth in Section G below.</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also referred to as “</w:t>
      </w:r>
      <w:r>
        <w:rPr>
          <w:rFonts w:ascii="Times New Roman" w:cs="Times New Roman" w:eastAsia="Times New Roman" w:hAnsi="Times New Roman"/>
          <w:sz w:val="20"/>
          <w:szCs w:val="20"/>
          <w:b w:val="1"/>
          <w:bCs w:val="1"/>
          <w:color w:val="auto"/>
        </w:rPr>
        <w:t>Inside Information</w:t>
      </w:r>
      <w:r>
        <w:rPr>
          <w:rFonts w:ascii="Times New Roman" w:cs="Times New Roman" w:eastAsia="Times New Roman" w:hAnsi="Times New Roman"/>
          <w:sz w:val="20"/>
          <w:szCs w:val="20"/>
          <w:color w:val="auto"/>
        </w:rPr>
        <w:t>” has the meaning set forth in Section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03" w:lineRule="exact"/>
        <w:rPr>
          <w:sz w:val="20"/>
          <w:szCs w:val="20"/>
          <w:color w:val="auto"/>
        </w:rPr>
      </w:pPr>
    </w:p>
    <w:p>
      <w:pPr>
        <w:jc w:val="both"/>
        <w:ind w:right="120" w:firstLine="112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Person</w:t>
      </w:r>
      <w:r>
        <w:rPr>
          <w:rFonts w:ascii="Times New Roman" w:cs="Times New Roman" w:eastAsia="Times New Roman" w:hAnsi="Times New Roman"/>
          <w:sz w:val="20"/>
          <w:szCs w:val="20"/>
          <w:color w:val="auto"/>
        </w:rPr>
        <w:t>” means, with reference to any person, (i) that person’s immediate family members, (ii) any person living in that person’s household, and (iii) any such person may own or control.</w:t>
      </w:r>
    </w:p>
    <w:p>
      <w:pPr>
        <w:spacing w:after="0" w:line="165" w:lineRule="exact"/>
        <w:rPr>
          <w:sz w:val="20"/>
          <w:szCs w:val="20"/>
          <w:color w:val="auto"/>
        </w:rPr>
      </w:pPr>
    </w:p>
    <w:p>
      <w:pPr>
        <w:jc w:val="both"/>
        <w:ind w:right="120"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means the equity securities (including, without limitation, subordinate voting shares, multiple voting shares and super voting shares) or debt securities, warrants, options, or preferred stock, of, or derivative securities relating to, a company.</w:t>
      </w:r>
    </w:p>
    <w:p>
      <w:pPr>
        <w:spacing w:after="0" w:line="165" w:lineRule="exact"/>
        <w:rPr>
          <w:sz w:val="20"/>
          <w:szCs w:val="20"/>
          <w:color w:val="auto"/>
        </w:rPr>
      </w:pPr>
    </w:p>
    <w:p>
      <w:pPr>
        <w:jc w:val="both"/>
        <w:ind w:right="120" w:firstLine="112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Tipping</w:t>
      </w:r>
      <w:r>
        <w:rPr>
          <w:rFonts w:ascii="Times New Roman" w:cs="Times New Roman" w:eastAsia="Times New Roman" w:hAnsi="Times New Roman"/>
          <w:sz w:val="20"/>
          <w:szCs w:val="20"/>
          <w:color w:val="auto"/>
        </w:rPr>
        <w:t>” means sharing Material Nonpublic Information with a third party, whether or not for compensation or an expectation of profit.</w:t>
      </w:r>
    </w:p>
    <w:p>
      <w:pPr>
        <w:spacing w:after="0" w:line="48" w:lineRule="exact"/>
        <w:rPr>
          <w:sz w:val="20"/>
          <w:szCs w:val="20"/>
          <w:color w:val="auto"/>
        </w:rPr>
      </w:pPr>
    </w:p>
    <w:p>
      <w:pPr>
        <w:ind w:left="880" w:hanging="503"/>
        <w:spacing w:after="0"/>
        <w:tabs>
          <w:tab w:leader="none" w:pos="8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and Administration</w:t>
      </w:r>
    </w:p>
    <w:p>
      <w:pPr>
        <w:spacing w:after="0" w:line="238"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0"/>
          <w:szCs w:val="20"/>
          <w:color w:val="auto"/>
        </w:rPr>
        <w:t>The Company’s reputation for integrity and high ethical standards in the conduct of its affairs is of paramount importance. To preserve this reputation, it is essential that when transacting in Securities, all Covered Persons conform to all applicable laws, including U.S. and Canadian securities laws, and that they avoid even the appearance of impropriety. All Covered Persons must familiarize themselves with this Policy and abide by it. Insider trading is strictly regulated by the corporate and securities laws in the United States and Canada, as well as any stock exchange on which the Securities of the Company are listed. Violations of this Policy may result in civil and criminal penalties under applicable securities laws and disciplinary action by the Company up to and including termination of employment or service.</w:t>
      </w:r>
    </w:p>
    <w:p>
      <w:pPr>
        <w:spacing w:after="0" w:line="267"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The obligations of the Company’s General Counsel (or if such role is vacant, the applicable person fulfilling such responsibilities) hereunder may be delegated by the General Counsel to such other member(s) of the Legal Department as the General Counsel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455295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5" w:right="339" w:bottom="1440" w:gutter="0" w:footer="0" w:header="0"/>
        </w:sectPr>
      </w:pPr>
    </w:p>
    <w:bookmarkStart w:id="122" w:name="page123"/>
    <w:bookmarkEnd w:id="122"/>
    <w:p>
      <w:pPr>
        <w:ind w:left="880" w:hanging="503"/>
        <w:spacing w:after="0"/>
        <w:tabs>
          <w:tab w:leader="none" w:pos="88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Prohibition Against “Insider” Trading and Tipping – </w:t>
      </w:r>
      <w:r>
        <w:rPr>
          <w:rFonts w:ascii="Times New Roman" w:cs="Times New Roman" w:eastAsia="Times New Roman" w:hAnsi="Times New Roman"/>
          <w:sz w:val="20"/>
          <w:szCs w:val="20"/>
          <w:b w:val="1"/>
          <w:bCs w:val="1"/>
          <w:i w:val="1"/>
          <w:iCs w:val="1"/>
          <w:color w:val="auto"/>
        </w:rPr>
        <w:t>Applies to all Covered Persons</w:t>
      </w:r>
    </w:p>
    <w:p>
      <w:pPr>
        <w:spacing w:after="0" w:line="233"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20"/>
          <w:szCs w:val="20"/>
          <w:color w:val="auto"/>
        </w:rPr>
        <w:t>Covered Persons may not, directly or indirectly, purchase or sell Securities of the Company while in possession of Material Nonpublic Information concerning the Company. Similarly, Covered Persons may not trade in the Securities of another company if they have obtained Material Nonpublic Information about that company in the course of or in connection with the Covered Person’s employment by or other service to the Company. In addition, Covered Persons are strictly prohibited from Tipping any other person or giving Material Nonpublic Information to another person.</w:t>
      </w:r>
    </w:p>
    <w:p>
      <w:pPr>
        <w:spacing w:after="0" w:line="198"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20"/>
          <w:szCs w:val="20"/>
          <w:color w:val="auto"/>
        </w:rPr>
        <w:t>Covered Persons are reminded that they may come into possession of Material Nonpublic Information in the ordinary course of their employment with or other service to the Company. Information that is not considered material to the Company may nevertheless be material to one of those other companies, and it is not permissible for Covered Persons to make use of Material Nonpublic Information gained in the course of their service to or employment with the Company for any reason outside of their scope of responsibilities to the Company.</w:t>
      </w:r>
    </w:p>
    <w:p>
      <w:pPr>
        <w:spacing w:after="0" w:line="199" w:lineRule="exact"/>
        <w:rPr>
          <w:sz w:val="20"/>
          <w:szCs w:val="20"/>
          <w:color w:val="auto"/>
        </w:rPr>
      </w:pPr>
    </w:p>
    <w:p>
      <w:pPr>
        <w:ind w:left="880" w:hanging="503"/>
        <w:spacing w:after="0"/>
        <w:tabs>
          <w:tab w:leader="none" w:pos="8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“Material Nonpublic Information”?</w:t>
      </w:r>
    </w:p>
    <w:p>
      <w:pPr>
        <w:spacing w:after="0" w:line="234"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Inside Information</w:t>
      </w:r>
      <w:r>
        <w:rPr>
          <w:rFonts w:ascii="Times New Roman" w:cs="Times New Roman" w:eastAsia="Times New Roman" w:hAnsi="Times New Roman"/>
          <w:sz w:val="20"/>
          <w:szCs w:val="20"/>
          <w:color w:val="auto"/>
        </w:rPr>
        <w:t xml:space="preserve">” is information that is both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color w:val="auto"/>
        </w:rPr>
        <w:t xml:space="preserve">. Whether information is </w:t>
      </w:r>
      <w:r>
        <w:rPr>
          <w:rFonts w:ascii="Times New Roman" w:cs="Times New Roman" w:eastAsia="Times New Roman" w:hAnsi="Times New Roman"/>
          <w:sz w:val="20"/>
          <w:szCs w:val="20"/>
          <w:i w:val="1"/>
          <w:iCs w:val="1"/>
          <w:color w:val="auto"/>
        </w:rPr>
        <w:t xml:space="preserve">material </w:t>
      </w:r>
      <w:r>
        <w:rPr>
          <w:rFonts w:ascii="Times New Roman" w:cs="Times New Roman" w:eastAsia="Times New Roman" w:hAnsi="Times New Roman"/>
          <w:sz w:val="20"/>
          <w:szCs w:val="20"/>
          <w:color w:val="auto"/>
        </w:rPr>
        <w:t>is difficult to evaluate in the abstract and typically is assessed with the benefit of hindsight. There always is information about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that is generally not known to the public. This information is “material” if it would likely to affect the stock price of the Company, or if a reasonable investor would consider it important in making an investment decision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whether to buy, hold, or sell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information, which if not publicly known, could be “Material Nonpublic Information” or “Inside Information” include:</w:t>
      </w:r>
    </w:p>
    <w:p>
      <w:pPr>
        <w:spacing w:after="0" w:line="200" w:lineRule="exact"/>
        <w:rPr>
          <w:sz w:val="20"/>
          <w:szCs w:val="20"/>
          <w:color w:val="auto"/>
        </w:rPr>
      </w:pPr>
    </w:p>
    <w:p>
      <w:pPr>
        <w:spacing w:after="0" w:line="245" w:lineRule="exact"/>
        <w:rPr>
          <w:sz w:val="20"/>
          <w:szCs w:val="20"/>
          <w:color w:val="auto"/>
        </w:rPr>
      </w:pPr>
    </w:p>
    <w:p>
      <w:pPr>
        <w:ind w:left="1400" w:hanging="514"/>
        <w:spacing w:after="0"/>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share ownership that may affect control of the Company;</w:t>
      </w:r>
    </w:p>
    <w:p>
      <w:pPr>
        <w:spacing w:after="0" w:line="107"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acquisitions or dispositions by the Company;</w:t>
      </w:r>
    </w:p>
    <w:p>
      <w:pPr>
        <w:spacing w:after="0" w:line="107" w:lineRule="exact"/>
        <w:rPr>
          <w:rFonts w:ascii="Times New Roman" w:cs="Times New Roman" w:eastAsia="Times New Roman" w:hAnsi="Times New Roman"/>
          <w:sz w:val="20"/>
          <w:szCs w:val="20"/>
          <w:color w:val="auto"/>
        </w:rPr>
      </w:pPr>
    </w:p>
    <w:p>
      <w:pPr>
        <w:ind w:left="1400" w:hanging="514"/>
        <w:spacing w:after="0" w:line="269" w:lineRule="auto"/>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changes in corporate structure including amalgamations and reorganizations proposed acquisitions of other companies (including take-over bids or mergers or material assets of such companies);</w:t>
      </w:r>
    </w:p>
    <w:p>
      <w:pPr>
        <w:spacing w:after="0" w:line="51" w:lineRule="exact"/>
        <w:rPr>
          <w:rFonts w:ascii="Times New Roman" w:cs="Times New Roman" w:eastAsia="Times New Roman" w:hAnsi="Times New Roman"/>
          <w:sz w:val="20"/>
          <w:szCs w:val="20"/>
          <w:color w:val="auto"/>
        </w:rPr>
      </w:pPr>
    </w:p>
    <w:p>
      <w:pPr>
        <w:ind w:left="1400" w:right="20" w:hanging="514"/>
        <w:spacing w:after="0" w:line="269" w:lineRule="auto"/>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and other earnings information, or information that would have an impact on financial results or earnings (such as unanticipated write-downs or gains and operating losses or gains);</w:t>
      </w:r>
    </w:p>
    <w:p>
      <w:pPr>
        <w:spacing w:after="0" w:line="51"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labor disputes or disputes with major contractors or suppliers;</w:t>
      </w:r>
    </w:p>
    <w:p>
      <w:pPr>
        <w:spacing w:after="0" w:line="107"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forecasts and plans, or material changes or expected material changes to financial forecasts or results;</w:t>
      </w:r>
    </w:p>
    <w:p>
      <w:pPr>
        <w:spacing w:after="0" w:line="107"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or management changes;</w:t>
      </w:r>
    </w:p>
    <w:p>
      <w:pPr>
        <w:spacing w:after="0" w:line="296"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capital structure including stock splits and stock dividends, or changes in our capital investment plans or</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corporate objectives;</w:t>
      </w:r>
    </w:p>
    <w:p>
      <w:pPr>
        <w:spacing w:after="0" w:line="86" w:lineRule="exact"/>
        <w:rPr>
          <w:sz w:val="20"/>
          <w:szCs w:val="20"/>
          <w:color w:val="auto"/>
        </w:rPr>
      </w:pPr>
    </w:p>
    <w:p>
      <w:pPr>
        <w:ind w:left="1080" w:hanging="339"/>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lawsuit, criminal indictment or governmental investigation;</w:t>
      </w:r>
    </w:p>
    <w:p>
      <w:pPr>
        <w:spacing w:after="0" w:line="107"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significant new product process;</w:t>
      </w:r>
    </w:p>
    <w:p>
      <w:pPr>
        <w:spacing w:after="0" w:line="107"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disputes or disputes with major contractors or suppliers;</w:t>
      </w:r>
    </w:p>
    <w:p>
      <w:pPr>
        <w:spacing w:after="0" w:line="107" w:lineRule="exact"/>
        <w:rPr>
          <w:rFonts w:ascii="Times New Roman" w:cs="Times New Roman" w:eastAsia="Times New Roman" w:hAnsi="Times New Roman"/>
          <w:sz w:val="20"/>
          <w:szCs w:val="20"/>
          <w:color w:val="auto"/>
        </w:rPr>
      </w:pPr>
    </w:p>
    <w:p>
      <w:pPr>
        <w:ind w:left="1120" w:right="120" w:hanging="379"/>
        <w:spacing w:after="0" w:line="269" w:lineRule="auto"/>
        <w:tabs>
          <w:tab w:leader="none" w:pos="107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 substantial changes in accounting methodologies or auditor notification that an issuer may no longer rely on an audit report;</w:t>
      </w:r>
    </w:p>
    <w:p>
      <w:pPr>
        <w:spacing w:after="0" w:line="51" w:lineRule="exact"/>
        <w:rPr>
          <w:rFonts w:ascii="Times New Roman" w:cs="Times New Roman" w:eastAsia="Times New Roman" w:hAnsi="Times New Roman"/>
          <w:sz w:val="20"/>
          <w:szCs w:val="20"/>
          <w:color w:val="auto"/>
        </w:rPr>
      </w:pPr>
    </w:p>
    <w:p>
      <w:pPr>
        <w:ind w:left="1120" w:right="180" w:hanging="379"/>
        <w:spacing w:after="0" w:line="269" w:lineRule="auto"/>
        <w:tabs>
          <w:tab w:leader="none" w:pos="107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 or receiving loans for a material amount of money or obtaining significant debt financing; a public or private sale of a material number of additional securities</w:t>
      </w:r>
    </w:p>
    <w:p>
      <w:pPr>
        <w:spacing w:after="0" w:line="51" w:lineRule="exact"/>
        <w:rPr>
          <w:rFonts w:ascii="Times New Roman" w:cs="Times New Roman" w:eastAsia="Times New Roman" w:hAnsi="Times New Roman"/>
          <w:sz w:val="20"/>
          <w:szCs w:val="20"/>
          <w:color w:val="auto"/>
        </w:rPr>
      </w:pPr>
    </w:p>
    <w:p>
      <w:pPr>
        <w:ind w:left="1120" w:right="220" w:hanging="379"/>
        <w:spacing w:after="0" w:line="269" w:lineRule="auto"/>
        <w:tabs>
          <w:tab w:leader="none" w:pos="107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changes or developments in products or contracts which could materially affect earnings upwards or downwards of the Company or its subsidiaries; and</w:t>
      </w:r>
    </w:p>
    <w:p>
      <w:pPr>
        <w:spacing w:after="0" w:line="51"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knowledge of material cybersecurity risks or incidents.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481330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69" w:right="339" w:bottom="1440" w:gutter="0" w:footer="0" w:header="0"/>
        </w:sectPr>
      </w:pPr>
    </w:p>
    <w:bookmarkStart w:id="123" w:name="page124"/>
    <w:bookmarkEnd w:id="123"/>
    <w:p>
      <w:pPr>
        <w:jc w:val="both"/>
        <w:ind w:right="120"/>
        <w:spacing w:after="0" w:line="243" w:lineRule="auto"/>
        <w:rPr>
          <w:sz w:val="20"/>
          <w:szCs w:val="20"/>
          <w:color w:val="auto"/>
        </w:rPr>
      </w:pPr>
      <w:r>
        <w:rPr>
          <w:rFonts w:ascii="Times New Roman" w:cs="Times New Roman" w:eastAsia="Times New Roman" w:hAnsi="Times New Roman"/>
          <w:sz w:val="20"/>
          <w:szCs w:val="20"/>
          <w:color w:val="auto"/>
        </w:rPr>
        <w:t xml:space="preserve">Material information about the Company should be considered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color w:val="auto"/>
        </w:rPr>
        <w:t xml:space="preserve"> unless there is a certainty that it is publicly available. For example, Covered Persons should assume that the information is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public unless the information has been disclosed in a press release issued by the Company, in a public filing by the Company (such as a report filed on Form 10-K, Form 10-Q or Form 8-K) made with the U.S.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xml:space="preserve">”) or in materials provided to the Company’s shareholders (such as an annual report, investor letter, prospectus or proxy statement), or is available from the Company through a newswire service or daily newspaper of wide circulation, </w:t>
      </w:r>
      <w:r>
        <w:rPr>
          <w:rFonts w:ascii="Times New Roman" w:cs="Times New Roman" w:eastAsia="Times New Roman" w:hAnsi="Times New Roman"/>
          <w:sz w:val="20"/>
          <w:szCs w:val="20"/>
          <w:b w:val="1"/>
          <w:bCs w:val="1"/>
          <w:u w:val="single" w:color="auto"/>
          <w:color w:val="auto"/>
        </w:rPr>
        <w:t>AND</w:t>
      </w:r>
      <w:r>
        <w:rPr>
          <w:rFonts w:ascii="Times New Roman" w:cs="Times New Roman" w:eastAsia="Times New Roman" w:hAnsi="Times New Roman"/>
          <w:sz w:val="20"/>
          <w:szCs w:val="20"/>
          <w:color w:val="auto"/>
        </w:rPr>
        <w:t xml:space="preserve"> a sufficient amount of time has passed (generally, at least one full trading day on the Company’s primary securities exchange) so that the marketplace has had an opportunity to digest the information. Information about the Company and its Securities will continue to be considered nonpublic even if some information, such as rumors, speculation or similar reports from sources outside of the Company are the only source of publicity.</w:t>
      </w:r>
    </w:p>
    <w:p>
      <w:pPr>
        <w:spacing w:after="0" w:line="199"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20"/>
          <w:szCs w:val="20"/>
          <w:color w:val="auto"/>
        </w:rPr>
        <w:t xml:space="preserve">If you have questions or want clarification on whether particular information is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color w:val="auto"/>
        </w:rPr>
        <w:t xml:space="preserve"> please contact the General Counsel of the Company, its Chief Counsel – Securities &amp; Governance or other designee of the General Counsel.</w:t>
      </w:r>
    </w:p>
    <w:p>
      <w:pPr>
        <w:spacing w:after="0" w:line="48" w:lineRule="exact"/>
        <w:rPr>
          <w:sz w:val="20"/>
          <w:szCs w:val="20"/>
          <w:color w:val="auto"/>
        </w:rPr>
      </w:pPr>
    </w:p>
    <w:p>
      <w:pPr>
        <w:ind w:left="880" w:hanging="503"/>
        <w:spacing w:after="0"/>
        <w:tabs>
          <w:tab w:leader="none" w:pos="8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Exercise of Stock Options</w:t>
      </w:r>
    </w:p>
    <w:p>
      <w:pPr>
        <w:spacing w:after="0" w:line="238"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 xml:space="preserve">This Policy applies to any sale of stock as part of a broker-assisted cashless exercise of an option, the sale of Securities delivered to the option holder as a result of a “withhold to cover” transaction, or any other market transaction. However, this Policy does not apply to the exercise of options granted under the Company’s employee share and incentive plan, or to the exercise of a tax withholding right, under a “withhold to cover” method for the exercise of the applicable option, </w:t>
      </w:r>
      <w:r>
        <w:rPr>
          <w:rFonts w:ascii="Times New Roman" w:cs="Times New Roman" w:eastAsia="Times New Roman" w:hAnsi="Times New Roman"/>
          <w:sz w:val="20"/>
          <w:szCs w:val="20"/>
          <w:b w:val="1"/>
          <w:bCs w:val="1"/>
          <w:i w:val="1"/>
          <w:iCs w:val="1"/>
          <w:u w:val="single" w:color="auto"/>
          <w:color w:val="auto"/>
        </w:rPr>
        <w:t>where that transaction does not involve the sale of securities 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open market, such as through a broker-assisted transaction</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right="120" w:hanging="1"/>
        <w:spacing w:after="0" w:line="254" w:lineRule="auto"/>
        <w:rPr>
          <w:sz w:val="20"/>
          <w:szCs w:val="20"/>
          <w:color w:val="auto"/>
        </w:rPr>
      </w:pPr>
      <w:r>
        <w:rPr>
          <w:rFonts w:ascii="Times New Roman" w:cs="Times New Roman" w:eastAsia="Times New Roman" w:hAnsi="Times New Roman"/>
          <w:sz w:val="20"/>
          <w:szCs w:val="20"/>
          <w:color w:val="auto"/>
        </w:rPr>
        <w:t>Please contact the Green Thumb Equity Team (equity@gtigrows.com) or the Chief Counsel – Securities &amp; Governance, the General Counsel or the General Counsel’s designee if you have questions about whether it is possible to exercise options outside of the application of this Policy.</w:t>
      </w:r>
    </w:p>
    <w:p>
      <w:pPr>
        <w:spacing w:after="0" w:line="296" w:lineRule="exact"/>
        <w:rPr>
          <w:sz w:val="20"/>
          <w:szCs w:val="20"/>
          <w:color w:val="auto"/>
        </w:rPr>
      </w:pPr>
    </w:p>
    <w:p>
      <w:pPr>
        <w:ind w:left="880" w:hanging="503"/>
        <w:spacing w:after="0"/>
        <w:tabs>
          <w:tab w:leader="none" w:pos="8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Prohibited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should be no trading in any interest or position relating to the future price of the Company’s Securities, including:</w:t>
      </w:r>
    </w:p>
    <w:p>
      <w:pPr>
        <w:spacing w:after="0" w:line="337" w:lineRule="exact"/>
        <w:rPr>
          <w:sz w:val="20"/>
          <w:szCs w:val="20"/>
          <w:color w:val="auto"/>
        </w:rPr>
      </w:pPr>
    </w:p>
    <w:p>
      <w:pPr>
        <w:jc w:val="both"/>
        <w:ind w:left="880" w:hanging="503"/>
        <w:spacing w:after="0" w:line="245" w:lineRule="auto"/>
        <w:tabs>
          <w:tab w:leader="none" w:pos="8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Short sales of the Company’s Securities evidence an expectation on the part of the Covered Person that the Securities will decline in value, and therefore signal to the market that the Covered Person has no confidence in the Company or its short-term prospects. In addition, short sales may reduce the Covered Person’s incentive to improve the Company’s performance. For these reasons, short sales of the Company’s Securities are prohibited. In addition, Section 16(c) of the U.S.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prohibits directors and executive officers from engaging in short sales.</w:t>
      </w:r>
    </w:p>
    <w:p>
      <w:pPr>
        <w:spacing w:after="0" w:line="305" w:lineRule="exact"/>
        <w:rPr>
          <w:rFonts w:ascii="Times New Roman" w:cs="Times New Roman" w:eastAsia="Times New Roman" w:hAnsi="Times New Roman"/>
          <w:sz w:val="20"/>
          <w:szCs w:val="20"/>
          <w:color w:val="auto"/>
        </w:rPr>
      </w:pPr>
    </w:p>
    <w:p>
      <w:pPr>
        <w:jc w:val="both"/>
        <w:ind w:left="880" w:hanging="503"/>
        <w:spacing w:after="0" w:line="245" w:lineRule="auto"/>
        <w:tabs>
          <w:tab w:leader="none" w:pos="8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Publicly Traded Put or Call Options</w:t>
      </w:r>
      <w:r>
        <w:rPr>
          <w:rFonts w:ascii="Times New Roman" w:cs="Times New Roman" w:eastAsia="Times New Roman" w:hAnsi="Times New Roman"/>
          <w:sz w:val="20"/>
          <w:szCs w:val="20"/>
          <w:color w:val="auto"/>
        </w:rPr>
        <w:t>. A transaction in publicly traded put or call options is, in effect, a bet on the short-term movement of the Company’s Securities and therefore creates the appearance that the Covered Person is trading based on inside information. Transactions in options also may focus the Covered Person’s attention on short-term performance at the expense of the Company’s long-term objectives. Accordingly, transactions in puts, calls or other derivative Securities of the Company, on an exchange or in any other organized market, are prohibited. This Section F(2) shall not be construed to apply to exercises of stock options granted by the Company pursuant to a share incentive plan.</w:t>
      </w:r>
    </w:p>
    <w:p>
      <w:pPr>
        <w:spacing w:after="0" w:line="76" w:lineRule="exact"/>
        <w:rPr>
          <w:rFonts w:ascii="Times New Roman" w:cs="Times New Roman" w:eastAsia="Times New Roman" w:hAnsi="Times New Roman"/>
          <w:sz w:val="20"/>
          <w:szCs w:val="20"/>
          <w:color w:val="auto"/>
        </w:rPr>
      </w:pPr>
    </w:p>
    <w:p>
      <w:pPr>
        <w:jc w:val="both"/>
        <w:ind w:left="880" w:hanging="503"/>
        <w:spacing w:after="0" w:line="244" w:lineRule="auto"/>
        <w:tabs>
          <w:tab w:leader="none" w:pos="8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r>
        <w:rPr>
          <w:rFonts w:ascii="Times New Roman" w:cs="Times New Roman" w:eastAsia="Times New Roman" w:hAnsi="Times New Roman"/>
          <w:sz w:val="20"/>
          <w:szCs w:val="20"/>
          <w:color w:val="auto"/>
        </w:rPr>
        <w:t>. Certain forms of hedging or monetization transactions allow the Covered Person to lock in much of the value of his or her stock holdings, often in exchange for all or part of the potential for upside appreciation in the stock. These transactions allow the Covered Person to continue to own the covered Securities, but without the full risks and rewards of ownership. When that occurs, the Covered Person may no longer have the same objectives as the Company’s other stockholders. Therefore, Covered Persons are prohibited from purchasing financial instruments (including prepaid variable forward contracts, equity swaps, collars and exchange funds), or otherwise engaging in transactions, that hedge or offset, or are designed to hedge or offset, any decrease in the market value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608330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990" w:right="339" w:bottom="1440" w:gutter="0" w:footer="0" w:header="0"/>
        </w:sectPr>
      </w:pPr>
    </w:p>
    <w:bookmarkStart w:id="124" w:name="page125"/>
    <w:bookmarkEnd w:id="124"/>
    <w:p>
      <w:pPr>
        <w:jc w:val="both"/>
        <w:ind w:left="880" w:hanging="503"/>
        <w:spacing w:after="0" w:line="249" w:lineRule="auto"/>
        <w:tabs>
          <w:tab w:leader="none" w:pos="8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Pledges</w:t>
      </w:r>
      <w:r>
        <w:rPr>
          <w:rFonts w:ascii="Times New Roman" w:cs="Times New Roman" w:eastAsia="Times New Roman" w:hAnsi="Times New Roman"/>
          <w:sz w:val="20"/>
          <w:szCs w:val="20"/>
          <w:color w:val="auto"/>
        </w:rPr>
        <w:t>. No Covered Person may use the Company’s Securities to support a margin debt or pledge the Company’s Securities at any time when the Covered Person is in possession of inside information or otherwise is not permitted to trade in the Securities of the Company, except for a margin loan with a registered broker-dealer that complies with the applicable margin rules.</w:t>
      </w:r>
    </w:p>
    <w:p>
      <w:pPr>
        <w:spacing w:after="0" w:line="194" w:lineRule="exact"/>
        <w:rPr>
          <w:sz w:val="20"/>
          <w:szCs w:val="20"/>
          <w:color w:val="auto"/>
        </w:rPr>
      </w:pPr>
    </w:p>
    <w:p>
      <w:pPr>
        <w:ind w:left="880" w:hanging="503"/>
        <w:spacing w:after="0"/>
        <w:tabs>
          <w:tab w:leader="none" w:pos="8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Designated Insiders</w:t>
      </w:r>
    </w:p>
    <w:p>
      <w:pPr>
        <w:spacing w:after="0" w:line="306"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color w:val="auto"/>
        </w:rPr>
        <w:t>All Covered Persons must limit transactions in the Company’s Securities to periods when they can reasonably be satisfied that there are no pending material nonpublic developments that might have a bearing on the market price of such Securities. In addition to this general probation that applies to all Covered Persons, additional restrictions apply on certain Company insiders who routinely have access to Material Nonpublic Information, specifically including:</w:t>
      </w:r>
    </w:p>
    <w:p>
      <w:pPr>
        <w:spacing w:after="0" w:line="72" w:lineRule="exact"/>
        <w:rPr>
          <w:sz w:val="20"/>
          <w:szCs w:val="20"/>
          <w:color w:val="auto"/>
        </w:rPr>
      </w:pPr>
    </w:p>
    <w:p>
      <w:pPr>
        <w:ind w:left="880" w:hanging="503"/>
        <w:spacing w:after="0"/>
        <w:tabs>
          <w:tab w:leader="none" w:pos="8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of the Company;</w:t>
      </w:r>
    </w:p>
    <w:p>
      <w:pPr>
        <w:spacing w:after="0" w:line="107" w:lineRule="exact"/>
        <w:rPr>
          <w:rFonts w:ascii="Times New Roman" w:cs="Times New Roman" w:eastAsia="Times New Roman" w:hAnsi="Times New Roman"/>
          <w:sz w:val="20"/>
          <w:szCs w:val="20"/>
          <w:color w:val="auto"/>
        </w:rPr>
      </w:pPr>
    </w:p>
    <w:p>
      <w:pPr>
        <w:ind w:left="880" w:hanging="503"/>
        <w:spacing w:after="0"/>
        <w:tabs>
          <w:tab w:leader="none" w:pos="8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Executive Officers (as determined by the Board from time to time) of the Company;</w:t>
      </w:r>
    </w:p>
    <w:p>
      <w:pPr>
        <w:spacing w:after="0" w:line="107" w:lineRule="exact"/>
        <w:rPr>
          <w:rFonts w:ascii="Times New Roman" w:cs="Times New Roman" w:eastAsia="Times New Roman" w:hAnsi="Times New Roman"/>
          <w:sz w:val="20"/>
          <w:szCs w:val="20"/>
          <w:color w:val="auto"/>
        </w:rPr>
      </w:pPr>
    </w:p>
    <w:p>
      <w:pPr>
        <w:ind w:left="880" w:right="180" w:hanging="503"/>
        <w:spacing w:after="0" w:line="269" w:lineRule="auto"/>
        <w:tabs>
          <w:tab w:leader="none" w:pos="8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persons having access to the Company’s significant, unreported, consolidated financial information through the Company’s financial and accounting systems or otherwise;</w:t>
      </w:r>
    </w:p>
    <w:p>
      <w:pPr>
        <w:spacing w:after="0" w:line="51" w:lineRule="exact"/>
        <w:rPr>
          <w:rFonts w:ascii="Times New Roman" w:cs="Times New Roman" w:eastAsia="Times New Roman" w:hAnsi="Times New Roman"/>
          <w:sz w:val="20"/>
          <w:szCs w:val="20"/>
          <w:color w:val="auto"/>
        </w:rPr>
      </w:pPr>
    </w:p>
    <w:p>
      <w:pPr>
        <w:ind w:left="880" w:right="720" w:hanging="503"/>
        <w:spacing w:after="0" w:line="269" w:lineRule="auto"/>
        <w:tabs>
          <w:tab w:leader="none" w:pos="8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management personnel having access to the Company’s financial results and projections or regular access to other potentially material information; and</w:t>
      </w:r>
    </w:p>
    <w:p>
      <w:pPr>
        <w:spacing w:after="0" w:line="51" w:lineRule="exact"/>
        <w:rPr>
          <w:rFonts w:ascii="Times New Roman" w:cs="Times New Roman" w:eastAsia="Times New Roman" w:hAnsi="Times New Roman"/>
          <w:sz w:val="20"/>
          <w:szCs w:val="20"/>
          <w:color w:val="auto"/>
        </w:rPr>
      </w:pPr>
    </w:p>
    <w:p>
      <w:pPr>
        <w:ind w:left="880" w:hanging="503"/>
        <w:spacing w:after="0"/>
        <w:tabs>
          <w:tab w:leader="none" w:pos="8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executive assistant or other person with access to any of the above persons’ sensitive files, such as email.</w:t>
      </w:r>
    </w:p>
    <w:p>
      <w:pPr>
        <w:spacing w:after="0" w:line="200" w:lineRule="exact"/>
        <w:rPr>
          <w:sz w:val="20"/>
          <w:szCs w:val="20"/>
          <w:color w:val="auto"/>
        </w:rPr>
      </w:pPr>
    </w:p>
    <w:p>
      <w:pPr>
        <w:spacing w:after="0" w:line="20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color w:val="auto"/>
        </w:rPr>
        <w:t>(collectively referred to as the “</w:t>
      </w:r>
      <w:r>
        <w:rPr>
          <w:rFonts w:ascii="Times New Roman" w:cs="Times New Roman" w:eastAsia="Times New Roman" w:hAnsi="Times New Roman"/>
          <w:sz w:val="20"/>
          <w:szCs w:val="20"/>
          <w:b w:val="1"/>
          <w:bCs w:val="1"/>
          <w:color w:val="auto"/>
        </w:rPr>
        <w:t>Designated Insiders</w:t>
      </w:r>
      <w:r>
        <w:rPr>
          <w:rFonts w:ascii="Times New Roman" w:cs="Times New Roman" w:eastAsia="Times New Roman" w:hAnsi="Times New Roman"/>
          <w:sz w:val="20"/>
          <w:szCs w:val="20"/>
          <w:color w:val="auto"/>
        </w:rPr>
        <w:t>”). A current list of the Designated Insiders shall be maintained by the Chief Administrative Officer or that person’s designee.</w:t>
      </w:r>
    </w:p>
    <w:p>
      <w:pPr>
        <w:spacing w:after="0" w:line="48" w:lineRule="exact"/>
        <w:rPr>
          <w:sz w:val="20"/>
          <w:szCs w:val="20"/>
          <w:color w:val="auto"/>
        </w:rPr>
      </w:pPr>
    </w:p>
    <w:p>
      <w:pPr>
        <w:ind w:left="880" w:hanging="503"/>
        <w:spacing w:after="0"/>
        <w:tabs>
          <w:tab w:leader="none" w:pos="8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Trading Blackout Periods</w:t>
      </w:r>
    </w:p>
    <w:p>
      <w:pPr>
        <w:spacing w:after="0" w:line="21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Purchases and sales of Securities of the Company by Designated Insiders, and each Designated Insider’s Related Persons, will not be permitted at the following times, when Material Nonpublic Information is deemed reasonably likely to exist:</w:t>
      </w:r>
    </w:p>
    <w:p>
      <w:pPr>
        <w:spacing w:after="0" w:line="51" w:lineRule="exact"/>
        <w:rPr>
          <w:sz w:val="20"/>
          <w:szCs w:val="20"/>
          <w:color w:val="auto"/>
        </w:rPr>
      </w:pPr>
    </w:p>
    <w:p>
      <w:pPr>
        <w:jc w:val="both"/>
        <w:ind w:left="880" w:right="20" w:hanging="503"/>
        <w:spacing w:after="0" w:line="254" w:lineRule="auto"/>
        <w:tabs>
          <w:tab w:leader="none" w:pos="8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periods at or prior to the end of each fiscal quarter and ending after the first full trading day following the release of the Company’s earnings result for that period, which period will be determined by the Executive Officers of the Company and amended as the circumstances require from time to time.</w:t>
      </w:r>
    </w:p>
    <w:p>
      <w:pPr>
        <w:spacing w:after="0" w:line="66" w:lineRule="exact"/>
        <w:rPr>
          <w:rFonts w:ascii="Times New Roman" w:cs="Times New Roman" w:eastAsia="Times New Roman" w:hAnsi="Times New Roman"/>
          <w:sz w:val="20"/>
          <w:szCs w:val="20"/>
          <w:color w:val="auto"/>
        </w:rPr>
      </w:pPr>
    </w:p>
    <w:p>
      <w:pPr>
        <w:jc w:val="both"/>
        <w:ind w:left="880" w:hanging="503"/>
        <w:spacing w:after="0" w:line="249" w:lineRule="auto"/>
        <w:tabs>
          <w:tab w:leader="none" w:pos="8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issues interim earnings guidance or other potentially material information by way of press release, SEC filing or other means designed to achieve widespread dissemination of the information, Designated Insiders and Related Persons will be blacked out while the Company is in the process of assembling the information to be released and ending after the first full trading day following the release of such information.</w:t>
      </w:r>
    </w:p>
    <w:p>
      <w:pPr>
        <w:spacing w:after="0" w:line="71" w:lineRule="exact"/>
        <w:rPr>
          <w:rFonts w:ascii="Times New Roman" w:cs="Times New Roman" w:eastAsia="Times New Roman" w:hAnsi="Times New Roman"/>
          <w:sz w:val="20"/>
          <w:szCs w:val="20"/>
          <w:color w:val="auto"/>
        </w:rPr>
      </w:pPr>
    </w:p>
    <w:p>
      <w:pPr>
        <w:ind w:left="880" w:hanging="503"/>
        <w:spacing w:after="0"/>
        <w:tabs>
          <w:tab w:leader="none" w:pos="8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periods as to which Designated Insiders will be specifically advised.</w:t>
      </w:r>
    </w:p>
    <w:p>
      <w:pPr>
        <w:spacing w:after="0" w:line="320"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Hardship Exceptions. </w:t>
      </w:r>
      <w:r>
        <w:rPr>
          <w:rFonts w:ascii="Times New Roman" w:cs="Times New Roman" w:eastAsia="Times New Roman" w:hAnsi="Times New Roman"/>
          <w:sz w:val="20"/>
          <w:szCs w:val="20"/>
          <w:color w:val="auto"/>
        </w:rPr>
        <w:t>Designated Insiders in limited, special circumstances, including an unexpected and urgent need to sell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in order to generate cash, may, in appropriate circumstances, be permitted to sell Company stock even during the blackout period. Hardship exceptions may be granted only by the General Counsel and must be requested at least two (2) business days in advance of the proposed trade. Under no circumstances will a hardship exception be granted to a Covered Person who possesses Material Nonpublic Information. Please contact the Chief Counsel – Securities &amp; Governance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461645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73" w:right="339" w:bottom="1440" w:gutter="0" w:footer="0" w:header="0"/>
        </w:sectPr>
      </w:pPr>
    </w:p>
    <w:bookmarkStart w:id="125" w:name="page126"/>
    <w:bookmarkEnd w:id="125"/>
    <w:p>
      <w:pPr>
        <w:ind w:left="880" w:hanging="503"/>
        <w:spacing w:after="0"/>
        <w:tabs>
          <w:tab w:leader="none" w:pos="8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Event-Specific Blackout Periods</w:t>
      </w:r>
    </w:p>
    <w:p>
      <w:pPr>
        <w:spacing w:after="0" w:line="2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time to time, an event may occur that is material to the Company and is known by only a few directors, executives or employees. So long as the event remains material and non-public, directors, executive officers, and such other persons as are designated by the General Counsel or the General Counsel’s designee may not trade in the Company’s Securities (an “</w:t>
      </w:r>
      <w:r>
        <w:rPr>
          <w:rFonts w:ascii="Times New Roman" w:cs="Times New Roman" w:eastAsia="Times New Roman" w:hAnsi="Times New Roman"/>
          <w:sz w:val="20"/>
          <w:szCs w:val="20"/>
          <w:b w:val="1"/>
          <w:bCs w:val="1"/>
          <w:color w:val="auto"/>
        </w:rPr>
        <w:t>Event-Specific Blackout</w:t>
      </w:r>
      <w:r>
        <w:rPr>
          <w:rFonts w:ascii="Times New Roman" w:cs="Times New Roman" w:eastAsia="Times New Roman" w:hAnsi="Times New Roman"/>
          <w:sz w:val="20"/>
          <w:szCs w:val="20"/>
          <w:color w:val="auto"/>
        </w:rPr>
        <w:t>”). The existence of an Event- Specific Blackout will not be announced, other than to those who are aware of the event giving rise to the blackout. If, however, a person whose trades are subject to the prior notice procedures described below desires to trade in the Company’s Securities during an Event-Specific Blackout, the General Counsel or the General Counsel’s designee will inform the requestor of the existence of a blackout period without disclosing the reason for the blackout. Any person made aware of the existence of an Event-Specific Blackout must not disclose the existence of the blackout to any other person. Covered Persons are prohibited from trading while in possession of Material Nonpublic Information, regardless of whether they have been designated by the General Counsel or the General Counsel’s designee as being subject to an Event-Specific Blackout.</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time to time, the Company may be involved in transactions or other events with other publicly traded companies, and the transaction, while not material to the Company, may be material to the counterparty(ies). In such an event, the General Counsel or the General Counsel’s designee may impose an</w:t>
      </w:r>
    </w:p>
    <w:p>
      <w:pPr>
        <w:spacing w:after="0" w:line="25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Event-Specific Blackout period on the Covered Persons involved with this event or transaction solely with respect to that other company(ies) by notice to the affected Covered Persons.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that the mere existence of a blackout period may be considered Material Nonpublic Information.</w:t>
      </w:r>
    </w:p>
    <w:p>
      <w:pPr>
        <w:spacing w:after="0" w:line="338" w:lineRule="exact"/>
        <w:rPr>
          <w:sz w:val="20"/>
          <w:szCs w:val="20"/>
          <w:color w:val="auto"/>
        </w:rPr>
      </w:pPr>
    </w:p>
    <w:p>
      <w:pPr>
        <w:ind w:left="880" w:hanging="503"/>
        <w:spacing w:after="0"/>
        <w:tabs>
          <w:tab w:leader="none" w:pos="88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Procedures</w:t>
      </w:r>
    </w:p>
    <w:p>
      <w:pPr>
        <w:spacing w:after="0" w:line="2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 help prevent inadvertent violations of applicable securities laws and to avoid even the appearance of trading while in possession of Material Nonpublic Information, all individuals subject to Section 16 of the Exchange Act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Directors and Section 16 Executive Officers), and others as designated by the General Counsel of the Company from time to time, (collectively, the “</w:t>
      </w:r>
      <w:r>
        <w:rPr>
          <w:rFonts w:ascii="Times New Roman" w:cs="Times New Roman" w:eastAsia="Times New Roman" w:hAnsi="Times New Roman"/>
          <w:sz w:val="20"/>
          <w:szCs w:val="20"/>
          <w:b w:val="1"/>
          <w:bCs w:val="1"/>
          <w:color w:val="auto"/>
        </w:rPr>
        <w:t>Pre-Clearance Group</w:t>
      </w:r>
      <w:r>
        <w:rPr>
          <w:rFonts w:ascii="Times New Roman" w:cs="Times New Roman" w:eastAsia="Times New Roman" w:hAnsi="Times New Roman"/>
          <w:sz w:val="20"/>
          <w:szCs w:val="20"/>
          <w:color w:val="auto"/>
        </w:rPr>
        <w:t>”) may not engage in any transaction in the Company’s Securities (including a gift, contribution to a trust, or similar transfer) without first providing the Executive Vice President – Capital Markets and the Chief Counsel – Securities &amp; Governance (together, the “</w:t>
      </w:r>
      <w:r>
        <w:rPr>
          <w:rFonts w:ascii="Times New Roman" w:cs="Times New Roman" w:eastAsia="Times New Roman" w:hAnsi="Times New Roman"/>
          <w:sz w:val="20"/>
          <w:szCs w:val="20"/>
          <w:b w:val="1"/>
          <w:bCs w:val="1"/>
          <w:color w:val="auto"/>
        </w:rPr>
        <w:t>Pre-Clearance Officers</w:t>
      </w:r>
      <w:r>
        <w:rPr>
          <w:rFonts w:ascii="Times New Roman" w:cs="Times New Roman" w:eastAsia="Times New Roman" w:hAnsi="Times New Roman"/>
          <w:sz w:val="20"/>
          <w:szCs w:val="20"/>
          <w:color w:val="auto"/>
        </w:rPr>
        <w:t>”) with at least 48 hours prior notice of the proposed transaction and receiving pre-clearance to proceed. The Pre-Clearance Officers (or, if one of them wishes to trade or is otherwise unavailable, then the General Counsel and/or the President shall replace such individual, as appropriate). The Pre-Clearance Officers will determine whether the transaction may proceed and if so, assist in complying with the SEC and Canadian reporting requirements, as applicable. The General Counsel or the designee thereof will maintain a list of the members of the Pre-Clearance Group and notify such individuals of their Pre-Clearance obligations. Pre-clearance shall be granted for a reasonable, limited period, generally no longer than five trading days from the date pre-clearance is granted. Pre-clearance may be requested again during an open trading window if the transaction is not completed within the applicable pre-clearance period.</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These pre-clearance procedures apply to trades by partnerships, trusts, corporations, brokerage accounts or other vehicles over which members of the Pre-Clearance Group have investment control or influence, as well as the Related Persons of any member of the Pre-Clearance group. The Pre-Clearance Officers have the right to prohibit any trade for which pre-clearance is required.</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Transactions under Company Plans</w:t>
      </w:r>
      <w:r>
        <w:rPr>
          <w:rFonts w:ascii="Times New Roman" w:cs="Times New Roman" w:eastAsia="Times New Roman" w:hAnsi="Times New Roman"/>
          <w:sz w:val="20"/>
          <w:szCs w:val="20"/>
          <w:color w:val="auto"/>
        </w:rPr>
        <w:t>. The pre-clearance procedures described above also apply to certain transactions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employee stock purchase and incentive plans. The pre-clearance procedures do not apply to mandatory sell-to-cover transactions to satisfy tax withholding requirements which are not initiated by the holder of such Securities, but do apply, however, to any sale of stock as part of a broker-assisted cashless exercise of an option, or any other market sale for the purposes of generating the cash needed to pay the exercise price of an award. Pre-clearance must be in writing (which may be via e-mail or other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460375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73" w:right="459" w:bottom="1440" w:gutter="0" w:footer="0" w:header="0"/>
        </w:sectPr>
      </w:pPr>
    </w:p>
    <w:bookmarkStart w:id="126" w:name="page127"/>
    <w:bookmarkEnd w:id="126"/>
    <w:p>
      <w:pPr>
        <w:ind w:left="880" w:hanging="503"/>
        <w:spacing w:after="0"/>
        <w:tabs>
          <w:tab w:leader="none" w:pos="8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Plans</w:t>
      </w:r>
    </w:p>
    <w:p>
      <w:pPr>
        <w:spacing w:after="0" w:line="238"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Designated Insiders and/or members of the Pre-Clearance Group may establish a trading plan under SEC Rule 10b5-1 only after first obtaining written pre-clearance for the plan from the General Counsel or the General Counsel’s designee. To obtain pre-clearance, a proposed Rule 10b5-1 Trading Plan must:</w:t>
      </w:r>
    </w:p>
    <w:p>
      <w:pPr>
        <w:spacing w:after="0" w:line="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11.1. Be in writing in form and substance acceptable to the Company;</w:t>
      </w:r>
    </w:p>
    <w:p>
      <w:pPr>
        <w:spacing w:after="0" w:line="108" w:lineRule="exact"/>
        <w:rPr>
          <w:sz w:val="20"/>
          <w:szCs w:val="20"/>
          <w:color w:val="auto"/>
        </w:rPr>
      </w:pPr>
    </w:p>
    <w:p>
      <w:pPr>
        <w:ind w:left="1400" w:hanging="508"/>
        <w:spacing w:after="0" w:line="269" w:lineRule="auto"/>
        <w:rPr>
          <w:sz w:val="20"/>
          <w:szCs w:val="20"/>
          <w:color w:val="auto"/>
        </w:rPr>
      </w:pPr>
      <w:r>
        <w:rPr>
          <w:rFonts w:ascii="Times New Roman" w:cs="Times New Roman" w:eastAsia="Times New Roman" w:hAnsi="Times New Roman"/>
          <w:sz w:val="20"/>
          <w:szCs w:val="20"/>
          <w:color w:val="auto"/>
        </w:rPr>
        <w:t>11.2. Comply with all applicable rules set forth by the SEC and any applicable Canadian rules and regulations, and contain all terms required thereunder;</w:t>
      </w:r>
    </w:p>
    <w:p>
      <w:pPr>
        <w:spacing w:after="0" w:line="51" w:lineRule="exact"/>
        <w:rPr>
          <w:sz w:val="20"/>
          <w:szCs w:val="20"/>
          <w:color w:val="auto"/>
        </w:rPr>
      </w:pPr>
    </w:p>
    <w:p>
      <w:pPr>
        <w:ind w:left="1400" w:hanging="508"/>
        <w:spacing w:after="0" w:line="269" w:lineRule="auto"/>
        <w:rPr>
          <w:sz w:val="20"/>
          <w:szCs w:val="20"/>
          <w:color w:val="auto"/>
        </w:rPr>
      </w:pPr>
      <w:r>
        <w:rPr>
          <w:rFonts w:ascii="Times New Roman" w:cs="Times New Roman" w:eastAsia="Times New Roman" w:hAnsi="Times New Roman"/>
          <w:sz w:val="20"/>
          <w:szCs w:val="20"/>
          <w:color w:val="auto"/>
        </w:rPr>
        <w:t>11.3. Be entered into only during a period in which the Covered Person is not subject to a blackout period or is otherwise aware of Material Nonpublic Information</w:t>
      </w:r>
    </w:p>
    <w:p>
      <w:pPr>
        <w:spacing w:after="0" w:line="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11.4. Require additional pre-clearance for any amendment, termination, or replacement.</w:t>
      </w:r>
    </w:p>
    <w:p>
      <w:pPr>
        <w:spacing w:after="0" w:line="230" w:lineRule="exact"/>
        <w:rPr>
          <w:sz w:val="20"/>
          <w:szCs w:val="20"/>
          <w:color w:val="auto"/>
        </w:rPr>
      </w:pPr>
    </w:p>
    <w:p>
      <w:pPr>
        <w:ind w:left="880" w:hanging="503"/>
        <w:spacing w:after="0"/>
        <w:tabs>
          <w:tab w:leader="none" w:pos="8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38"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If, upon the termination of a Covered Person’s service as a director, officer, employee or other agent of the Company, the Covered Person possesses Material Nonpublic Information, unless otherwise pre-cleared by the General Counsel or the General Counsel’s designee, such Covered Person may not trade in the Company’s Securities until that information has become public or is no longer material. In all other respects, the procedures set forth in this Policy will cease to apply to the terminated Covered Person’s transactions in Company Securities upon the expiration of any applicable blackout period in effect at the time of the termination of service.</w:t>
      </w:r>
    </w:p>
    <w:p>
      <w:pPr>
        <w:spacing w:after="0" w:line="77" w:lineRule="exact"/>
        <w:rPr>
          <w:sz w:val="20"/>
          <w:szCs w:val="20"/>
          <w:color w:val="auto"/>
        </w:rPr>
      </w:pPr>
    </w:p>
    <w:p>
      <w:pPr>
        <w:ind w:left="880" w:hanging="503"/>
        <w:spacing w:after="0"/>
        <w:tabs>
          <w:tab w:leader="none" w:pos="8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Assistance</w:t>
      </w:r>
    </w:p>
    <w:p>
      <w:pPr>
        <w:spacing w:after="0" w:line="23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If you have any questions about this Policy or its application to any proposed transaction, you may obtain additional guidance from the General Counsel, the Chief Counsel – Securities &amp; Governance or the General Counsel’s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582930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73"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61"/>
        </w:trPr>
        <w:tc>
          <w:tcPr>
            <w:tcW w:w="27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540" w:type="dxa"/>
            <w:vAlign w:val="bottom"/>
          </w:tcPr>
          <w:p>
            <w:pPr>
              <w:ind w:left="500"/>
              <w:spacing w:after="0"/>
              <w:rPr>
                <w:sz w:val="20"/>
                <w:szCs w:val="20"/>
                <w:color w:val="auto"/>
              </w:rPr>
            </w:pPr>
            <w:r>
              <w:rPr>
                <w:rFonts w:ascii="Arial" w:cs="Arial" w:eastAsia="Arial" w:hAnsi="Arial"/>
                <w:sz w:val="20"/>
                <w:szCs w:val="20"/>
                <w:color w:val="auto"/>
                <w:w w:val="97"/>
              </w:rPr>
              <w:t>Exhibit 21.1</w:t>
            </w:r>
          </w:p>
        </w:tc>
        <w:tc>
          <w:tcPr>
            <w:tcW w:w="0" w:type="dxa"/>
            <w:vAlign w:val="bottom"/>
          </w:tcPr>
          <w:p>
            <w:pPr>
              <w:spacing w:after="0"/>
              <w:rPr>
                <w:sz w:val="1"/>
                <w:szCs w:val="1"/>
                <w:color w:val="auto"/>
              </w:rPr>
            </w:pPr>
          </w:p>
        </w:tc>
      </w:tr>
      <w:tr>
        <w:trPr>
          <w:trHeight w:val="841"/>
        </w:trPr>
        <w:tc>
          <w:tcPr>
            <w:tcW w:w="2740" w:type="dxa"/>
            <w:vAlign w:val="bottom"/>
          </w:tcPr>
          <w:p>
            <w:pPr>
              <w:spacing w:after="0"/>
              <w:rPr>
                <w:sz w:val="24"/>
                <w:szCs w:val="24"/>
                <w:color w:val="auto"/>
              </w:rPr>
            </w:pPr>
          </w:p>
        </w:tc>
        <w:tc>
          <w:tcPr>
            <w:tcW w:w="69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List of Significant Subsidiaries of Green Thumb Industries Inc.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8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22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Formation Date</w:t>
            </w:r>
          </w:p>
        </w:tc>
        <w:tc>
          <w:tcPr>
            <w:tcW w:w="28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GTI Ownership</w:t>
            </w:r>
          </w:p>
        </w:tc>
        <w:tc>
          <w:tcPr>
            <w:tcW w:w="0" w:type="dxa"/>
            <w:vAlign w:val="bottom"/>
          </w:tcPr>
          <w:p>
            <w:pPr>
              <w:spacing w:after="0"/>
              <w:rPr>
                <w:sz w:val="1"/>
                <w:szCs w:val="1"/>
                <w:color w:val="auto"/>
              </w:rPr>
            </w:pPr>
          </w:p>
        </w:tc>
      </w:tr>
      <w:tr>
        <w:trPr>
          <w:trHeight w:val="168"/>
        </w:trPr>
        <w:tc>
          <w:tcPr>
            <w:tcW w:w="27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28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Green Thumb Industries Inc.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British Columbia,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26, 1979</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GTI Parent Company</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GTI23, Inc.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10, 2018</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Parent Company</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VCP23,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27, 2017</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Owns GTI Core, LLC</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Vision Management Services,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11, 2016</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Provides Management Services to</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GTI-</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Businesses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VCP Real Estate Holdings,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4, 2017</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Certain GTI-Owned Real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Estate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VCP IP Holdings,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4, 2017</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Certain GTI-Owned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TWD18,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1, 2018</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Certain GTI Investments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Core,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21, 2017</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Owns GTI’s Interest in State-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Licensed Businesses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GTI-Clinic Illinois Holdings,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Illinois,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26, 2014</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Owns GTI’s Illinois Licensed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Entities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Maryland,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Maryland,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30, 2015</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Maryland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Pennsylvania,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Pennsylvania,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30, 2016</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Pennsylvania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Nevada,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Nevada,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21, 2016</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Nevada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RISE Holdings, Inc.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Massachusetts,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25, 2018 (Converted</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Massachusetts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Massachusetts Non-</w:t>
            </w:r>
          </w:p>
        </w:tc>
        <w:tc>
          <w:tcPr>
            <w:tcW w:w="2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Profit)</w:t>
            </w:r>
          </w:p>
        </w:tc>
        <w:tc>
          <w:tcPr>
            <w:tcW w:w="2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Ohio,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Ohio,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7, 2017</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Ohio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GTI New Jersey, LLC</w:t>
            </w:r>
          </w:p>
        </w:tc>
        <w:tc>
          <w:tcPr>
            <w:tcW w:w="186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New Jersey, USA</w:t>
            </w:r>
          </w:p>
        </w:tc>
        <w:tc>
          <w:tcPr>
            <w:tcW w:w="22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April 19, 2018</w:t>
            </w:r>
          </w:p>
        </w:tc>
        <w:tc>
          <w:tcPr>
            <w:tcW w:w="28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Holds New Jersey Licenses</w:t>
            </w:r>
          </w:p>
        </w:tc>
        <w:tc>
          <w:tcPr>
            <w:tcW w:w="1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Advanced Grow Labs,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Connecticut,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31, 2012</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Connecticut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Bluepoint Apothecary,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Connecticut,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26, 2013</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Connecticut Bluepoint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Integral Associates,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Nevada,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9, 2014</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Integral Nevada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3, 2018</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Integral California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Florida,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Florida,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26, 2017</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Florida Holding Company</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KSGNF,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Florida,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9, 2012</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Florida License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27, 2014</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New York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Virginia,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Virginia,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4, 2018</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Virginia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GTI Rhode Island,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Rhode Island,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15, 2021</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Rhode Island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LeafLine Industries, LLC</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Minnesota, USA</w:t>
            </w: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27, 2014</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Holds Minnesota 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820"/>
        </w:trPr>
        <w:tc>
          <w:tcPr>
            <w:tcW w:w="2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40" w:type="dxa"/>
            <w:vAlign w:val="bottom"/>
          </w:tcPr>
          <w:p>
            <w:pPr>
              <w:ind w:left="960"/>
              <w:spacing w:after="0"/>
              <w:rPr>
                <w:sz w:val="20"/>
                <w:szCs w:val="20"/>
                <w:color w:val="auto"/>
              </w:rPr>
            </w:pPr>
            <w:r>
              <w:rPr>
                <w:rFonts w:ascii="Arial" w:cs="Arial" w:eastAsia="Arial" w:hAnsi="Arial"/>
                <w:sz w:val="20"/>
                <w:szCs w:val="20"/>
                <w:color w:val="auto"/>
              </w:rPr>
              <w:t>1</w:t>
            </w:r>
          </w:p>
        </w:tc>
        <w:tc>
          <w:tcPr>
            <w:tcW w:w="2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5"/>
        </w:trPr>
        <w:tc>
          <w:tcPr>
            <w:tcW w:w="27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ind w:right="60"/>
        <w:spacing w:after="0" w:line="225" w:lineRule="exact"/>
        <w:rPr>
          <w:sz w:val="20"/>
          <w:szCs w:val="20"/>
          <w:color w:val="auto"/>
        </w:rPr>
      </w:pPr>
      <w:r>
        <w:rPr>
          <w:rFonts w:ascii="Arial" w:cs="Arial" w:eastAsia="Arial" w:hAnsi="Arial"/>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 xml:space="preserve"> 3ASR (File No. 333</w:t>
      </w:r>
      <w:r>
        <w:rPr>
          <w:rFonts w:ascii="MS PGothic" w:cs="MS PGothic" w:eastAsia="MS PGothic" w:hAnsi="MS PGothic"/>
          <w:sz w:val="18"/>
          <w:szCs w:val="18"/>
          <w:color w:val="auto"/>
        </w:rPr>
        <w:t>‑</w:t>
      </w:r>
      <w:r>
        <w:rPr>
          <w:rFonts w:ascii="Arial" w:cs="Arial" w:eastAsia="Arial" w:hAnsi="Arial"/>
          <w:sz w:val="18"/>
          <w:szCs w:val="18"/>
          <w:color w:val="auto"/>
        </w:rPr>
        <w:t>278410) and Form S</w:t>
      </w:r>
      <w:r>
        <w:rPr>
          <w:rFonts w:ascii="MS PGothic" w:cs="MS PGothic" w:eastAsia="MS PGothic" w:hAnsi="MS PGothic"/>
          <w:sz w:val="18"/>
          <w:szCs w:val="18"/>
          <w:color w:val="auto"/>
        </w:rPr>
        <w:t>‑</w:t>
      </w:r>
      <w:r>
        <w:rPr>
          <w:rFonts w:ascii="Arial" w:cs="Arial" w:eastAsia="Arial" w:hAnsi="Arial"/>
          <w:sz w:val="18"/>
          <w:szCs w:val="18"/>
          <w:color w:val="auto"/>
        </w:rPr>
        <w:t>8 (File No. 333</w:t>
      </w:r>
      <w:r>
        <w:rPr>
          <w:rFonts w:ascii="MS PGothic" w:cs="MS PGothic" w:eastAsia="MS PGothic" w:hAnsi="MS PGothic"/>
          <w:sz w:val="18"/>
          <w:szCs w:val="18"/>
          <w:color w:val="auto"/>
        </w:rPr>
        <w:t>‑</w:t>
      </w:r>
      <w:r>
        <w:rPr>
          <w:rFonts w:ascii="Arial" w:cs="Arial" w:eastAsia="Arial" w:hAnsi="Arial"/>
          <w:sz w:val="18"/>
          <w:szCs w:val="18"/>
          <w:color w:val="auto"/>
        </w:rPr>
        <w:t xml:space="preserve">236522 </w:t>
      </w:r>
      <w:r>
        <w:rPr>
          <w:rFonts w:ascii="Times New Roman" w:cs="Times New Roman" w:eastAsia="Times New Roman" w:hAnsi="Times New Roman"/>
          <w:sz w:val="18"/>
          <w:szCs w:val="18"/>
          <w:color w:val="auto"/>
        </w:rPr>
        <w:t>and File No. 333-289354</w:t>
      </w:r>
      <w:r>
        <w:rPr>
          <w:rFonts w:ascii="Arial" w:cs="Arial" w:eastAsia="Arial" w:hAnsi="Arial"/>
          <w:sz w:val="18"/>
          <w:szCs w:val="18"/>
          <w:color w:val="auto"/>
        </w:rPr>
        <w:t>) of Green Thumb Industries, Inc. of our report dated February 25, 2026, relating to the consolidated financial statements and the effectiveness of internal control over financial reporting, which appears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40" w:hanging="504"/>
        <w:spacing w:after="0" w:line="312" w:lineRule="auto"/>
        <w:tabs>
          <w:tab w:leader="none" w:pos="11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20" w:hanging="504"/>
        <w:spacing w:after="0" w:line="276" w:lineRule="auto"/>
        <w:tabs>
          <w:tab w:leader="none" w:pos="11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40" w:hanging="504"/>
        <w:spacing w:after="0" w:line="312" w:lineRule="auto"/>
        <w:tabs>
          <w:tab w:leader="none" w:pos="11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20" w:hanging="504"/>
        <w:spacing w:after="0" w:line="276" w:lineRule="auto"/>
        <w:tabs>
          <w:tab w:leader="none" w:pos="11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2025 as filed with the Securities and Exchange Commission on the date hereof (the “Report”), I, Benjamin Kovler, Chief Executive Officer of the Company,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2025 as filed with the Securities and Exchange Commission on the date hereof (the “Report”), I, Mathew Faulkner, Chief Financial Officer of the Company,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decimal"/>
      <w:start w:val="3"/>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1)"/>
      <w:numFmt w:val="decimal"/>
      <w:start w:val="1"/>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1)"/>
      <w:numFmt w:val="lowerLetter"/>
      <w:start w:val="1"/>
    </w:lvl>
  </w:abstractNum>
  <w:abstractNum w:abstractNumId="11">
    <w:nsid w:val="3B0FD379"/>
    <w:multiLevelType w:val="hybridMultilevel"/>
    <w:lvl w:ilvl="0">
      <w:lvlJc w:val="left"/>
      <w:lvlText w:val="(%1)"/>
      <w:numFmt w:val="lowerLetter"/>
      <w:start w:val="1"/>
    </w:lvl>
  </w:abstractNum>
  <w:abstractNum w:abstractNumId="12">
    <w:nsid w:val="68EB2F63"/>
    <w:multiLevelType w:val="hybridMultilevel"/>
    <w:lvl w:ilvl="0">
      <w:lvlJc w:val="left"/>
      <w:lvlText w:val="(%1)"/>
      <w:numFmt w:val="lowerLetter"/>
      <w:start w:val="2"/>
    </w:lvl>
  </w:abstractNum>
  <w:abstractNum w:abstractNumId="13">
    <w:nsid w:val="4962813B"/>
    <w:multiLevelType w:val="hybridMultilevel"/>
    <w:lvl w:ilvl="0">
      <w:lvlJc w:val="left"/>
      <w:lvlText w:val="(%1)"/>
      <w:numFmt w:val="lowerLetter"/>
      <w:start w:val="3"/>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amp;"/>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1."/>
      <w:numFmt w:val="decimal"/>
      <w:start w:val="1"/>
    </w:lvl>
  </w:abstractNum>
  <w:abstractNum w:abstractNumId="25">
    <w:nsid w:val="885E1B"/>
    <w:multiLevelType w:val="hybridMultilevel"/>
    <w:lvl w:ilvl="0">
      <w:lvlJc w:val="left"/>
      <w:lvlText w:val="%1."/>
      <w:numFmt w:val="decimal"/>
      <w:start w:val="2"/>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lowerLetter"/>
      <w:start w:val="2"/>
    </w:lvl>
  </w:abstractNum>
  <w:abstractNum w:abstractNumId="28">
    <w:nsid w:val="1716703B"/>
    <w:multiLevelType w:val="hybridMultilevel"/>
    <w:lvl w:ilvl="0">
      <w:lvlJc w:val="left"/>
      <w:lvlText w:val="(%1)"/>
      <w:numFmt w:val="lowerLetter"/>
      <w:start w:val="3"/>
    </w:lvl>
  </w:abstractNum>
  <w:abstractNum w:abstractNumId="29">
    <w:nsid w:val="14E17E33"/>
    <w:multiLevelType w:val="hybridMultilevel"/>
    <w:lvl w:ilvl="0">
      <w:lvlJc w:val="left"/>
      <w:lvlText w:val="(%1)"/>
      <w:numFmt w:val="lowerLetter"/>
      <w:start w:val="4"/>
    </w:lvl>
  </w:abstractNum>
  <w:abstractNum w:abstractNumId="30">
    <w:nsid w:val="3222E7CD"/>
    <w:multiLevelType w:val="hybridMultilevel"/>
    <w:lvl w:ilvl="0">
      <w:lvlJc w:val="left"/>
      <w:lvlText w:val="%1."/>
      <w:numFmt w:val="decimal"/>
      <w:start w:val="2"/>
    </w:lvl>
  </w:abstractNum>
  <w:abstractNum w:abstractNumId="31">
    <w:nsid w:val="74DE0EE3"/>
    <w:multiLevelType w:val="hybridMultilevel"/>
    <w:lvl w:ilvl="0">
      <w:lvlJc w:val="left"/>
      <w:lvlText w:val="(%1)"/>
      <w:numFmt w:val="lowerLetter"/>
      <w:start w:val="4"/>
    </w:lvl>
  </w:abstractNum>
  <w:abstractNum w:abstractNumId="32">
    <w:nsid w:val="68EBC550"/>
    <w:multiLevelType w:val="hybridMultilevel"/>
    <w:lvl w:ilvl="0">
      <w:lvlJc w:val="left"/>
      <w:lvlText w:val="%1."/>
      <w:numFmt w:val="decimal"/>
      <w:start w:val="2"/>
    </w:lvl>
  </w:abstractNum>
  <w:abstractNum w:abstractNumId="33">
    <w:nsid w:val="2DF6D648"/>
    <w:multiLevelType w:val="hybridMultilevel"/>
    <w:lvl w:ilvl="0">
      <w:lvlJc w:val="left"/>
      <w:lvlText w:val="(%1)"/>
      <w:numFmt w:val="lowerLetter"/>
      <w:start w:val="5"/>
    </w:lvl>
  </w:abstractNum>
  <w:abstractNum w:abstractNumId="34">
    <w:nsid w:val="46B7D447"/>
    <w:multiLevelType w:val="hybridMultilevel"/>
    <w:lvl w:ilvl="0">
      <w:lvlJc w:val="left"/>
      <w:lvlText w:val="(%1)"/>
      <w:numFmt w:val="lowerLetter"/>
      <w:start w:val="6"/>
    </w:lvl>
  </w:abstractNum>
  <w:abstractNum w:abstractNumId="35">
    <w:nsid w:val="4A2AC315"/>
    <w:multiLevelType w:val="hybridMultilevel"/>
    <w:lvl w:ilvl="0">
      <w:lvlJc w:val="left"/>
      <w:lvlText w:val="(%1)"/>
      <w:numFmt w:val="lowerLetter"/>
      <w:start w:val="7"/>
    </w:lvl>
  </w:abstractNum>
  <w:abstractNum w:abstractNumId="36">
    <w:nsid w:val="39EE015C"/>
    <w:multiLevelType w:val="hybridMultilevel"/>
    <w:lvl w:ilvl="0">
      <w:lvlJc w:val="left"/>
      <w:lvlText w:val="(%1)"/>
      <w:numFmt w:val="lowerLetter"/>
      <w:start w:val="8"/>
    </w:lvl>
  </w:abstractNum>
  <w:abstractNum w:abstractNumId="37">
    <w:nsid w:val="57FC4FBB"/>
    <w:multiLevelType w:val="hybridMultilevel"/>
    <w:lvl w:ilvl="0">
      <w:lvlJc w:val="left"/>
      <w:lvlText w:val="%1."/>
      <w:numFmt w:val="decimal"/>
      <w:start w:val="2"/>
    </w:lvl>
  </w:abstractNum>
  <w:abstractNum w:abstractNumId="38">
    <w:nsid w:val="CC1016F"/>
    <w:multiLevelType w:val="hybridMultilevel"/>
    <w:lvl w:ilvl="0">
      <w:lvlJc w:val="left"/>
      <w:lvlText w:val="(%1)"/>
      <w:numFmt w:val="lowerRoman"/>
      <w:start w:val="1"/>
    </w:lvl>
  </w:abstractNum>
  <w:abstractNum w:abstractNumId="39">
    <w:nsid w:val="43F18422"/>
    <w:multiLevelType w:val="hybridMultilevel"/>
    <w:lvl w:ilvl="0">
      <w:lvlJc w:val="left"/>
      <w:lvlText w:val="(%1)"/>
      <w:numFmt w:val="lowerLetter"/>
      <w:start w:val="10"/>
    </w:lvl>
  </w:abstractNum>
  <w:abstractNum w:abstractNumId="40">
    <w:nsid w:val="60EF0119"/>
    <w:multiLevelType w:val="hybridMultilevel"/>
    <w:lvl w:ilvl="0">
      <w:lvlJc w:val="left"/>
      <w:lvlText w:val="%1."/>
      <w:numFmt w:val="decimal"/>
      <w:start w:val="2"/>
    </w:lvl>
    <w:lvl w:ilvl="1">
      <w:lvlJc w:val="left"/>
      <w:lvlText w:val="(%2)"/>
      <w:numFmt w:val="lowerLetter"/>
      <w:start w:val="11"/>
    </w:lvl>
  </w:abstractNum>
  <w:abstractNum w:abstractNumId="41">
    <w:nsid w:val="26F324BA"/>
    <w:multiLevelType w:val="hybridMultilevel"/>
    <w:lvl w:ilvl="0">
      <w:lvlJc w:val="left"/>
      <w:lvlText w:val="(%1)"/>
      <w:numFmt w:val="lowerLetter"/>
      <w:start w:val="12"/>
    </w:lvl>
  </w:abstractNum>
  <w:abstractNum w:abstractNumId="42">
    <w:nsid w:val="7F01579B"/>
    <w:multiLevelType w:val="hybridMultilevel"/>
    <w:lvl w:ilvl="0">
      <w:lvlJc w:val="left"/>
      <w:lvlText w:val="(%1)"/>
      <w:numFmt w:val="lowerLetter"/>
      <w:start w:val="13"/>
    </w:lvl>
  </w:abstractNum>
  <w:abstractNum w:abstractNumId="43">
    <w:nsid w:val="49DA307D"/>
    <w:multiLevelType w:val="hybridMultilevel"/>
    <w:lvl w:ilvl="0">
      <w:lvlJc w:val="left"/>
      <w:lvlText w:val="%1."/>
      <w:numFmt w:val="decimal"/>
      <w:start w:val="2"/>
    </w:lvl>
  </w:abstractNum>
  <w:abstractNum w:abstractNumId="44">
    <w:nsid w:val="7055A5F5"/>
    <w:multiLevelType w:val="hybridMultilevel"/>
    <w:lvl w:ilvl="0">
      <w:lvlJc w:val="left"/>
      <w:lvlText w:val="(%1)"/>
      <w:numFmt w:val="lowerLetter"/>
      <w:start w:val="13"/>
    </w:lvl>
  </w:abstractNum>
  <w:abstractNum w:abstractNumId="45">
    <w:nsid w:val="5FB8370B"/>
    <w:multiLevelType w:val="hybridMultilevel"/>
    <w:lvl w:ilvl="0">
      <w:lvlJc w:val="left"/>
      <w:lvlText w:val="(%1)"/>
      <w:numFmt w:val="lowerLetter"/>
      <w:start w:val="14"/>
    </w:lvl>
  </w:abstractNum>
  <w:abstractNum w:abstractNumId="46">
    <w:nsid w:val="50801EE1"/>
    <w:multiLevelType w:val="hybridMultilevel"/>
    <w:lvl w:ilvl="0">
      <w:lvlJc w:val="left"/>
      <w:lvlText w:val="(%1)"/>
      <w:numFmt w:val="lowerLetter"/>
      <w:start w:val="15"/>
    </w:lvl>
  </w:abstractNum>
  <w:abstractNum w:abstractNumId="47">
    <w:nsid w:val="488AC1A"/>
    <w:multiLevelType w:val="hybridMultilevel"/>
    <w:lvl w:ilvl="0">
      <w:lvlJc w:val="left"/>
      <w:lvlText w:val="•"/>
      <w:numFmt w:val="bullet"/>
      <w:start w:val="1"/>
    </w:lvl>
    <w:lvl w:ilvl="1">
      <w:lvlJc w:val="left"/>
      <w:lvlText w:val="•"/>
      <w:numFmt w:val="bullet"/>
      <w:start w:val="1"/>
    </w:lvl>
  </w:abstractNum>
  <w:abstractNum w:abstractNumId="48">
    <w:nsid w:val="5FB8011C"/>
    <w:multiLevelType w:val="hybridMultilevel"/>
    <w:lvl w:ilvl="0">
      <w:lvlJc w:val="left"/>
      <w:lvlText w:val="%1."/>
      <w:numFmt w:val="decimal"/>
      <w:start w:val="2"/>
    </w:lvl>
    <w:lvl w:ilvl="1">
      <w:lvlJc w:val="left"/>
      <w:lvlText w:val="(%2)"/>
      <w:numFmt w:val="lowerLetter"/>
      <w:start w:val="16"/>
    </w:lvl>
  </w:abstractNum>
  <w:abstractNum w:abstractNumId="49">
    <w:nsid w:val="6AA78F7F"/>
    <w:multiLevelType w:val="hybridMultilevel"/>
    <w:lvl w:ilvl="0">
      <w:lvlJc w:val="left"/>
      <w:lvlText w:val="(%1)"/>
      <w:numFmt w:val="lowerLetter"/>
      <w:start w:val="17"/>
    </w:lvl>
  </w:abstractNum>
  <w:abstractNum w:abstractNumId="50">
    <w:nsid w:val="7672BD23"/>
    <w:multiLevelType w:val="hybridMultilevel"/>
    <w:lvl w:ilvl="0">
      <w:lvlJc w:val="left"/>
      <w:lvlText w:val="(%1)"/>
      <w:numFmt w:val="lowerLetter"/>
      <w:start w:val="18"/>
    </w:lvl>
  </w:abstractNum>
  <w:abstractNum w:abstractNumId="51">
    <w:nsid w:val="6FC75AF8"/>
    <w:multiLevelType w:val="hybridMultilevel"/>
    <w:lvl w:ilvl="0">
      <w:lvlJc w:val="left"/>
      <w:lvlText w:val="%1."/>
      <w:numFmt w:val="decimal"/>
      <w:start w:val="2"/>
    </w:lvl>
    <w:lvl w:ilvl="1">
      <w:lvlJc w:val="left"/>
      <w:lvlText w:val="(%2)"/>
      <w:numFmt w:val="lowerLetter"/>
      <w:start w:val="19"/>
    </w:lvl>
  </w:abstractNum>
  <w:abstractNum w:abstractNumId="52">
    <w:nsid w:val="6A5F7029"/>
    <w:multiLevelType w:val="hybridMultilevel"/>
    <w:lvl w:ilvl="0">
      <w:lvlJc w:val="left"/>
      <w:lvlText w:val="(%1)"/>
      <w:numFmt w:val="lowerLetter"/>
      <w:start w:val="20"/>
    </w:lvl>
  </w:abstractNum>
  <w:abstractNum w:abstractNumId="53">
    <w:nsid w:val="7D5E18F8"/>
    <w:multiLevelType w:val="hybridMultilevel"/>
    <w:lvl w:ilvl="0">
      <w:lvlJc w:val="left"/>
      <w:lvlText w:val="(%1)"/>
      <w:numFmt w:val="lowerLetter"/>
      <w:start w:val="21"/>
    </w:lvl>
  </w:abstractNum>
  <w:abstractNum w:abstractNumId="54">
    <w:nsid w:val="5F3534A4"/>
    <w:multiLevelType w:val="hybridMultilevel"/>
    <w:lvl w:ilvl="0">
      <w:lvlJc w:val="left"/>
      <w:lvlText w:val="%1."/>
      <w:numFmt w:val="decimal"/>
      <w:start w:val="2"/>
    </w:lvl>
  </w:abstractNum>
  <w:abstractNum w:abstractNumId="55">
    <w:nsid w:val="73A1821B"/>
    <w:multiLevelType w:val="hybridMultilevel"/>
    <w:lvl w:ilvl="0">
      <w:lvlJc w:val="left"/>
      <w:lvlText w:val="(%1)"/>
      <w:numFmt w:val="lowerRoman"/>
      <w:start w:val="5"/>
    </w:lvl>
  </w:abstractNum>
  <w:abstractNum w:abstractNumId="56">
    <w:nsid w:val="7DE67713"/>
    <w:multiLevelType w:val="hybridMultilevel"/>
    <w:lvl w:ilvl="0">
      <w:lvlJc w:val="left"/>
      <w:lvlText w:val="(%1)"/>
      <w:numFmt w:val="lowerLetter"/>
      <w:start w:val="23"/>
    </w:lvl>
  </w:abstractNum>
  <w:abstractNum w:abstractNumId="57">
    <w:nsid w:val="555C55B5"/>
    <w:multiLevelType w:val="hybridMultilevel"/>
    <w:lvl w:ilvl="0">
      <w:lvlJc w:val="left"/>
      <w:lvlText w:val="(%1)"/>
      <w:numFmt w:val="lowerRoman"/>
      <w:start w:val="1"/>
    </w:lvl>
  </w:abstractNum>
  <w:abstractNum w:abstractNumId="58">
    <w:nsid w:val="3FA62ACA"/>
    <w:multiLevelType w:val="hybridMultilevel"/>
    <w:lvl w:ilvl="0">
      <w:lvlJc w:val="left"/>
      <w:lvlText w:val="(%1)"/>
      <w:numFmt w:val="lowerRoman"/>
      <w:start w:val="2"/>
    </w:lvl>
  </w:abstractNum>
  <w:abstractNum w:abstractNumId="59">
    <w:nsid w:val="14FCE74E"/>
    <w:multiLevelType w:val="hybridMultilevel"/>
    <w:lvl w:ilvl="0">
      <w:lvlJc w:val="left"/>
      <w:lvlText w:val="%1."/>
      <w:numFmt w:val="decimal"/>
      <w:start w:val="2"/>
    </w:lvl>
  </w:abstractNum>
  <w:abstractNum w:abstractNumId="60">
    <w:nsid w:val="6A3DD3E8"/>
    <w:multiLevelType w:val="hybridMultilevel"/>
    <w:lvl w:ilvl="0">
      <w:lvlJc w:val="left"/>
      <w:lvlText w:val="(%1)"/>
      <w:numFmt w:val="lowerLetter"/>
      <w:start w:val="23"/>
    </w:lvl>
  </w:abstractNum>
  <w:abstractNum w:abstractNumId="61">
    <w:nsid w:val="71C91298"/>
    <w:multiLevelType w:val="hybridMultilevel"/>
    <w:lvl w:ilvl="0">
      <w:lvlJc w:val="left"/>
      <w:lvlText w:val="(%1)"/>
      <w:numFmt w:val="lowerRoman"/>
      <w:start w:val="4"/>
    </w:lvl>
  </w:abstractNum>
  <w:abstractNum w:abstractNumId="62">
    <w:nsid w:val="9DAF632"/>
    <w:multiLevelType w:val="hybridMultilevel"/>
    <w:lvl w:ilvl="0">
      <w:lvlJc w:val="left"/>
      <w:lvlText w:val="(%1)"/>
      <w:numFmt w:val="lowerRoman"/>
      <w:start w:val="5"/>
    </w:lvl>
  </w:abstractNum>
  <w:abstractNum w:abstractNumId="63">
    <w:nsid w:val="53299938"/>
    <w:multiLevelType w:val="hybridMultilevel"/>
    <w:lvl w:ilvl="0">
      <w:lvlJc w:val="left"/>
      <w:lvlText w:val="%1."/>
      <w:numFmt w:val="decimal"/>
      <w:start w:val="2"/>
    </w:lvl>
  </w:abstractNum>
  <w:abstractNum w:abstractNumId="64">
    <w:nsid w:val="1FBFE8E0"/>
    <w:multiLevelType w:val="hybridMultilevel"/>
    <w:lvl w:ilvl="0">
      <w:lvlJc w:val="left"/>
      <w:lvlText w:val="(%1)"/>
      <w:numFmt w:val="lowerLetter"/>
      <w:start w:val="23"/>
    </w:lvl>
    <w:lvl w:ilvl="1">
      <w:lvlJc w:val="left"/>
      <w:lvlText w:val="(%2)"/>
      <w:numFmt w:val="lowerLetter"/>
      <w:start w:val="22"/>
    </w:lvl>
  </w:abstractNum>
  <w:abstractNum w:abstractNumId="65">
    <w:nsid w:val="5092CA79"/>
    <w:multiLevelType w:val="hybridMultilevel"/>
    <w:lvl w:ilvl="0">
      <w:lvlJc w:val="left"/>
      <w:lvlText w:val="(%1)"/>
      <w:numFmt w:val="lowerRoman"/>
      <w:start w:val="6"/>
    </w:lvl>
  </w:abstractNum>
  <w:abstractNum w:abstractNumId="66">
    <w:nsid w:val="1D545C4D"/>
    <w:multiLevelType w:val="hybridMultilevel"/>
    <w:lvl w:ilvl="0">
      <w:lvlJc w:val="left"/>
      <w:lvlText w:val="(%1)"/>
      <w:numFmt w:val="lowerRoman"/>
      <w:start w:val="8"/>
    </w:lvl>
  </w:abstractNum>
  <w:abstractNum w:abstractNumId="67">
    <w:nsid w:val="59ADEA3D"/>
    <w:multiLevelType w:val="hybridMultilevel"/>
    <w:lvl w:ilvl="0">
      <w:lvlJc w:val="left"/>
      <w:lvlText w:val="(%1)"/>
      <w:numFmt w:val="lowerRoman"/>
      <w:start w:val="9"/>
    </w:lvl>
  </w:abstractNum>
  <w:abstractNum w:abstractNumId="68">
    <w:nsid w:val="288F1A34"/>
    <w:multiLevelType w:val="hybridMultilevel"/>
    <w:lvl w:ilvl="0">
      <w:lvlJc w:val="left"/>
      <w:lvlText w:val="(%1)"/>
      <w:numFmt w:val="lowerRoman"/>
      <w:start w:val="10"/>
    </w:lvl>
  </w:abstractNum>
  <w:abstractNum w:abstractNumId="69">
    <w:nsid w:val="2A155DBC"/>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1"/>
    </w:lvl>
  </w:abstractNum>
  <w:abstractNum w:abstractNumId="70">
    <w:nsid w:val="1D9F6E5F"/>
    <w:multiLevelType w:val="hybridMultilevel"/>
    <w:lvl w:ilvl="0">
      <w:lvlJc w:val="left"/>
      <w:lvlText w:val="%1."/>
      <w:numFmt w:val="decimal"/>
      <w:start w:val="3"/>
    </w:lvl>
  </w:abstractNum>
  <w:abstractNum w:abstractNumId="71">
    <w:nsid w:val="97E1B4E"/>
    <w:multiLevelType w:val="hybridMultilevel"/>
    <w:lvl w:ilvl="0">
      <w:lvlJc w:val="left"/>
      <w:lvlText w:val="%1."/>
      <w:numFmt w:val="decimal"/>
      <w:start w:val="4"/>
    </w:lvl>
  </w:abstractNum>
  <w:abstractNum w:abstractNumId="72">
    <w:nsid w:val="51088277"/>
    <w:multiLevelType w:val="hybridMultilevel"/>
    <w:lvl w:ilvl="0">
      <w:lvlJc w:val="left"/>
      <w:lvlText w:val="%1."/>
      <w:numFmt w:val="decimal"/>
      <w:start w:val="5"/>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decimal"/>
      <w:start w:val="5"/>
    </w:lvl>
  </w:abstractNum>
  <w:abstractNum w:abstractNumId="75">
    <w:nsid w:val="415E286C"/>
    <w:multiLevelType w:val="hybridMultilevel"/>
    <w:lvl w:ilvl="0">
      <w:lvlJc w:val="left"/>
      <w:lvlText w:val="%1."/>
      <w:numFmt w:val="decimal"/>
      <w:start w:val="6"/>
    </w:lvl>
  </w:abstractNum>
  <w:abstractNum w:abstractNumId="76">
    <w:nsid w:val="7C58FD05"/>
    <w:multiLevelType w:val="hybridMultilevel"/>
    <w:lvl w:ilvl="0">
      <w:lvlJc w:val="left"/>
      <w:lvlText w:val="%1."/>
      <w:numFmt w:val="decimal"/>
      <w:start w:val="6"/>
    </w:lvl>
  </w:abstractNum>
  <w:abstractNum w:abstractNumId="77">
    <w:nsid w:val="23D86AAC"/>
    <w:multiLevelType w:val="hybridMultilevel"/>
    <w:lvl w:ilvl="0">
      <w:lvlJc w:val="left"/>
      <w:lvlText w:val="%1."/>
      <w:numFmt w:val="decimal"/>
      <w:start w:val="6"/>
    </w:lvl>
  </w:abstractNum>
  <w:abstractNum w:abstractNumId="78">
    <w:nsid w:val="45E6D486"/>
    <w:multiLevelType w:val="hybridMultilevel"/>
    <w:lvl w:ilvl="0">
      <w:lvlJc w:val="left"/>
      <w:lvlText w:val="%1."/>
      <w:numFmt w:val="decimal"/>
      <w:start w:val="7"/>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decimal"/>
      <w:start w:val="8"/>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2"/>
    </w:lvl>
  </w:abstractNum>
  <w:abstractNum w:abstractNumId="83">
    <w:nsid w:val="78DF6A55"/>
    <w:multiLevelType w:val="hybridMultilevel"/>
    <w:lvl w:ilvl="0">
      <w:lvlJc w:val="left"/>
      <w:lvlText w:val="1"/>
      <w:numFmt w:val="bullet"/>
      <w:start w:val="1"/>
    </w:lvl>
  </w:abstractNum>
  <w:abstractNum w:abstractNumId="84">
    <w:nsid w:val="39B7AAA2"/>
    <w:multiLevelType w:val="hybridMultilevel"/>
    <w:lvl w:ilvl="0">
      <w:lvlJc w:val="left"/>
      <w:lvlText w:val="2"/>
      <w:numFmt w:val="bullet"/>
      <w:start w:val="1"/>
    </w:lvl>
  </w:abstractNum>
  <w:abstractNum w:abstractNumId="85">
    <w:nsid w:val="2B0D8DBE"/>
    <w:multiLevelType w:val="hybridMultilevel"/>
    <w:lvl w:ilvl="0">
      <w:lvlJc w:val="left"/>
      <w:lvlText w:val="1"/>
      <w:numFmt w:val="bullet"/>
      <w:start w:val="1"/>
    </w:lvl>
  </w:abstractNum>
  <w:abstractNum w:abstractNumId="86">
    <w:nsid w:val="6C80EC70"/>
    <w:multiLevelType w:val="hybridMultilevel"/>
    <w:lvl w:ilvl="0">
      <w:lvlJc w:val="left"/>
      <w:lvlText w:val="%1."/>
      <w:numFmt w:val="decimal"/>
      <w:start w:val="9"/>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decimal"/>
      <w:start w:val="10"/>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Roman"/>
      <w:start w:val="1"/>
    </w:lvl>
  </w:abstractNum>
  <w:abstractNum w:abstractNumId="91">
    <w:nsid w:val="6AA7B75C"/>
    <w:multiLevelType w:val="hybridMultilevel"/>
    <w:lvl w:ilvl="0">
      <w:lvlJc w:val="left"/>
      <w:lvlText w:val="(%1)"/>
      <w:numFmt w:val="lowerRoman"/>
      <w:start w:val="2"/>
    </w:lvl>
  </w:abstractNum>
  <w:abstractNum w:abstractNumId="92">
    <w:nsid w:val="1DF029D3"/>
    <w:multiLevelType w:val="hybridMultilevel"/>
    <w:lvl w:ilvl="0">
      <w:lvlJc w:val="left"/>
      <w:lvlText w:val="(%1)"/>
      <w:numFmt w:val="lowerRoman"/>
      <w:start w:val="3"/>
    </w:lvl>
  </w:abstractNum>
  <w:abstractNum w:abstractNumId="93">
    <w:nsid w:val="5675FF36"/>
    <w:multiLevelType w:val="hybridMultilevel"/>
    <w:lvl w:ilvl="0">
      <w:lvlJc w:val="left"/>
      <w:lvlText w:val="%1."/>
      <w:numFmt w:val="decimal"/>
      <w:start w:val="10"/>
    </w:lvl>
  </w:abstractNum>
  <w:abstractNum w:abstractNumId="94">
    <w:nsid w:val="3DD15094"/>
    <w:multiLevelType w:val="hybridMultilevel"/>
    <w:lvl w:ilvl="0">
      <w:lvlJc w:val="left"/>
      <w:lvlText w:val="(%1)"/>
      <w:numFmt w:val="lowerLetter"/>
      <w:start w:val="2"/>
    </w:lvl>
  </w:abstractNum>
  <w:abstractNum w:abstractNumId="95">
    <w:nsid w:val="3DB012B3"/>
    <w:multiLevelType w:val="hybridMultilevel"/>
    <w:lvl w:ilvl="0">
      <w:lvlJc w:val="left"/>
      <w:lvlText w:val="%1."/>
      <w:numFmt w:val="decimal"/>
      <w:start w:val="10"/>
    </w:lvl>
  </w:abstractNum>
  <w:abstractNum w:abstractNumId="96">
    <w:nsid w:val="2708C9AF"/>
    <w:multiLevelType w:val="hybridMultilevel"/>
    <w:lvl w:ilvl="0">
      <w:lvlJc w:val="left"/>
      <w:lvlText w:val="(%1)"/>
      <w:numFmt w:val="lowerLetter"/>
      <w:start w:val="2"/>
    </w:lvl>
  </w:abstractNum>
  <w:abstractNum w:abstractNumId="97">
    <w:nsid w:val="5B25ACE2"/>
    <w:multiLevelType w:val="hybridMultilevel"/>
    <w:lvl w:ilvl="0">
      <w:lvlJc w:val="left"/>
      <w:lvlText w:val="%1."/>
      <w:numFmt w:val="decimal"/>
      <w:start w:val="10"/>
    </w:lvl>
  </w:abstractNum>
  <w:abstractNum w:abstractNumId="98">
    <w:nsid w:val="175DFCF0"/>
    <w:multiLevelType w:val="hybridMultilevel"/>
    <w:lvl w:ilvl="0">
      <w:lvlJc w:val="left"/>
      <w:lvlText w:val="(%1)"/>
      <w:numFmt w:val="lowerLetter"/>
      <w:start w:val="2"/>
    </w:lvl>
  </w:abstractNum>
  <w:abstractNum w:abstractNumId="99">
    <w:nsid w:val="4F97E3E4"/>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61"/>
    </w:lvl>
  </w:abstractNum>
  <w:abstractNum w:abstractNumId="100">
    <w:nsid w:val="53B0A9E"/>
    <w:multiLevelType w:val="hybridMultilevel"/>
    <w:lvl w:ilvl="0">
      <w:lvlJc w:val="left"/>
      <w:lvlText w:val="(%1)"/>
      <w:numFmt w:val="lowerLetter"/>
      <w:start w:val="3"/>
    </w:lvl>
  </w:abstractNum>
  <w:abstractNum w:abstractNumId="101">
    <w:nsid w:val="34FD6B4F"/>
    <w:multiLevelType w:val="hybridMultilevel"/>
    <w:lvl w:ilvl="0">
      <w:lvlJc w:val="left"/>
      <w:lvlText w:val="%1."/>
      <w:numFmt w:val="decimal"/>
      <w:start w:val="10"/>
    </w:lvl>
    <w:lvl w:ilvl="1">
      <w:lvlJc w:val="left"/>
      <w:lvlText w:val="(%2)"/>
      <w:numFmt w:val="lowerLetter"/>
      <w:start w:val="3"/>
    </w:lvl>
  </w:abstractNum>
  <w:abstractNum w:abstractNumId="102">
    <w:nsid w:val="5915FF32"/>
    <w:multiLevelType w:val="hybridMultilevel"/>
    <w:lvl w:ilvl="0">
      <w:lvlJc w:val="left"/>
      <w:lvlText w:val="%1."/>
      <w:numFmt w:val="decimal"/>
      <w:start w:val="10"/>
    </w:lvl>
    <w:lvl w:ilvl="1">
      <w:lvlJc w:val="left"/>
      <w:lvlText w:val="(%2)"/>
      <w:numFmt w:val="lowerLetter"/>
      <w:start w:val="3"/>
    </w:lvl>
  </w:abstractNum>
  <w:abstractNum w:abstractNumId="103">
    <w:nsid w:val="56438D15"/>
    <w:multiLevelType w:val="hybridMultilevel"/>
    <w:lvl w:ilvl="0">
      <w:lvlJc w:val="left"/>
      <w:lvlText w:val="%1."/>
      <w:numFmt w:val="decimal"/>
      <w:start w:val="11"/>
    </w:lvl>
  </w:abstractNum>
  <w:abstractNum w:abstractNumId="104">
    <w:nsid w:val="519E3149"/>
    <w:multiLevelType w:val="hybridMultilevel"/>
    <w:lvl w:ilvl="0">
      <w:lvlJc w:val="left"/>
      <w:lvlText w:val="%1."/>
      <w:numFmt w:val="decimal"/>
      <w:start w:val="11"/>
    </w:lvl>
  </w:abstractNum>
  <w:abstractNum w:abstractNumId="105">
    <w:nsid w:val="2C6E4AFD"/>
    <w:multiLevelType w:val="hybridMultilevel"/>
    <w:lvl w:ilvl="0">
      <w:lvlJc w:val="left"/>
      <w:lvlText w:val="%1."/>
      <w:numFmt w:val="decimal"/>
      <w:start w:val="11"/>
    </w:lvl>
  </w:abstractNum>
  <w:abstractNum w:abstractNumId="106">
    <w:nsid w:val="17A1B582"/>
    <w:multiLevelType w:val="hybridMultilevel"/>
    <w:lvl w:ilvl="0">
      <w:lvlJc w:val="left"/>
      <w:lvlText w:val="%1."/>
      <w:numFmt w:val="decimal"/>
      <w:start w:val="11"/>
    </w:lvl>
  </w:abstractNum>
  <w:abstractNum w:abstractNumId="107">
    <w:nsid w:val="4DF72E4E"/>
    <w:multiLevelType w:val="hybridMultilevel"/>
    <w:lvl w:ilvl="0">
      <w:lvlJc w:val="left"/>
      <w:lvlText w:val="%1."/>
      <w:numFmt w:val="decimal"/>
      <w:start w:val="12"/>
    </w:lvl>
  </w:abstractNum>
  <w:abstractNum w:abstractNumId="108">
    <w:nsid w:val="5046B5A9"/>
    <w:multiLevelType w:val="hybridMultilevel"/>
    <w:lvl w:ilvl="0">
      <w:lvlJc w:val="left"/>
      <w:lvlText w:val="%1."/>
      <w:numFmt w:val="decimal"/>
      <w:start w:val="13"/>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2"/>
    </w:lvl>
  </w:abstractNum>
  <w:abstractNum w:abstractNumId="111">
    <w:nsid w:val="5EC6AFD4"/>
    <w:multiLevelType w:val="hybridMultilevel"/>
    <w:lvl w:ilvl="0">
      <w:lvlJc w:val="left"/>
      <w:lvlText w:val="(%1)"/>
      <w:numFmt w:val="lowerLetter"/>
      <w:start w:val="3"/>
    </w:lvl>
  </w:abstractNum>
  <w:abstractNum w:abstractNumId="112">
    <w:nsid w:val="19E21BB2"/>
    <w:multiLevelType w:val="hybridMultilevel"/>
    <w:lvl w:ilvl="0">
      <w:lvlJc w:val="left"/>
      <w:lvlText w:val="%1."/>
      <w:numFmt w:val="decimal"/>
      <w:start w:val="14"/>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decimal"/>
      <w:start w:val="15"/>
    </w:lvl>
  </w:abstractNum>
  <w:abstractNum w:abstractNumId="115">
    <w:nsid w:val="5399C654"/>
    <w:multiLevelType w:val="hybridMultilevel"/>
    <w:lvl w:ilvl="0">
      <w:lvlJc w:val="left"/>
      <w:lvlText w:val="%1."/>
      <w:numFmt w:val="decimal"/>
      <w:start w:val="15"/>
    </w:lvl>
  </w:abstractNum>
  <w:abstractNum w:abstractNumId="116">
    <w:nsid w:val="20EE1348"/>
    <w:multiLevelType w:val="hybridMultilevel"/>
    <w:lvl w:ilvl="0">
      <w:lvlJc w:val="left"/>
      <w:lvlText w:val="%1."/>
      <w:numFmt w:val="decimal"/>
      <w:start w:val="16"/>
    </w:lvl>
  </w:abstractNum>
  <w:abstractNum w:abstractNumId="117">
    <w:nsid w:val="4427069A"/>
    <w:multiLevelType w:val="hybridMultilevel"/>
    <w:lvl w:ilvl="0">
      <w:lvlJc w:val="left"/>
      <w:lvlText w:val="%1."/>
      <w:numFmt w:val="decimal"/>
      <w:start w:val="17"/>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decimal"/>
      <w:start w:val="18"/>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1)"/>
      <w:numFmt w:val="lowerLetter"/>
      <w:start w:val="1"/>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1."/>
      <w:numFmt w:val="decimal"/>
      <w:start w:val="2"/>
    </w:lvl>
  </w:abstractNum>
  <w:abstractNum w:abstractNumId="128">
    <w:nsid w:val="24F6AB8E"/>
    <w:multiLevelType w:val="hybridMultilevel"/>
    <w:lvl w:ilvl="0">
      <w:lvlJc w:val="left"/>
      <w:lvlText w:val="%1."/>
      <w:numFmt w:val="decimal"/>
      <w:start w:val="3"/>
    </w:lvl>
  </w:abstractNum>
  <w:abstractNum w:abstractNumId="129">
    <w:nsid w:val="634C574C"/>
    <w:multiLevelType w:val="hybridMultilevel"/>
    <w:lvl w:ilvl="0">
      <w:lvlJc w:val="left"/>
      <w:lvlText w:val="%1."/>
      <w:numFmt w:val="decimal"/>
      <w:start w:val="4"/>
    </w:lvl>
  </w:abstractNum>
  <w:abstractNum w:abstractNumId="130">
    <w:nsid w:val="24E99DD7"/>
    <w:multiLevelType w:val="hybridMultilevel"/>
    <w:lvl w:ilvl="0">
      <w:lvlJc w:val="left"/>
      <w:lvlText w:val="·"/>
      <w:numFmt w:val="bullet"/>
      <w:start w:val="1"/>
    </w:lvl>
    <w:lvl w:ilvl="1">
      <w:lvlJc w:val="left"/>
      <w:lvlText w:val="•"/>
      <w:numFmt w:val="bullet"/>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1."/>
      <w:numFmt w:val="decimal"/>
      <w:start w:val="5"/>
    </w:lvl>
  </w:abstractNum>
  <w:abstractNum w:abstractNumId="133">
    <w:nsid w:val="7DFF9D09"/>
    <w:multiLevelType w:val="hybridMultilevel"/>
    <w:lvl w:ilvl="0">
      <w:lvlJc w:val="left"/>
      <w:lvlText w:val="%1."/>
      <w:numFmt w:val="decimal"/>
      <w:start w:val="6"/>
    </w:lvl>
  </w:abstractNum>
  <w:abstractNum w:abstractNumId="134">
    <w:nsid w:val="754342"/>
    <w:multiLevelType w:val="hybridMultilevel"/>
    <w:lvl w:ilvl="0">
      <w:lvlJc w:val="left"/>
      <w:lvlText w:val="(%1)"/>
      <w:numFmt w:val="decimal"/>
      <w:start w:val="1"/>
    </w:lvl>
  </w:abstractNum>
  <w:abstractNum w:abstractNumId="135">
    <w:nsid w:val="69E7F3E5"/>
    <w:multiLevelType w:val="hybridMultilevel"/>
    <w:lvl w:ilvl="0">
      <w:lvlJc w:val="left"/>
      <w:lvlText w:val="(%1)"/>
      <w:numFmt w:val="decimal"/>
      <w:start w:val="4"/>
    </w:lvl>
  </w:abstractNum>
  <w:abstractNum w:abstractNumId="136">
    <w:nsid w:val="2A6DE806"/>
    <w:multiLevelType w:val="hybridMultilevel"/>
    <w:lvl w:ilvl="0">
      <w:lvlJc w:val="left"/>
      <w:lvlText w:val="%1."/>
      <w:numFmt w:val="decimal"/>
      <w:start w:val="7"/>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decimal"/>
      <w:start w:val="8"/>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9"/>
    </w:lvl>
  </w:abstractNum>
  <w:abstractNum w:abstractNumId="141">
    <w:nsid w:val="61E74EA3"/>
    <w:multiLevelType w:val="hybridMultilevel"/>
    <w:lvl w:ilvl="0">
      <w:lvlJc w:val="left"/>
      <w:lvlText w:val="%1."/>
      <w:numFmt w:val="decimal"/>
      <w:start w:val="10"/>
    </w:lvl>
  </w:abstractNum>
  <w:abstractNum w:abstractNumId="142">
    <w:nsid w:val="597B4D84"/>
    <w:multiLevelType w:val="hybridMultilevel"/>
    <w:lvl w:ilvl="0">
      <w:lvlJc w:val="left"/>
      <w:lvlText w:val="%1."/>
      <w:numFmt w:val="decimal"/>
      <w:start w:val="11"/>
    </w:lvl>
  </w:abstractNum>
  <w:abstractNum w:abstractNumId="143">
    <w:nsid w:val="F819E7F"/>
    <w:multiLevelType w:val="hybridMultilevel"/>
    <w:lvl w:ilvl="0">
      <w:lvlJc w:val="left"/>
      <w:lvlText w:val="%1."/>
      <w:numFmt w:val="decimal"/>
      <w:start w:val="12"/>
    </w:lvl>
  </w:abstractNum>
  <w:abstractNum w:abstractNumId="144">
    <w:nsid w:val="57C7D42D"/>
    <w:multiLevelType w:val="hybridMultilevel"/>
    <w:lvl w:ilvl="0">
      <w:lvlJc w:val="left"/>
      <w:lvlText w:val="%1."/>
      <w:numFmt w:val="decimal"/>
      <w:start w:val="13"/>
    </w:lvl>
  </w:abstractNum>
  <w:abstractNum w:abstractNumId="145">
    <w:nsid w:val="312167AD"/>
    <w:multiLevelType w:val="hybridMultilevel"/>
    <w:lvl w:ilvl="0">
      <w:lvlJc w:val="left"/>
      <w:lvlText w:val="%1."/>
      <w:numFmt w:val="decimal"/>
      <w:start w:val="1"/>
    </w:lvl>
    <w:lvl w:ilvl="1">
      <w:lvlJc w:val="left"/>
      <w:lvlText w:val="%2."/>
      <w:numFmt w:val="lowerLetter"/>
      <w:start w:val="1"/>
    </w:lvl>
  </w:abstractNum>
  <w:abstractNum w:abstractNumId="146">
    <w:nsid w:val="631B64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jpe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149" Type="http://schemas.openxmlformats.org/officeDocument/2006/relationships/hyperlink" Target="https://www.sec.gov/Archives/edgar/data/0001795139/000119312519320787/d845813dex31.htm" TargetMode="External"/><Relationship Id="rId150" Type="http://schemas.openxmlformats.org/officeDocument/2006/relationships/hyperlink" Target="https://www.sec.gov/Archives/edgar/data/0001795139/000119312519320787/d845813dex41.htm" TargetMode="External"/><Relationship Id="rId151" Type="http://schemas.openxmlformats.org/officeDocument/2006/relationships/hyperlink" Target="https://www.sec.gov/ix?doc=/Archives/edgar/data/0001795139/000119312524218943/d877176d8k.htm" TargetMode="External"/><Relationship Id="rId152" Type="http://schemas.openxmlformats.org/officeDocument/2006/relationships/hyperlink" Target="https://www.sec.gov/ix?doc=/Archives/edgar/data/0001795139/000119312525189808/d65517d8k.htm" TargetMode="External"/><Relationship Id="rId153" Type="http://schemas.openxmlformats.org/officeDocument/2006/relationships/hyperlink" Target="https://www.sec.gov/Archives/edgar/data/0001795139/000119312519320787/d845813dex108.htm" TargetMode="External"/><Relationship Id="rId154" Type="http://schemas.openxmlformats.org/officeDocument/2006/relationships/hyperlink" Target="https://www.sec.gov/Archives/edgar/data/0001795139/000119312519320787/d845813dex109.htm" TargetMode="External"/><Relationship Id="rId155" Type="http://schemas.openxmlformats.org/officeDocument/2006/relationships/hyperlink" Target="https://www.sec.gov/Archives/edgar/data/1795139/000095017023017437/gtbif-ex10_1.htm" TargetMode="External"/><Relationship Id="rId156" Type="http://schemas.openxmlformats.org/officeDocument/2006/relationships/hyperlink" Target="https://www.sec.gov/ix?doc=/Archives/edgar/data/1795139/000095017024123669/gtbif-20240930.htm" TargetMode="External"/><Relationship Id="rId157" Type="http://schemas.openxmlformats.org/officeDocument/2006/relationships/hyperlink" Target="https://www.sec.gov/ix?doc=/Archives/edgar/data/0001795139/000095017025085492/gtbif-20250611.htm" TargetMode="External"/><Relationship Id="rId158" Type="http://schemas.openxmlformats.org/officeDocument/2006/relationships/hyperlink" Target="https://www.sec.gov/Archives/edgar/data/1795139/000095017023005368/gtbif-ex10_10.htm" TargetMode="External"/><Relationship Id="rId159" Type="http://schemas.openxmlformats.org/officeDocument/2006/relationships/hyperlink" Target="https://www.sec.gov/Archives/edgar/data/1795139/000095017023005368/gtbif-ex10_11.htm" TargetMode="External"/><Relationship Id="rId160" Type="http://schemas.openxmlformats.org/officeDocument/2006/relationships/hyperlink" Target="https://www.sec.gov/Archives/edgar/data/1795139/000095017023005368/gtbif-ex10_12.htm" TargetMode="External"/><Relationship Id="rId161" Type="http://schemas.openxmlformats.org/officeDocument/2006/relationships/hyperlink" Target="https://www.sec.gov/Archives/edgar/data/0001795139/000119312521084882/d113558dex1013.htm" TargetMode="External"/><Relationship Id="rId162" Type="http://schemas.openxmlformats.org/officeDocument/2006/relationships/hyperlink" Target="https://www.sec.gov/Archives/edgar/data/1795139/000095017023005368/gtbif-ex10_14.htm" TargetMode="External"/><Relationship Id="rId163" Type="http://schemas.openxmlformats.org/officeDocument/2006/relationships/hyperlink" Target="https://www.sec.gov/Archives/edgar/data/1795139/000095017023005368/gtbif-ex10_15.htm" TargetMode="External"/><Relationship Id="rId164" Type="http://schemas.openxmlformats.org/officeDocument/2006/relationships/hyperlink" Target="https://www.sec.gov/Archives/edgar/data/1795139/000095017023005368/gtbif-ex10_16.htm" TargetMode="External"/><Relationship Id="rId165" Type="http://schemas.openxmlformats.org/officeDocument/2006/relationships/hyperlink" Target="https://www.sec.gov/Archives/edgar/data/1795139/000095017023005368/gtbif-ex10_17.htm" TargetMode="External"/><Relationship Id="rId166" Type="http://schemas.openxmlformats.org/officeDocument/2006/relationships/hyperlink" Target="https://www.sec.gov/Archives/edgar/data/1795139/000095017023017437/gtbif-ex10_3.htm" TargetMode="External"/><Relationship Id="rId167" Type="http://schemas.openxmlformats.org/officeDocument/2006/relationships/hyperlink" Target="https://www.sec.gov/Archives/edgar/data/1795139/000095017023017437/gtbif-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2026-02-25T15:48:56Z</dcterms:created>
  <dcterms:modified xsi:type="dcterms:W3CDTF">2026-02-25T15:48:56Z</dcterms:modified>
</cp:coreProperties>
</file>