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540"/>
          </w:cols>
          <w:pgMar w:left="460" w:top="225" w:right="439" w:bottom="33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Georgiadis Anthony</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1520"/>
        <w:spacing w:after="0" w:line="357" w:lineRule="auto"/>
        <w:rPr>
          <w:sz w:val="20"/>
          <w:szCs w:val="20"/>
          <w:color w:val="auto"/>
        </w:rPr>
      </w:pPr>
      <w:r>
        <w:rPr>
          <w:rFonts w:ascii="Arial" w:cs="Arial" w:eastAsia="Arial" w:hAnsi="Arial"/>
          <w:sz w:val="17"/>
          <w:szCs w:val="17"/>
          <w:color w:val="0000FF"/>
        </w:rPr>
        <w:t>325 WEST HURON STREET SUITE 412</w:t>
      </w:r>
    </w:p>
    <w:p>
      <w:pPr>
        <w:spacing w:after="0" w:line="18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7"/>
                <w:szCs w:val="17"/>
                <w:color w:val="0000FF"/>
              </w:rPr>
              <w:t>CHICAGO</w:t>
            </w:r>
          </w:p>
        </w:tc>
        <w:tc>
          <w:tcPr>
            <w:tcW w:w="1040" w:type="dxa"/>
            <w:vAlign w:val="bottom"/>
          </w:tcPr>
          <w:p>
            <w:pPr>
              <w:ind w:left="220"/>
              <w:spacing w:after="0"/>
              <w:rPr>
                <w:sz w:val="20"/>
                <w:szCs w:val="20"/>
                <w:color w:val="auto"/>
              </w:rPr>
            </w:pPr>
            <w:r>
              <w:rPr>
                <w:rFonts w:ascii="Arial" w:cs="Arial" w:eastAsia="Arial" w:hAnsi="Arial"/>
                <w:sz w:val="17"/>
                <w:szCs w:val="17"/>
                <w:color w:val="0000FF"/>
              </w:rPr>
              <w:t>IL</w:t>
            </w:r>
          </w:p>
        </w:tc>
        <w:tc>
          <w:tcPr>
            <w:tcW w:w="1600" w:type="dxa"/>
            <w:vAlign w:val="bottom"/>
          </w:tcPr>
          <w:p>
            <w:pPr>
              <w:ind w:left="400"/>
              <w:spacing w:after="0"/>
              <w:rPr>
                <w:sz w:val="20"/>
                <w:szCs w:val="20"/>
                <w:color w:val="auto"/>
              </w:rPr>
            </w:pPr>
            <w:r>
              <w:rPr>
                <w:rFonts w:ascii="Arial" w:cs="Arial" w:eastAsia="Arial" w:hAnsi="Arial"/>
                <w:sz w:val="17"/>
                <w:szCs w:val="17"/>
                <w:color w:val="0000FF"/>
              </w:rPr>
              <w:t>60654</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08"/>
        </w:trPr>
        <w:tc>
          <w:tcPr>
            <w:tcW w:w="3820" w:type="dxa"/>
            <w:vAlign w:val="bottom"/>
            <w:gridSpan w:val="2"/>
          </w:tcPr>
          <w:p>
            <w:pPr>
              <w:ind w:left="80"/>
              <w:spacing w:after="0" w:line="208" w:lineRule="exact"/>
              <w:rPr>
                <w:rFonts w:ascii="Arial" w:cs="Arial" w:eastAsia="Arial" w:hAnsi="Arial"/>
                <w:sz w:val="21"/>
                <w:szCs w:val="21"/>
                <w:color w:val="0000EE"/>
                <w:w w:val="97"/>
              </w:rPr>
            </w:pPr>
            <w:hyperlink r:id="rId14">
              <w:r>
                <w:rPr>
                  <w:rFonts w:ascii="Arial" w:cs="Arial" w:eastAsia="Arial" w:hAnsi="Arial"/>
                  <w:sz w:val="21"/>
                  <w:szCs w:val="21"/>
                  <w:u w:val="single" w:color="auto"/>
                  <w:color w:val="0000EE"/>
                  <w:w w:val="97"/>
                </w:rPr>
                <w:t>Green Thumb Industries Inc.</w:t>
              </w:r>
              <w:r>
                <w:rPr>
                  <w:rFonts w:ascii="Arial" w:cs="Arial" w:eastAsia="Arial" w:hAnsi="Arial"/>
                  <w:sz w:val="21"/>
                  <w:szCs w:val="21"/>
                  <w:color w:val="0000EE"/>
                  <w:w w:val="97"/>
                </w:rPr>
                <w:t xml:space="preserve"> </w:t>
              </w:r>
            </w:hyperlink>
            <w:r>
              <w:rPr>
                <w:rFonts w:ascii="Arial" w:cs="Arial" w:eastAsia="Arial" w:hAnsi="Arial"/>
                <w:sz w:val="21"/>
                <w:szCs w:val="21"/>
                <w:color w:val="000000"/>
                <w:w w:val="97"/>
              </w:rPr>
              <w:t>[</w:t>
            </w:r>
            <w:r>
              <w:rPr>
                <w:rFonts w:ascii="Arial" w:cs="Arial" w:eastAsia="Arial" w:hAnsi="Arial"/>
                <w:sz w:val="21"/>
                <w:szCs w:val="21"/>
                <w:color w:val="0000EE"/>
                <w:w w:val="97"/>
              </w:rPr>
              <w:t xml:space="preserve"> </w:t>
            </w:r>
            <w:r>
              <w:rPr>
                <w:rFonts w:ascii="Arial" w:cs="Arial" w:eastAsia="Arial" w:hAnsi="Arial"/>
                <w:sz w:val="17"/>
                <w:szCs w:val="17"/>
                <w:color w:val="0000FF"/>
                <w:w w:val="97"/>
              </w:rPr>
              <w:t>GTII/GTBIF</w:t>
            </w:r>
            <w:r>
              <w:rPr>
                <w:rFonts w:ascii="Arial" w:cs="Arial" w:eastAsia="Arial" w:hAnsi="Arial"/>
                <w:sz w:val="21"/>
                <w:szCs w:val="21"/>
                <w:color w:val="0000EE"/>
                <w:w w:val="97"/>
              </w:rPr>
              <w:t xml:space="preserve"> </w:t>
            </w:r>
            <w:r>
              <w:rPr>
                <w:rFonts w:ascii="Arial" w:cs="Arial" w:eastAsia="Arial" w:hAnsi="Arial"/>
                <w:sz w:val="21"/>
                <w:szCs w:val="21"/>
                <w:color w:val="000000"/>
                <w:w w:val="97"/>
              </w:rPr>
              <w:t>]</w:t>
            </w:r>
          </w:p>
        </w:tc>
        <w:tc>
          <w:tcPr>
            <w:tcW w:w="1860" w:type="dxa"/>
            <w:vAlign w:val="bottom"/>
            <w:gridSpan w:val="3"/>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gridSpan w:val="2"/>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14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9"/>
        </w:trPr>
        <w:tc>
          <w:tcPr>
            <w:tcW w:w="200" w:type="dxa"/>
            <w:vAlign w:val="bottom"/>
            <w:tcBorders>
              <w:bottom w:val="single" w:sz="8" w:color="2C2C2C"/>
            </w:tcBorders>
          </w:tcPr>
          <w:p>
            <w:pPr>
              <w:spacing w:after="0"/>
              <w:rPr>
                <w:sz w:val="13"/>
                <w:szCs w:val="13"/>
                <w:color w:val="auto"/>
              </w:rPr>
            </w:pPr>
          </w:p>
        </w:tc>
        <w:tc>
          <w:tcPr>
            <w:tcW w:w="3620" w:type="dxa"/>
            <w:vAlign w:val="bottom"/>
            <w:tcBorders>
              <w:bottom w:val="single" w:sz="8" w:color="2C2C2C"/>
            </w:tcBorders>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400" w:type="dxa"/>
            <w:vAlign w:val="bottom"/>
          </w:tcPr>
          <w:p>
            <w:pPr>
              <w:ind w:left="140"/>
              <w:spacing w:after="0" w:line="146" w:lineRule="exact"/>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line="146"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9"/>
        </w:trPr>
        <w:tc>
          <w:tcPr>
            <w:tcW w:w="200" w:type="dxa"/>
            <w:vAlign w:val="bottom"/>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0"/>
                <w:szCs w:val="10"/>
                <w:color w:val="auto"/>
              </w:rPr>
            </w:pPr>
          </w:p>
        </w:tc>
        <w:tc>
          <w:tcPr>
            <w:tcW w:w="260" w:type="dxa"/>
            <w:vAlign w:val="bottom"/>
            <w:vMerge w:val="continue"/>
          </w:tcPr>
          <w:p>
            <w:pPr>
              <w:spacing w:after="0"/>
              <w:rPr>
                <w:sz w:val="10"/>
                <w:szCs w:val="10"/>
                <w:color w:val="auto"/>
              </w:rPr>
            </w:pPr>
          </w:p>
        </w:tc>
        <w:tc>
          <w:tcPr>
            <w:tcW w:w="1400" w:type="dxa"/>
            <w:vAlign w:val="bottom"/>
            <w:vMerge w:val="restart"/>
          </w:tcPr>
          <w:p>
            <w:pPr>
              <w:ind w:left="14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73"/>
        </w:trPr>
        <w:tc>
          <w:tcPr>
            <w:tcW w:w="200" w:type="dxa"/>
            <w:vAlign w:val="bottom"/>
            <w:vMerge w:val="continue"/>
          </w:tcPr>
          <w:p>
            <w:pPr>
              <w:spacing w:after="0"/>
              <w:rPr>
                <w:sz w:val="6"/>
                <w:szCs w:val="6"/>
                <w:color w:val="auto"/>
              </w:rPr>
            </w:pPr>
          </w:p>
        </w:tc>
        <w:tc>
          <w:tcPr>
            <w:tcW w:w="362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4"/>
        </w:trPr>
        <w:tc>
          <w:tcPr>
            <w:tcW w:w="3820" w:type="dxa"/>
            <w:vAlign w:val="bottom"/>
            <w:gridSpan w:val="2"/>
          </w:tcPr>
          <w:p>
            <w:pPr>
              <w:ind w:left="80"/>
              <w:spacing w:after="0"/>
              <w:rPr>
                <w:sz w:val="20"/>
                <w:szCs w:val="20"/>
                <w:color w:val="auto"/>
              </w:rPr>
            </w:pPr>
            <w:r>
              <w:rPr>
                <w:rFonts w:ascii="Arial" w:cs="Arial" w:eastAsia="Arial" w:hAnsi="Arial"/>
                <w:sz w:val="17"/>
                <w:szCs w:val="17"/>
                <w:color w:val="0000FF"/>
              </w:rPr>
              <w:t>08/31/2020</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40" w:type="dxa"/>
            <w:vAlign w:val="bottom"/>
            <w:gridSpan w:val="2"/>
          </w:tcPr>
          <w:p>
            <w:pPr>
              <w:ind w:left="80"/>
              <w:spacing w:after="0"/>
              <w:rPr>
                <w:sz w:val="20"/>
                <w:szCs w:val="20"/>
                <w:color w:val="auto"/>
              </w:rPr>
            </w:pPr>
            <w:r>
              <w:rPr>
                <w:rFonts w:ascii="Arial" w:cs="Arial" w:eastAsia="Arial" w:hAnsi="Arial"/>
                <w:sz w:val="17"/>
                <w:szCs w:val="17"/>
                <w:color w:val="0000FF"/>
              </w:rPr>
              <w:t>CHIEF FINANCIAL OFFICER</w:t>
            </w:r>
          </w:p>
        </w:tc>
        <w:tc>
          <w:tcPr>
            <w:tcW w:w="0" w:type="dxa"/>
            <w:vAlign w:val="bottom"/>
          </w:tcPr>
          <w:p>
            <w:pPr>
              <w:spacing w:after="0"/>
              <w:rPr>
                <w:sz w:val="1"/>
                <w:szCs w:val="1"/>
                <w:color w:val="auto"/>
              </w:rPr>
            </w:pPr>
          </w:p>
        </w:tc>
      </w:tr>
      <w:tr>
        <w:trPr>
          <w:trHeight w:val="328"/>
        </w:trPr>
        <w:tc>
          <w:tcPr>
            <w:tcW w:w="200" w:type="dxa"/>
            <w:vAlign w:val="bottom"/>
            <w:tcBorders>
              <w:bottom w:val="single" w:sz="8" w:color="2C2C2C"/>
            </w:tcBorders>
          </w:tcPr>
          <w:p>
            <w:pPr>
              <w:spacing w:after="0"/>
              <w:rPr>
                <w:sz w:val="24"/>
                <w:szCs w:val="24"/>
                <w:color w:val="auto"/>
              </w:rPr>
            </w:pPr>
          </w:p>
        </w:tc>
        <w:tc>
          <w:tcPr>
            <w:tcW w:w="36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-2433320</wp:posOffset>
            </wp:positionH>
            <wp:positionV relativeFrom="paragraph">
              <wp:posOffset>193040</wp:posOffset>
            </wp:positionV>
            <wp:extent cx="6964045" cy="38500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3850005"/>
                    </a:xfrm>
                    <a:prstGeom prst="rect">
                      <a:avLst/>
                    </a:prstGeom>
                    <a:noFill/>
                  </pic:spPr>
                </pic:pic>
              </a:graphicData>
            </a:graphic>
          </wp:anchor>
        </w:drawing>
      </w:r>
    </w:p>
    <w:p>
      <w:pPr>
        <w:spacing w:after="0" w:line="365" w:lineRule="exact"/>
        <w:rPr>
          <w:sz w:val="24"/>
          <w:szCs w:val="24"/>
          <w:color w:val="auto"/>
        </w:rPr>
      </w:pPr>
    </w:p>
    <w:p>
      <w:pPr>
        <w:sectPr>
          <w:pgSz w:w="11900" w:h="16838" w:orient="portrait"/>
          <w:cols w:equalWidth="0" w:num="2">
            <w:col w:w="3760" w:space="80"/>
            <w:col w:w="7160"/>
          </w:cols>
          <w:pgMar w:left="460" w:top="225" w:right="439" w:bottom="33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248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tcPr>
          <w:p>
            <w:pPr>
              <w:ind w:left="5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480" w:type="dxa"/>
            <w:vAlign w:val="bottom"/>
          </w:tcPr>
          <w:p>
            <w:pPr>
              <w:spacing w:after="0"/>
              <w:rPr>
                <w:sz w:val="11"/>
                <w:szCs w:val="11"/>
                <w:color w:val="auto"/>
              </w:rPr>
            </w:pPr>
          </w:p>
        </w:tc>
        <w:tc>
          <w:tcPr>
            <w:tcW w:w="1600" w:type="dxa"/>
            <w:vAlign w:val="bottom"/>
          </w:tcPr>
          <w:p>
            <w:pPr>
              <w:ind w:left="560"/>
              <w:spacing w:after="0" w:line="131"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1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Form: Direct</w:t>
            </w: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480" w:type="dxa"/>
            <w:vAlign w:val="bottom"/>
          </w:tcPr>
          <w:p>
            <w:pPr>
              <w:spacing w:after="0"/>
              <w:rPr>
                <w:sz w:val="11"/>
                <w:szCs w:val="11"/>
                <w:color w:val="auto"/>
              </w:rPr>
            </w:pPr>
          </w:p>
        </w:tc>
        <w:tc>
          <w:tcPr>
            <w:tcW w:w="160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 Indirect</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48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480" w:type="dxa"/>
            <w:vAlign w:val="bottom"/>
          </w:tcPr>
          <w:p>
            <w:pPr>
              <w:spacing w:after="0"/>
              <w:rPr>
                <w:sz w:val="6"/>
                <w:szCs w:val="6"/>
                <w:color w:val="auto"/>
              </w:rPr>
            </w:pPr>
          </w:p>
        </w:tc>
        <w:tc>
          <w:tcPr>
            <w:tcW w:w="16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8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48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48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(A) or</w:t>
            </w:r>
          </w:p>
        </w:tc>
        <w:tc>
          <w:tcPr>
            <w:tcW w:w="8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480" w:type="dxa"/>
            <w:vAlign w:val="bottom"/>
          </w:tcPr>
          <w:p>
            <w:pPr>
              <w:spacing w:after="0"/>
              <w:rPr>
                <w:sz w:val="7"/>
                <w:szCs w:val="7"/>
                <w:color w:val="auto"/>
              </w:rPr>
            </w:pPr>
          </w:p>
        </w:tc>
        <w:tc>
          <w:tcPr>
            <w:tcW w:w="16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860" w:type="dxa"/>
            <w:vAlign w:val="bottom"/>
            <w:vMerge w:val="continue"/>
          </w:tcPr>
          <w:p>
            <w:pPr>
              <w:spacing w:after="0"/>
              <w:rPr>
                <w:sz w:val="7"/>
                <w:szCs w:val="7"/>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480" w:type="dxa"/>
            <w:vAlign w:val="bottom"/>
          </w:tcPr>
          <w:p>
            <w:pPr>
              <w:spacing w:after="0"/>
              <w:rPr>
                <w:sz w:val="5"/>
                <w:szCs w:val="5"/>
                <w:color w:val="auto"/>
              </w:rPr>
            </w:pPr>
          </w:p>
        </w:tc>
        <w:tc>
          <w:tcPr>
            <w:tcW w:w="16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48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4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Subordinate Voting Shares</w:t>
            </w:r>
          </w:p>
        </w:tc>
        <w:tc>
          <w:tcPr>
            <w:tcW w:w="1600" w:type="dxa"/>
            <w:vAlign w:val="bottom"/>
            <w:tcBorders>
              <w:bottom w:val="single" w:sz="8" w:color="2C2C2C"/>
            </w:tcBorders>
          </w:tcPr>
          <w:p>
            <w:pPr>
              <w:jc w:val="right"/>
              <w:ind w:right="93"/>
              <w:spacing w:after="0"/>
              <w:rPr>
                <w:sz w:val="20"/>
                <w:szCs w:val="20"/>
                <w:color w:val="auto"/>
              </w:rPr>
            </w:pPr>
            <w:r>
              <w:rPr>
                <w:rFonts w:ascii="Arial" w:cs="Arial" w:eastAsia="Arial" w:hAnsi="Arial"/>
                <w:sz w:val="17"/>
                <w:szCs w:val="17"/>
                <w:color w:val="0000FF"/>
              </w:rPr>
              <w:t>08/31/2020</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20" w:type="dxa"/>
            <w:vAlign w:val="bottom"/>
            <w:tcBorders>
              <w:bottom w:val="single" w:sz="8" w:color="2C2C2C"/>
            </w:tcBorders>
          </w:tcPr>
          <w:p>
            <w:pPr>
              <w:jc w:val="right"/>
              <w:ind w:right="73"/>
              <w:spacing w:after="0"/>
              <w:rPr>
                <w:sz w:val="20"/>
                <w:szCs w:val="20"/>
                <w:color w:val="auto"/>
              </w:rPr>
            </w:pPr>
            <w:r>
              <w:rPr>
                <w:rFonts w:ascii="Arial" w:cs="Arial" w:eastAsia="Arial" w:hAnsi="Arial"/>
                <w:sz w:val="17"/>
                <w:szCs w:val="17"/>
                <w:color w:val="0000FF"/>
              </w:rPr>
              <w:t>8,777</w:t>
            </w:r>
          </w:p>
        </w:tc>
        <w:tc>
          <w:tcPr>
            <w:tcW w:w="52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14.856</w:t>
            </w:r>
            <w:r>
              <w:rPr>
                <w:rFonts w:ascii="Arial" w:cs="Arial" w:eastAsia="Arial" w:hAnsi="Arial"/>
                <w:sz w:val="22"/>
                <w:szCs w:val="22"/>
                <w:color w:val="008000"/>
                <w:w w:val="95"/>
                <w:vertAlign w:val="superscript"/>
              </w:rPr>
              <w:t>(1)</w:t>
            </w:r>
          </w:p>
        </w:tc>
        <w:tc>
          <w:tcPr>
            <w:tcW w:w="1120" w:type="dxa"/>
            <w:vAlign w:val="bottom"/>
            <w:tcBorders>
              <w:bottom w:val="single" w:sz="8" w:color="2C2C2C"/>
            </w:tcBorders>
          </w:tcPr>
          <w:p>
            <w:pPr>
              <w:jc w:val="right"/>
              <w:ind w:right="214"/>
              <w:spacing w:after="0"/>
              <w:rPr>
                <w:sz w:val="20"/>
                <w:szCs w:val="20"/>
                <w:color w:val="auto"/>
              </w:rPr>
            </w:pPr>
            <w:r>
              <w:rPr>
                <w:rFonts w:ascii="Arial" w:cs="Arial" w:eastAsia="Arial" w:hAnsi="Arial"/>
                <w:sz w:val="17"/>
                <w:szCs w:val="17"/>
                <w:color w:val="0000FF"/>
              </w:rPr>
              <w:t>101,434</w:t>
            </w:r>
          </w:p>
        </w:tc>
        <w:tc>
          <w:tcPr>
            <w:tcW w:w="920" w:type="dxa"/>
            <w:vAlign w:val="bottom"/>
            <w:tcBorders>
              <w:bottom w:val="single" w:sz="8" w:color="2C2C2C"/>
            </w:tcBorders>
          </w:tcPr>
          <w:p>
            <w:pPr>
              <w:ind w:left="40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480" w:type="dxa"/>
            <w:vAlign w:val="bottom"/>
            <w:vMerge w:val="restart"/>
          </w:tcPr>
          <w:p>
            <w:pPr>
              <w:ind w:left="60"/>
              <w:spacing w:after="0"/>
              <w:rPr>
                <w:sz w:val="20"/>
                <w:szCs w:val="20"/>
                <w:color w:val="auto"/>
              </w:rPr>
            </w:pPr>
            <w:r>
              <w:rPr>
                <w:rFonts w:ascii="Arial" w:cs="Arial" w:eastAsia="Arial" w:hAnsi="Arial"/>
                <w:sz w:val="17"/>
                <w:szCs w:val="17"/>
                <w:color w:val="0000FF"/>
              </w:rPr>
              <w:t>Subordinate Voting Shares</w:t>
            </w:r>
          </w:p>
        </w:tc>
        <w:tc>
          <w:tcPr>
            <w:tcW w:w="16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120" w:type="dxa"/>
            <w:vAlign w:val="bottom"/>
            <w:vMerge w:val="restart"/>
          </w:tcPr>
          <w:p>
            <w:pPr>
              <w:jc w:val="right"/>
              <w:ind w:right="254"/>
              <w:spacing w:after="0"/>
              <w:rPr>
                <w:sz w:val="20"/>
                <w:szCs w:val="20"/>
                <w:color w:val="auto"/>
              </w:rPr>
            </w:pPr>
            <w:r>
              <w:rPr>
                <w:rFonts w:ascii="Arial" w:cs="Arial" w:eastAsia="Arial" w:hAnsi="Arial"/>
                <w:sz w:val="17"/>
                <w:szCs w:val="17"/>
                <w:color w:val="0000FF"/>
              </w:rPr>
              <w:t>16,715</w:t>
            </w:r>
          </w:p>
        </w:tc>
        <w:tc>
          <w:tcPr>
            <w:tcW w:w="920" w:type="dxa"/>
            <w:vAlign w:val="bottom"/>
            <w:vMerge w:val="restart"/>
          </w:tcPr>
          <w:p>
            <w:pPr>
              <w:ind w:left="440"/>
              <w:spacing w:after="0"/>
              <w:rPr>
                <w:sz w:val="20"/>
                <w:szCs w:val="20"/>
                <w:color w:val="auto"/>
              </w:rPr>
            </w:pPr>
            <w:r>
              <w:rPr>
                <w:rFonts w:ascii="Arial" w:cs="Arial" w:eastAsia="Arial" w:hAnsi="Arial"/>
                <w:sz w:val="17"/>
                <w:szCs w:val="17"/>
                <w:color w:val="0000FF"/>
              </w:rPr>
              <w:t>I</w:t>
            </w:r>
          </w:p>
        </w:tc>
        <w:tc>
          <w:tcPr>
            <w:tcW w:w="780" w:type="dxa"/>
            <w:vAlign w:val="bottom"/>
          </w:tcPr>
          <w:p>
            <w:pPr>
              <w:ind w:left="80"/>
              <w:spacing w:after="0"/>
              <w:rPr>
                <w:sz w:val="20"/>
                <w:szCs w:val="20"/>
                <w:color w:val="auto"/>
              </w:rPr>
            </w:pPr>
            <w:r>
              <w:rPr>
                <w:rFonts w:ascii="Arial" w:cs="Arial" w:eastAsia="Arial" w:hAnsi="Arial"/>
                <w:sz w:val="17"/>
                <w:szCs w:val="17"/>
                <w:color w:val="0000FF"/>
              </w:rPr>
              <w:t>By ABG</w:t>
            </w:r>
          </w:p>
        </w:tc>
        <w:tc>
          <w:tcPr>
            <w:tcW w:w="0" w:type="dxa"/>
            <w:vAlign w:val="bottom"/>
          </w:tcPr>
          <w:p>
            <w:pPr>
              <w:spacing w:after="0"/>
              <w:rPr>
                <w:sz w:val="1"/>
                <w:szCs w:val="1"/>
                <w:color w:val="auto"/>
              </w:rPr>
            </w:pPr>
          </w:p>
        </w:tc>
      </w:tr>
      <w:tr>
        <w:trPr>
          <w:trHeight w:val="114"/>
        </w:trPr>
        <w:tc>
          <w:tcPr>
            <w:tcW w:w="2480" w:type="dxa"/>
            <w:vAlign w:val="bottom"/>
            <w:vMerge w:val="continue"/>
          </w:tcPr>
          <w:p>
            <w:pPr>
              <w:spacing w:after="0"/>
              <w:rPr>
                <w:sz w:val="9"/>
                <w:szCs w:val="9"/>
                <w:color w:val="auto"/>
              </w:rPr>
            </w:pPr>
          </w:p>
        </w:tc>
        <w:tc>
          <w:tcPr>
            <w:tcW w:w="16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780" w:type="dxa"/>
            <w:vAlign w:val="bottom"/>
            <w:vMerge w:val="restart"/>
          </w:tcPr>
          <w:p>
            <w:pPr>
              <w:ind w:left="80"/>
              <w:spacing w:after="0"/>
              <w:rPr>
                <w:sz w:val="20"/>
                <w:szCs w:val="20"/>
                <w:color w:val="auto"/>
              </w:rPr>
            </w:pPr>
            <w:r>
              <w:rPr>
                <w:rFonts w:ascii="Arial" w:cs="Arial" w:eastAsia="Arial" w:hAnsi="Arial"/>
                <w:sz w:val="17"/>
                <w:szCs w:val="17"/>
                <w:color w:val="0000FF"/>
              </w:rPr>
              <w:t>LLC</w:t>
            </w:r>
          </w:p>
        </w:tc>
        <w:tc>
          <w:tcPr>
            <w:tcW w:w="0" w:type="dxa"/>
            <w:vAlign w:val="bottom"/>
          </w:tcPr>
          <w:p>
            <w:pPr>
              <w:spacing w:after="0"/>
              <w:rPr>
                <w:sz w:val="1"/>
                <w:szCs w:val="1"/>
                <w:color w:val="auto"/>
              </w:rPr>
            </w:pPr>
          </w:p>
        </w:tc>
      </w:tr>
      <w:tr>
        <w:trPr>
          <w:trHeight w:val="107"/>
        </w:trPr>
        <w:tc>
          <w:tcPr>
            <w:tcW w:w="248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126" w:lineRule="exact"/>
        <w:rPr>
          <w:sz w:val="24"/>
          <w:szCs w:val="24"/>
          <w:color w:val="auto"/>
        </w:rPr>
      </w:pPr>
    </w:p>
    <w:p>
      <w:pPr>
        <w:ind w:left="10260"/>
        <w:spacing w:after="0"/>
        <w:rPr>
          <w:sz w:val="20"/>
          <w:szCs w:val="20"/>
          <w:color w:val="auto"/>
        </w:rPr>
      </w:pPr>
      <w:r>
        <w:rPr>
          <w:rFonts w:ascii="Arial" w:cs="Arial" w:eastAsia="Arial" w:hAnsi="Arial"/>
          <w:sz w:val="17"/>
          <w:szCs w:val="17"/>
          <w:color w:val="0000FF"/>
        </w:rPr>
        <w:t>By</w:t>
      </w:r>
    </w:p>
    <w:p>
      <w:pPr>
        <w:spacing w:after="0" w:line="25" w:lineRule="exact"/>
        <w:rPr>
          <w:sz w:val="24"/>
          <w:szCs w:val="24"/>
          <w:color w:val="auto"/>
        </w:rPr>
      </w:pPr>
    </w:p>
    <w:p>
      <w:pPr>
        <w:ind w:left="10260"/>
        <w:spacing w:after="0"/>
        <w:rPr>
          <w:sz w:val="20"/>
          <w:szCs w:val="20"/>
          <w:color w:val="auto"/>
        </w:rPr>
      </w:pPr>
      <w:r>
        <w:rPr>
          <w:rFonts w:ascii="Arial" w:cs="Arial" w:eastAsia="Arial" w:hAnsi="Arial"/>
          <w:sz w:val="17"/>
          <w:szCs w:val="17"/>
          <w:color w:val="0000FF"/>
        </w:rPr>
        <w:t>Three</w:t>
      </w:r>
    </w:p>
    <w:p>
      <w:pPr>
        <w:ind w:left="80"/>
        <w:spacing w:after="0" w:line="225" w:lineRule="auto"/>
        <w:tabs>
          <w:tab w:leader="none" w:pos="8600" w:val="left"/>
          <w:tab w:leader="none" w:pos="9680" w:val="left"/>
          <w:tab w:leader="none" w:pos="10240" w:val="left"/>
        </w:tabs>
        <w:rPr>
          <w:sz w:val="20"/>
          <w:szCs w:val="20"/>
          <w:color w:val="auto"/>
        </w:rPr>
      </w:pPr>
      <w:r>
        <w:rPr>
          <w:rFonts w:ascii="Arial" w:cs="Arial" w:eastAsia="Arial" w:hAnsi="Arial"/>
          <w:sz w:val="16"/>
          <w:szCs w:val="16"/>
          <w:color w:val="0000FF"/>
        </w:rPr>
        <w:t>Subordinate Voting Shares</w:t>
      </w:r>
      <w:r>
        <w:rPr>
          <w:sz w:val="20"/>
          <w:szCs w:val="20"/>
          <w:color w:val="auto"/>
        </w:rPr>
        <w:tab/>
      </w:r>
      <w:r>
        <w:rPr>
          <w:rFonts w:ascii="Arial" w:cs="Arial" w:eastAsia="Arial" w:hAnsi="Arial"/>
          <w:sz w:val="16"/>
          <w:szCs w:val="16"/>
          <w:color w:val="0000FF"/>
        </w:rPr>
        <w:t>52</w:t>
      </w:r>
      <w:r>
        <w:rPr>
          <w:sz w:val="20"/>
          <w:szCs w:val="20"/>
          <w:color w:val="auto"/>
        </w:rPr>
        <w:tab/>
      </w:r>
      <w:r>
        <w:rPr>
          <w:rFonts w:ascii="Arial" w:cs="Arial" w:eastAsia="Arial" w:hAnsi="Arial"/>
          <w:sz w:val="16"/>
          <w:szCs w:val="16"/>
          <w:color w:val="0000FF"/>
        </w:rPr>
        <w:t>I</w:t>
      </w:r>
      <w:r>
        <w:rPr>
          <w:sz w:val="20"/>
          <w:szCs w:val="20"/>
          <w:color w:val="auto"/>
        </w:rPr>
        <w:tab/>
      </w:r>
      <w:r>
        <w:rPr>
          <w:rFonts w:ascii="Arial" w:cs="Arial" w:eastAsia="Arial" w:hAnsi="Arial"/>
          <w:sz w:val="22"/>
          <w:szCs w:val="22"/>
          <w:color w:val="0000FF"/>
          <w:vertAlign w:val="superscript"/>
        </w:rPr>
        <w:t>One</w:t>
      </w:r>
    </w:p>
    <w:p>
      <w:pPr>
        <w:spacing w:after="0" w:line="1" w:lineRule="exact"/>
        <w:rPr>
          <w:sz w:val="24"/>
          <w:szCs w:val="24"/>
          <w:color w:val="auto"/>
        </w:rPr>
      </w:pPr>
    </w:p>
    <w:p>
      <w:pPr>
        <w:ind w:left="10260"/>
        <w:spacing w:after="0"/>
        <w:rPr>
          <w:sz w:val="20"/>
          <w:szCs w:val="20"/>
          <w:color w:val="auto"/>
        </w:rPr>
      </w:pPr>
      <w:r>
        <w:rPr>
          <w:rFonts w:ascii="Arial" w:cs="Arial" w:eastAsia="Arial" w:hAnsi="Arial"/>
          <w:sz w:val="17"/>
          <w:szCs w:val="17"/>
          <w:color w:val="0000FF"/>
        </w:rPr>
        <w:t>Four</w:t>
      </w:r>
    </w:p>
    <w:p>
      <w:pPr>
        <w:spacing w:after="0" w:line="11" w:lineRule="exact"/>
        <w:rPr>
          <w:sz w:val="24"/>
          <w:szCs w:val="24"/>
          <w:color w:val="auto"/>
        </w:rPr>
      </w:pPr>
    </w:p>
    <w:p>
      <w:pPr>
        <w:ind w:left="10260"/>
        <w:spacing w:after="0"/>
        <w:rPr>
          <w:sz w:val="20"/>
          <w:szCs w:val="20"/>
          <w:color w:val="auto"/>
        </w:rPr>
      </w:pPr>
      <w:r>
        <w:rPr>
          <w:rFonts w:ascii="Arial" w:cs="Arial" w:eastAsia="Arial" w:hAnsi="Arial"/>
          <w:sz w:val="17"/>
          <w:szCs w:val="17"/>
          <w:color w:val="0000FF"/>
        </w:rPr>
        <w:t>Holdings</w:t>
      </w:r>
    </w:p>
    <w:p>
      <w:pPr>
        <w:spacing w:after="0" w:line="18" w:lineRule="exact"/>
        <w:rPr>
          <w:sz w:val="24"/>
          <w:szCs w:val="24"/>
          <w:color w:val="auto"/>
        </w:rPr>
      </w:pPr>
    </w:p>
    <w:p>
      <w:pPr>
        <w:ind w:left="10260"/>
        <w:spacing w:after="0"/>
        <w:rPr>
          <w:sz w:val="20"/>
          <w:szCs w:val="20"/>
          <w:color w:val="auto"/>
        </w:rPr>
      </w:pPr>
      <w:r>
        <w:rPr>
          <w:rFonts w:ascii="Arial" w:cs="Arial" w:eastAsia="Arial" w:hAnsi="Arial"/>
          <w:sz w:val="17"/>
          <w:szCs w:val="17"/>
          <w:color w:val="0000FF"/>
        </w:rPr>
        <w:t>LLC</w:t>
      </w:r>
    </w:p>
    <w:p>
      <w:pPr>
        <w:spacing w:after="0" w:line="144" w:lineRule="exact"/>
        <w:rPr>
          <w:sz w:val="24"/>
          <w:szCs w:val="24"/>
          <w:color w:val="auto"/>
        </w:rPr>
      </w:pPr>
    </w:p>
    <w:tbl>
      <w:tblPr>
        <w:tblLayout w:type="fixed"/>
        <w:tblInd w:w="20" w:type="dxa"/>
        <w:tblCellMar>
          <w:top w:w="0" w:type="dxa"/>
          <w:left w:w="0" w:type="dxa"/>
          <w:bottom w:w="0" w:type="dxa"/>
          <w:right w:w="0" w:type="dxa"/>
        </w:tblCellMar>
      </w:tblPr>
      <w:tr>
        <w:trPr>
          <w:trHeight w:val="220"/>
        </w:trPr>
        <w:tc>
          <w:tcPr>
            <w:tcW w:w="4960" w:type="dxa"/>
            <w:vAlign w:val="bottom"/>
          </w:tcPr>
          <w:p>
            <w:pPr>
              <w:ind w:left="60"/>
              <w:spacing w:after="0"/>
              <w:rPr>
                <w:sz w:val="20"/>
                <w:szCs w:val="20"/>
                <w:color w:val="auto"/>
              </w:rPr>
            </w:pPr>
            <w:r>
              <w:rPr>
                <w:rFonts w:ascii="Arial" w:cs="Arial" w:eastAsia="Arial" w:hAnsi="Arial"/>
                <w:sz w:val="17"/>
                <w:szCs w:val="17"/>
                <w:color w:val="0000FF"/>
              </w:rPr>
              <w:t>Super Voting Shares</w:t>
            </w:r>
          </w:p>
        </w:tc>
        <w:tc>
          <w:tcPr>
            <w:tcW w:w="4320" w:type="dxa"/>
            <w:vAlign w:val="bottom"/>
          </w:tcPr>
          <w:p>
            <w:pPr>
              <w:jc w:val="right"/>
              <w:ind w:right="273"/>
              <w:spacing w:after="0"/>
              <w:rPr>
                <w:sz w:val="20"/>
                <w:szCs w:val="20"/>
                <w:color w:val="auto"/>
              </w:rPr>
            </w:pPr>
            <w:r>
              <w:rPr>
                <w:rFonts w:ascii="Arial" w:cs="Arial" w:eastAsia="Arial" w:hAnsi="Arial"/>
                <w:sz w:val="17"/>
                <w:szCs w:val="17"/>
                <w:color w:val="0000FF"/>
              </w:rPr>
              <w:t>42,682</w:t>
            </w:r>
          </w:p>
        </w:tc>
        <w:tc>
          <w:tcPr>
            <w:tcW w:w="720" w:type="dxa"/>
            <w:vAlign w:val="bottom"/>
          </w:tcPr>
          <w:p>
            <w:pPr>
              <w:jc w:val="center"/>
              <w:ind w:left="53"/>
              <w:spacing w:after="0"/>
              <w:rPr>
                <w:sz w:val="20"/>
                <w:szCs w:val="20"/>
                <w:color w:val="auto"/>
              </w:rPr>
            </w:pPr>
            <w:r>
              <w:rPr>
                <w:rFonts w:ascii="Arial" w:cs="Arial" w:eastAsia="Arial" w:hAnsi="Arial"/>
                <w:sz w:val="17"/>
                <w:szCs w:val="17"/>
                <w:color w:val="0000FF"/>
              </w:rPr>
              <w:t>D</w:t>
            </w: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4960" w:type="dxa"/>
            <w:vAlign w:val="bottom"/>
            <w:tcBorders>
              <w:bottom w:val="single" w:sz="8" w:color="2C2C2C"/>
            </w:tcBorders>
          </w:tcPr>
          <w:p>
            <w:pPr>
              <w:spacing w:after="0"/>
              <w:rPr>
                <w:sz w:val="5"/>
                <w:szCs w:val="5"/>
                <w:color w:val="auto"/>
              </w:rPr>
            </w:pPr>
          </w:p>
        </w:tc>
        <w:tc>
          <w:tcPr>
            <w:tcW w:w="43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4960" w:type="dxa"/>
            <w:vAlign w:val="bottom"/>
            <w:vMerge w:val="restart"/>
          </w:tcPr>
          <w:p>
            <w:pPr>
              <w:ind w:left="60"/>
              <w:spacing w:after="0"/>
              <w:rPr>
                <w:sz w:val="20"/>
                <w:szCs w:val="20"/>
                <w:color w:val="auto"/>
              </w:rPr>
            </w:pPr>
            <w:r>
              <w:rPr>
                <w:rFonts w:ascii="Arial" w:cs="Arial" w:eastAsia="Arial" w:hAnsi="Arial"/>
                <w:sz w:val="17"/>
                <w:szCs w:val="17"/>
                <w:color w:val="0000FF"/>
              </w:rPr>
              <w:t>Super Voting Shares</w:t>
            </w:r>
          </w:p>
        </w:tc>
        <w:tc>
          <w:tcPr>
            <w:tcW w:w="4320" w:type="dxa"/>
            <w:vAlign w:val="bottom"/>
            <w:vMerge w:val="restart"/>
          </w:tcPr>
          <w:p>
            <w:pPr>
              <w:jc w:val="right"/>
              <w:ind w:right="313"/>
              <w:spacing w:after="0"/>
              <w:rPr>
                <w:sz w:val="20"/>
                <w:szCs w:val="20"/>
                <w:color w:val="auto"/>
              </w:rPr>
            </w:pPr>
            <w:r>
              <w:rPr>
                <w:rFonts w:ascii="Arial" w:cs="Arial" w:eastAsia="Arial" w:hAnsi="Arial"/>
                <w:sz w:val="17"/>
                <w:szCs w:val="17"/>
                <w:color w:val="0000FF"/>
              </w:rPr>
              <w:t>1,589</w:t>
            </w:r>
          </w:p>
        </w:tc>
        <w:tc>
          <w:tcPr>
            <w:tcW w:w="720" w:type="dxa"/>
            <w:vAlign w:val="bottom"/>
            <w:vMerge w:val="restart"/>
          </w:tcPr>
          <w:p>
            <w:pPr>
              <w:jc w:val="center"/>
              <w:ind w:left="53"/>
              <w:spacing w:after="0"/>
              <w:rPr>
                <w:sz w:val="20"/>
                <w:szCs w:val="20"/>
                <w:color w:val="auto"/>
              </w:rPr>
            </w:pPr>
            <w:r>
              <w:rPr>
                <w:rFonts w:ascii="Arial" w:cs="Arial" w:eastAsia="Arial" w:hAnsi="Arial"/>
                <w:sz w:val="17"/>
                <w:szCs w:val="17"/>
                <w:color w:val="0000FF"/>
              </w:rPr>
              <w:t>I</w:t>
            </w:r>
          </w:p>
        </w:tc>
        <w:tc>
          <w:tcPr>
            <w:tcW w:w="940" w:type="dxa"/>
            <w:vAlign w:val="bottom"/>
          </w:tcPr>
          <w:p>
            <w:pPr>
              <w:ind w:left="240"/>
              <w:spacing w:after="0"/>
              <w:rPr>
                <w:sz w:val="20"/>
                <w:szCs w:val="20"/>
                <w:color w:val="auto"/>
              </w:rPr>
            </w:pPr>
            <w:r>
              <w:rPr>
                <w:rFonts w:ascii="Arial" w:cs="Arial" w:eastAsia="Arial" w:hAnsi="Arial"/>
                <w:sz w:val="17"/>
                <w:szCs w:val="17"/>
                <w:color w:val="0000FF"/>
              </w:rPr>
              <w:t>By ABG</w:t>
            </w:r>
          </w:p>
        </w:tc>
        <w:tc>
          <w:tcPr>
            <w:tcW w:w="0" w:type="dxa"/>
            <w:vAlign w:val="bottom"/>
          </w:tcPr>
          <w:p>
            <w:pPr>
              <w:spacing w:after="0"/>
              <w:rPr>
                <w:sz w:val="1"/>
                <w:szCs w:val="1"/>
                <w:color w:val="auto"/>
              </w:rPr>
            </w:pPr>
          </w:p>
        </w:tc>
      </w:tr>
      <w:tr>
        <w:trPr>
          <w:trHeight w:val="114"/>
        </w:trPr>
        <w:tc>
          <w:tcPr>
            <w:tcW w:w="4960" w:type="dxa"/>
            <w:vAlign w:val="bottom"/>
            <w:vMerge w:val="continue"/>
          </w:tcPr>
          <w:p>
            <w:pPr>
              <w:spacing w:after="0"/>
              <w:rPr>
                <w:sz w:val="9"/>
                <w:szCs w:val="9"/>
                <w:color w:val="auto"/>
              </w:rPr>
            </w:pPr>
          </w:p>
        </w:tc>
        <w:tc>
          <w:tcPr>
            <w:tcW w:w="432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940" w:type="dxa"/>
            <w:vAlign w:val="bottom"/>
            <w:vMerge w:val="restart"/>
          </w:tcPr>
          <w:p>
            <w:pPr>
              <w:ind w:left="240"/>
              <w:spacing w:after="0"/>
              <w:rPr>
                <w:sz w:val="20"/>
                <w:szCs w:val="20"/>
                <w:color w:val="auto"/>
              </w:rPr>
            </w:pPr>
            <w:r>
              <w:rPr>
                <w:rFonts w:ascii="Arial" w:cs="Arial" w:eastAsia="Arial" w:hAnsi="Arial"/>
                <w:sz w:val="17"/>
                <w:szCs w:val="17"/>
                <w:color w:val="0000FF"/>
              </w:rPr>
              <w:t>LLC</w:t>
            </w:r>
          </w:p>
        </w:tc>
        <w:tc>
          <w:tcPr>
            <w:tcW w:w="0" w:type="dxa"/>
            <w:vAlign w:val="bottom"/>
          </w:tcPr>
          <w:p>
            <w:pPr>
              <w:spacing w:after="0"/>
              <w:rPr>
                <w:sz w:val="1"/>
                <w:szCs w:val="1"/>
                <w:color w:val="auto"/>
              </w:rPr>
            </w:pPr>
          </w:p>
        </w:tc>
      </w:tr>
      <w:tr>
        <w:trPr>
          <w:trHeight w:val="107"/>
        </w:trPr>
        <w:tc>
          <w:tcPr>
            <w:tcW w:w="4960" w:type="dxa"/>
            <w:vAlign w:val="bottom"/>
          </w:tcPr>
          <w:p>
            <w:pPr>
              <w:spacing w:after="0"/>
              <w:rPr>
                <w:sz w:val="9"/>
                <w:szCs w:val="9"/>
                <w:color w:val="auto"/>
              </w:rPr>
            </w:pPr>
          </w:p>
        </w:tc>
        <w:tc>
          <w:tcPr>
            <w:tcW w:w="4320" w:type="dxa"/>
            <w:vAlign w:val="bottom"/>
          </w:tcPr>
          <w:p>
            <w:pPr>
              <w:spacing w:after="0"/>
              <w:rPr>
                <w:sz w:val="9"/>
                <w:szCs w:val="9"/>
                <w:color w:val="auto"/>
              </w:rPr>
            </w:pPr>
          </w:p>
        </w:tc>
        <w:tc>
          <w:tcPr>
            <w:tcW w:w="72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126" w:lineRule="exact"/>
        <w:rPr>
          <w:sz w:val="24"/>
          <w:szCs w:val="24"/>
          <w:color w:val="auto"/>
        </w:rPr>
      </w:pPr>
    </w:p>
    <w:p>
      <w:pPr>
        <w:ind w:left="10260"/>
        <w:spacing w:after="0"/>
        <w:rPr>
          <w:sz w:val="20"/>
          <w:szCs w:val="20"/>
          <w:color w:val="auto"/>
        </w:rPr>
      </w:pPr>
      <w:r>
        <w:rPr>
          <w:rFonts w:ascii="Arial" w:cs="Arial" w:eastAsia="Arial" w:hAnsi="Arial"/>
          <w:sz w:val="17"/>
          <w:szCs w:val="17"/>
          <w:color w:val="0000FF"/>
        </w:rPr>
        <w:t>By</w:t>
      </w:r>
    </w:p>
    <w:p>
      <w:pPr>
        <w:spacing w:after="0" w:line="25" w:lineRule="exact"/>
        <w:rPr>
          <w:sz w:val="24"/>
          <w:szCs w:val="24"/>
          <w:color w:val="auto"/>
        </w:rPr>
      </w:pPr>
    </w:p>
    <w:p>
      <w:pPr>
        <w:ind w:left="10260"/>
        <w:spacing w:after="0"/>
        <w:rPr>
          <w:sz w:val="20"/>
          <w:szCs w:val="20"/>
          <w:color w:val="auto"/>
        </w:rPr>
      </w:pPr>
      <w:r>
        <w:rPr>
          <w:rFonts w:ascii="Arial" w:cs="Arial" w:eastAsia="Arial" w:hAnsi="Arial"/>
          <w:sz w:val="17"/>
          <w:szCs w:val="17"/>
          <w:color w:val="0000FF"/>
        </w:rPr>
        <w:t>Three</w:t>
      </w:r>
    </w:p>
    <w:p>
      <w:pPr>
        <w:ind w:left="80"/>
        <w:spacing w:after="0" w:line="225" w:lineRule="auto"/>
        <w:tabs>
          <w:tab w:leader="none" w:pos="8480" w:val="left"/>
          <w:tab w:leader="none" w:pos="9680" w:val="left"/>
          <w:tab w:leader="none" w:pos="10240" w:val="left"/>
        </w:tabs>
        <w:rPr>
          <w:sz w:val="20"/>
          <w:szCs w:val="20"/>
          <w:color w:val="auto"/>
        </w:rPr>
      </w:pPr>
      <w:r>
        <w:rPr>
          <w:rFonts w:ascii="Arial" w:cs="Arial" w:eastAsia="Arial" w:hAnsi="Arial"/>
          <w:sz w:val="16"/>
          <w:szCs w:val="16"/>
          <w:color w:val="0000FF"/>
        </w:rPr>
        <w:t>Super Voting Shares</w:t>
      </w:r>
      <w:r>
        <w:rPr>
          <w:sz w:val="20"/>
          <w:szCs w:val="20"/>
          <w:color w:val="auto"/>
        </w:rPr>
        <w:tab/>
      </w:r>
      <w:r>
        <w:rPr>
          <w:rFonts w:ascii="Arial" w:cs="Arial" w:eastAsia="Arial" w:hAnsi="Arial"/>
          <w:sz w:val="16"/>
          <w:szCs w:val="16"/>
          <w:color w:val="0000FF"/>
        </w:rPr>
        <w:t>1,333</w:t>
      </w:r>
      <w:r>
        <w:rPr>
          <w:sz w:val="20"/>
          <w:szCs w:val="20"/>
          <w:color w:val="auto"/>
        </w:rPr>
        <w:tab/>
      </w:r>
      <w:r>
        <w:rPr>
          <w:rFonts w:ascii="Arial" w:cs="Arial" w:eastAsia="Arial" w:hAnsi="Arial"/>
          <w:sz w:val="16"/>
          <w:szCs w:val="16"/>
          <w:color w:val="0000FF"/>
        </w:rPr>
        <w:t>I</w:t>
      </w:r>
      <w:r>
        <w:rPr>
          <w:sz w:val="20"/>
          <w:szCs w:val="20"/>
          <w:color w:val="auto"/>
        </w:rPr>
        <w:tab/>
      </w:r>
      <w:r>
        <w:rPr>
          <w:rFonts w:ascii="Arial" w:cs="Arial" w:eastAsia="Arial" w:hAnsi="Arial"/>
          <w:sz w:val="22"/>
          <w:szCs w:val="22"/>
          <w:color w:val="0000FF"/>
          <w:vertAlign w:val="superscript"/>
        </w:rPr>
        <w:t>One</w:t>
      </w:r>
    </w:p>
    <w:p>
      <w:pPr>
        <w:spacing w:after="0" w:line="1" w:lineRule="exact"/>
        <w:rPr>
          <w:sz w:val="24"/>
          <w:szCs w:val="24"/>
          <w:color w:val="auto"/>
        </w:rPr>
      </w:pPr>
    </w:p>
    <w:p>
      <w:pPr>
        <w:ind w:left="10260"/>
        <w:spacing w:after="0"/>
        <w:rPr>
          <w:sz w:val="20"/>
          <w:szCs w:val="20"/>
          <w:color w:val="auto"/>
        </w:rPr>
      </w:pPr>
      <w:r>
        <w:rPr>
          <w:rFonts w:ascii="Arial" w:cs="Arial" w:eastAsia="Arial" w:hAnsi="Arial"/>
          <w:sz w:val="17"/>
          <w:szCs w:val="17"/>
          <w:color w:val="0000FF"/>
        </w:rPr>
        <w:t>Four</w:t>
      </w:r>
    </w:p>
    <w:p>
      <w:pPr>
        <w:spacing w:after="0" w:line="11" w:lineRule="exact"/>
        <w:rPr>
          <w:sz w:val="24"/>
          <w:szCs w:val="24"/>
          <w:color w:val="auto"/>
        </w:rPr>
      </w:pPr>
    </w:p>
    <w:p>
      <w:pPr>
        <w:ind w:left="10260"/>
        <w:spacing w:after="0"/>
        <w:rPr>
          <w:sz w:val="20"/>
          <w:szCs w:val="20"/>
          <w:color w:val="auto"/>
        </w:rPr>
      </w:pPr>
      <w:r>
        <w:rPr>
          <w:rFonts w:ascii="Arial" w:cs="Arial" w:eastAsia="Arial" w:hAnsi="Arial"/>
          <w:sz w:val="17"/>
          <w:szCs w:val="17"/>
          <w:color w:val="0000FF"/>
        </w:rPr>
        <w:t>Holdings</w:t>
      </w:r>
    </w:p>
    <w:p>
      <w:pPr>
        <w:spacing w:after="0" w:line="18" w:lineRule="exact"/>
        <w:rPr>
          <w:sz w:val="24"/>
          <w:szCs w:val="24"/>
          <w:color w:val="auto"/>
        </w:rPr>
      </w:pPr>
    </w:p>
    <w:p>
      <w:pPr>
        <w:ind w:left="10260"/>
        <w:spacing w:after="0"/>
        <w:rPr>
          <w:sz w:val="20"/>
          <w:szCs w:val="20"/>
          <w:color w:val="auto"/>
        </w:rPr>
      </w:pPr>
      <w:r>
        <w:rPr>
          <w:rFonts w:ascii="Arial" w:cs="Arial" w:eastAsia="Arial" w:hAnsi="Arial"/>
          <w:sz w:val="17"/>
          <w:szCs w:val="17"/>
          <w:color w:val="0000FF"/>
        </w:rPr>
        <w:t>LLC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62865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140"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6"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4"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1"/>
        </w:trPr>
        <w:tc>
          <w:tcPr>
            <w:tcW w:w="6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1"/>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36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transaction was conducted in Canadian dollars at a price of $19.369 per share. The price reported is in U.S. Dollars based on the currency exchange rate of 0.7670 as reported in the Wall Street Journal as of the close of trading on the Canadian Stock Exchange on August 31, 2020.</w:t>
      </w:r>
    </w:p>
    <w:p>
      <w:pPr>
        <w:spacing w:after="0" w:line="2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5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7"/>
              </w:rPr>
              <w:t>/s/ Kathryn A. Lloyd,</w:t>
            </w:r>
          </w:p>
        </w:tc>
        <w:tc>
          <w:tcPr>
            <w:tcW w:w="58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09/02/2020</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Arial" w:cs="Arial" w:eastAsia="Arial" w:hAnsi="Arial"/>
                <w:sz w:val="17"/>
                <w:szCs w:val="17"/>
                <w:color w:val="0000FF"/>
                <w:w w:val="95"/>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25" w:right="439" w:bottom="33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728557" TargetMode="External"/><Relationship Id="rId14" Type="http://schemas.openxmlformats.org/officeDocument/2006/relationships/hyperlink" Target="http://www.sec.gov/cgi-bin/browse-edgar?action=getcompany&amp;CIK=00017951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2020-09-02T15:28:20Z</dcterms:created>
  <dcterms:modified xsi:type="dcterms:W3CDTF">2020-09-02T15:28:20Z</dcterms:modified>
</cp:coreProperties>
</file>