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gtbif-20230630.htm"/>
      <w:bookmarkStart w:id="1" w:name="ksgtbif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bidi w:val="0"/>
        <w:spacing w:before="100" w:after="0"/>
        <w:jc w:val="center"/>
        <w:rPr>
          <w:rFonts w:ascii="Times New Roman" w:hAnsi="Times New Roman"/>
          <w:sz w:val="20"/>
        </w:rPr>
      </w:pPr>
      <w:r>
        <w:rPr>
          <w:rFonts w:ascii="Times New Roman;serif" w:hAnsi="Times New Roman;serif"/>
          <w:b/>
          <w:sz w:val="32"/>
        </w:rPr>
        <w:t>FORM 10-Q</w:t>
      </w:r>
      <w:r>
        <w:rPr>
          <w:rFonts w:ascii="Times New Roman" w:hAnsi="Times New Roman"/>
          <w:sz w:val="20"/>
        </w:rPr>
        <w:t xml:space="preserve"> </w:t>
      </w:r>
    </w:p>
    <w:p>
      <w:pPr>
        <w:pStyle w:val="TextBody"/>
        <w:bidi w:val="0"/>
        <w:spacing w:before="10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100" w:after="0"/>
        <w:jc w:val="center"/>
        <w:rPr>
          <w:rFonts w:ascii="Times New Roman;serif" w:hAnsi="Times New Roman;serif"/>
          <w:b/>
          <w:sz w:val="16"/>
        </w:rPr>
      </w:pPr>
      <w:r>
        <w:rPr>
          <w:rFonts w:ascii="Times New Roman;serif" w:hAnsi="Times New Roman;serif"/>
          <w:b/>
          <w:sz w:val="16"/>
        </w:rPr>
        <w:t>For the quarterly period ended June 30, 2023</w:t>
      </w:r>
    </w:p>
    <w:p>
      <w:pPr>
        <w:pStyle w:val="TextBody"/>
        <w:bidi w:val="0"/>
        <w:spacing w:before="100" w:after="0"/>
        <w:jc w:val="center"/>
        <w:rPr>
          <w:rFonts w:ascii="Times New Roman" w:hAnsi="Times New Roman"/>
          <w:sz w:val="20"/>
        </w:rPr>
      </w:pPr>
      <w:r>
        <w:rPr>
          <w:rFonts w:ascii="Times New Roman;serif" w:hAnsi="Times New Roman;serif"/>
          <w:b/>
          <w:sz w:val="16"/>
        </w:rPr>
        <w:t>OR</w:t>
      </w:r>
      <w:r>
        <w:rPr>
          <w:rFonts w:ascii="Times New Roman" w:hAnsi="Times New Roman"/>
          <w:sz w:val="20"/>
        </w:rPr>
        <w:t xml:space="preserve"> </w:t>
      </w:r>
    </w:p>
    <w:p>
      <w:pPr>
        <w:pStyle w:val="TextBody"/>
        <w:bidi w:val="0"/>
        <w:spacing w:before="100" w:after="0"/>
        <w:jc w:val="left"/>
        <w:rPr/>
      </w:pPr>
      <w:r>
        <w:rPr/>
        <w:t xml:space="preserve">☐ </w:t>
      </w:r>
      <w:r>
        <w:rPr>
          <w:rFonts w:ascii="Times New Roman;serif" w:hAnsi="Times New Roman;serif"/>
          <w:b/>
          <w:sz w:val="20"/>
        </w:rPr>
        <w:t>TRANSITION REPORT PURSUANT TO SECTION 13 OR 15(d) OF THE SECURITIES EXCHANGE ACT OF 1934 For the transition period from to</w:t>
      </w:r>
      <w:r>
        <w:rPr>
          <w:rFonts w:ascii="Times New Roman" w:hAnsi="Times New Roman"/>
          <w:sz w:val="20"/>
        </w:rPr>
        <w:t xml:space="preserve"> </w:t>
      </w:r>
    </w:p>
    <w:p>
      <w:pPr>
        <w:pStyle w:val="TextBody"/>
        <w:bidi w:val="0"/>
        <w:spacing w:before="100" w:after="0"/>
        <w:jc w:val="center"/>
        <w:rPr/>
      </w:pPr>
      <w:r>
        <w:rPr/>
        <w:drawing>
          <wp:inline distT="0" distB="0" distL="0" distR="0">
            <wp:extent cx="4543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676275"/>
                    </a:xfrm>
                    <a:prstGeom prst="rect">
                      <a:avLst/>
                    </a:prstGeom>
                  </pic:spPr>
                </pic:pic>
              </a:graphicData>
            </a:graphic>
          </wp:inline>
        </w:drawing>
      </w:r>
      <w:r>
        <w:rPr/>
        <w:t> </w:t>
      </w:r>
    </w:p>
    <w:p>
      <w:pPr>
        <w:pStyle w:val="TextBody"/>
        <w:bidi w:val="0"/>
        <w:spacing w:before="80" w:after="0"/>
        <w:jc w:val="center"/>
        <w:rPr>
          <w:rFonts w:ascii="Times New Roman" w:hAnsi="Times New Roman"/>
          <w:sz w:val="20"/>
        </w:rPr>
      </w:pPr>
      <w:r>
        <w:rPr>
          <w:rFonts w:ascii="Times New Roman;serif" w:hAnsi="Times New Roman;serif"/>
          <w:b/>
          <w:sz w:val="16"/>
        </w:rPr>
        <w:t>Commission file number 000-56132</w:t>
      </w:r>
      <w:r>
        <w:rPr>
          <w:rFonts w:ascii="Times New Roman" w:hAnsi="Times New Roman"/>
          <w:sz w:val="20"/>
        </w:rPr>
        <w:t xml:space="preserve"> </w:t>
      </w:r>
    </w:p>
    <w:p>
      <w:pPr>
        <w:pStyle w:val="TextBody"/>
        <w:bidi w:val="0"/>
        <w:spacing w:before="100" w:after="0"/>
        <w:jc w:val="center"/>
        <w:rPr>
          <w:rFonts w:ascii="Times New Roman" w:hAnsi="Times New Roman"/>
          <w:sz w:val="20"/>
        </w:rPr>
      </w:pPr>
      <w:r>
        <w:rPr>
          <w:rFonts w:ascii="Times New Roman;serif" w:hAnsi="Times New Roman;serif"/>
          <w:b/>
          <w:sz w:val="44"/>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(Exact name of registrant as specified in its charter)</w:t>
      </w:r>
      <w:r>
        <w:rPr>
          <w:rFonts w:ascii="Times New Roman" w:hAnsi="Times New Roman"/>
          <w:sz w:val="20"/>
        </w:rPr>
        <w:t xml:space="preserve"> </w:t>
      </w:r>
    </w:p>
    <w:tbl>
      <w:tblPr>
        <w:tblW w:w="3197" w:type="dxa"/>
        <w:jc w:val="left"/>
        <w:tblInd w:w="0" w:type="dxa"/>
        <w:tblLayout w:type="fixed"/>
        <w:tblCellMar>
          <w:top w:w="28" w:type="dxa"/>
          <w:left w:w="28" w:type="dxa"/>
          <w:bottom w:w="28" w:type="dxa"/>
          <w:right w:w="28" w:type="dxa"/>
        </w:tblCellMar>
      </w:tblPr>
      <w:tblGrid>
        <w:gridCol w:w="2146"/>
        <w:gridCol w:w="1051"/>
      </w:tblGrid>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British Columbia</w:t>
            </w:r>
          </w:p>
        </w:tc>
        <w:tc>
          <w:tcPr>
            <w:tcW w:w="10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98-1437430</w:t>
            </w:r>
          </w:p>
        </w:tc>
      </w:tr>
      <w:tr>
        <w:trPr/>
        <w:tc>
          <w:tcPr>
            <w:tcW w:w="2146" w:type="dxa"/>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(State or other jurisdiction of</w:t>
            </w:r>
          </w:p>
          <w:p>
            <w:pPr>
              <w:pStyle w:val="TableContents"/>
              <w:bidi w:val="0"/>
              <w:spacing w:before="0" w:after="20"/>
              <w:ind w:left="0" w:right="0" w:hanging="0"/>
              <w:jc w:val="center"/>
              <w:rPr>
                <w:rFonts w:ascii="Times New Roman;serif" w:hAnsi="Times New Roman;serif"/>
                <w:b/>
                <w:sz w:val="12"/>
              </w:rPr>
            </w:pPr>
            <w:r>
              <w:rPr>
                <w:rFonts w:ascii="Times New Roman;serif" w:hAnsi="Times New Roman;serif"/>
                <w:b/>
                <w:sz w:val="12"/>
              </w:rPr>
              <w:t>incorporation or organization)</w:t>
            </w:r>
          </w:p>
        </w:tc>
        <w:tc>
          <w:tcPr>
            <w:tcW w:w="1051" w:type="dxa"/>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(I.R.S. employer</w:t>
            </w:r>
          </w:p>
          <w:p>
            <w:pPr>
              <w:pStyle w:val="TableContents"/>
              <w:bidi w:val="0"/>
              <w:spacing w:before="0" w:after="20"/>
              <w:ind w:left="0" w:right="0" w:hanging="0"/>
              <w:jc w:val="center"/>
              <w:rPr>
                <w:rFonts w:ascii="Times New Roman;serif" w:hAnsi="Times New Roman;serif"/>
                <w:b/>
                <w:sz w:val="12"/>
              </w:rPr>
            </w:pPr>
            <w:r>
              <w:rPr>
                <w:rFonts w:ascii="Times New Roman;serif" w:hAnsi="Times New Roman;serif"/>
                <w:b/>
                <w:sz w:val="12"/>
              </w:rPr>
              <w:t>identification no.)</w:t>
            </w:r>
          </w:p>
        </w:tc>
      </w:tr>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325 West Huron Street,</w:t>
            </w:r>
          </w:p>
          <w:p>
            <w:pPr>
              <w:pStyle w:val="TableContents"/>
              <w:bidi w:val="0"/>
              <w:spacing w:before="0" w:after="20"/>
              <w:ind w:left="0" w:right="0" w:hanging="0"/>
              <w:jc w:val="center"/>
              <w:rPr>
                <w:rFonts w:ascii="Times New Roman" w:hAnsi="Times New Roman"/>
                <w:sz w:val="20"/>
              </w:rPr>
            </w:pPr>
            <w:r>
              <w:rPr>
                <w:rFonts w:ascii="Times New Roman;serif" w:hAnsi="Times New Roman;serif"/>
                <w:b/>
                <w:sz w:val="16"/>
              </w:rPr>
              <w:t>Suite 700</w:t>
            </w:r>
            <w:r>
              <w:rPr>
                <w:rFonts w:ascii="Times New Roman" w:hAnsi="Times New Roman"/>
                <w:sz w:val="20"/>
              </w:rPr>
              <w:t xml:space="preserve"> </w:t>
            </w:r>
            <w:r>
              <w:rPr>
                <w:rFonts w:ascii="Times New Roman;serif" w:hAnsi="Times New Roman;serif"/>
                <w:b/>
                <w:sz w:val="16"/>
              </w:rPr>
              <w:t>Chicago, Illinois</w:t>
            </w:r>
          </w:p>
        </w:tc>
        <w:tc>
          <w:tcPr>
            <w:tcW w:w="10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60654</w:t>
            </w:r>
          </w:p>
        </w:tc>
      </w:tr>
      <w:tr>
        <w:trPr/>
        <w:tc>
          <w:tcPr>
            <w:tcW w:w="2146" w:type="dxa"/>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(Address of principal executive offices)</w:t>
            </w:r>
          </w:p>
        </w:tc>
        <w:tc>
          <w:tcPr>
            <w:tcW w:w="1051" w:type="dxa"/>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(zip code)</w:t>
            </w:r>
          </w:p>
        </w:tc>
      </w:tr>
    </w:tbl>
    <w:p>
      <w:pPr>
        <w:pStyle w:val="TextBody"/>
        <w:bidi w:val="0"/>
        <w:spacing w:before="100" w:after="0"/>
        <w:jc w:val="center"/>
        <w:rPr>
          <w:rFonts w:ascii="Times New Roman" w:hAnsi="Times New Roman"/>
          <w:sz w:val="20"/>
        </w:rPr>
      </w:pPr>
      <w:r>
        <w:rPr>
          <w:rFonts w:ascii="Times New Roman;serif" w:hAnsi="Times New Roman;serif"/>
          <w:b/>
          <w:sz w:val="16"/>
        </w:rPr>
        <w:t>Registrant’s telephone number, including area code - (312) 471-6720</w:t>
      </w:r>
      <w:r>
        <w:rPr>
          <w:rFonts w:ascii="Times New Roman" w:hAnsi="Times New Roman"/>
          <w:sz w:val="20"/>
        </w:rPr>
        <w:t xml:space="preserve"> </w:t>
      </w:r>
    </w:p>
    <w:p>
      <w:pPr>
        <w:pStyle w:val="TextBody"/>
        <w:bidi w:val="0"/>
        <w:spacing w:before="100" w:after="0"/>
        <w:jc w:val="center"/>
        <w:rPr>
          <w:rFonts w:ascii="Times New Roman" w:hAnsi="Times New Roman"/>
          <w:sz w:val="20"/>
        </w:rPr>
      </w:pPr>
      <w:r>
        <w:rPr>
          <w:rFonts w:ascii="Times New Roman;serif" w:hAnsi="Times New Roman;serif"/>
          <w:b/>
          <w:sz w:val="16"/>
        </w:rPr>
        <w:t>Securities registered pursuant to Section 12(g) of the Act: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Subordinate Voting Shares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Multiple Voting Shares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Super Voting Shares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2"/>
        </w:rPr>
        <w:t>(Title of each Class)</w:t>
      </w:r>
      <w:r>
        <w:rPr>
          <w:rFonts w:ascii="Times New Roman" w:hAnsi="Times New Roman"/>
          <w:sz w:val="20"/>
        </w:rPr>
        <w:t xml:space="preserve"> </w:t>
      </w:r>
    </w:p>
    <w:p>
      <w:pPr>
        <w:pStyle w:val="TextBody"/>
        <w:bidi w:val="0"/>
        <w:spacing w:before="100" w:after="0"/>
        <w:jc w:val="left"/>
        <w:rPr>
          <w:rFonts w:ascii="Times New Roman" w:hAnsi="Times New Roman"/>
          <w:sz w:val="20"/>
        </w:rPr>
      </w:pPr>
      <w:r>
        <w:rPr>
          <w:rFonts w:ascii="Times New Roman;serif" w:hAnsi="Times New Roman;serif"/>
          <w:b w:val="false"/>
          <w:sz w:val="16"/>
        </w:rPr>
        <w:t>Indicate by check mark if the registrant is a well-known seasoned issuer, as defined in Rule 405 of the Securities Act. Yes ☒ No ☐</w:t>
      </w:r>
      <w:r>
        <w:rPr>
          <w:rFonts w:ascii="Times New Roman" w:hAnsi="Times New Roman"/>
          <w:sz w:val="20"/>
        </w:rPr>
        <w:t xml:space="preserve"> </w:t>
      </w:r>
    </w:p>
    <w:p>
      <w:pPr>
        <w:pStyle w:val="TextBody"/>
        <w:bidi w:val="0"/>
        <w:spacing w:before="100" w:after="0"/>
        <w:jc w:val="left"/>
        <w:rPr>
          <w:rFonts w:ascii="Times New Roman" w:hAnsi="Times New Roman"/>
          <w:sz w:val="20"/>
        </w:rPr>
      </w:pPr>
      <w:r>
        <w:rPr>
          <w:rFonts w:ascii="Times New Roman;serif" w:hAnsi="Times New Roman;serif"/>
          <w:b w:val="false"/>
          <w:sz w:val="16"/>
        </w:rPr>
        <w:t>Indicate by check mark if the registrant is not required to file reports pursuant to Section 13 or Section 15(d) of the Act. Yes ☐ No ☒</w:t>
      </w:r>
      <w:r>
        <w:rPr>
          <w:rFonts w:ascii="Times New Roman" w:hAnsi="Times New Roman"/>
          <w:sz w:val="20"/>
        </w:rPr>
        <w:t xml:space="preserve"> </w:t>
      </w:r>
    </w:p>
    <w:p>
      <w:pPr>
        <w:pStyle w:val="TextBody"/>
        <w:bidi w:val="0"/>
        <w:spacing w:before="10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w:t>
      </w:r>
      <w:r>
        <w:rPr>
          <w:rFonts w:ascii="Times New Roman" w:hAnsi="Times New Roman"/>
          <w:sz w:val="20"/>
        </w:rPr>
        <w:t xml:space="preserve"> ☒ </w:t>
      </w:r>
      <w:r>
        <w:rPr>
          <w:rFonts w:ascii="Times New Roman;serif" w:hAnsi="Times New Roman;serif"/>
          <w:b w:val="false"/>
          <w:sz w:val="16"/>
        </w:rPr>
        <w:t>No ☐</w:t>
      </w:r>
      <w:r>
        <w:rPr>
          <w:rFonts w:ascii="Times New Roman" w:hAnsi="Times New Roman"/>
          <w:sz w:val="20"/>
        </w:rPr>
        <w:t xml:space="preserve"> </w:t>
      </w:r>
    </w:p>
    <w:p>
      <w:pPr>
        <w:pStyle w:val="TextBody"/>
        <w:bidi w:val="0"/>
        <w:spacing w:before="10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No ☐</w:t>
      </w:r>
      <w:r>
        <w:rPr>
          <w:rFonts w:ascii="Times New Roman" w:hAnsi="Times New Roman"/>
          <w:sz w:val="20"/>
        </w:rPr>
        <w:t xml:space="preserve"> </w:t>
      </w:r>
    </w:p>
    <w:p>
      <w:pPr>
        <w:pStyle w:val="TextBody"/>
        <w:bidi w:val="0"/>
        <w:spacing w:before="10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316" w:type="dxa"/>
            <w:tcBorders/>
            <w:vAlign w:val="center"/>
          </w:tcPr>
          <w:p>
            <w:pPr>
              <w:pStyle w:val="TableContents"/>
              <w:bidi w:val="0"/>
              <w:spacing w:before="0" w:after="0"/>
              <w:ind w:left="0" w:right="0" w:hanging="0"/>
              <w:jc w:val="left"/>
              <w:rPr/>
            </w:pPr>
            <w:r>
              <w:rPr/>
              <w:t>☐</w:t>
            </w:r>
          </w:p>
        </w:tc>
        <w:tc>
          <w:tcPr>
            <w:tcW w:w="20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100" w:after="0"/>
        <w:jc w:val="left"/>
        <w:rPr>
          <w:rFonts w:ascii="Times New Roman" w:hAnsi="Times New Roman"/>
          <w:sz w:val="20"/>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10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Act). Yes </w:t>
      </w:r>
      <w:r>
        <w:rPr>
          <w:rFonts w:ascii="Times New Roman" w:hAnsi="Times New Roman"/>
          <w:sz w:val="20"/>
        </w:rPr>
        <w:t xml:space="preserve">☐ </w:t>
      </w:r>
      <w:r>
        <w:rPr>
          <w:rFonts w:ascii="Times New Roman;serif" w:hAnsi="Times New Roman;serif"/>
          <w:b w:val="false"/>
          <w:sz w:val="16"/>
        </w:rPr>
        <w:t>No ☒</w:t>
      </w:r>
      <w:r>
        <w:rPr>
          <w:rFonts w:ascii="Times New Roman" w:hAnsi="Times New Roman"/>
          <w:sz w:val="20"/>
        </w:rPr>
        <w:t xml:space="preserve"> </w:t>
      </w:r>
    </w:p>
    <w:p>
      <w:pPr>
        <w:pStyle w:val="TextBody"/>
        <w:bidi w:val="0"/>
        <w:spacing w:before="100" w:after="0"/>
        <w:jc w:val="left"/>
        <w:rPr>
          <w:rFonts w:ascii="Times New Roman" w:hAnsi="Times New Roman"/>
          <w:sz w:val="20"/>
        </w:rPr>
      </w:pPr>
      <w:r>
        <w:rPr>
          <w:rFonts w:ascii="Times New Roman;serif" w:hAnsi="Times New Roman;serif"/>
          <w:b w:val="false"/>
          <w:sz w:val="16"/>
        </w:rPr>
        <w:t>As of August 1, 2023, there were</w:t>
      </w:r>
      <w:r>
        <w:rPr>
          <w:rFonts w:ascii="Times New Roman" w:hAnsi="Times New Roman"/>
          <w:sz w:val="20"/>
        </w:rPr>
        <w:t xml:space="preserve"> </w:t>
      </w:r>
      <w:r>
        <w:rPr>
          <w:rFonts w:ascii="Times New Roman;serif" w:hAnsi="Times New Roman;serif"/>
          <w:b w:val="false"/>
          <w:sz w:val="16"/>
        </w:rPr>
        <w:t>209,739,033</w:t>
      </w:r>
      <w:r>
        <w:rPr>
          <w:rFonts w:ascii="Times New Roman" w:hAnsi="Times New Roman"/>
          <w:sz w:val="20"/>
        </w:rPr>
        <w:t xml:space="preserve"> </w:t>
      </w:r>
      <w:r>
        <w:rPr>
          <w:rFonts w:ascii="Times New Roman;serif" w:hAnsi="Times New Roman;serif"/>
          <w:b w:val="false"/>
          <w:sz w:val="16"/>
        </w:rPr>
        <w:t>shares of the registrant’s Subordinate Voting Shares, 3,853,100</w:t>
      </w:r>
      <w:r>
        <w:rPr>
          <w:rFonts w:ascii="Times New Roman" w:hAnsi="Times New Roman"/>
          <w:sz w:val="20"/>
        </w:rPr>
        <w:t xml:space="preserve"> </w:t>
      </w:r>
      <w:r>
        <w:rPr>
          <w:rFonts w:ascii="Times New Roman;serif" w:hAnsi="Times New Roman;serif"/>
          <w:b w:val="false"/>
          <w:sz w:val="16"/>
        </w:rPr>
        <w:t>shares of the registrant’s Multiple Voting Shares (on an as converted basis) and 25,169,000</w:t>
      </w:r>
      <w:r>
        <w:rPr>
          <w:rFonts w:ascii="Times New Roman" w:hAnsi="Times New Roman"/>
          <w:sz w:val="20"/>
        </w:rPr>
        <w:t xml:space="preserve"> </w:t>
      </w:r>
      <w:r>
        <w:rPr>
          <w:rFonts w:ascii="Times New Roman;serif" w:hAnsi="Times New Roman;serif"/>
          <w:b w:val="false"/>
          <w:sz w:val="16"/>
        </w:rPr>
        <w:t>shares of the registrant’s Super Voting Shares (on an as converted basis).</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QUARTERLY REPORT ON FORM 10-Q</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2" w:name="toc"/>
      <w:bookmarkEnd w:id="2"/>
      <w:r>
        <w:rPr>
          <w:rFonts w:ascii="Times New Roman;serif" w:hAnsi="Times New Roman;serif"/>
          <w:b/>
          <w:sz w:val="20"/>
        </w:rPr>
        <w:t>TABLE OF CONTENTS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454"/>
        <w:gridCol w:w="8149"/>
        <w:gridCol w:w="602"/>
      </w:tblGrid>
      <w:tr>
        <w:trPr/>
        <w:tc>
          <w:tcPr>
            <w:tcW w:w="1454" w:type="dxa"/>
            <w:tcBorders/>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9603" w:type="dxa"/>
            <w:gridSpan w:val="2"/>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FINANCIAL</w:t>
            </w:r>
          </w:p>
          <w:p>
            <w:pPr>
              <w:pStyle w:val="TableContents"/>
              <w:bidi w:val="0"/>
              <w:spacing w:before="0" w:after="20"/>
              <w:ind w:left="0" w:right="0" w:hanging="0"/>
              <w:jc w:val="left"/>
              <w:rPr>
                <w:rFonts w:ascii="Times New Roman;serif" w:hAnsi="Times New Roman;serif"/>
                <w:b/>
                <w:sz w:val="16"/>
              </w:rPr>
            </w:pPr>
            <w:r>
              <w:rPr>
                <w:rFonts w:ascii="Times New Roman;serif" w:hAnsi="Times New Roman;serif"/>
                <w:b/>
                <w:sz w:val="16"/>
              </w:rPr>
              <w:t>INFORMATION</w:t>
            </w:r>
          </w:p>
        </w:tc>
        <w:tc>
          <w:tcPr>
            <w:tcW w:w="60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14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49"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54" w:type="dxa"/>
            <w:tcBorders/>
            <w:vAlign w:val="center"/>
          </w:tcPr>
          <w:p>
            <w:pPr>
              <w:pStyle w:val="TableContents"/>
              <w:pBdr/>
              <w:bidi w:val="0"/>
              <w:spacing w:before="0" w:after="0"/>
              <w:ind w:left="0" w:right="0" w:hanging="240"/>
              <w:jc w:val="left"/>
              <w:rPr/>
            </w:pPr>
            <w:hyperlink w:anchor="balance_sheets">
              <w:r>
                <w:rPr>
                  <w:rStyle w:val="InternetLink"/>
                  <w:rFonts w:ascii="Times New Roman;serif" w:hAnsi="Times New Roman;serif"/>
                  <w:b/>
                  <w:sz w:val="20"/>
                  <w:u w:val="single"/>
                </w:rPr>
                <w:t>ITEM 1:</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Balance Sheets as of June 30, 2023 and December 31, 2022</w:t>
            </w:r>
          </w:p>
        </w:tc>
        <w:tc>
          <w:tcPr>
            <w:tcW w:w="60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14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Statements of Operations for the three and six months ended June 30, 2023 and 2022</w:t>
            </w:r>
          </w:p>
        </w:tc>
        <w:tc>
          <w:tcPr>
            <w:tcW w:w="60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4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Statements of Changes in Shareholders’ Equity for the three and six months ended June 30, 2023 and 2022</w:t>
            </w:r>
          </w:p>
        </w:tc>
        <w:tc>
          <w:tcPr>
            <w:tcW w:w="60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14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Unaudited Interim Condensed Consolidated Statements of Cash Flows for the six months ended June 30, 2023 and 2022</w:t>
            </w:r>
          </w:p>
        </w:tc>
        <w:tc>
          <w:tcPr>
            <w:tcW w:w="60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14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to Unaudited Interim Condensed Consolidated Financial Statements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10</w:t>
            </w:r>
          </w:p>
        </w:tc>
      </w:tr>
      <w:tr>
        <w:trPr/>
        <w:tc>
          <w:tcPr>
            <w:tcW w:w="1454" w:type="dxa"/>
            <w:tcBorders/>
            <w:vAlign w:val="center"/>
          </w:tcPr>
          <w:p>
            <w:pPr>
              <w:pStyle w:val="TableContents"/>
              <w:pBdr/>
              <w:bidi w:val="0"/>
              <w:spacing w:before="0" w:after="0"/>
              <w:ind w:left="0" w:right="0" w:hanging="240"/>
              <w:jc w:val="left"/>
              <w:rPr/>
            </w:pPr>
            <w:hyperlink w:anchor="item2_mda">
              <w:r>
                <w:rPr>
                  <w:rStyle w:val="InternetLink"/>
                  <w:rFonts w:ascii="Times New Roman;serif" w:hAnsi="Times New Roman;serif"/>
                  <w:b/>
                  <w:sz w:val="20"/>
                  <w:u w:val="single"/>
                </w:rPr>
                <w:t>ITEM 2:</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Management’s Discussion and Analysis of Financial Condition and Results of Operations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28</w:t>
            </w:r>
          </w:p>
        </w:tc>
      </w:tr>
      <w:tr>
        <w:trPr/>
        <w:tc>
          <w:tcPr>
            <w:tcW w:w="1454" w:type="dxa"/>
            <w:tcBorders/>
            <w:vAlign w:val="center"/>
          </w:tcPr>
          <w:p>
            <w:pPr>
              <w:pStyle w:val="TableContents"/>
              <w:pBdr/>
              <w:bidi w:val="0"/>
              <w:spacing w:before="0" w:after="0"/>
              <w:ind w:left="0" w:right="0" w:hanging="240"/>
              <w:jc w:val="left"/>
              <w:rPr/>
            </w:pPr>
            <w:hyperlink w:anchor="quant_and_qual_disclosure_market_risk">
              <w:r>
                <w:rPr>
                  <w:rStyle w:val="InternetLink"/>
                  <w:rFonts w:ascii="Times New Roman;serif" w:hAnsi="Times New Roman;serif"/>
                  <w:b/>
                  <w:sz w:val="20"/>
                  <w:u w:val="single"/>
                </w:rPr>
                <w:t>ITEM 3:</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Quantitative and Qualitative Disclosure About Market Risk</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36</w:t>
            </w:r>
          </w:p>
        </w:tc>
      </w:tr>
      <w:tr>
        <w:trPr/>
        <w:tc>
          <w:tcPr>
            <w:tcW w:w="1454" w:type="dxa"/>
            <w:tcBorders/>
            <w:vAlign w:val="center"/>
          </w:tcPr>
          <w:p>
            <w:pPr>
              <w:pStyle w:val="TableContents"/>
              <w:pBdr/>
              <w:bidi w:val="0"/>
              <w:spacing w:before="0" w:after="0"/>
              <w:ind w:left="0" w:right="0" w:hanging="240"/>
              <w:jc w:val="left"/>
              <w:rPr/>
            </w:pPr>
            <w:hyperlink w:anchor="controls_and_procedures">
              <w:r>
                <w:rPr>
                  <w:rStyle w:val="InternetLink"/>
                  <w:rFonts w:ascii="Times New Roman;serif" w:hAnsi="Times New Roman;serif"/>
                  <w:b/>
                  <w:sz w:val="20"/>
                  <w:u w:val="single"/>
                </w:rPr>
                <w:t>ITEM 4:</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Controls and Procedures</w:t>
            </w:r>
          </w:p>
        </w:tc>
        <w:tc>
          <w:tcPr>
            <w:tcW w:w="60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14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49"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II</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54" w:type="dxa"/>
            <w:tcBorders/>
            <w:vAlign w:val="center"/>
          </w:tcPr>
          <w:p>
            <w:pPr>
              <w:pStyle w:val="TableContents"/>
              <w:pBdr/>
              <w:bidi w:val="0"/>
              <w:spacing w:before="0" w:after="0"/>
              <w:ind w:left="0" w:right="0" w:hanging="240"/>
              <w:jc w:val="left"/>
              <w:rPr>
                <w:rFonts w:ascii="Times New Roman;serif" w:hAnsi="Times New Roman;serif"/>
                <w:b/>
                <w:sz w:val="20"/>
              </w:rPr>
            </w:pPr>
            <w:r>
              <w:rPr>
                <w:rFonts w:ascii="Times New Roman;serif" w:hAnsi="Times New Roman;serif"/>
                <w:b/>
                <w:sz w:val="20"/>
              </w:rPr>
              <w:t>OTHER</w:t>
            </w:r>
          </w:p>
          <w:p>
            <w:pPr>
              <w:pStyle w:val="TableContents"/>
              <w:pBdr/>
              <w:bidi w:val="0"/>
              <w:spacing w:before="0" w:after="20"/>
              <w:ind w:left="0" w:right="0" w:hanging="240"/>
              <w:jc w:val="left"/>
              <w:rPr>
                <w:rFonts w:ascii="Times New Roman;serif" w:hAnsi="Times New Roman;serif"/>
                <w:b/>
                <w:sz w:val="20"/>
              </w:rPr>
            </w:pPr>
            <w:r>
              <w:rPr>
                <w:rFonts w:ascii="Times New Roman;serif" w:hAnsi="Times New Roman;serif"/>
                <w:b/>
                <w:sz w:val="20"/>
              </w:rPr>
              <w:t>INFORMATION</w:t>
            </w:r>
          </w:p>
        </w:tc>
        <w:tc>
          <w:tcPr>
            <w:tcW w:w="81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54" w:type="dxa"/>
            <w:tcBorders/>
            <w:vAlign w:val="center"/>
          </w:tcPr>
          <w:p>
            <w:pPr>
              <w:pStyle w:val="TableContents"/>
              <w:pBdr/>
              <w:bidi w:val="0"/>
              <w:spacing w:before="0" w:after="0"/>
              <w:ind w:left="0" w:right="0" w:hanging="240"/>
              <w:jc w:val="left"/>
              <w:rPr/>
            </w:pPr>
            <w:hyperlink w:anchor="partii_item1_legal_proceedings">
              <w:r>
                <w:rPr>
                  <w:rStyle w:val="InternetLink"/>
                  <w:rFonts w:ascii="Times New Roman;serif" w:hAnsi="Times New Roman;serif"/>
                  <w:b/>
                  <w:sz w:val="20"/>
                  <w:u w:val="single"/>
                </w:rPr>
                <w:t>ITEM 1:</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Legal Proceedings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37</w:t>
            </w:r>
          </w:p>
        </w:tc>
      </w:tr>
      <w:tr>
        <w:trPr/>
        <w:tc>
          <w:tcPr>
            <w:tcW w:w="1454" w:type="dxa"/>
            <w:tcBorders/>
            <w:vAlign w:val="center"/>
          </w:tcPr>
          <w:p>
            <w:pPr>
              <w:pStyle w:val="TableContents"/>
              <w:pBdr/>
              <w:bidi w:val="0"/>
              <w:spacing w:before="0" w:after="0"/>
              <w:ind w:left="0" w:right="0" w:hanging="240"/>
              <w:jc w:val="left"/>
              <w:rPr/>
            </w:pPr>
            <w:hyperlink w:anchor="partii_item1a_risk_factors">
              <w:r>
                <w:rPr>
                  <w:rStyle w:val="InternetLink"/>
                  <w:rFonts w:ascii="Times New Roman;serif" w:hAnsi="Times New Roman;serif"/>
                  <w:b/>
                  <w:sz w:val="20"/>
                  <w:u w:val="single"/>
                </w:rPr>
                <w:t>ITEM 1a:</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 Factors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37</w:t>
            </w:r>
          </w:p>
        </w:tc>
      </w:tr>
      <w:tr>
        <w:trPr/>
        <w:tc>
          <w:tcPr>
            <w:tcW w:w="1454" w:type="dxa"/>
            <w:tcBorders/>
            <w:vAlign w:val="center"/>
          </w:tcPr>
          <w:p>
            <w:pPr>
              <w:pStyle w:val="TableContents"/>
              <w:pBdr/>
              <w:bidi w:val="0"/>
              <w:spacing w:before="0" w:after="0"/>
              <w:ind w:left="0" w:right="0" w:hanging="240"/>
              <w:jc w:val="left"/>
              <w:rPr/>
            </w:pPr>
            <w:hyperlink w:anchor="partii_item2_sale_of_unregistered_securi">
              <w:r>
                <w:rPr>
                  <w:rStyle w:val="InternetLink"/>
                  <w:rFonts w:ascii="Times New Roman;serif" w:hAnsi="Times New Roman;serif"/>
                  <w:b/>
                  <w:sz w:val="20"/>
                  <w:u w:val="single"/>
                </w:rPr>
                <w:t>ITEM 2:</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 of Unregistered Securities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37</w:t>
            </w:r>
          </w:p>
        </w:tc>
      </w:tr>
      <w:tr>
        <w:trPr/>
        <w:tc>
          <w:tcPr>
            <w:tcW w:w="1454" w:type="dxa"/>
            <w:tcBorders/>
            <w:vAlign w:val="center"/>
          </w:tcPr>
          <w:p>
            <w:pPr>
              <w:pStyle w:val="TableContents"/>
              <w:pBdr/>
              <w:bidi w:val="0"/>
              <w:spacing w:before="0" w:after="0"/>
              <w:ind w:left="0" w:right="0" w:hanging="240"/>
              <w:jc w:val="left"/>
              <w:rPr/>
            </w:pPr>
            <w:hyperlink w:anchor="partii_item3_defaults_upon_senior_securi">
              <w:r>
                <w:rPr>
                  <w:rStyle w:val="InternetLink"/>
                  <w:rFonts w:ascii="Times New Roman;serif" w:hAnsi="Times New Roman;serif"/>
                  <w:b/>
                  <w:sz w:val="20"/>
                  <w:u w:val="single"/>
                </w:rPr>
                <w:t>ITEM 3:</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Defaults Upon Senior Securities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37</w:t>
            </w:r>
          </w:p>
        </w:tc>
      </w:tr>
      <w:tr>
        <w:trPr/>
        <w:tc>
          <w:tcPr>
            <w:tcW w:w="1454" w:type="dxa"/>
            <w:tcBorders/>
            <w:vAlign w:val="center"/>
          </w:tcPr>
          <w:p>
            <w:pPr>
              <w:pStyle w:val="TableContents"/>
              <w:pBdr/>
              <w:bidi w:val="0"/>
              <w:spacing w:before="0" w:after="0"/>
              <w:ind w:left="0" w:right="0" w:hanging="240"/>
              <w:jc w:val="left"/>
              <w:rPr/>
            </w:pPr>
            <w:hyperlink w:anchor="partii_item4_mine_safety_disclosure">
              <w:r>
                <w:rPr>
                  <w:rStyle w:val="InternetLink"/>
                  <w:rFonts w:ascii="Times New Roman;serif" w:hAnsi="Times New Roman;serif"/>
                  <w:b/>
                  <w:sz w:val="20"/>
                  <w:u w:val="single"/>
                </w:rPr>
                <w:t>ITEM 4:</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Mine Safety Disclosure</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37</w:t>
            </w:r>
          </w:p>
        </w:tc>
      </w:tr>
      <w:tr>
        <w:trPr/>
        <w:tc>
          <w:tcPr>
            <w:tcW w:w="1454" w:type="dxa"/>
            <w:tcBorders/>
            <w:vAlign w:val="center"/>
          </w:tcPr>
          <w:p>
            <w:pPr>
              <w:pStyle w:val="TableContents"/>
              <w:pBdr/>
              <w:bidi w:val="0"/>
              <w:spacing w:before="0" w:after="0"/>
              <w:ind w:left="0" w:right="0" w:hanging="240"/>
              <w:jc w:val="left"/>
              <w:rPr/>
            </w:pPr>
            <w:hyperlink w:anchor="partii_item5_other_information">
              <w:r>
                <w:rPr>
                  <w:rStyle w:val="InternetLink"/>
                  <w:rFonts w:ascii="Times New Roman;serif" w:hAnsi="Times New Roman;serif"/>
                  <w:b/>
                  <w:sz w:val="20"/>
                  <w:u w:val="single"/>
                </w:rPr>
                <w:t>ITEM 5:</w:t>
              </w:r>
            </w:hyperlink>
          </w:p>
        </w:tc>
        <w:tc>
          <w:tcPr>
            <w:tcW w:w="814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Other Information</w:t>
            </w:r>
            <w:r>
              <w:rPr>
                <w:rFonts w:ascii="Times New Roman" w:hAnsi="Times New Roman"/>
                <w:sz w:val="20"/>
              </w:rPr>
              <w:t xml:space="preserve">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37</w:t>
            </w:r>
          </w:p>
        </w:tc>
      </w:tr>
      <w:tr>
        <w:trPr/>
        <w:tc>
          <w:tcPr>
            <w:tcW w:w="1454" w:type="dxa"/>
            <w:tcBorders/>
            <w:vAlign w:val="center"/>
          </w:tcPr>
          <w:p>
            <w:pPr>
              <w:pStyle w:val="TableContents"/>
              <w:pBdr/>
              <w:bidi w:val="0"/>
              <w:spacing w:before="0" w:after="0"/>
              <w:ind w:left="0" w:right="0" w:hanging="240"/>
              <w:jc w:val="left"/>
              <w:rPr/>
            </w:pPr>
            <w:hyperlink w:anchor="partii_item6_exhibits">
              <w:r>
                <w:rPr>
                  <w:rStyle w:val="InternetLink"/>
                  <w:rFonts w:ascii="Times New Roman;serif" w:hAnsi="Times New Roman;serif"/>
                  <w:b/>
                  <w:sz w:val="20"/>
                  <w:u w:val="single"/>
                </w:rPr>
                <w:t>ITEM 6:</w:t>
              </w:r>
            </w:hyperlink>
          </w:p>
        </w:tc>
        <w:tc>
          <w:tcPr>
            <w:tcW w:w="81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serif" w:hAnsi="Times New Roman;serif"/>
                <w:b w:val="false"/>
                <w:sz w:val="20"/>
              </w:rPr>
            </w:pPr>
            <w:r>
              <w:rPr>
                <w:rFonts w:ascii="Times New Roman;serif" w:hAnsi="Times New Roman;serif"/>
                <w:b w:val="false"/>
                <w:sz w:val="20"/>
              </w:rPr>
              <w:t>38</w:t>
            </w:r>
          </w:p>
        </w:tc>
      </w:tr>
      <w:tr>
        <w:trPr/>
        <w:tc>
          <w:tcPr>
            <w:tcW w:w="1454" w:type="dxa"/>
            <w:tcBorders/>
            <w:vAlign w:val="center"/>
          </w:tcPr>
          <w:p>
            <w:pPr>
              <w:pStyle w:val="TableContents"/>
              <w:pBdr/>
              <w:bidi w:val="0"/>
              <w:spacing w:before="0" w:after="0"/>
              <w:ind w:left="0" w:right="0" w:hanging="240"/>
              <w:jc w:val="left"/>
              <w:rPr/>
            </w:pPr>
            <w:hyperlink w:anchor="signatures">
              <w:r>
                <w:rPr>
                  <w:rStyle w:val="InternetLink"/>
                  <w:rFonts w:ascii="Times New Roman;serif" w:hAnsi="Times New Roman;serif"/>
                  <w:b/>
                  <w:sz w:val="20"/>
                  <w:u w:val="single"/>
                </w:rPr>
                <w:t>Signatures</w:t>
              </w:r>
            </w:hyperlink>
          </w:p>
        </w:tc>
        <w:tc>
          <w:tcPr>
            <w:tcW w:w="81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39</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Use of Names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this Quarterly Report on Form 10-Q, unless the context otherwise requires, the terms “we,” “us,” “our,” “Company,” “Corporation” or “Green Thumb” refer to Green Thumb Industries Inc. together with its wholly-owned subsidiaries.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Unless otherwise indicated, all references to “$” or “US$” in this document refer to United States dollars, and all references to “C$” refer to Canadian dollars.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Disclosure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faces intense competition; the Company faces competition from unregulated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the Company carries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relies on third party software providers for numerous capabilities that it depends upon to operate, and a disruption of one or more systems could adversely affect the business; the Company faces risks related to its information technology systems and potential cyber-attacks and security breaches;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and issuances of substantial amounts of Super Voting Shares, Multiple Voting Shares or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2022, and elsewhere in the Company’s filings with the SEC, which are available on the SEC’s website or at </w:t>
      </w:r>
      <w:r>
        <w:rPr>
          <w:rFonts w:ascii="Times New Roman;serif" w:hAnsi="Times New Roman;serif"/>
          <w:b w:val="false"/>
          <w:i/>
          <w:sz w:val="20"/>
          <w:u w:val="single"/>
        </w:rPr>
        <w:t>https://investors.gtigrows.com</w:t>
      </w:r>
      <w:r>
        <w:rPr>
          <w:rFonts w:ascii="Times New Roman;serif" w:hAnsi="Times New Roman;serif"/>
          <w:b w:val="false"/>
          <w:i/>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3" w:name="balance_sheets"/>
      <w:bookmarkEnd w:id="3"/>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Unaudited Interim Condensed Consolidated Balance Sheets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As of June 30, 2023 and December 31, 2022</w:t>
      </w:r>
      <w:r>
        <w:rPr>
          <w:rFonts w:ascii="Times New Roman" w:hAnsi="Times New Roman"/>
          <w:sz w:val="20"/>
        </w:rPr>
        <w:t xml:space="preserve">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9502" w:type="dxa"/>
        <w:jc w:val="left"/>
        <w:tblInd w:w="0" w:type="dxa"/>
        <w:tblLayout w:type="fixed"/>
        <w:tblCellMar>
          <w:top w:w="28" w:type="dxa"/>
          <w:left w:w="28" w:type="dxa"/>
          <w:bottom w:w="28" w:type="dxa"/>
          <w:right w:w="28" w:type="dxa"/>
        </w:tblCellMar>
      </w:tblPr>
      <w:tblGrid>
        <w:gridCol w:w="6316"/>
        <w:gridCol w:w="146"/>
        <w:gridCol w:w="196"/>
        <w:gridCol w:w="826"/>
        <w:gridCol w:w="166"/>
        <w:gridCol w:w="146"/>
        <w:gridCol w:w="210"/>
        <w:gridCol w:w="885"/>
        <w:gridCol w:w="6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vAlign w:val="center"/>
          </w:tcPr>
          <w:p>
            <w:pPr>
              <w:pStyle w:val="TableContents"/>
              <w:bidi w:val="0"/>
              <w:spacing w:before="0" w:after="0"/>
              <w:ind w:left="0" w:right="0" w:hanging="0"/>
              <w:jc w:val="center"/>
              <w:rPr/>
            </w:pPr>
            <w:r>
              <w:rPr/>
              <w:t> </w:t>
            </w:r>
          </w:p>
        </w:tc>
      </w:tr>
      <w:tr>
        <w:trPr/>
        <w:tc>
          <w:tcPr>
            <w:tcW w:w="6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(Audited)</w:t>
            </w:r>
          </w:p>
        </w:tc>
        <w:tc>
          <w:tcPr>
            <w:tcW w:w="611" w:type="dxa"/>
            <w:tcBorders/>
            <w:vAlign w:val="center"/>
          </w:tcPr>
          <w:p>
            <w:pPr>
              <w:pStyle w:val="TableContents"/>
              <w:bidi w:val="0"/>
              <w:spacing w:before="0" w:after="0"/>
              <w:ind w:left="0" w:right="0" w:hanging="0"/>
              <w:jc w:val="center"/>
              <w:rPr/>
            </w:pPr>
            <w:r>
              <w:rPr/>
              <w:t> </w:t>
            </w:r>
          </w:p>
        </w:tc>
      </w:tr>
      <w:tr>
        <w:trPr/>
        <w:tc>
          <w:tcPr>
            <w:tcW w:w="6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2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16" w:type="dxa"/>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ASSETS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Current Assets: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149,026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177,682</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Accounts Receivable,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39,240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30,975</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Income Tax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7,473</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Inventories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124,772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115,675</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Prepaid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13,364</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8,679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6,182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316" w:type="dxa"/>
            <w:tcBorders/>
            <w:vAlign w:val="center"/>
          </w:tcPr>
          <w:p>
            <w:pPr>
              <w:pStyle w:val="TableContents"/>
              <w:bidi w:val="0"/>
              <w:spacing w:before="0" w:after="0"/>
              <w:ind w:left="400" w:right="0" w:hanging="0"/>
              <w:jc w:val="left"/>
              <w:rPr>
                <w:rFonts w:ascii="Times New Roman;serif" w:hAnsi="Times New Roman;serif"/>
                <w:b/>
                <w:sz w:val="17"/>
              </w:rPr>
            </w:pPr>
            <w:r>
              <w:rPr>
                <w:rFonts w:ascii="Times New Roman;serif" w:hAnsi="Times New Roman;serif"/>
                <w:b/>
                <w:sz w:val="17"/>
              </w:rPr>
              <w:t>Total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341,254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351,351</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674,958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557,873</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Right of Use Assets,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239,964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242,357</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75,060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74,169</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Investments in Associates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25,358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25,508</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Intangible Assets,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564,165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589,519</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Goodwill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589,691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589,691</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Deposits and 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3,060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2,512,834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2,433,528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LIABILITIES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Current Liabilities: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18,423</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Accrued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116,890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86,971</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Compensation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7,809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13,476</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Current Portion of Notes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1,037</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Current Portion of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10,906</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Contingent Consideration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11,400</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Income Tax Payable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9,775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4,358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316" w:type="dxa"/>
            <w:tcBorders/>
            <w:vAlign w:val="center"/>
          </w:tcPr>
          <w:p>
            <w:pPr>
              <w:pStyle w:val="TableContents"/>
              <w:bidi w:val="0"/>
              <w:spacing w:before="0" w:after="0"/>
              <w:ind w:left="400" w:right="0" w:hanging="0"/>
              <w:jc w:val="left"/>
              <w:rPr>
                <w:rFonts w:ascii="Times New Roman;serif" w:hAnsi="Times New Roman;serif"/>
                <w:b/>
                <w:sz w:val="17"/>
              </w:rPr>
            </w:pPr>
            <w:r>
              <w:rPr>
                <w:rFonts w:ascii="Times New Roman;serif" w:hAnsi="Times New Roman;serif"/>
                <w:b/>
                <w:sz w:val="17"/>
              </w:rPr>
              <w:t>Total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175,261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146,571</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Long-Term Liabilities: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248,328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249,281</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Notes Payable, Net of Current Portion and Debt Discount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288,857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274,631</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Contingent Consideration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30,543</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Warrant Liability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4,520</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Deferred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62,550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62,550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807,018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768,096</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COMMITMENTS AND CONTINGENCIES</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SHAREHOLDERS' EQUITY</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Subordinate Voting Shares (Shares Authorized, Issued and Outstanding at June 30, 2023:</w:t>
              <w:br/>
              <w:t>   Unlimited, 208,976,040, and 208,976,040, respectively, at December 31, 2022:</w:t>
              <w:br/>
              <w:t>   Unlimited, 206,991,275, and 206,991,275,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7"/>
              </w:rPr>
              <w:t>Multiple Voting Shares (Shares Authorized, Issued and Outstanding at June 30, 2023:</w:t>
              <w:br/>
              <w:t>   Unlimited, 38,531</w:t>
            </w:r>
            <w:r>
              <w:rPr>
                <w:rFonts w:ascii="Times New Roman" w:hAnsi="Times New Roman"/>
                <w:sz w:val="20"/>
              </w:rPr>
              <w:t> </w:t>
            </w:r>
            <w:r>
              <w:rPr>
                <w:rFonts w:ascii="Times New Roman;serif" w:hAnsi="Times New Roman;serif"/>
                <w:b w:val="false"/>
                <w:sz w:val="17"/>
              </w:rPr>
              <w:t>and 38,531, respectively, at December 31, 2022:</w:t>
              <w:br/>
              <w:t>   Unlimited, 38,531</w:t>
            </w:r>
            <w:r>
              <w:rPr>
                <w:rFonts w:ascii="Times New Roman" w:hAnsi="Times New Roman"/>
                <w:sz w:val="20"/>
              </w:rPr>
              <w:t> </w:t>
            </w:r>
            <w:r>
              <w:rPr>
                <w:rFonts w:ascii="Times New Roman;serif" w:hAnsi="Times New Roman;serif"/>
                <w:b w:val="false"/>
                <w:sz w:val="17"/>
              </w:rPr>
              <w:t>and 38,531,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7"/>
              </w:rPr>
              <w:t>Super Voting Shares (Shares Authorized, Issued and Outstanding at June 30, 2023:</w:t>
              <w:br/>
              <w:t>   Unlimited, 251,690</w:t>
            </w:r>
            <w:r>
              <w:rPr>
                <w:rFonts w:ascii="Times New Roman" w:hAnsi="Times New Roman"/>
                <w:sz w:val="20"/>
              </w:rPr>
              <w:t> </w:t>
            </w:r>
            <w:r>
              <w:rPr>
                <w:rFonts w:ascii="Times New Roman;serif" w:hAnsi="Times New Roman;serif"/>
                <w:b w:val="false"/>
                <w:sz w:val="17"/>
              </w:rPr>
              <w:t>and 251,690, respectively, at December 31, 2022:</w:t>
              <w:br/>
              <w:t>   Unlimited, 251,690</w:t>
            </w:r>
            <w:r>
              <w:rPr>
                <w:rFonts w:ascii="Times New Roman" w:hAnsi="Times New Roman"/>
                <w:sz w:val="20"/>
              </w:rPr>
              <w:t> </w:t>
            </w:r>
            <w:r>
              <w:rPr>
                <w:rFonts w:ascii="Times New Roman;serif" w:hAnsi="Times New Roman;serif"/>
                <w:b w:val="false"/>
                <w:sz w:val="17"/>
              </w:rPr>
              <w:t>and 251,690,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Share Capital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1,693,429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1,663,557</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Contributed Surplus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34,421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23,233</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Deferred Share Issuances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36,211</w:t>
            </w:r>
          </w:p>
        </w:tc>
        <w:tc>
          <w:tcPr>
            <w:tcW w:w="611" w:type="dxa"/>
            <w:tcBorders/>
            <w:vAlign w:val="center"/>
          </w:tcPr>
          <w:p>
            <w:pPr>
              <w:pStyle w:val="TableContents"/>
              <w:bidi w:val="0"/>
              <w:spacing w:before="0" w:after="0"/>
              <w:ind w:left="0" w:right="0" w:firstLine="200"/>
              <w:jc w:val="left"/>
              <w:rPr/>
            </w:pPr>
            <w:r>
              <w:rPr/>
              <w:t> </w:t>
            </w:r>
          </w:p>
        </w:tc>
      </w:tr>
      <w:tr>
        <w:trPr/>
        <w:tc>
          <w:tcPr>
            <w:tcW w:w="631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Accumulated Deficit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(35,546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(58,085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63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Equity of Green Thumb Industries Inc.</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1,705,277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1,664,916</w:t>
            </w:r>
          </w:p>
        </w:tc>
        <w:tc>
          <w:tcPr>
            <w:tcW w:w="611" w:type="dxa"/>
            <w:tcBorders/>
            <w:vAlign w:val="center"/>
          </w:tcPr>
          <w:p>
            <w:pPr>
              <w:pStyle w:val="TableContents"/>
              <w:bidi w:val="0"/>
              <w:spacing w:before="0" w:after="0"/>
              <w:ind w:left="0" w:right="0" w:firstLine="400"/>
              <w:jc w:val="left"/>
              <w:rPr/>
            </w:pPr>
            <w:r>
              <w:rPr/>
              <w:t> </w:t>
            </w:r>
          </w:p>
        </w:tc>
      </w:tr>
      <w:tr>
        <w:trPr/>
        <w:tc>
          <w:tcPr>
            <w:tcW w:w="631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Noncontrolling interests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TOTAL 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1,705,816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1,665,432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2,512,834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2,433,528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pBdr>
          <w:top w:val="single" w:sz="6" w:space="1" w:color="000000"/>
        </w:pBdr>
        <w:bidi w:val="0"/>
        <w:spacing w:before="0" w:after="0"/>
        <w:jc w:val="left"/>
        <w:rPr>
          <w:rFonts w:ascii="Times New Roman" w:hAnsi="Times New Roman"/>
          <w:sz w:val="20"/>
        </w:rPr>
      </w:pPr>
      <w:r>
        <w:rPr>
          <w:rFonts w:ascii="Times New Roman;serif" w:hAnsi="Times New Roman;serif"/>
          <w:b w:val="false"/>
          <w:sz w:val="20"/>
        </w:rPr>
        <w:t>The accompanying notes are an integral part of these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4" w:name="statement_of_operations"/>
      <w:bookmarkEnd w:id="4"/>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Unaudited Interim Condensed Consolidated Statements of Operations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Three and Six Months Ended June 30, 2023 and 2022</w:t>
      </w:r>
      <w:r>
        <w:rPr>
          <w:rFonts w:ascii="Times New Roman" w:hAnsi="Times New Roman"/>
          <w:sz w:val="20"/>
        </w:rPr>
        <w:t xml:space="preserve">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 Except Share Amounts)</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958"/>
        <w:gridCol w:w="211"/>
        <w:gridCol w:w="146"/>
        <w:gridCol w:w="1141"/>
        <w:gridCol w:w="166"/>
        <w:gridCol w:w="211"/>
        <w:gridCol w:w="146"/>
        <w:gridCol w:w="1141"/>
        <w:gridCol w:w="166"/>
        <w:gridCol w:w="146"/>
        <w:gridCol w:w="211"/>
        <w:gridCol w:w="146"/>
        <w:gridCol w:w="1141"/>
        <w:gridCol w:w="166"/>
        <w:gridCol w:w="211"/>
        <w:gridCol w:w="146"/>
        <w:gridCol w:w="1141"/>
        <w:gridCol w:w="611"/>
      </w:tblGrid>
      <w:tr>
        <w:trPr/>
        <w:tc>
          <w:tcPr>
            <w:tcW w:w="2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58"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2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2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8"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8"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2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2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 Net of Discounts</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252,388</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500,924</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496,911</w:t>
            </w:r>
          </w:p>
        </w:tc>
        <w:tc>
          <w:tcPr>
            <w:tcW w:w="611" w:type="dxa"/>
            <w:tcBorders/>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 Net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(127,108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(250,923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(248,173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248,738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Expenses:</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295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84,217</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164,736</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131,923</w:t>
            </w:r>
          </w:p>
        </w:tc>
        <w:tc>
          <w:tcPr>
            <w:tcW w:w="611" w:type="dxa"/>
            <w:tcBorders/>
            <w:vAlign w:val="center"/>
          </w:tcPr>
          <w:p>
            <w:pPr>
              <w:pStyle w:val="TableContents"/>
              <w:bidi w:val="0"/>
              <w:spacing w:before="0" w:after="0"/>
              <w:ind w:left="0" w:right="0" w:firstLine="400"/>
              <w:jc w:val="left"/>
              <w:rPr/>
            </w:pPr>
            <w:r>
              <w:rPr/>
              <w:t> </w:t>
            </w:r>
          </w:p>
        </w:tc>
      </w:tr>
      <w:tr>
        <w:trPr/>
        <w:tc>
          <w:tcPr>
            <w:tcW w:w="2958"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Expenses</w:t>
            </w:r>
          </w:p>
        </w:tc>
        <w:tc>
          <w:tcPr>
            <w:tcW w:w="211" w:type="dxa"/>
            <w:tcBorders/>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84,217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63,535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164,736</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131,923</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85,265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116,815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295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17,018</w:t>
            </w:r>
          </w:p>
        </w:tc>
        <w:tc>
          <w:tcPr>
            <w:tcW w:w="611" w:type="dxa"/>
            <w:tcBorders/>
            <w:vAlign w:val="center"/>
          </w:tcPr>
          <w:p>
            <w:pPr>
              <w:pStyle w:val="TableContents"/>
              <w:bidi w:val="0"/>
              <w:spacing w:before="0" w:after="0"/>
              <w:ind w:left="0" w:right="0" w:firstLine="200"/>
              <w:jc w:val="left"/>
              <w:rPr/>
            </w:pPr>
            <w:r>
              <w:rPr/>
              <w:t> </w:t>
            </w:r>
          </w:p>
        </w:tc>
      </w:tr>
      <w:tr>
        <w:trPr/>
        <w:tc>
          <w:tcPr>
            <w:tcW w:w="295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3,262</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611" w:type="dxa"/>
            <w:tcBorders/>
            <w:vAlign w:val="center"/>
          </w:tcPr>
          <w:p>
            <w:pPr>
              <w:pStyle w:val="TableContents"/>
              <w:bidi w:val="0"/>
              <w:spacing w:before="0" w:after="0"/>
              <w:ind w:left="0" w:right="0" w:firstLine="200"/>
              <w:jc w:val="left"/>
              <w:rPr/>
            </w:pPr>
            <w:r>
              <w:rPr/>
              <w:t> </w:t>
            </w:r>
          </w:p>
        </w:tc>
      </w:tr>
      <w:tr>
        <w:trPr/>
        <w:tc>
          <w:tcPr>
            <w:tcW w:w="295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958"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Other Income (Expense)</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Before Provision for Income Taxes And Non-Controlling Interest</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39,455</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82,496</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123,888</w:t>
            </w:r>
          </w:p>
        </w:tc>
        <w:tc>
          <w:tcPr>
            <w:tcW w:w="611" w:type="dxa"/>
            <w:tcBorders/>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Provision For Income Taxes</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69,471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Before Non-Controlling Interest</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13,690</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23,095</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54,417</w:t>
            </w:r>
          </w:p>
        </w:tc>
        <w:tc>
          <w:tcPr>
            <w:tcW w:w="611" w:type="dxa"/>
            <w:tcBorders/>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Attributable to Non-Controlling Interest</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Attributable To Green Thumb Industries Inc.</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53,376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Per Share - Basic</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Per Share - Diluted</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 Outstanding - Basic</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238,000,135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236,783,625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237,700,856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236,313,896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 Outstanding - Diluted</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238,423,288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237,762,903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239,455,964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237,869,300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pBdr>
          <w:top w:val="single" w:sz="6" w:space="1" w:color="000000"/>
        </w:pBdr>
        <w:bidi w:val="0"/>
        <w:spacing w:before="0" w:after="0"/>
        <w:jc w:val="left"/>
        <w:rPr>
          <w:rFonts w:ascii="Times New Roman" w:hAnsi="Times New Roman"/>
          <w:sz w:val="20"/>
        </w:rPr>
      </w:pPr>
      <w:r>
        <w:rPr>
          <w:rFonts w:ascii="Times New Roman;serif" w:hAnsi="Times New Roman;serif"/>
          <w:b w:val="false"/>
          <w:sz w:val="20"/>
        </w:rPr>
        <w:t>The accompanying notes are an integral part of these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5" w:name="statements_of_shareholders_equity"/>
      <w:bookmarkEnd w:id="5"/>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Unaudited Interim Condensed Consolidated Statements of Changes in Shareholders’ Equity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Three and Six Months Ended June 30, 2023 and 2022</w:t>
      </w:r>
      <w:r>
        <w:rPr>
          <w:rFonts w:ascii="Times New Roman" w:hAnsi="Times New Roman"/>
          <w:sz w:val="20"/>
        </w:rPr>
        <w:t xml:space="preserve">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99"/>
        <w:gridCol w:w="196"/>
        <w:gridCol w:w="146"/>
        <w:gridCol w:w="826"/>
        <w:gridCol w:w="146"/>
        <w:gridCol w:w="196"/>
        <w:gridCol w:w="198"/>
        <w:gridCol w:w="903"/>
        <w:gridCol w:w="166"/>
        <w:gridCol w:w="196"/>
        <w:gridCol w:w="162"/>
        <w:gridCol w:w="674"/>
        <w:gridCol w:w="146"/>
        <w:gridCol w:w="196"/>
        <w:gridCol w:w="210"/>
        <w:gridCol w:w="954"/>
        <w:gridCol w:w="166"/>
        <w:gridCol w:w="196"/>
        <w:gridCol w:w="249"/>
        <w:gridCol w:w="1132"/>
        <w:gridCol w:w="166"/>
        <w:gridCol w:w="196"/>
        <w:gridCol w:w="146"/>
        <w:gridCol w:w="826"/>
        <w:gridCol w:w="214"/>
      </w:tblGrid>
      <w:tr>
        <w:trPr/>
        <w:tc>
          <w:tcPr>
            <w:tcW w:w="15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Contributed</w:t>
              <w:br/>
              <w:t>Surplus (Deficit)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8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Deferred Share</w:t>
              <w:br/>
              <w:t>Issuance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Earnings (Deficit)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3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Non-Controlling</w:t>
              <w:b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9"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19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April 1, 2022</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1,653,703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5,966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36,262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1,654,961</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options and RSUs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4,393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663</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6,833</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6,833</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Shares issued for settlement of business obligation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third party and limited liability</w:t>
              <w:br/>
              <w:t>   company unit holders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24,731</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June 30, 2022</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1,659,000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1,688,054</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January 1, 2022</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1,633,672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21,245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36,262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(70,063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1,619,478</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Noncontrolling interests adjustment for change in ownership</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2,379</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15,356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shares under business combinations and investments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1,406</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1,406</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Shares issued as contingent consideration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13,111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13,111</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options and RSUs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7,528</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1,603</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11,484</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11,484</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Shares issued for settlement of business obligation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214" w:type="dxa"/>
            <w:tcBorders/>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limited liability company unit holders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11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54,417</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99"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June 30, 2022</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1,659,000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1,688,054</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6" w:space="1" w:color="000000"/>
        </w:pBdr>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accompanying notes are an integral part of these unaudited interim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Unaudited Interim Condensed Consolidated Statements of Changes in Shareholders’ Equity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Three and Six Months Ended June 30, 2023 and 2022</w:t>
      </w:r>
      <w:r>
        <w:rPr>
          <w:rFonts w:ascii="Times New Roman" w:hAnsi="Times New Roman"/>
          <w:sz w:val="20"/>
        </w:rPr>
        <w:t xml:space="preserve">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(Amounts Expressed in United States Dollars)</w:t>
      </w:r>
    </w:p>
    <w:p>
      <w:pPr>
        <w:pStyle w:val="TextBody"/>
        <w:pBdr>
          <w:bottom w:val="single" w:sz="6" w:space="1" w:color="000000"/>
        </w:pBdr>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84"/>
        <w:gridCol w:w="196"/>
        <w:gridCol w:w="146"/>
        <w:gridCol w:w="826"/>
        <w:gridCol w:w="146"/>
        <w:gridCol w:w="196"/>
        <w:gridCol w:w="213"/>
        <w:gridCol w:w="880"/>
        <w:gridCol w:w="166"/>
        <w:gridCol w:w="196"/>
        <w:gridCol w:w="153"/>
        <w:gridCol w:w="694"/>
        <w:gridCol w:w="166"/>
        <w:gridCol w:w="196"/>
        <w:gridCol w:w="208"/>
        <w:gridCol w:w="947"/>
        <w:gridCol w:w="166"/>
        <w:gridCol w:w="196"/>
        <w:gridCol w:w="346"/>
        <w:gridCol w:w="1035"/>
        <w:gridCol w:w="166"/>
        <w:gridCol w:w="196"/>
        <w:gridCol w:w="146"/>
        <w:gridCol w:w="826"/>
        <w:gridCol w:w="215"/>
      </w:tblGrid>
      <w:tr>
        <w:trPr/>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84"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0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Contributed</w:t>
              <w:br/>
              <w:t>Surplus (Deficit)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8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Deferred Share</w:t>
              <w:br/>
              <w:t>Issuance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Earnings (Deficit)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3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Non-Controlling</w:t>
              <w:br/>
              <w:t>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84"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210"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April 1, 2023</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1,683,671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28,959</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17,105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(48,946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357</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1,681,146</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deferred shares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 of Contingent Consideration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6,070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6,070</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Indemnification of deferred shares associated with post</w:t>
              <w:br/>
              <w:t>acquisition costs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(2,784</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options and RSUs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421</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7,381</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7,381</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limited liability company unit holders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13,690</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June 30, 2023</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1,693,429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34,421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(35,546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1,705,816</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January 1, 2023</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1,663,557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23,233</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36,211</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1,665,432</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deferred shares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20,454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(20,454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 of contingent consideration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6,070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6,070</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Indemnification of deferred shares associated with post acquisition costs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(2,784</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options and RSUs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3,348</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916</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13,620</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13,620</w:t>
            </w:r>
          </w:p>
        </w:tc>
        <w:tc>
          <w:tcPr>
            <w:tcW w:w="215" w:type="dxa"/>
            <w:tcBorders/>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limited liability company unit holders</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23,095</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8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June 30, 2023</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1,693,429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34,421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(35,546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1,705,816</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accompanying notes are an integral part of these unaudited interim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6" w:name="statements_of_cash_flows"/>
      <w:bookmarkEnd w:id="6"/>
      <w:r>
        <w:rPr>
          <w:rFonts w:ascii="Times New Roman;serif" w:hAnsi="Times New Roman;serif"/>
          <w:b/>
          <w:sz w:val="17"/>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17"/>
        </w:rPr>
        <w:t>Unaudited Interim Condensed Consolidated Statements of Cash Flows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17"/>
        </w:rPr>
        <w:t>Six Months Ended June 30, 2023 and 2022</w:t>
      </w:r>
      <w:r>
        <w:rPr>
          <w:rFonts w:ascii="Times New Roman" w:hAnsi="Times New Roman"/>
          <w:sz w:val="20"/>
        </w:rPr>
        <w:t xml:space="preserve"> </w:t>
      </w:r>
    </w:p>
    <w:p>
      <w:pPr>
        <w:pStyle w:val="TextBody"/>
        <w:bidi w:val="0"/>
        <w:spacing w:before="0" w:after="0"/>
        <w:jc w:val="left"/>
        <w:rPr>
          <w:rFonts w:ascii="Times New Roman;serif" w:hAnsi="Times New Roman;serif"/>
          <w:b w:val="false"/>
          <w:i/>
          <w:sz w:val="17"/>
        </w:rPr>
      </w:pPr>
      <w:r>
        <w:rPr>
          <w:rFonts w:ascii="Times New Roman;serif" w:hAnsi="Times New Roman;serif"/>
          <w:b w:val="false"/>
          <w:i/>
          <w:sz w:val="17"/>
        </w:rPr>
        <w:t>(Amounts Expressed in United States Dollars)</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8856" w:type="dxa"/>
        <w:jc w:val="left"/>
        <w:tblInd w:w="0" w:type="dxa"/>
        <w:tblLayout w:type="fixed"/>
        <w:tblCellMar>
          <w:top w:w="28" w:type="dxa"/>
          <w:left w:w="28" w:type="dxa"/>
          <w:bottom w:w="28" w:type="dxa"/>
          <w:right w:w="28" w:type="dxa"/>
        </w:tblCellMar>
      </w:tblPr>
      <w:tblGrid>
        <w:gridCol w:w="5866"/>
        <w:gridCol w:w="146"/>
        <w:gridCol w:w="198"/>
        <w:gridCol w:w="761"/>
        <w:gridCol w:w="168"/>
        <w:gridCol w:w="147"/>
        <w:gridCol w:w="198"/>
        <w:gridCol w:w="761"/>
        <w:gridCol w:w="6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3"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611" w:type="dxa"/>
            <w:tcBorders/>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center"/>
              <w:rPr/>
            </w:pPr>
            <w:r>
              <w:rPr/>
              <w:t> </w:t>
            </w:r>
          </w:p>
        </w:tc>
        <w:tc>
          <w:tcPr>
            <w:tcW w:w="9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 FROM OPERATING ACTIVITIES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income attributable to Green Thumb Industries Inc.</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22,539</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53,376</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income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556</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1,041</w:t>
            </w:r>
          </w:p>
        </w:tc>
        <w:tc>
          <w:tcPr>
            <w:tcW w:w="6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47,735</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47,188</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Amortization of operating lease assets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24,368</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20,022</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Loss on disposal of property and equipment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1,951</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Impairment of long-lived property and equipment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Loss on equity method investments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750</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1,941</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Gain from lease modification</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(3,330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13,620</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11,484</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Decrease in fair value of investments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3,201</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Increase (decrease) in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2,150</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(29,960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Decrease in fair value of warrants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(2,263</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(21,772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Shares issued for settlement of business obligation</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Gain on indemnification of deferred shares associated with post acquisition costs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(2,784</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Amortization of debt discount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4,762</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4,559</w:t>
            </w:r>
          </w:p>
        </w:tc>
        <w:tc>
          <w:tcPr>
            <w:tcW w:w="6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receivable, net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(8,265</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(3,952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Inventories, net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(9,097</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(27,361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(3,285</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Deposits and other assets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676</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9,071</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5,779</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3,365</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(9,998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(21,589</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(17,234</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Income tax receivable and payable, net</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7,555</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4,973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93,028</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39,914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 FROM INVESTING ACTIVITIES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(129,392</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(71,131</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disposal of property and equipment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319</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Investments in securities and associates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(2,800</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(5,453</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equity investments and notes receivable</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331</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1,243</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Settlement of acquisition consideration payable</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(31,732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 of businesses, net of cash acquired</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(7,255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(131,542</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(114,296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 FROM FINANCING ACTIVITIES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Distributions to limited liability company unit holders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(533</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Contributions from unconsolidated subsidiaries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exercise of options and RSUs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916</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1,603</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issuance of notes payable</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10,134</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2,102</w:t>
            </w:r>
          </w:p>
        </w:tc>
        <w:tc>
          <w:tcPr>
            <w:tcW w:w="6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Principal repayment of notes payable</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(659</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19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9,858</w:t>
            </w:r>
          </w:p>
        </w:tc>
        <w:tc>
          <w:tcPr>
            <w:tcW w:w="16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(10,761</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959"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NET (DECREASE) INCREASE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(28,656</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(85,143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177,682</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230,420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149,026</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145,277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top w:val="single" w:sz="6" w:space="1" w:color="000000"/>
        </w:pBdr>
        <w:bidi w:val="0"/>
        <w:spacing w:before="0" w:after="0"/>
        <w:jc w:val="left"/>
        <w:rPr>
          <w:rFonts w:ascii="Times New Roman" w:hAnsi="Times New Roman"/>
          <w:sz w:val="20"/>
        </w:rPr>
      </w:pPr>
      <w:r>
        <w:rPr>
          <w:rFonts w:ascii="Times New Roman;serif" w:hAnsi="Times New Roman;serif"/>
          <w:b w:val="false"/>
          <w:sz w:val="20"/>
        </w:rPr>
        <w:t>The accompanying notes are an integral part of these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17"/>
        </w:rPr>
        <w:t>Green Thumb Industries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17"/>
        </w:rPr>
        <w:t>Unaudited Interim Condensed Consolidated Statements of Cash Flows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17"/>
        </w:rPr>
        <w:t>Six Months Ended June 30, 2023 and 2022</w:t>
      </w:r>
      <w:r>
        <w:rPr>
          <w:rFonts w:ascii="Times New Roman" w:hAnsi="Times New Roman"/>
          <w:sz w:val="20"/>
        </w:rPr>
        <w:t xml:space="preserve"> </w:t>
      </w:r>
    </w:p>
    <w:p>
      <w:pPr>
        <w:pStyle w:val="TextBody"/>
        <w:pBdr>
          <w:bottom w:val="single" w:sz="6" w:space="1" w:color="000000"/>
        </w:pBdr>
        <w:bidi w:val="0"/>
        <w:spacing w:before="0" w:after="0"/>
        <w:jc w:val="left"/>
        <w:rPr>
          <w:rFonts w:ascii="Times New Roman" w:hAnsi="Times New Roman"/>
          <w:sz w:val="20"/>
        </w:rPr>
      </w:pPr>
      <w:r>
        <w:rPr>
          <w:rFonts w:ascii="Times New Roman;serif" w:hAnsi="Times New Roman;serif"/>
          <w:b w:val="false"/>
          <w:i/>
          <w:sz w:val="17"/>
        </w:rPr>
        <w:t>(Amounts Expressed in United States Dollars)</w:t>
      </w:r>
      <w:r>
        <w:rPr>
          <w:rFonts w:ascii="Times New Roman" w:hAnsi="Times New Roman"/>
          <w:sz w:val="20"/>
        </w:rPr>
        <w:t xml:space="preserve"> </w:t>
      </w:r>
    </w:p>
    <w:tbl>
      <w:tblPr>
        <w:tblW w:w="8462" w:type="dxa"/>
        <w:jc w:val="left"/>
        <w:tblInd w:w="0" w:type="dxa"/>
        <w:tblLayout w:type="fixed"/>
        <w:tblCellMar>
          <w:top w:w="28" w:type="dxa"/>
          <w:left w:w="28" w:type="dxa"/>
          <w:bottom w:w="28" w:type="dxa"/>
          <w:right w:w="28" w:type="dxa"/>
        </w:tblCellMar>
      </w:tblPr>
      <w:tblGrid>
        <w:gridCol w:w="5671"/>
        <w:gridCol w:w="146"/>
        <w:gridCol w:w="216"/>
        <w:gridCol w:w="729"/>
        <w:gridCol w:w="183"/>
        <w:gridCol w:w="161"/>
        <w:gridCol w:w="216"/>
        <w:gridCol w:w="729"/>
        <w:gridCol w:w="4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paid</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10,086</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9,028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Accrued capital expenditures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12,630</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(3,761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Noncash increase in right of use asset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(3,928</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(69,821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Noncash increase in lease liability</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3,928</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69,821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Shares issued for purchase of noncontrolling interest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2,379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shares associated with contingent consideration</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6,070</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13,111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share distributions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(20,454</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shares under business combinations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1,406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Acquisitions</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Right of use assets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743</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Identifiable Intangible assets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14,143</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Goodwill</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8,869</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Deposits and other assets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Liabilities assumed</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 liabilities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Noncontrolling interests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17,735</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Equity interests issued</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Fair value of previously held equity interest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(14,500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cash</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Settlement of noncontrolling interests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(15,356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7,255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ADDITIONAL SUPPLEMENTAL INFORMATION</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Decrease in fair value of investments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17,320</w:t>
            </w:r>
          </w:p>
        </w:tc>
        <w:tc>
          <w:tcPr>
            <w:tcW w:w="41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Increase in fair value of equity method investments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(14,119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DECREASE IN FAIR VALUE OF INVESTMENTS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928</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3,201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pBdr>
          <w:top w:val="single" w:sz="6" w:space="1" w:color="000000"/>
        </w:pBdr>
        <w:bidi w:val="0"/>
        <w:spacing w:before="0" w:after="0"/>
        <w:jc w:val="left"/>
        <w:rPr>
          <w:rFonts w:ascii="Times New Roman;serif" w:hAnsi="Times New Roman;serif"/>
          <w:b w:val="false"/>
          <w:sz w:val="20"/>
        </w:rPr>
      </w:pPr>
      <w:r>
        <w:rPr>
          <w:rFonts w:ascii="Times New Roman;serif" w:hAnsi="Times New Roman;serif"/>
          <w:b w:val="false"/>
          <w:sz w:val="20"/>
        </w:rPr>
        <w:t>The accompanying notes are an integral part of these unaudited interim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pBdr>
          <w:bottom w:val="single" w:sz="6" w:space="1" w:color="000000"/>
        </w:pBdr>
        <w:bidi w:val="0"/>
        <w:spacing w:before="240" w:after="0"/>
        <w:jc w:val="left"/>
        <w:rPr>
          <w:rFonts w:ascii="Times New Roman;serif" w:hAnsi="Times New Roman;serif"/>
          <w:b/>
          <w:sz w:val="20"/>
        </w:rPr>
      </w:pPr>
      <w:bookmarkStart w:id="7" w:name="notes_to_financial_statements"/>
      <w:bookmarkEnd w:id="7"/>
      <w:r>
        <w:rPr>
          <w:rFonts w:ascii="Times New Roman;serif" w:hAnsi="Times New Roman;serif"/>
          <w:b/>
          <w:sz w:val="20"/>
        </w:rPr>
        <w:t>1. Overview and Basis of Presentation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(a) Description of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Green Thumb Industries Inc. (“Green Thumb,” the “Company,” “we” or “us”),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cannabis stores. The Company also owns and operates retail cannabis stores that include a rapidly growing national chain named RISE, which sell our products and third-party products. As of June 30, 2023, Green Thumb has revenue in fifteen markets (California, Colorado, Connecticut, Florida, Illinois, Maryland, Massachusetts, Minnesota, Nevada, New Jersey, New York, Ohio, Pennsylvania, Rhode Island and Virginia), employs approximately 4,300 people and serves millions of patients and customers annually.</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registered office is located at 250 Howe Street, 20</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Floor, Vancouver, British Columbia, V6C 3R8. The Company’s U.S. headquarters are at 325 W. Huron St., Suite 700, Chicago, IL 60654.</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 xml:space="preserve">(b) Basis of Presentation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2022, (the "2022</w:t>
      </w:r>
      <w:r>
        <w:rPr>
          <w:rFonts w:ascii="Times New Roman" w:hAnsi="Times New Roman"/>
          <w:sz w:val="20"/>
        </w:rPr>
        <w:t xml:space="preserve"> </w:t>
      </w:r>
      <w:r>
        <w:rPr>
          <w:rFonts w:ascii="Times New Roman;serif" w:hAnsi="Times New Roman;serif"/>
          <w:b w:val="false"/>
          <w:sz w:val="20"/>
        </w:rPr>
        <w:t>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 xml:space="preserve">(c) Significant Accounting Policies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changes to the Company’s significant accounting policies as described in Note 2 to the Company's Consolidated Financial Statements included in the 2022</w:t>
      </w:r>
      <w:r>
        <w:rPr>
          <w:rFonts w:ascii="Times New Roman" w:hAnsi="Times New Roman"/>
          <w:sz w:val="20"/>
        </w:rPr>
        <w:t xml:space="preserve"> </w:t>
      </w:r>
      <w:r>
        <w:rPr>
          <w:rFonts w:ascii="Times New Roman;serif" w:hAnsi="Times New Roman;serif"/>
          <w:b w:val="false"/>
          <w:sz w:val="20"/>
        </w:rPr>
        <w:t>Form 10-K.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 xml:space="preserve">(d) Earnings per Share </w:t>
      </w:r>
    </w:p>
    <w:p>
      <w:pPr>
        <w:pStyle w:val="TextBody"/>
        <w:bidi w:val="0"/>
        <w:spacing w:before="120" w:after="0"/>
        <w:jc w:val="left"/>
        <w:rPr>
          <w:rFonts w:ascii="Times New Roman" w:hAnsi="Times New Roman"/>
          <w:sz w:val="20"/>
        </w:rPr>
      </w:pPr>
      <w:r>
        <w:rPr>
          <w:rFonts w:ascii="Times New Roman;serif" w:hAnsi="Times New Roman;serif"/>
          <w:b w:val="false"/>
          <w:sz w:val="20"/>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June 30, 2023, the Company had 10,874,051</w:t>
      </w:r>
      <w:r>
        <w:rPr>
          <w:rFonts w:ascii="Times New Roman" w:hAnsi="Times New Roman"/>
          <w:sz w:val="20"/>
        </w:rPr>
        <w:t xml:space="preserve"> </w:t>
      </w:r>
      <w:r>
        <w:rPr>
          <w:rFonts w:ascii="Times New Roman;serif" w:hAnsi="Times New Roman;serif"/>
          <w:b w:val="false"/>
          <w:sz w:val="20"/>
        </w:rPr>
        <w:t>options, 3,453,460</w:t>
      </w:r>
      <w:r>
        <w:rPr>
          <w:rFonts w:ascii="Times New Roman" w:hAnsi="Times New Roman"/>
          <w:sz w:val="20"/>
        </w:rPr>
        <w:t xml:space="preserve"> </w:t>
      </w:r>
      <w:r>
        <w:rPr>
          <w:rFonts w:ascii="Times New Roman;serif" w:hAnsi="Times New Roman;serif"/>
          <w:b w:val="false"/>
          <w:sz w:val="20"/>
        </w:rPr>
        <w:t>restricted stock units and 3,734,555</w:t>
      </w:r>
      <w:r>
        <w:rPr>
          <w:rFonts w:ascii="Times New Roman" w:hAnsi="Times New Roman"/>
          <w:sz w:val="20"/>
        </w:rPr>
        <w:t xml:space="preserve"> </w:t>
      </w:r>
      <w:r>
        <w:rPr>
          <w:rFonts w:ascii="Times New Roman;serif" w:hAnsi="Times New Roman;serif"/>
          <w:b w:val="false"/>
          <w:sz w:val="20"/>
        </w:rPr>
        <w:t>warrants outstanding. As of June 30, 2022, the Company had 6,036,849</w:t>
      </w:r>
      <w:r>
        <w:rPr>
          <w:rFonts w:ascii="Times New Roman" w:hAnsi="Times New Roman"/>
          <w:sz w:val="20"/>
        </w:rPr>
        <w:t xml:space="preserve"> </w:t>
      </w:r>
      <w:r>
        <w:rPr>
          <w:rFonts w:ascii="Times New Roman;serif" w:hAnsi="Times New Roman;serif"/>
          <w:b w:val="false"/>
          <w:sz w:val="20"/>
        </w:rPr>
        <w:t>options, 1,024,659</w:t>
      </w:r>
      <w:r>
        <w:rPr>
          <w:rFonts w:ascii="Times New Roman" w:hAnsi="Times New Roman"/>
          <w:sz w:val="20"/>
        </w:rPr>
        <w:t xml:space="preserve"> </w:t>
      </w:r>
      <w:r>
        <w:rPr>
          <w:rFonts w:ascii="Times New Roman;serif" w:hAnsi="Times New Roman;serif"/>
          <w:b w:val="false"/>
          <w:sz w:val="20"/>
        </w:rPr>
        <w:t>restricted stock units and 3,835,278</w:t>
      </w:r>
      <w:r>
        <w:rPr>
          <w:rFonts w:ascii="Times New Roman" w:hAnsi="Times New Roman"/>
          <w:sz w:val="20"/>
        </w:rPr>
        <w:t xml:space="preserve"> </w:t>
      </w:r>
      <w:r>
        <w:rPr>
          <w:rFonts w:ascii="Times New Roman;serif" w:hAnsi="Times New Roman;serif"/>
          <w:b w:val="false"/>
          <w:sz w:val="20"/>
        </w:rPr>
        <w:t>warrants outstanding.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 w:hAnsi="Times New Roman"/>
          <w:sz w:val="20"/>
        </w:rPr>
      </w:pPr>
      <w:r>
        <w:rPr>
          <w:rFonts w:ascii="Times New Roman;serif" w:hAnsi="Times New Roman;serif"/>
          <w:b/>
          <w:sz w:val="20"/>
        </w:rPr>
        <w:t xml:space="preserve">1. Overview and Basis of Presentation </w:t>
      </w:r>
      <w:r>
        <w:rPr>
          <w:rFonts w:ascii="Times New Roman;serif" w:hAnsi="Times New Roman;serif"/>
          <w:b w:val="false"/>
          <w:i/>
          <w:sz w:val="20"/>
        </w:rPr>
        <w:t>(Continued)</w:t>
      </w:r>
    </w:p>
    <w:p>
      <w:pPr>
        <w:pStyle w:val="TextBody"/>
        <w:pBdr>
          <w:bottom w:val="single" w:sz="6" w:space="1" w:color="000000"/>
        </w:pBdr>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 xml:space="preserve">(d) Earnings per Share </w:t>
      </w:r>
      <w:r>
        <w:rPr>
          <w:rFonts w:ascii="Times New Roman;serif" w:hAnsi="Times New Roman;serif"/>
          <w:b w:val="false"/>
          <w:sz w:val="20"/>
        </w:rPr>
        <w:t>(</w:t>
      </w:r>
      <w:r>
        <w:rPr>
          <w:rFonts w:ascii="Times New Roman;serif" w:hAnsi="Times New Roman;serif"/>
          <w:b w:val="false"/>
          <w:i/>
          <w:sz w:val="20"/>
        </w:rPr>
        <w:t>Continued</w:t>
      </w:r>
      <w:r>
        <w:rPr>
          <w:rFonts w:ascii="Times New Roman;serif" w:hAnsi="Times New Roman;serif"/>
          <w:b w:val="false"/>
          <w:sz w:val="20"/>
        </w:rPr>
        <w:t>)</w:t>
      </w:r>
    </w:p>
    <w:p>
      <w:pPr>
        <w:pStyle w:val="TextBody"/>
        <w:bidi w:val="0"/>
        <w:spacing w:before="240" w:after="0"/>
        <w:jc w:val="left"/>
        <w:rPr>
          <w:rFonts w:ascii="Times New Roman" w:hAnsi="Times New Roman"/>
          <w:sz w:val="20"/>
        </w:rPr>
      </w:pPr>
      <w:r>
        <w:rPr>
          <w:rFonts w:ascii="Times New Roman;serif" w:hAnsi="Times New Roman;serif"/>
          <w:b w:val="false"/>
          <w:sz w:val="20"/>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w:t>
      </w:r>
      <w:r>
        <w:rPr>
          <w:rFonts w:ascii="Times New Roman" w:hAnsi="Times New Roman"/>
          <w:sz w:val="20"/>
        </w:rPr>
        <w:t xml:space="preserve"> </w:t>
      </w:r>
      <w:r>
        <w:rPr>
          <w:rFonts w:ascii="Times New Roman;serif" w:hAnsi="Times New Roman;serif"/>
          <w:b w:val="false"/>
          <w:sz w:val="20"/>
        </w:rPr>
        <w:t>For the</w:t>
      </w:r>
      <w:r>
        <w:rPr>
          <w:rFonts w:ascii="Times New Roman" w:hAnsi="Times New Roman"/>
          <w:sz w:val="20"/>
        </w:rPr>
        <w:t xml:space="preserve"> </w:t>
      </w:r>
      <w:r>
        <w:rPr>
          <w:rFonts w:ascii="Times New Roman;serif" w:hAnsi="Times New Roman;serif"/>
          <w:b w:val="false"/>
          <w:sz w:val="20"/>
        </w:rPr>
        <w:t>three months ended June 30, 2023, the computation of diluted earnings per share included 135,894</w:t>
      </w:r>
      <w:r>
        <w:rPr>
          <w:rFonts w:ascii="Times New Roman;serif" w:hAnsi="Times New Roman;serif"/>
          <w:sz w:val="20"/>
        </w:rPr>
        <w:t xml:space="preserve"> </w:t>
      </w:r>
      <w:r>
        <w:rPr>
          <w:rFonts w:ascii="Times New Roman;serif" w:hAnsi="Times New Roman;serif"/>
          <w:b w:val="false"/>
          <w:sz w:val="20"/>
        </w:rPr>
        <w:t>options, 287,259</w:t>
      </w:r>
      <w:r>
        <w:rPr>
          <w:rFonts w:ascii="Times New Roman;serif" w:hAnsi="Times New Roman;serif"/>
          <w:sz w:val="20"/>
        </w:rPr>
        <w:t xml:space="preserve"> </w:t>
      </w:r>
      <w:r>
        <w:rPr>
          <w:rFonts w:ascii="Times New Roman;serif" w:hAnsi="Times New Roman;serif"/>
          <w:b w:val="false"/>
          <w:sz w:val="20"/>
        </w:rPr>
        <w:t>restricted stock units. For the six months ended June 30, 2023, the computation of diluted earnings per share included 167,191</w:t>
      </w:r>
      <w:r>
        <w:rPr>
          <w:rFonts w:ascii="Times New Roman;serif" w:hAnsi="Times New Roman;serif"/>
          <w:sz w:val="20"/>
        </w:rPr>
        <w:t xml:space="preserve"> </w:t>
      </w:r>
      <w:r>
        <w:rPr>
          <w:rFonts w:ascii="Times New Roman;serif" w:hAnsi="Times New Roman;serif"/>
          <w:b w:val="false"/>
          <w:sz w:val="20"/>
        </w:rPr>
        <w:t>options, 1,587,917</w:t>
      </w:r>
      <w:r>
        <w:rPr>
          <w:rFonts w:ascii="Times New Roman;serif" w:hAnsi="Times New Roman;serif"/>
          <w:sz w:val="20"/>
        </w:rPr>
        <w:t xml:space="preserve"> </w:t>
      </w:r>
      <w:r>
        <w:rPr>
          <w:rFonts w:ascii="Times New Roman;serif" w:hAnsi="Times New Roman;serif"/>
          <w:b w:val="false"/>
          <w:sz w:val="20"/>
        </w:rPr>
        <w:t>restricted stock units. There were no</w:t>
      </w:r>
      <w:r>
        <w:rPr>
          <w:rFonts w:ascii="Times New Roman;serif" w:hAnsi="Times New Roman;serif"/>
          <w:sz w:val="20"/>
        </w:rPr>
        <w:t xml:space="preserve"> </w:t>
      </w:r>
      <w:r>
        <w:rPr>
          <w:rFonts w:ascii="Times New Roman;serif" w:hAnsi="Times New Roman;serif"/>
          <w:b w:val="false"/>
          <w:sz w:val="20"/>
        </w:rPr>
        <w:t>dilutive warrants during the three and six months ended June 30, 2023 as the strike price was greater than the average stock price for the period. For the three months ended June 30, 2022, the computation of diluted earnings per share included 842,440</w:t>
      </w:r>
      <w:r>
        <w:rPr>
          <w:rFonts w:ascii="Times New Roman;serif" w:hAnsi="Times New Roman;serif"/>
          <w:sz w:val="20"/>
        </w:rPr>
        <w:t xml:space="preserve"> </w:t>
      </w:r>
      <w:r>
        <w:rPr>
          <w:rFonts w:ascii="Times New Roman;serif" w:hAnsi="Times New Roman;serif"/>
          <w:b w:val="false"/>
          <w:sz w:val="20"/>
        </w:rPr>
        <w:t>options, 34,451</w:t>
      </w:r>
      <w:r>
        <w:rPr>
          <w:rFonts w:ascii="Times New Roman;serif" w:hAnsi="Times New Roman;serif"/>
          <w:sz w:val="20"/>
        </w:rPr>
        <w:t xml:space="preserve"> </w:t>
      </w:r>
      <w:r>
        <w:rPr>
          <w:rFonts w:ascii="Times New Roman;serif" w:hAnsi="Times New Roman;serif"/>
          <w:b w:val="false"/>
          <w:sz w:val="20"/>
        </w:rPr>
        <w:t>restricted stock units and 102,387</w:t>
      </w:r>
      <w:r>
        <w:rPr>
          <w:rFonts w:ascii="Times New Roman;serif" w:hAnsi="Times New Roman;serif"/>
          <w:sz w:val="20"/>
        </w:rPr>
        <w:t xml:space="preserve"> </w:t>
      </w:r>
      <w:r>
        <w:rPr>
          <w:rFonts w:ascii="Times New Roman;serif" w:hAnsi="Times New Roman;serif"/>
          <w:b w:val="false"/>
          <w:sz w:val="20"/>
        </w:rPr>
        <w:t>warrants. For the six months ended June 30, 2022, the computation of diluted earnings per share included 1,310,817</w:t>
      </w:r>
      <w:r>
        <w:rPr>
          <w:rFonts w:ascii="Times New Roman;serif" w:hAnsi="Times New Roman;serif"/>
          <w:sz w:val="20"/>
        </w:rPr>
        <w:t xml:space="preserve"> </w:t>
      </w:r>
      <w:r>
        <w:rPr>
          <w:rFonts w:ascii="Times New Roman;serif" w:hAnsi="Times New Roman;serif"/>
          <w:b w:val="false"/>
          <w:sz w:val="20"/>
        </w:rPr>
        <w:t>options, 34,618</w:t>
      </w:r>
      <w:r>
        <w:rPr>
          <w:rFonts w:ascii="Times New Roman;serif" w:hAnsi="Times New Roman;serif"/>
          <w:sz w:val="20"/>
        </w:rPr>
        <w:t xml:space="preserve"> </w:t>
      </w:r>
      <w:r>
        <w:rPr>
          <w:rFonts w:ascii="Times New Roman;serif" w:hAnsi="Times New Roman;serif"/>
          <w:b w:val="false"/>
          <w:sz w:val="20"/>
        </w:rPr>
        <w:t>restricted stock units and 209,969</w:t>
      </w:r>
      <w:r>
        <w:rPr>
          <w:rFonts w:ascii="Times New Roman;serif" w:hAnsi="Times New Roman;serif"/>
          <w:sz w:val="20"/>
        </w:rPr>
        <w:t xml:space="preserve"> </w:t>
      </w:r>
      <w:r>
        <w:rPr>
          <w:rFonts w:ascii="Times New Roman;serif" w:hAnsi="Times New Roman;serif"/>
          <w:b w:val="false"/>
          <w:sz w:val="20"/>
        </w:rPr>
        <w:t>warrants. For the three and six months ended June 30, 2023, the weighted average number of anti-dilutive stock options excluded from the computation of diluted earnings per share were 3,399,518</w:t>
      </w:r>
      <w:r>
        <w:rPr>
          <w:rFonts w:ascii="Times New Roman;serif" w:hAnsi="Times New Roman;serif"/>
          <w:sz w:val="20"/>
        </w:rPr>
        <w:t xml:space="preserve"> </w:t>
      </w:r>
      <w:r>
        <w:rPr>
          <w:rFonts w:ascii="Times New Roman;serif" w:hAnsi="Times New Roman;serif"/>
          <w:b w:val="false"/>
          <w:sz w:val="20"/>
        </w:rPr>
        <w:t>and 3,473,866, respectively. For the three and six months ended June 30, 2022, the weighted average number of anti-dilutive stock options excluded from the computation of diluted earnings per share were 1,643,117</w:t>
      </w:r>
      <w:r>
        <w:rPr>
          <w:rFonts w:ascii="Times New Roman;serif" w:hAnsi="Times New Roman;serif"/>
          <w:sz w:val="20"/>
        </w:rPr>
        <w:t xml:space="preserve"> </w:t>
      </w:r>
      <w:r>
        <w:rPr>
          <w:rFonts w:ascii="Times New Roman;serif" w:hAnsi="Times New Roman;serif"/>
          <w:b w:val="false"/>
          <w:sz w:val="20"/>
        </w:rPr>
        <w:t>and 1,400,582, respectively.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(e) Recently Issued Accounting Standards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reviews recently issued accounting standards on a quarterly basis and has determined there are no standards yet to be adopted which are relevant to the business for disclosure.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serif" w:hAnsi="Times New Roman;serif"/>
          <w:b/>
          <w:sz w:val="20"/>
        </w:rPr>
      </w:pPr>
      <w:r>
        <w:rPr>
          <w:rFonts w:ascii="Times New Roman;serif" w:hAnsi="Times New Roman;serif"/>
          <w:b/>
          <w:sz w:val="20"/>
        </w:rPr>
        <w:t>2. INVENTORIES</w:t>
      </w:r>
    </w:p>
    <w:p>
      <w:pPr>
        <w:pStyle w:val="TextBody"/>
        <w:bidi w:val="0"/>
        <w:spacing w:before="0" w:after="0"/>
        <w:jc w:val="left"/>
        <w:rPr/>
      </w:pPr>
      <w:r>
        <w:rPr/>
        <w:t> </w:t>
      </w:r>
    </w:p>
    <w:p>
      <w:pPr>
        <w:pStyle w:val="TextBody"/>
        <w:pBdr>
          <w:top w:val="single" w:sz="6"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inventories include the following at June 30, 2023 and December 31, 2022:</w:t>
      </w:r>
      <w:r>
        <w:rPr>
          <w:rFonts w:ascii="Times New Roman" w:hAnsi="Times New Roman"/>
          <w:sz w:val="20"/>
        </w:rPr>
        <w:t xml:space="preserve"> </w:t>
      </w:r>
    </w:p>
    <w:tbl>
      <w:tblPr>
        <w:tblW w:w="5495" w:type="dxa"/>
        <w:jc w:val="left"/>
        <w:tblInd w:w="0" w:type="dxa"/>
        <w:tblLayout w:type="fixed"/>
        <w:tblCellMar>
          <w:top w:w="28" w:type="dxa"/>
          <w:left w:w="28" w:type="dxa"/>
          <w:bottom w:w="28" w:type="dxa"/>
          <w:right w:w="28" w:type="dxa"/>
        </w:tblCellMar>
      </w:tblPr>
      <w:tblGrid>
        <w:gridCol w:w="2356"/>
        <w:gridCol w:w="196"/>
        <w:gridCol w:w="1156"/>
        <w:gridCol w:w="196"/>
        <w:gridCol w:w="1591"/>
      </w:tblGrid>
      <w:tr>
        <w:trPr/>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235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94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Raw Material</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1,530</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3,070</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Packaging and Miscellaneous</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10,695</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9,847</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Work in Process</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52,536</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57,287</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Finished Goods</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64,391</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49,268</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Reserve for Obsolete Inventory</w:t>
            </w:r>
          </w:p>
        </w:tc>
        <w:tc>
          <w:tcPr>
            <w:tcW w:w="196" w:type="dxa"/>
            <w:tcBorders/>
            <w:vAlign w:val="center"/>
          </w:tcPr>
          <w:p>
            <w:pPr>
              <w:pStyle w:val="TableContents"/>
              <w:bidi w:val="0"/>
              <w:spacing w:before="0" w:after="0"/>
              <w:ind w:left="0" w:right="0" w:hanging="0"/>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(4,380)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(3,797)</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Inventories, Net</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124,772</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115,675</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3. PROPERTY AND EQUIPMENT</w:t>
      </w:r>
    </w:p>
    <w:p>
      <w:pPr>
        <w:pStyle w:val="TextBody"/>
        <w:bidi w:val="0"/>
        <w:spacing w:before="0" w:after="0"/>
        <w:jc w:val="left"/>
        <w:rPr/>
      </w:pPr>
      <w:r>
        <w:rPr/>
        <w:t> </w:t>
      </w:r>
    </w:p>
    <w:p>
      <w:pPr>
        <w:pStyle w:val="TextBody"/>
        <w:pBdr>
          <w:top w:val="single" w:sz="8"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At June 30, 2023 and December 31, 2022, property and equipment consisted of the following:</w:t>
      </w:r>
      <w:r>
        <w:rPr>
          <w:rFonts w:ascii="Times New Roman" w:hAnsi="Times New Roman"/>
          <w:sz w:val="20"/>
        </w:rPr>
        <w:t xml:space="preserve"> </w:t>
      </w:r>
    </w:p>
    <w:p>
      <w:pPr>
        <w:pStyle w:val="TextBody"/>
        <w:bidi w:val="0"/>
        <w:spacing w:before="0" w:after="0"/>
        <w:jc w:val="left"/>
        <w:rPr/>
      </w:pPr>
      <w:r>
        <w:rPr/>
        <w:t> </w:t>
      </w:r>
    </w:p>
    <w:tbl>
      <w:tblPr>
        <w:tblW w:w="5900" w:type="dxa"/>
        <w:jc w:val="left"/>
        <w:tblInd w:w="0" w:type="dxa"/>
        <w:tblLayout w:type="fixed"/>
        <w:tblCellMar>
          <w:top w:w="28" w:type="dxa"/>
          <w:left w:w="28" w:type="dxa"/>
          <w:bottom w:w="28" w:type="dxa"/>
          <w:right w:w="28" w:type="dxa"/>
        </w:tblCellMar>
      </w:tblPr>
      <w:tblGrid>
        <w:gridCol w:w="2761"/>
        <w:gridCol w:w="196"/>
        <w:gridCol w:w="1156"/>
        <w:gridCol w:w="196"/>
        <w:gridCol w:w="1591"/>
      </w:tblGrid>
      <w:tr>
        <w:trPr/>
        <w:tc>
          <w:tcPr>
            <w:tcW w:w="2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27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294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Buildings and Improvements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187,824</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176,874</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Equipment, Computers and Furniture</w:t>
            </w:r>
          </w:p>
        </w:tc>
        <w:tc>
          <w:tcPr>
            <w:tcW w:w="19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134,705</w:t>
            </w:r>
          </w:p>
        </w:tc>
        <w:tc>
          <w:tcPr>
            <w:tcW w:w="19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122,568</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Leasehold Improvements</w:t>
            </w:r>
          </w:p>
        </w:tc>
        <w:tc>
          <w:tcPr>
            <w:tcW w:w="19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156,340</w:t>
            </w:r>
          </w:p>
        </w:tc>
        <w:tc>
          <w:tcPr>
            <w:tcW w:w="19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135,524</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Land Improvements</w:t>
            </w:r>
          </w:p>
        </w:tc>
        <w:tc>
          <w:tcPr>
            <w:tcW w:w="19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847</w:t>
            </w:r>
          </w:p>
        </w:tc>
        <w:tc>
          <w:tcPr>
            <w:tcW w:w="19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847</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Capitalized Interest</w:t>
            </w:r>
          </w:p>
        </w:tc>
        <w:tc>
          <w:tcPr>
            <w:tcW w:w="19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26,546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16,934</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Property and Equipment</w:t>
            </w:r>
          </w:p>
        </w:tc>
        <w:tc>
          <w:tcPr>
            <w:tcW w:w="19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506,262</w:t>
            </w:r>
          </w:p>
        </w:tc>
        <w:tc>
          <w:tcPr>
            <w:tcW w:w="19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452,747</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Less: Accumulated Depreciation</w:t>
            </w:r>
          </w:p>
        </w:tc>
        <w:tc>
          <w:tcPr>
            <w:tcW w:w="19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(101,942)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(80,702)</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Property and Equipment, net</w:t>
            </w:r>
          </w:p>
        </w:tc>
        <w:tc>
          <w:tcPr>
            <w:tcW w:w="19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404,320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372,045</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Land</w:t>
            </w:r>
          </w:p>
        </w:tc>
        <w:tc>
          <w:tcPr>
            <w:tcW w:w="19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33,725</w:t>
            </w:r>
          </w:p>
        </w:tc>
        <w:tc>
          <w:tcPr>
            <w:tcW w:w="19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29,106</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Assets Under Construction</w:t>
            </w:r>
          </w:p>
        </w:tc>
        <w:tc>
          <w:tcPr>
            <w:tcW w:w="19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236,913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156,722</w:t>
            </w:r>
          </w:p>
        </w:tc>
      </w:tr>
      <w:tr>
        <w:trPr/>
        <w:tc>
          <w:tcPr>
            <w:tcW w:w="27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Property and Equipment, net</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674,958</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557,873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Assets under construction represent construction in progress related to both cultivation and dispensary facilities not yet completed or otherwise not ready for 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Depreciation expense for the three and six months ended June 30, 2023 totaled $11,490</w:t>
      </w:r>
      <w:r>
        <w:rPr>
          <w:rFonts w:ascii="Times New Roman" w:hAnsi="Times New Roman"/>
          <w:sz w:val="20"/>
        </w:rPr>
        <w:t xml:space="preserve"> </w:t>
      </w:r>
      <w:r>
        <w:rPr>
          <w:rFonts w:ascii="Times New Roman;serif" w:hAnsi="Times New Roman;serif"/>
          <w:b w:val="false"/>
          <w:sz w:val="20"/>
        </w:rPr>
        <w:t>thousand and $22,381</w:t>
      </w:r>
      <w:r>
        <w:rPr>
          <w:rFonts w:ascii="Times New Roman" w:hAnsi="Times New Roman"/>
          <w:sz w:val="20"/>
        </w:rPr>
        <w:t xml:space="preserve"> </w:t>
      </w:r>
      <w:r>
        <w:rPr>
          <w:rFonts w:ascii="Times New Roman;serif" w:hAnsi="Times New Roman;serif"/>
          <w:b w:val="false"/>
          <w:sz w:val="20"/>
        </w:rPr>
        <w:t>thousand, respectively, of which $7,694</w:t>
      </w:r>
      <w:r>
        <w:rPr>
          <w:rFonts w:ascii="Times New Roman" w:hAnsi="Times New Roman"/>
          <w:sz w:val="20"/>
        </w:rPr>
        <w:t xml:space="preserve"> </w:t>
      </w:r>
      <w:r>
        <w:rPr>
          <w:rFonts w:ascii="Times New Roman;serif" w:hAnsi="Times New Roman;serif"/>
          <w:b w:val="false"/>
          <w:sz w:val="20"/>
        </w:rPr>
        <w:t>thousand and $15,050</w:t>
      </w:r>
      <w:r>
        <w:rPr>
          <w:rFonts w:ascii="Times New Roman" w:hAnsi="Times New Roman"/>
          <w:sz w:val="20"/>
        </w:rPr>
        <w:t xml:space="preserve"> </w:t>
      </w:r>
      <w:r>
        <w:rPr>
          <w:rFonts w:ascii="Times New Roman;serif" w:hAnsi="Times New Roman;serif"/>
          <w:b w:val="false"/>
          <w:sz w:val="20"/>
        </w:rPr>
        <w:t>thousand, respectively, is included in cost of goods sold. Depreciation expense for the three and six months ended June 30, 2022 totaled $9,101</w:t>
      </w:r>
      <w:r>
        <w:rPr>
          <w:rFonts w:ascii="Times New Roman" w:hAnsi="Times New Roman"/>
          <w:sz w:val="20"/>
        </w:rPr>
        <w:t xml:space="preserve"> </w:t>
      </w:r>
      <w:r>
        <w:rPr>
          <w:rFonts w:ascii="Times New Roman;serif" w:hAnsi="Times New Roman;serif"/>
          <w:b w:val="false"/>
          <w:sz w:val="20"/>
        </w:rPr>
        <w:t>thousand and $17,149</w:t>
      </w:r>
      <w:r>
        <w:rPr>
          <w:rFonts w:ascii="Times New Roman" w:hAnsi="Times New Roman"/>
          <w:sz w:val="20"/>
        </w:rPr>
        <w:t xml:space="preserve"> </w:t>
      </w:r>
      <w:r>
        <w:rPr>
          <w:rFonts w:ascii="Times New Roman;serif" w:hAnsi="Times New Roman;serif"/>
          <w:b w:val="false"/>
          <w:sz w:val="20"/>
        </w:rPr>
        <w:t>thousand, respectively, of which $5,918</w:t>
      </w:r>
      <w:r>
        <w:rPr>
          <w:rFonts w:ascii="Times New Roman" w:hAnsi="Times New Roman"/>
          <w:sz w:val="20"/>
        </w:rPr>
        <w:t xml:space="preserve"> </w:t>
      </w:r>
      <w:r>
        <w:rPr>
          <w:rFonts w:ascii="Times New Roman;serif" w:hAnsi="Times New Roman;serif"/>
          <w:b w:val="false"/>
          <w:sz w:val="20"/>
        </w:rPr>
        <w:t>thousand and $10,964</w:t>
      </w:r>
      <w:r>
        <w:rPr>
          <w:rFonts w:ascii="Times New Roman" w:hAnsi="Times New Roman"/>
          <w:sz w:val="20"/>
        </w:rPr>
        <w:t xml:space="preserve"> </w:t>
      </w:r>
      <w:r>
        <w:rPr>
          <w:rFonts w:ascii="Times New Roman;serif" w:hAnsi="Times New Roman;serif"/>
          <w:b w:val="false"/>
          <w:sz w:val="20"/>
        </w:rPr>
        <w:t>thousand, respectively, is included in cost of goods sold.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serif" w:hAnsi="Times New Roman;serif"/>
          <w:b/>
          <w:sz w:val="20"/>
        </w:rPr>
      </w:pPr>
      <w:r>
        <w:rPr>
          <w:rFonts w:ascii="Times New Roman;serif" w:hAnsi="Times New Roman;serif"/>
          <w:b/>
          <w:sz w:val="20"/>
        </w:rPr>
        <w:t>4. INTANGIBLE ASSETS AND GOODWILL</w:t>
      </w:r>
    </w:p>
    <w:p>
      <w:pPr>
        <w:pStyle w:val="TextBody"/>
        <w:bidi w:val="0"/>
        <w:spacing w:before="0" w:after="0"/>
        <w:jc w:val="left"/>
        <w:rPr/>
      </w:pPr>
      <w:r>
        <w:rPr/>
        <w:t> </w:t>
      </w:r>
    </w:p>
    <w:p>
      <w:pPr>
        <w:pStyle w:val="TextBody"/>
        <w:pBdr>
          <w:top w:val="single" w:sz="6"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(a) Intangible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At June 30, 2023 and December 31, 2022, intangible assets consisted of the following:</w:t>
      </w:r>
      <w:r>
        <w:rPr>
          <w:rFonts w:ascii="Times New Roman" w:hAnsi="Times New Roman"/>
          <w:sz w:val="20"/>
        </w:rPr>
        <w:t xml:space="preserve"> </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1695"/>
        <w:gridCol w:w="196"/>
        <w:gridCol w:w="1233"/>
        <w:gridCol w:w="196"/>
        <w:gridCol w:w="1490"/>
        <w:gridCol w:w="196"/>
        <w:gridCol w:w="920"/>
        <w:gridCol w:w="196"/>
        <w:gridCol w:w="1233"/>
        <w:gridCol w:w="196"/>
        <w:gridCol w:w="1490"/>
        <w:gridCol w:w="196"/>
        <w:gridCol w:w="968"/>
      </w:tblGrid>
      <w:tr>
        <w:trPr/>
        <w:tc>
          <w:tcPr>
            <w:tcW w:w="16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695"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4035"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083"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1695"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r>
      <w:tr>
        <w:trPr/>
        <w:tc>
          <w:tcPr>
            <w:tcW w:w="1695"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4035"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083"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16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Licenses and Permits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660,716</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4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135,716</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525,000</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660,716</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4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113,800</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546,916</w:t>
            </w:r>
          </w:p>
        </w:tc>
      </w:tr>
      <w:tr>
        <w:trPr/>
        <w:tc>
          <w:tcPr>
            <w:tcW w:w="16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Trademarks</w:t>
            </w:r>
          </w:p>
        </w:tc>
        <w:tc>
          <w:tcPr>
            <w:tcW w:w="196" w:type="dxa"/>
            <w:tcBorders/>
            <w:vAlign w:val="center"/>
          </w:tcPr>
          <w:p>
            <w:pPr>
              <w:pStyle w:val="TableContents"/>
              <w:bidi w:val="0"/>
              <w:spacing w:before="0" w:after="0"/>
              <w:ind w:left="0" w:right="0" w:hanging="0"/>
              <w:jc w:val="center"/>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41,511</w:t>
            </w:r>
          </w:p>
        </w:tc>
        <w:tc>
          <w:tcPr>
            <w:tcW w:w="196" w:type="dxa"/>
            <w:tcBorders/>
            <w:vAlign w:val="center"/>
          </w:tcPr>
          <w:p>
            <w:pPr>
              <w:pStyle w:val="TableContents"/>
              <w:bidi w:val="0"/>
              <w:spacing w:before="0" w:after="0"/>
              <w:ind w:left="0" w:right="0" w:hanging="0"/>
              <w:jc w:val="center"/>
              <w:rPr/>
            </w:pPr>
            <w:r>
              <w:rPr/>
              <w:t> </w:t>
            </w:r>
          </w:p>
        </w:tc>
        <w:tc>
          <w:tcPr>
            <w:tcW w:w="14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11,932</w:t>
            </w:r>
          </w:p>
        </w:tc>
        <w:tc>
          <w:tcPr>
            <w:tcW w:w="196" w:type="dxa"/>
            <w:tcBorders/>
            <w:vAlign w:val="center"/>
          </w:tcPr>
          <w:p>
            <w:pPr>
              <w:pStyle w:val="TableContents"/>
              <w:bidi w:val="0"/>
              <w:spacing w:before="0" w:after="0"/>
              <w:ind w:left="0" w:right="0" w:hanging="0"/>
              <w:jc w:val="center"/>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29,579</w:t>
            </w:r>
          </w:p>
        </w:tc>
        <w:tc>
          <w:tcPr>
            <w:tcW w:w="196" w:type="dxa"/>
            <w:tcBorders/>
            <w:vAlign w:val="center"/>
          </w:tcPr>
          <w:p>
            <w:pPr>
              <w:pStyle w:val="TableContents"/>
              <w:bidi w:val="0"/>
              <w:spacing w:before="0" w:after="0"/>
              <w:ind w:left="0" w:right="0" w:hanging="0"/>
              <w:jc w:val="center"/>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41,511</w:t>
            </w:r>
          </w:p>
        </w:tc>
        <w:tc>
          <w:tcPr>
            <w:tcW w:w="196" w:type="dxa"/>
            <w:tcBorders/>
            <w:vAlign w:val="center"/>
          </w:tcPr>
          <w:p>
            <w:pPr>
              <w:pStyle w:val="TableContents"/>
              <w:bidi w:val="0"/>
              <w:spacing w:before="0" w:after="0"/>
              <w:ind w:left="0" w:right="0" w:hanging="0"/>
              <w:jc w:val="center"/>
              <w:rPr/>
            </w:pPr>
            <w:r>
              <w:rPr/>
              <w:t> </w:t>
            </w:r>
          </w:p>
        </w:tc>
        <w:tc>
          <w:tcPr>
            <w:tcW w:w="14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10,486</w:t>
            </w:r>
          </w:p>
        </w:tc>
        <w:tc>
          <w:tcPr>
            <w:tcW w:w="196" w:type="dxa"/>
            <w:tcBorders/>
            <w:vAlign w:val="center"/>
          </w:tcPr>
          <w:p>
            <w:pPr>
              <w:pStyle w:val="TableContents"/>
              <w:bidi w:val="0"/>
              <w:spacing w:before="0" w:after="0"/>
              <w:ind w:left="0" w:right="0" w:hanging="0"/>
              <w:jc w:val="center"/>
              <w:rPr/>
            </w:pPr>
            <w:r>
              <w:rPr/>
              <w:t> </w:t>
            </w:r>
          </w:p>
        </w:tc>
        <w:tc>
          <w:tcPr>
            <w:tcW w:w="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31,025</w:t>
            </w:r>
          </w:p>
        </w:tc>
      </w:tr>
      <w:tr>
        <w:trPr/>
        <w:tc>
          <w:tcPr>
            <w:tcW w:w="16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Customer Relationships</w:t>
            </w:r>
          </w:p>
        </w:tc>
        <w:tc>
          <w:tcPr>
            <w:tcW w:w="196" w:type="dxa"/>
            <w:tcBorders/>
            <w:vAlign w:val="center"/>
          </w:tcPr>
          <w:p>
            <w:pPr>
              <w:pStyle w:val="TableContents"/>
              <w:bidi w:val="0"/>
              <w:spacing w:before="0" w:after="0"/>
              <w:ind w:left="0" w:right="0" w:hanging="0"/>
              <w:jc w:val="center"/>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24,438</w:t>
            </w:r>
          </w:p>
        </w:tc>
        <w:tc>
          <w:tcPr>
            <w:tcW w:w="196" w:type="dxa"/>
            <w:tcBorders/>
            <w:vAlign w:val="center"/>
          </w:tcPr>
          <w:p>
            <w:pPr>
              <w:pStyle w:val="TableContents"/>
              <w:bidi w:val="0"/>
              <w:spacing w:before="0" w:after="0"/>
              <w:ind w:left="0" w:right="0" w:hanging="0"/>
              <w:jc w:val="center"/>
              <w:rPr/>
            </w:pPr>
            <w:r>
              <w:rPr/>
              <w:t> </w:t>
            </w:r>
          </w:p>
        </w:tc>
        <w:tc>
          <w:tcPr>
            <w:tcW w:w="14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15,181</w:t>
            </w:r>
          </w:p>
        </w:tc>
        <w:tc>
          <w:tcPr>
            <w:tcW w:w="196" w:type="dxa"/>
            <w:tcBorders/>
            <w:vAlign w:val="center"/>
          </w:tcPr>
          <w:p>
            <w:pPr>
              <w:pStyle w:val="TableContents"/>
              <w:bidi w:val="0"/>
              <w:spacing w:before="0" w:after="0"/>
              <w:ind w:left="0" w:right="0" w:hanging="0"/>
              <w:jc w:val="center"/>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9,257</w:t>
            </w:r>
          </w:p>
        </w:tc>
        <w:tc>
          <w:tcPr>
            <w:tcW w:w="196" w:type="dxa"/>
            <w:tcBorders/>
            <w:vAlign w:val="center"/>
          </w:tcPr>
          <w:p>
            <w:pPr>
              <w:pStyle w:val="TableContents"/>
              <w:bidi w:val="0"/>
              <w:spacing w:before="0" w:after="0"/>
              <w:ind w:left="0" w:right="0" w:hanging="0"/>
              <w:jc w:val="center"/>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24,438</w:t>
            </w:r>
          </w:p>
        </w:tc>
        <w:tc>
          <w:tcPr>
            <w:tcW w:w="196" w:type="dxa"/>
            <w:tcBorders/>
            <w:vAlign w:val="center"/>
          </w:tcPr>
          <w:p>
            <w:pPr>
              <w:pStyle w:val="TableContents"/>
              <w:bidi w:val="0"/>
              <w:spacing w:before="0" w:after="0"/>
              <w:ind w:left="0" w:right="0" w:hanging="0"/>
              <w:jc w:val="center"/>
              <w:rPr/>
            </w:pPr>
            <w:r>
              <w:rPr/>
              <w:t> </w:t>
            </w:r>
          </w:p>
        </w:tc>
        <w:tc>
          <w:tcPr>
            <w:tcW w:w="149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13,435</w:t>
            </w:r>
          </w:p>
        </w:tc>
        <w:tc>
          <w:tcPr>
            <w:tcW w:w="196" w:type="dxa"/>
            <w:tcBorders/>
            <w:vAlign w:val="center"/>
          </w:tcPr>
          <w:p>
            <w:pPr>
              <w:pStyle w:val="TableContents"/>
              <w:bidi w:val="0"/>
              <w:spacing w:before="0" w:after="0"/>
              <w:ind w:left="0" w:right="0" w:hanging="0"/>
              <w:jc w:val="center"/>
              <w:rPr/>
            </w:pPr>
            <w:r>
              <w:rPr/>
              <w:t> </w:t>
            </w:r>
          </w:p>
        </w:tc>
        <w:tc>
          <w:tcPr>
            <w:tcW w:w="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11,003</w:t>
            </w:r>
          </w:p>
        </w:tc>
      </w:tr>
      <w:tr>
        <w:trPr/>
        <w:tc>
          <w:tcPr>
            <w:tcW w:w="16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Non-Competition Agreements</w:t>
            </w:r>
          </w:p>
        </w:tc>
        <w:tc>
          <w:tcPr>
            <w:tcW w:w="196" w:type="dxa"/>
            <w:tcBorders/>
            <w:vAlign w:val="center"/>
          </w:tcPr>
          <w:p>
            <w:pPr>
              <w:pStyle w:val="TableContents"/>
              <w:bidi w:val="0"/>
              <w:spacing w:before="0" w:after="0"/>
              <w:ind w:left="0" w:right="0" w:hanging="0"/>
              <w:jc w:val="center"/>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2,565</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2,565</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575</w:t>
            </w:r>
          </w:p>
        </w:tc>
      </w:tr>
      <w:tr>
        <w:trPr/>
        <w:tc>
          <w:tcPr>
            <w:tcW w:w="169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Intangible Assets</w:t>
            </w:r>
          </w:p>
        </w:tc>
        <w:tc>
          <w:tcPr>
            <w:tcW w:w="1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729,230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165,065</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564,165</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729,230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139,711</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589,519</w:t>
            </w:r>
          </w:p>
        </w:tc>
      </w:tr>
    </w:tbl>
    <w:p>
      <w:pPr>
        <w:pStyle w:val="TextBody"/>
        <w:bidi w:val="0"/>
        <w:spacing w:before="0" w:after="0"/>
        <w:jc w:val="left"/>
        <w:rPr>
          <w:rFonts w:ascii="Times New Roman" w:hAnsi="Times New Roman"/>
          <w:sz w:val="20"/>
        </w:rPr>
      </w:pPr>
      <w:r>
        <w:rPr>
          <w:rFonts w:ascii="Times New Roman;serif" w:hAnsi="Times New Roman;serif"/>
          <w:b w:val="false"/>
          <w:sz w:val="20"/>
        </w:rPr>
        <w:t>The Company recorded amortization expense for the three and six months ended June 30, 2023 of $12,744</w:t>
      </w:r>
      <w:r>
        <w:rPr>
          <w:rFonts w:ascii="Times New Roman" w:hAnsi="Times New Roman"/>
          <w:sz w:val="20"/>
        </w:rPr>
        <w:t xml:space="preserve"> </w:t>
      </w:r>
      <w:r>
        <w:rPr>
          <w:rFonts w:ascii="Times New Roman;serif" w:hAnsi="Times New Roman;serif"/>
          <w:b w:val="false"/>
          <w:sz w:val="20"/>
        </w:rPr>
        <w:t>thousand and $25,354</w:t>
      </w:r>
      <w:r>
        <w:rPr>
          <w:rFonts w:ascii="Times New Roman" w:hAnsi="Times New Roman"/>
          <w:sz w:val="20"/>
        </w:rPr>
        <w:t xml:space="preserve"> </w:t>
      </w:r>
      <w:r>
        <w:rPr>
          <w:rFonts w:ascii="Times New Roman;serif" w:hAnsi="Times New Roman;serif"/>
          <w:b w:val="false"/>
          <w:sz w:val="20"/>
        </w:rPr>
        <w:t>thousand, respectively. The Company recorded amortization for the three and six months ended June 30, 2022 of $15,097</w:t>
      </w:r>
      <w:r>
        <w:rPr>
          <w:rFonts w:ascii="Times New Roman" w:hAnsi="Times New Roman"/>
          <w:sz w:val="20"/>
        </w:rPr>
        <w:t xml:space="preserve"> </w:t>
      </w:r>
      <w:r>
        <w:rPr>
          <w:rFonts w:ascii="Times New Roman;serif" w:hAnsi="Times New Roman;serif"/>
          <w:b w:val="false"/>
          <w:sz w:val="20"/>
        </w:rPr>
        <w:t>thousand and $30,039</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outlines the estimated annual amortization expense related to intangible assets as of June 30, 2023:</w:t>
      </w:r>
      <w:r>
        <w:rPr>
          <w:rFonts w:ascii="Times New Roman" w:hAnsi="Times New Roman"/>
          <w:sz w:val="20"/>
        </w:rPr>
        <w:t xml:space="preserve"> </w:t>
      </w:r>
    </w:p>
    <w:tbl>
      <w:tblPr>
        <w:tblW w:w="3438" w:type="dxa"/>
        <w:jc w:val="left"/>
        <w:tblInd w:w="0" w:type="dxa"/>
        <w:tblLayout w:type="fixed"/>
        <w:tblCellMar>
          <w:top w:w="28" w:type="dxa"/>
          <w:left w:w="28" w:type="dxa"/>
          <w:bottom w:w="28" w:type="dxa"/>
          <w:right w:w="28" w:type="dxa"/>
        </w:tblCellMar>
      </w:tblPr>
      <w:tblGrid>
        <w:gridCol w:w="2071"/>
        <w:gridCol w:w="196"/>
        <w:gridCol w:w="1171"/>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Estimated </w:t>
              <w:br/>
              <w:t>Amortization</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96" w:type="dxa"/>
            <w:tcBorders/>
            <w:vAlign w:val="center"/>
          </w:tcPr>
          <w:p>
            <w:pPr>
              <w:pStyle w:val="TableContents"/>
              <w:bidi w:val="0"/>
              <w:spacing w:before="0" w:after="0"/>
              <w:ind w:left="0" w:right="0" w:hanging="0"/>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Remainder of 2023</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25,487</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2024</w:t>
            </w:r>
          </w:p>
        </w:tc>
        <w:tc>
          <w:tcPr>
            <w:tcW w:w="19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50,392</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2025</w:t>
            </w:r>
          </w:p>
        </w:tc>
        <w:tc>
          <w:tcPr>
            <w:tcW w:w="19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50,294</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2026</w:t>
            </w:r>
          </w:p>
        </w:tc>
        <w:tc>
          <w:tcPr>
            <w:tcW w:w="19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47,332</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2027</w:t>
            </w:r>
          </w:p>
        </w:tc>
        <w:tc>
          <w:tcPr>
            <w:tcW w:w="196" w:type="dxa"/>
            <w:tcBorders/>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46,803</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2028 and Thereafter</w:t>
            </w:r>
          </w:p>
        </w:tc>
        <w:tc>
          <w:tcPr>
            <w:tcW w:w="196" w:type="dxa"/>
            <w:tcBorders/>
            <w:vAlign w:val="center"/>
          </w:tcPr>
          <w:p>
            <w:pPr>
              <w:pStyle w:val="TableContents"/>
              <w:bidi w:val="0"/>
              <w:spacing w:before="0" w:after="0"/>
              <w:ind w:left="0" w:right="0" w:hanging="0"/>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343,857</w:t>
            </w:r>
          </w:p>
        </w:tc>
      </w:tr>
      <w:tr>
        <w:trPr/>
        <w:tc>
          <w:tcPr>
            <w:tcW w:w="2071"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564,165</w:t>
            </w:r>
          </w:p>
        </w:tc>
      </w:tr>
    </w:tbl>
    <w:p>
      <w:pPr>
        <w:pStyle w:val="TextBody"/>
        <w:bidi w:val="0"/>
        <w:spacing w:before="360" w:after="0"/>
        <w:jc w:val="left"/>
        <w:rPr>
          <w:rFonts w:ascii="Times New Roman" w:hAnsi="Times New Roman"/>
          <w:sz w:val="20"/>
        </w:rPr>
      </w:pPr>
      <w:r>
        <w:rPr>
          <w:rFonts w:ascii="Times New Roman;serif" w:hAnsi="Times New Roman;serif"/>
          <w:b w:val="false"/>
          <w:sz w:val="20"/>
        </w:rPr>
        <w:t>As of June 30, 2023, the weighted average amortization period remaining for intangible assets was 11.84</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(b) Goodwill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At June 30, 2023 and December 31, 2022 the balances of goodwill, by segment, consisted of the following:</w:t>
      </w:r>
      <w:r>
        <w:rPr>
          <w:rFonts w:ascii="Times New Roman" w:hAnsi="Times New Roman"/>
          <w:sz w:val="20"/>
        </w:rPr>
        <w:t xml:space="preserve"> </w:t>
      </w:r>
    </w:p>
    <w:p>
      <w:pPr>
        <w:pStyle w:val="TextBody"/>
        <w:bidi w:val="0"/>
        <w:spacing w:before="120" w:after="0"/>
        <w:jc w:val="left"/>
        <w:rPr/>
      </w:pPr>
      <w:r>
        <w:rPr/>
        <w:t> </w:t>
      </w:r>
    </w:p>
    <w:tbl>
      <w:tblPr>
        <w:tblW w:w="6127" w:type="dxa"/>
        <w:jc w:val="left"/>
        <w:tblInd w:w="0" w:type="dxa"/>
        <w:tblLayout w:type="fixed"/>
        <w:tblCellMar>
          <w:top w:w="28" w:type="dxa"/>
          <w:left w:w="28" w:type="dxa"/>
          <w:bottom w:w="28" w:type="dxa"/>
          <w:right w:w="28" w:type="dxa"/>
        </w:tblCellMar>
      </w:tblPr>
      <w:tblGrid>
        <w:gridCol w:w="2011"/>
        <w:gridCol w:w="196"/>
        <w:gridCol w:w="691"/>
        <w:gridCol w:w="196"/>
        <w:gridCol w:w="2101"/>
        <w:gridCol w:w="196"/>
        <w:gridCol w:w="736"/>
      </w:tblGrid>
      <w:tr>
        <w:trPr/>
        <w:tc>
          <w:tcPr>
            <w:tcW w:w="2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Retail</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Consumer Packaged Goods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r>
      <w:tr>
        <w:trPr/>
        <w:tc>
          <w:tcPr>
            <w:tcW w:w="201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92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December 31, 2022</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273,802</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1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315,889</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589,691</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 of June 30, 2023</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273,802</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21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315,889</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589,691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serif" w:hAnsi="Times New Roman;serif"/>
          <w:b/>
          <w:sz w:val="20"/>
        </w:rPr>
      </w:pPr>
      <w:r>
        <w:rPr>
          <w:rFonts w:ascii="Times New Roman;serif" w:hAnsi="Times New Roman;serif"/>
          <w:b/>
          <w:sz w:val="20"/>
        </w:rPr>
        <w:t>5. INVESTMENTS</w:t>
      </w:r>
    </w:p>
    <w:p>
      <w:pPr>
        <w:pStyle w:val="TextBody"/>
        <w:bidi w:val="0"/>
        <w:spacing w:before="0" w:after="0"/>
        <w:jc w:val="left"/>
        <w:rPr/>
      </w:pPr>
      <w:r>
        <w:rPr/>
        <w:t> </w:t>
      </w:r>
    </w:p>
    <w:p>
      <w:pPr>
        <w:pStyle w:val="TextBody"/>
        <w:pBdr>
          <w:top w:val="single" w:sz="6"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held various equity interests in cannabis related companies as well as investments in note receivable instruments that had a combined fair value of $75,060</w:t>
      </w:r>
      <w:r>
        <w:rPr>
          <w:rFonts w:ascii="Times New Roman" w:hAnsi="Times New Roman"/>
          <w:sz w:val="20"/>
        </w:rPr>
        <w:t xml:space="preserve"> </w:t>
      </w:r>
      <w:r>
        <w:rPr>
          <w:rFonts w:ascii="Times New Roman;serif" w:hAnsi="Times New Roman;serif"/>
          <w:b w:val="false"/>
          <w:sz w:val="20"/>
        </w:rPr>
        <w:t>thousand and $74,169</w:t>
      </w:r>
      <w:r>
        <w:rPr>
          <w:rFonts w:ascii="Times New Roman" w:hAnsi="Times New Roman"/>
          <w:sz w:val="20"/>
        </w:rPr>
        <w:t xml:space="preserve"> </w:t>
      </w:r>
      <w:r>
        <w:rPr>
          <w:rFonts w:ascii="Times New Roman;serif" w:hAnsi="Times New Roman;serif"/>
          <w:b w:val="false"/>
          <w:sz w:val="20"/>
        </w:rPr>
        <w:t>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changes in the Company’s investments during the six months ended June 30, 2023 and year ending December 31, 2022:</w:t>
      </w:r>
      <w:r>
        <w:rPr>
          <w:rFonts w:ascii="Times New Roman" w:hAnsi="Times New Roman"/>
          <w:sz w:val="20"/>
        </w:rPr>
        <w:t xml:space="preserve"> </w:t>
      </w:r>
    </w:p>
    <w:p>
      <w:pPr>
        <w:pStyle w:val="TextBody"/>
        <w:bidi w:val="0"/>
        <w:spacing w:before="0" w:after="0"/>
        <w:jc w:val="left"/>
        <w:rPr/>
      </w:pPr>
      <w:r>
        <w:rPr/>
        <w:t> </w:t>
      </w:r>
    </w:p>
    <w:tbl>
      <w:tblPr>
        <w:tblW w:w="4775" w:type="dxa"/>
        <w:jc w:val="left"/>
        <w:tblInd w:w="0" w:type="dxa"/>
        <w:tblLayout w:type="fixed"/>
        <w:tblCellMar>
          <w:top w:w="28" w:type="dxa"/>
          <w:left w:w="28" w:type="dxa"/>
          <w:bottom w:w="28" w:type="dxa"/>
          <w:right w:w="28" w:type="dxa"/>
        </w:tblCellMar>
      </w:tblPr>
      <w:tblGrid>
        <w:gridCol w:w="1636"/>
        <w:gridCol w:w="196"/>
        <w:gridCol w:w="1156"/>
        <w:gridCol w:w="196"/>
        <w:gridCol w:w="1591"/>
      </w:tblGrid>
      <w:tr>
        <w:trPr/>
        <w:tc>
          <w:tcPr>
            <w:tcW w:w="16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1636" w:type="dxa"/>
            <w:tcBorders/>
            <w:vAlign w:val="center"/>
          </w:tcPr>
          <w:p>
            <w:pPr>
              <w:pStyle w:val="TableContents"/>
              <w:bidi w:val="0"/>
              <w:spacing w:before="0" w:after="0"/>
              <w:ind w:left="0" w:right="0" w:hanging="0"/>
              <w:jc w:val="left"/>
              <w:rPr/>
            </w:pPr>
            <w:r>
              <w:rPr/>
              <w:t> </w:t>
            </w:r>
          </w:p>
        </w:tc>
        <w:tc>
          <w:tcPr>
            <w:tcW w:w="3139" w:type="dxa"/>
            <w:gridSpan w:val="4"/>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Beginning</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5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74,169</w:t>
            </w:r>
          </w:p>
        </w:tc>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94,902</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Additions</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2,200</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5,444</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Disposals</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(331)</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(3,571)</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adjustment</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(22,606)</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Transfers and other</w:t>
            </w:r>
          </w:p>
        </w:tc>
        <w:tc>
          <w:tcPr>
            <w:tcW w:w="196" w:type="dxa"/>
            <w:tcBorders/>
            <w:vAlign w:val="center"/>
          </w:tcPr>
          <w:p>
            <w:pPr>
              <w:pStyle w:val="TableContents"/>
              <w:bidi w:val="0"/>
              <w:spacing w:before="0" w:after="0"/>
              <w:ind w:left="0" w:right="0" w:hanging="0"/>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Ending</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75,060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74,169</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three and six months ended June 30, 2023, the Company recorded fair value losses, net of interest income of $577</w:t>
      </w:r>
      <w:r>
        <w:rPr>
          <w:rFonts w:ascii="Times New Roman" w:hAnsi="Times New Roman"/>
          <w:sz w:val="20"/>
        </w:rPr>
        <w:t xml:space="preserve"> </w:t>
      </w:r>
      <w:r>
        <w:rPr>
          <w:rFonts w:ascii="Times New Roman;serif" w:hAnsi="Times New Roman;serif"/>
          <w:b w:val="false"/>
          <w:sz w:val="20"/>
        </w:rPr>
        <w:t>thousand and $928</w:t>
      </w:r>
      <w:r>
        <w:rPr>
          <w:rFonts w:ascii="Times New Roman" w:hAnsi="Times New Roman"/>
          <w:sz w:val="20"/>
        </w:rPr>
        <w:t xml:space="preserve"> </w:t>
      </w:r>
      <w:r>
        <w:rPr>
          <w:rFonts w:ascii="Times New Roman;serif" w:hAnsi="Times New Roman;serif"/>
          <w:b w:val="false"/>
          <w:sz w:val="20"/>
        </w:rPr>
        <w:t>thousand, respectively. The fair value losses associated with the Company's equity investments in the amount of $655</w:t>
      </w:r>
      <w:r>
        <w:rPr>
          <w:rFonts w:ascii="Times New Roman" w:hAnsi="Times New Roman"/>
          <w:sz w:val="20"/>
        </w:rPr>
        <w:t xml:space="preserve"> </w:t>
      </w:r>
      <w:r>
        <w:rPr>
          <w:rFonts w:ascii="Times New Roman;serif" w:hAnsi="Times New Roman;serif"/>
          <w:b w:val="false"/>
          <w:sz w:val="20"/>
        </w:rPr>
        <w:t>thousand and $1,134</w:t>
      </w:r>
      <w:r>
        <w:rPr>
          <w:rFonts w:ascii="Times New Roman" w:hAnsi="Times New Roman"/>
          <w:sz w:val="20"/>
        </w:rPr>
        <w:t xml:space="preserve"> </w:t>
      </w:r>
      <w:r>
        <w:rPr>
          <w:rFonts w:ascii="Times New Roman;serif" w:hAnsi="Times New Roman;serif"/>
          <w:b w:val="false"/>
          <w:sz w:val="20"/>
        </w:rPr>
        <w:t>thousand as of the three and six months ended June 30, 2023, respectively, was recorded within other income (expense) on the Company's unaudited interim condensed consolidated statements of operations. The interest income portion associated with the Company's note receivable investments in the amount of $78</w:t>
      </w:r>
      <w:r>
        <w:rPr>
          <w:rFonts w:ascii="Times New Roman" w:hAnsi="Times New Roman"/>
          <w:sz w:val="20"/>
        </w:rPr>
        <w:t xml:space="preserve"> </w:t>
      </w:r>
      <w:r>
        <w:rPr>
          <w:rFonts w:ascii="Times New Roman;serif" w:hAnsi="Times New Roman;serif"/>
          <w:b w:val="false"/>
          <w:sz w:val="20"/>
        </w:rPr>
        <w:t>thousand and $206</w:t>
      </w:r>
      <w:r>
        <w:rPr>
          <w:rFonts w:ascii="Times New Roman" w:hAnsi="Times New Roman"/>
          <w:sz w:val="20"/>
        </w:rPr>
        <w:t xml:space="preserve"> </w:t>
      </w:r>
      <w:r>
        <w:rPr>
          <w:rFonts w:ascii="Times New Roman;serif" w:hAnsi="Times New Roman;serif"/>
          <w:b w:val="false"/>
          <w:sz w:val="20"/>
        </w:rPr>
        <w:t>thousand as of the three and six months ended June 30, 2023, respectively was recorded within interest income on the unaudited interim condensed consolidated statements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(a) Equity Investments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and December 31, 2022, the Company held equity investments in publicly traded entities which have readily determinable fair values, which are classified as Level 1 investments, of $1,370</w:t>
      </w:r>
      <w:r>
        <w:rPr>
          <w:rFonts w:ascii="Times New Roman" w:hAnsi="Times New Roman"/>
          <w:sz w:val="20"/>
        </w:rPr>
        <w:t xml:space="preserve"> </w:t>
      </w:r>
      <w:r>
        <w:rPr>
          <w:rFonts w:ascii="Times New Roman;serif" w:hAnsi="Times New Roman;serif"/>
          <w:b w:val="false"/>
          <w:sz w:val="20"/>
        </w:rPr>
        <w:t>thousand and $2,535</w:t>
      </w:r>
      <w:r>
        <w:rPr>
          <w:rFonts w:ascii="Times New Roman" w:hAnsi="Times New Roman"/>
          <w:sz w:val="20"/>
        </w:rPr>
        <w:t xml:space="preserve"> </w:t>
      </w:r>
      <w:r>
        <w:rPr>
          <w:rFonts w:ascii="Times New Roman;serif" w:hAnsi="Times New Roman;serif"/>
          <w:b w:val="false"/>
          <w:sz w:val="20"/>
        </w:rPr>
        <w:t>thousand, respectively. During the three and six months ended June 30, 2023, the Company recorded net losses on the change in fair value of such investments of $655</w:t>
      </w:r>
      <w:r>
        <w:rPr>
          <w:rFonts w:ascii="Times New Roman" w:hAnsi="Times New Roman"/>
          <w:sz w:val="20"/>
        </w:rPr>
        <w:t xml:space="preserve"> </w:t>
      </w:r>
      <w:r>
        <w:rPr>
          <w:rFonts w:ascii="Times New Roman;serif" w:hAnsi="Times New Roman;serif"/>
          <w:b w:val="false"/>
          <w:sz w:val="20"/>
        </w:rPr>
        <w:t>thousand and $1,134</w:t>
      </w:r>
      <w:r>
        <w:rPr>
          <w:rFonts w:ascii="Times New Roman" w:hAnsi="Times New Roman"/>
          <w:sz w:val="20"/>
        </w:rPr>
        <w:t xml:space="preserve"> </w:t>
      </w:r>
      <w:r>
        <w:rPr>
          <w:rFonts w:ascii="Times New Roman;serif" w:hAnsi="Times New Roman;serif"/>
          <w:b w:val="false"/>
          <w:sz w:val="20"/>
        </w:rPr>
        <w:t>thousand, respectively, within other income (expense) on the unaudited interim condensed consolidated statements of operations. During the three and six months ended June 30, 2022, the Company recorded net losses on the change in fair value of such investments of $6,396</w:t>
      </w:r>
      <w:r>
        <w:rPr>
          <w:rFonts w:ascii="Times New Roman" w:hAnsi="Times New Roman"/>
          <w:sz w:val="20"/>
        </w:rPr>
        <w:t xml:space="preserve"> </w:t>
      </w:r>
      <w:r>
        <w:rPr>
          <w:rFonts w:ascii="Times New Roman;serif" w:hAnsi="Times New Roman;serif"/>
          <w:b w:val="false"/>
          <w:sz w:val="20"/>
        </w:rPr>
        <w:t>thousand and $14,293</w:t>
      </w:r>
      <w:r>
        <w:rPr>
          <w:rFonts w:ascii="Times New Roman" w:hAnsi="Times New Roman"/>
          <w:sz w:val="20"/>
        </w:rPr>
        <w:t xml:space="preserve"> </w:t>
      </w:r>
      <w:r>
        <w:rPr>
          <w:rFonts w:ascii="Times New Roman;serif" w:hAnsi="Times New Roman;serif"/>
          <w:b w:val="false"/>
          <w:sz w:val="20"/>
        </w:rPr>
        <w:t>thousand, respectively, within other income (expense) on the unaudited interim condensed consolidated statements of operations. During the six months ended June 30, 2023 and 2022, the Company received proceeds from the sale of such investments of $31</w:t>
      </w:r>
      <w:r>
        <w:rPr>
          <w:rFonts w:ascii="Times New Roman" w:hAnsi="Times New Roman"/>
          <w:sz w:val="20"/>
        </w:rPr>
        <w:t xml:space="preserve"> </w:t>
      </w:r>
      <w:r>
        <w:rPr>
          <w:rFonts w:ascii="Times New Roman;serif" w:hAnsi="Times New Roman;serif"/>
          <w:b w:val="false"/>
          <w:sz w:val="20"/>
        </w:rPr>
        <w:t>thousand and $160</w:t>
      </w:r>
      <w:r>
        <w:rPr>
          <w:rFonts w:ascii="Times New Roman" w:hAnsi="Times New Roman"/>
          <w:sz w:val="20"/>
        </w:rPr>
        <w:t xml:space="preserve"> </w:t>
      </w:r>
      <w:r>
        <w:rPr>
          <w:rFonts w:ascii="Times New Roman;serif" w:hAnsi="Times New Roman;serif"/>
          <w:b w:val="false"/>
          <w:sz w:val="20"/>
        </w:rPr>
        <w:t>thousand, respectively. These investments are classified as trading securities on the Company's unaudited interim condensed consolidated balance sheets.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and December 31, 2022, the Company held equity investments in privately held entities that did not have readily determinable fair values, which are classified as Level 3 investments, of $42,330</w:t>
      </w:r>
      <w:r>
        <w:rPr>
          <w:rFonts w:ascii="Times New Roman" w:hAnsi="Times New Roman"/>
          <w:sz w:val="20"/>
        </w:rPr>
        <w:t xml:space="preserve"> </w:t>
      </w:r>
      <w:r>
        <w:rPr>
          <w:rFonts w:ascii="Times New Roman;serif" w:hAnsi="Times New Roman;serif"/>
          <w:b w:val="false"/>
          <w:sz w:val="20"/>
        </w:rPr>
        <w:t>thousand and $40,330</w:t>
      </w:r>
      <w:r>
        <w:rPr>
          <w:rFonts w:ascii="Times New Roman" w:hAnsi="Times New Roman"/>
          <w:sz w:val="20"/>
        </w:rPr>
        <w:t xml:space="preserve"> </w:t>
      </w:r>
      <w:r>
        <w:rPr>
          <w:rFonts w:ascii="Times New Roman;serif" w:hAnsi="Times New Roman;serif"/>
          <w:b w:val="false"/>
          <w:sz w:val="20"/>
        </w:rPr>
        <w:t>thousand, respectively. For the three and six months ended June 30, 2023, there were no</w:t>
      </w:r>
      <w:r>
        <w:rPr>
          <w:rFonts w:ascii="Times New Roman" w:hAnsi="Times New Roman"/>
          <w:sz w:val="20"/>
        </w:rPr>
        <w:t xml:space="preserve"> </w:t>
      </w:r>
      <w:r>
        <w:rPr>
          <w:rFonts w:ascii="Times New Roman;serif" w:hAnsi="Times New Roman;serif"/>
          <w:b w:val="false"/>
          <w:sz w:val="20"/>
        </w:rPr>
        <w:t>gains or losses on the change in fair value of such investments. During the three and six months ended June 30, 2022, the Company recorded net gains on the change in fair value of such investments of $22</w:t>
      </w:r>
      <w:r>
        <w:rPr>
          <w:rFonts w:ascii="Times New Roman" w:hAnsi="Times New Roman"/>
          <w:sz w:val="20"/>
        </w:rPr>
        <w:t xml:space="preserve"> </w:t>
      </w:r>
      <w:r>
        <w:rPr>
          <w:rFonts w:ascii="Times New Roman;serif" w:hAnsi="Times New Roman;serif"/>
          <w:b w:val="false"/>
          <w:sz w:val="20"/>
        </w:rPr>
        <w:t>thousand and $477</w:t>
      </w:r>
      <w:r>
        <w:rPr>
          <w:rFonts w:ascii="Times New Roman" w:hAnsi="Times New Roman"/>
          <w:sz w:val="20"/>
        </w:rPr>
        <w:t xml:space="preserve"> </w:t>
      </w:r>
      <w:r>
        <w:rPr>
          <w:rFonts w:ascii="Times New Roman;serif" w:hAnsi="Times New Roman;serif"/>
          <w:b w:val="false"/>
          <w:sz w:val="20"/>
        </w:rPr>
        <w:t>thousand, respectively, within other income (expense) on the unaudited interim condensed consolidated statements of operations. There were no sales of these investments during these periods. These investments are classified as trading securities on the Company's unaudited interim condensed consolidated balance sheets.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See Note 13 - Fair Value Measurements for additional details.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 w:hAnsi="Times New Roman"/>
          <w:sz w:val="20"/>
        </w:rPr>
      </w:pPr>
      <w:r>
        <w:rPr>
          <w:rFonts w:ascii="Times New Roman;serif" w:hAnsi="Times New Roman;serif"/>
          <w:b/>
          <w:sz w:val="20"/>
        </w:rPr>
        <w:t xml:space="preserve">5. INVESTMENTS </w:t>
      </w:r>
      <w:r>
        <w:rPr>
          <w:rFonts w:ascii="Times New Roman;serif" w:hAnsi="Times New Roman;serif"/>
          <w:b w:val="false"/>
          <w:i/>
          <w:sz w:val="20"/>
        </w:rPr>
        <w:t>(Continued)</w:t>
      </w:r>
    </w:p>
    <w:p>
      <w:pPr>
        <w:pStyle w:val="TextBody"/>
        <w:bidi w:val="0"/>
        <w:spacing w:before="0" w:after="0"/>
        <w:jc w:val="left"/>
        <w:rPr/>
      </w:pPr>
      <w:r>
        <w:rPr/>
        <w:t> </w:t>
      </w:r>
    </w:p>
    <w:p>
      <w:pPr>
        <w:pStyle w:val="TextBody"/>
        <w:pBdr>
          <w:top w:val="sing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 xml:space="preserve">(a) Equity Investments </w:t>
      </w:r>
      <w:r>
        <w:rPr>
          <w:rFonts w:ascii="Times New Roman;serif" w:hAnsi="Times New Roman;serif"/>
          <w:b w:val="false"/>
          <w:i/>
          <w:sz w:val="20"/>
        </w:rPr>
        <w:t>(Continued)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Unrealized gains and (losses) recognized on equity investments held during the three and six months ended June 30, 2023 were $(653)</w:t>
      </w:r>
      <w:r>
        <w:rPr>
          <w:rFonts w:ascii="Times New Roman" w:hAnsi="Times New Roman"/>
          <w:sz w:val="20"/>
        </w:rPr>
        <w:t xml:space="preserve"> </w:t>
      </w:r>
      <w:r>
        <w:rPr>
          <w:rFonts w:ascii="Times New Roman;serif" w:hAnsi="Times New Roman;serif"/>
          <w:b w:val="false"/>
          <w:sz w:val="20"/>
        </w:rPr>
        <w:t>thousand and $1,996</w:t>
      </w:r>
      <w:r>
        <w:rPr>
          <w:rFonts w:ascii="Times New Roman" w:hAnsi="Times New Roman"/>
          <w:sz w:val="20"/>
        </w:rPr>
        <w:t xml:space="preserve"> </w:t>
      </w:r>
      <w:r>
        <w:rPr>
          <w:rFonts w:ascii="Times New Roman;serif" w:hAnsi="Times New Roman;serif"/>
          <w:b w:val="false"/>
          <w:sz w:val="20"/>
        </w:rPr>
        <w:t>thousand, respectively. Unrealized losses recognized on equity investments held during the three and six months ended June 30, 2022 were $(6,367)</w:t>
      </w:r>
      <w:r>
        <w:rPr>
          <w:rFonts w:ascii="Times New Roman" w:hAnsi="Times New Roman"/>
          <w:sz w:val="20"/>
        </w:rPr>
        <w:t xml:space="preserve"> </w:t>
      </w:r>
      <w:r>
        <w:rPr>
          <w:rFonts w:ascii="Times New Roman;serif" w:hAnsi="Times New Roman;serif"/>
          <w:b w:val="false"/>
          <w:sz w:val="20"/>
        </w:rPr>
        <w:t>thousand and $(13,792)</w:t>
      </w:r>
      <w:r>
        <w:rPr>
          <w:rFonts w:ascii="Times New Roman" w:hAnsi="Times New Roman"/>
          <w:sz w:val="20"/>
        </w:rPr>
        <w:t xml:space="preserve"> </w:t>
      </w:r>
      <w:r>
        <w:rPr>
          <w:rFonts w:ascii="Times New Roman;serif" w:hAnsi="Times New Roman;serif"/>
          <w:b w:val="false"/>
          <w:sz w:val="20"/>
        </w:rPr>
        <w:t>thousand,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(b) Note Receivable Instruments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has made multiple investments in various note receivable instruments, including note receivable instruments with conversion features.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held note receivable instruments, which were classified as a Level 1 investment as they represent public debt of a publicly traded entity, and had a fair value of $22,214</w:t>
      </w:r>
      <w:r>
        <w:rPr>
          <w:rFonts w:ascii="Times New Roman" w:hAnsi="Times New Roman"/>
          <w:sz w:val="20"/>
        </w:rPr>
        <w:t xml:space="preserve"> </w:t>
      </w:r>
      <w:r>
        <w:rPr>
          <w:rFonts w:ascii="Times New Roman;serif" w:hAnsi="Times New Roman;serif"/>
          <w:b w:val="false"/>
          <w:sz w:val="20"/>
        </w:rPr>
        <w:t>thousand as of June 30, 2023 and December 31, 2022. During the three and six months ended June 30, 2023, there were no</w:t>
      </w:r>
      <w:r>
        <w:rPr>
          <w:rFonts w:ascii="Times New Roman" w:hAnsi="Times New Roman"/>
          <w:sz w:val="20"/>
        </w:rPr>
        <w:t xml:space="preserve"> </w:t>
      </w:r>
      <w:r>
        <w:rPr>
          <w:rFonts w:ascii="Times New Roman;serif" w:hAnsi="Times New Roman;serif"/>
          <w:b w:val="false"/>
          <w:sz w:val="20"/>
        </w:rPr>
        <w:t>gains or (losses) on the change in fair value of such investments. For the three and six months ended June 30, 2022, the Company recorded net losses on the change in fair value of such investments of $378</w:t>
      </w:r>
      <w:r>
        <w:rPr>
          <w:rFonts w:ascii="Times New Roman" w:hAnsi="Times New Roman"/>
          <w:sz w:val="20"/>
        </w:rPr>
        <w:t xml:space="preserve"> </w:t>
      </w:r>
      <w:r>
        <w:rPr>
          <w:rFonts w:ascii="Times New Roman;serif" w:hAnsi="Times New Roman;serif"/>
          <w:b w:val="false"/>
          <w:sz w:val="20"/>
        </w:rPr>
        <w:t>thousand and $654</w:t>
      </w:r>
      <w:r>
        <w:rPr>
          <w:rFonts w:ascii="Times New Roman" w:hAnsi="Times New Roman"/>
          <w:sz w:val="20"/>
        </w:rPr>
        <w:t xml:space="preserve"> </w:t>
      </w:r>
      <w:r>
        <w:rPr>
          <w:rFonts w:ascii="Times New Roman;serif" w:hAnsi="Times New Roman;serif"/>
          <w:b w:val="false"/>
          <w:sz w:val="20"/>
        </w:rPr>
        <w:t>thousand, respectively within other income (expense) on the unaudited interim condensed consolidated statements of operations. The note receivable instruments have a stated interest rate of 13% and a maturity date of April 30, 2025. These note receivable instruments did not contain conversion features and are currently classified as trading securities on the Company's unaudited interim condensed consolidated balance sheets.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and December 31, 2022, the Company held note receivable instruments which were classified as Level 3 investments as they represent loans provided to privately held entities that do not have readily determinable fair values. The note receivable instruments had a combined fair value of $9,146</w:t>
      </w:r>
      <w:r>
        <w:rPr>
          <w:rFonts w:ascii="Times New Roman" w:hAnsi="Times New Roman"/>
          <w:sz w:val="20"/>
        </w:rPr>
        <w:t xml:space="preserve"> </w:t>
      </w:r>
      <w:r>
        <w:rPr>
          <w:rFonts w:ascii="Times New Roman;serif" w:hAnsi="Times New Roman;serif"/>
          <w:b w:val="false"/>
          <w:sz w:val="20"/>
        </w:rPr>
        <w:t>thousand and $9,090</w:t>
      </w:r>
      <w:r>
        <w:rPr>
          <w:rFonts w:ascii="Times New Roman" w:hAnsi="Times New Roman"/>
          <w:sz w:val="20"/>
        </w:rPr>
        <w:t xml:space="preserve"> </w:t>
      </w:r>
      <w:r>
        <w:rPr>
          <w:rFonts w:ascii="Times New Roman;serif" w:hAnsi="Times New Roman;serif"/>
          <w:b w:val="false"/>
          <w:sz w:val="20"/>
        </w:rPr>
        <w:t>thousand, respectively, with stated interest ranging between 0.91% - 10% and terms between 15</w:t>
      </w:r>
      <w:r>
        <w:rPr>
          <w:rFonts w:ascii="Times New Roman" w:hAnsi="Times New Roman"/>
          <w:sz w:val="20"/>
        </w:rPr>
        <w:t xml:space="preserve"> </w:t>
      </w:r>
      <w:r>
        <w:rPr>
          <w:rFonts w:ascii="Times New Roman;serif" w:hAnsi="Times New Roman;serif"/>
          <w:b w:val="false"/>
          <w:sz w:val="20"/>
        </w:rPr>
        <w:t>months to five years. During the three and six months ended June 30, 2023, there were no</w:t>
      </w:r>
      <w:r>
        <w:rPr>
          <w:rFonts w:ascii="Times New Roman" w:hAnsi="Times New Roman"/>
          <w:sz w:val="20"/>
        </w:rPr>
        <w:t xml:space="preserve"> </w:t>
      </w:r>
      <w:r>
        <w:rPr>
          <w:rFonts w:ascii="Times New Roman;serif" w:hAnsi="Times New Roman;serif"/>
          <w:b w:val="false"/>
          <w:sz w:val="20"/>
        </w:rPr>
        <w:t>gains or (losses) recorded on the change in fair value of such investments, however, the company recorded accrued interest of $78</w:t>
      </w:r>
      <w:r>
        <w:rPr>
          <w:rFonts w:ascii="Times New Roman" w:hAnsi="Times New Roman"/>
          <w:sz w:val="20"/>
        </w:rPr>
        <w:t xml:space="preserve"> </w:t>
      </w:r>
      <w:r>
        <w:rPr>
          <w:rFonts w:ascii="Times New Roman;serif" w:hAnsi="Times New Roman;serif"/>
          <w:b w:val="false"/>
          <w:sz w:val="20"/>
        </w:rPr>
        <w:t>thousand and $206</w:t>
      </w:r>
      <w:r>
        <w:rPr>
          <w:rFonts w:ascii="Times New Roman" w:hAnsi="Times New Roman"/>
          <w:sz w:val="20"/>
        </w:rPr>
        <w:t xml:space="preserve"> </w:t>
      </w:r>
      <w:r>
        <w:rPr>
          <w:rFonts w:ascii="Times New Roman;serif" w:hAnsi="Times New Roman;serif"/>
          <w:b w:val="false"/>
          <w:sz w:val="20"/>
        </w:rPr>
        <w:t>thousand, respectively, within interest income on the unaudited interim condensed consolidated statements of operations. During the three and six months ended June 30, 2022, the Company recorded net losses on the change in fair value of such investments of $1,266</w:t>
      </w:r>
      <w:r>
        <w:rPr>
          <w:rFonts w:ascii="Times New Roman" w:hAnsi="Times New Roman"/>
          <w:sz w:val="20"/>
        </w:rPr>
        <w:t xml:space="preserve"> </w:t>
      </w:r>
      <w:r>
        <w:rPr>
          <w:rFonts w:ascii="Times New Roman;serif" w:hAnsi="Times New Roman;serif"/>
          <w:b w:val="false"/>
          <w:sz w:val="20"/>
        </w:rPr>
        <w:t>thousand and $3,157</w:t>
      </w:r>
      <w:r>
        <w:rPr>
          <w:rFonts w:ascii="Times New Roman" w:hAnsi="Times New Roman"/>
          <w:sz w:val="20"/>
        </w:rPr>
        <w:t xml:space="preserve"> </w:t>
      </w:r>
      <w:r>
        <w:rPr>
          <w:rFonts w:ascii="Times New Roman;serif" w:hAnsi="Times New Roman;serif"/>
          <w:b w:val="false"/>
          <w:sz w:val="20"/>
        </w:rPr>
        <w:t>thousand, respectively, within other income (expense) and accrued interest of $153</w:t>
      </w:r>
      <w:r>
        <w:rPr>
          <w:rFonts w:ascii="Times New Roman" w:hAnsi="Times New Roman"/>
          <w:sz w:val="20"/>
        </w:rPr>
        <w:t xml:space="preserve"> </w:t>
      </w:r>
      <w:r>
        <w:rPr>
          <w:rFonts w:ascii="Times New Roman;serif" w:hAnsi="Times New Roman;serif"/>
          <w:b w:val="false"/>
          <w:sz w:val="20"/>
        </w:rPr>
        <w:t>thousand and $307</w:t>
      </w:r>
      <w:r>
        <w:rPr>
          <w:rFonts w:ascii="Times New Roman" w:hAnsi="Times New Roman"/>
          <w:sz w:val="20"/>
        </w:rPr>
        <w:t xml:space="preserve"> </w:t>
      </w:r>
      <w:r>
        <w:rPr>
          <w:rFonts w:ascii="Times New Roman;serif" w:hAnsi="Times New Roman;serif"/>
          <w:b w:val="false"/>
          <w:sz w:val="20"/>
        </w:rPr>
        <w:t>thousand, respectively, within interest income on the unaudited interim condensed consolidated statements of operations. These note receivable instruments are classified as trading securities on the Company's unaudited interim condensed consolidated balance sheets.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See Note 13 - Fair Value Measurements for additional details.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Green Thumb Industries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Interim Condensed Consolidated Financial Statements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serif" w:hAnsi="Times New Roman;serif"/>
          <w:b/>
          <w:sz w:val="20"/>
        </w:rPr>
      </w:pPr>
      <w:r>
        <w:rPr>
          <w:rFonts w:ascii="Times New Roman;serif" w:hAnsi="Times New Roman;serif"/>
          <w:b/>
          <w:sz w:val="20"/>
        </w:rPr>
        <w:t>6. LEASES</w:t>
      </w:r>
    </w:p>
    <w:p>
      <w:pPr>
        <w:pStyle w:val="TextBody"/>
        <w:bidi w:val="0"/>
        <w:spacing w:before="0" w:after="0"/>
        <w:jc w:val="left"/>
        <w:rPr/>
      </w:pPr>
      <w:r>
        <w:rPr/>
        <w:t> </w:t>
      </w:r>
    </w:p>
    <w:p>
      <w:pPr>
        <w:pStyle w:val="TextBody"/>
        <w:pBdr>
          <w:top w:val="sing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(a) Operating 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operating leases for its retail stores and processing and cultivation facilities located throughout the U.S., as well as corporate office space located in Illinois. Operating lease right-of-use assets and operating lease liabilities are recognized based on the present value of future minimum lease payments over the lease term at commencement date.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and six months ended June 30, 2023, the Company recorded operating lease expense of $12,146</w:t>
      </w:r>
      <w:r>
        <w:rPr>
          <w:rFonts w:ascii="Times New Roman" w:hAnsi="Times New Roman"/>
          <w:sz w:val="20"/>
        </w:rPr>
        <w:t xml:space="preserve"> </w:t>
      </w:r>
      <w:r>
        <w:rPr>
          <w:rFonts w:ascii="Times New Roman;serif" w:hAnsi="Times New Roman;serif"/>
          <w:b w:val="false"/>
          <w:sz w:val="20"/>
        </w:rPr>
        <w:t>thousand and $24,368</w:t>
      </w:r>
      <w:r>
        <w:rPr>
          <w:rFonts w:ascii="Times New Roman" w:hAnsi="Times New Roman"/>
          <w:sz w:val="20"/>
        </w:rPr>
        <w:t xml:space="preserve"> </w:t>
      </w:r>
      <w:r>
        <w:rPr>
          <w:rFonts w:ascii="Times New Roman;serif" w:hAnsi="Times New Roman;serif"/>
          <w:b w:val="false"/>
          <w:sz w:val="20"/>
        </w:rPr>
        <w:t>thousand, respectively compared to operating lease expense of $10,201</w:t>
      </w:r>
      <w:r>
        <w:rPr>
          <w:rFonts w:ascii="Times New Roman" w:hAnsi="Times New Roman"/>
          <w:sz w:val="20"/>
        </w:rPr>
        <w:t xml:space="preserve"> </w:t>
      </w:r>
      <w:r>
        <w:rPr>
          <w:rFonts w:ascii="Times New Roman;serif" w:hAnsi="Times New Roman;serif"/>
          <w:b w:val="false"/>
          <w:sz w:val="20"/>
        </w:rPr>
        <w:t>thousand and $20,022</w:t>
      </w:r>
      <w:r>
        <w:rPr>
          <w:rFonts w:ascii="Times New Roman" w:hAnsi="Times New Roman"/>
          <w:sz w:val="20"/>
        </w:rPr>
        <w:t xml:space="preserve"> </w:t>
      </w:r>
      <w:r>
        <w:rPr>
          <w:rFonts w:ascii="Times New Roman;serif" w:hAnsi="Times New Roman;serif"/>
          <w:b w:val="false"/>
          <w:sz w:val="20"/>
        </w:rPr>
        <w:t>thousand for the three and six months ended June 30, 2022, respectively.</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Other information related to operating leases as of June 30, 2023 and December 31, 2022 were as follows:</w:t>
      </w:r>
      <w:r>
        <w:rPr>
          <w:rFonts w:ascii="Times New Roman" w:hAnsi="Times New Roman"/>
          <w:sz w:val="20"/>
        </w:rPr>
        <w:t xml:space="preserve"> </w:t>
      </w:r>
    </w:p>
    <w:p>
      <w:pPr>
        <w:pStyle w:val="TextBody"/>
        <w:bidi w:val="0"/>
        <w:spacing w:before="120" w:after="0"/>
        <w:jc w:val="left"/>
        <w:rPr/>
      </w:pPr>
      <w:r>
        <w:rPr/>
        <w:t> </w:t>
      </w:r>
    </w:p>
    <w:tbl>
      <w:tblPr>
        <w:tblW w:w="6340" w:type="dxa"/>
        <w:jc w:val="left"/>
        <w:tblInd w:w="0" w:type="dxa"/>
        <w:tblLayout w:type="fixed"/>
        <w:tblCellMar>
          <w:top w:w="28" w:type="dxa"/>
          <w:left w:w="28" w:type="dxa"/>
          <w:bottom w:w="28" w:type="dxa"/>
          <w:right w:w="28" w:type="dxa"/>
        </w:tblCellMar>
      </w:tblPr>
      <w:tblGrid>
        <w:gridCol w:w="3376"/>
        <w:gridCol w:w="146"/>
        <w:gridCol w:w="112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remaining lease term (years)</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12.17</w:t>
            </w:r>
          </w:p>
        </w:tc>
        <w:tc>
          <w:tcPr>
            <w:tcW w:w="146" w:type="dxa"/>
            <w:tcBorders/>
            <w:vAlign w:val="center"/>
          </w:tcPr>
          <w:p>
            <w:pPr>
              <w:pStyle w:val="TableContents"/>
              <w:bidi w:val="0"/>
              <w:spacing w:before="0" w:after="0"/>
              <w:ind w:left="0" w:right="0" w:hanging="0"/>
              <w:jc w:val="right"/>
              <w:rPr/>
            </w:pPr>
            <w:r>
              <w:rPr/>
              <w:t> </w:t>
            </w:r>
          </w:p>
        </w:tc>
        <w:tc>
          <w:tcPr>
            <w:tcW w:w="15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11.64</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12.46%</w:t>
            </w:r>
          </w:p>
        </w:tc>
        <w:tc>
          <w:tcPr>
            <w:tcW w:w="146" w:type="dxa"/>
            <w:tcBorders/>
            <w:vAlign w:val="center"/>
          </w:tcPr>
          <w:p>
            <w:pPr>
              <w:pStyle w:val="TableContents"/>
              <w:bidi w:val="0"/>
              <w:spacing w:before="0" w:after="0"/>
              <w:ind w:left="0" w:right="0" w:hanging="0"/>
              <w:jc w:val="right"/>
              <w:rPr/>
            </w:pPr>
            <w:r>
              <w:rPr/>
              <w:t> </w:t>
            </w:r>
          </w:p>
        </w:tc>
        <w:tc>
          <w:tcPr>
            <w:tcW w:w="15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Maturities of lease liabilities for operating leases as of June 30, 2023 were as follows:</w:t>
      </w:r>
      <w:r>
        <w:rPr>
          <w:rFonts w:ascii="Times New Roman" w:hAnsi="Times New Roman"/>
          <w:sz w:val="20"/>
        </w:rPr>
        <w:t xml:space="preserve"> </w:t>
      </w:r>
    </w:p>
    <w:p>
      <w:pPr>
        <w:pStyle w:val="TextBody"/>
        <w:bidi w:val="0"/>
        <w:spacing w:before="0" w:after="0"/>
        <w:jc w:val="left"/>
        <w:rPr/>
      </w:pPr>
      <w:r>
        <w:rPr/>
        <w:t> </w:t>
      </w:r>
    </w:p>
    <w:tbl>
      <w:tblPr>
        <w:tblW w:w="5977" w:type="dxa"/>
        <w:jc w:val="left"/>
        <w:tblInd w:w="0" w:type="dxa"/>
        <w:tblLayout w:type="fixed"/>
        <w:tblCellMar>
          <w:top w:w="28" w:type="dxa"/>
          <w:left w:w="28" w:type="dxa"/>
          <w:bottom w:w="28" w:type="dxa"/>
          <w:right w:w="28" w:type="dxa"/>
        </w:tblCellMar>
      </w:tblPr>
      <w:tblGrid>
        <w:gridCol w:w="2431"/>
        <w:gridCol w:w="196"/>
        <w:gridCol w:w="976"/>
        <w:gridCol w:w="196"/>
        <w:gridCol w:w="1126"/>
        <w:gridCol w:w="196"/>
        <w:gridCol w:w="856"/>
      </w:tblGrid>
      <w:tr>
        <w:trPr/>
        <w:tc>
          <w:tcPr>
            <w:tcW w:w="2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335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Maturities of Lease Liability</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Third Party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Related Party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r>
      <w:tr>
        <w:trPr/>
        <w:tc>
          <w:tcPr>
            <w:tcW w:w="243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35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Remainder of 2023</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21,641</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21,928</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2024</w:t>
            </w:r>
          </w:p>
        </w:tc>
        <w:tc>
          <w:tcPr>
            <w:tcW w:w="19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43,304</w:t>
            </w:r>
          </w:p>
        </w:tc>
        <w:tc>
          <w:tcPr>
            <w:tcW w:w="19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437</w:t>
            </w:r>
          </w:p>
        </w:tc>
        <w:tc>
          <w:tcPr>
            <w:tcW w:w="19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43,741</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2025</w:t>
            </w:r>
          </w:p>
        </w:tc>
        <w:tc>
          <w:tcPr>
            <w:tcW w:w="19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41,087</w:t>
            </w:r>
          </w:p>
        </w:tc>
        <w:tc>
          <w:tcPr>
            <w:tcW w:w="19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w:t>
            </w:r>
          </w:p>
        </w:tc>
        <w:tc>
          <w:tcPr>
            <w:tcW w:w="19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41,430</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2026</w:t>
            </w:r>
          </w:p>
        </w:tc>
        <w:tc>
          <w:tcPr>
            <w:tcW w:w="19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39,391</w:t>
            </w:r>
          </w:p>
        </w:tc>
        <w:tc>
          <w:tcPr>
            <w:tcW w:w="19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350</w:t>
            </w:r>
          </w:p>
        </w:tc>
        <w:tc>
          <w:tcPr>
            <w:tcW w:w="19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39,741</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2027</w:t>
            </w:r>
          </w:p>
        </w:tc>
        <w:tc>
          <w:tcPr>
            <w:tcW w:w="19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39,672</w:t>
            </w:r>
          </w:p>
        </w:tc>
        <w:tc>
          <w:tcPr>
            <w:tcW w:w="19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w:t>
            </w:r>
          </w:p>
        </w:tc>
        <w:tc>
          <w:tcPr>
            <w:tcW w:w="19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40,029</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2028 and Thereafter</w:t>
            </w:r>
          </w:p>
        </w:tc>
        <w:tc>
          <w:tcPr>
            <w:tcW w:w="196" w:type="dxa"/>
            <w:tcBorders/>
            <w:vAlign w:val="center"/>
          </w:tcPr>
          <w:p>
            <w:pPr>
              <w:pStyle w:val="TableContents"/>
              <w:bidi w:val="0"/>
              <w:spacing w:before="0" w:after="0"/>
              <w:ind w:left="0" w:right="0" w:hanging="0"/>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1,728</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353,751</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Lease Payments</w:t>
            </w:r>
          </w:p>
        </w:tc>
        <w:tc>
          <w:tcPr>
            <w:tcW w:w="196" w:type="dxa"/>
            <w:tcBorders/>
            <w:vAlign w:val="center"/>
          </w:tcPr>
          <w:p>
            <w:pPr>
              <w:pStyle w:val="TableContents"/>
              <w:bidi w:val="0"/>
              <w:spacing w:before="0" w:after="0"/>
              <w:ind w:left="0" w:right="0" w:hanging="0"/>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537,118</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3,502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540,620</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Less: Interest</w:t>
            </w:r>
          </w:p>
        </w:tc>
        <w:tc>
          <w:tcPr>
            <w:tcW w:w="196" w:type="dxa"/>
            <w:tcBorders/>
            <w:vAlign w:val="center"/>
          </w:tcPr>
          <w:p>
            <w:pPr>
              <w:pStyle w:val="TableContents"/>
              <w:bidi w:val="0"/>
              <w:spacing w:before="0" w:after="0"/>
              <w:ind w:left="0" w:right="0" w:hanging="0"/>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(278,715)</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(280,047)</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Present Value of Lease Liability</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258,403</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1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2,170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260,573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(b) Related Party Operating 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leasing arrangements that are related party transactions including for certain facilities in Maryland, Massachusetts and Nevada. Wendy Berger, a director of the Company, is a principal of WBS Equities, LLC, which is the Manager of Mosaic Real Estate, LLC, and owns the facilities leased by the Company. Additionally, Mosaic Real Estate, LLC is indirectly owned in part by Ms. Berger (through the Wendy Berger 1998 Revocable Trust), Benjamin Kovler, the Chairman and Chief Executive Officer of the Company (through KP Capital, LLC), and Anthony Georgiadis, the President and a director of the Company (through Three One Four Holdings, LLC). The terms of these leases range from 7 years</w:t>
      </w:r>
      <w:r>
        <w:rPr>
          <w:rFonts w:ascii="Times New Roman" w:hAnsi="Times New Roman"/>
          <w:sz w:val="20"/>
        </w:rPr>
        <w:t xml:space="preserve"> </w:t>
      </w:r>
      <w:r>
        <w:rPr>
          <w:rFonts w:ascii="Times New Roman;serif" w:hAnsi="Times New Roman;serif"/>
          <w:b w:val="false"/>
          <w:sz w:val="20"/>
        </w:rPr>
        <w:t>to 15 years. For the three and six months ended June 30, 2023, the Company recorded lease expense of $137</w:t>
      </w:r>
      <w:r>
        <w:rPr>
          <w:rFonts w:ascii="Times New Roman" w:hAnsi="Times New Roman"/>
          <w:sz w:val="20"/>
        </w:rPr>
        <w:t xml:space="preserve"> </w:t>
      </w:r>
      <w:r>
        <w:rPr>
          <w:rFonts w:ascii="Times New Roman;serif" w:hAnsi="Times New Roman;serif"/>
          <w:b w:val="false"/>
          <w:sz w:val="20"/>
        </w:rPr>
        <w:t>thousand and $276</w:t>
      </w:r>
      <w:r>
        <w:rPr>
          <w:rFonts w:ascii="Times New Roman" w:hAnsi="Times New Roman"/>
          <w:sz w:val="20"/>
        </w:rPr>
        <w:t xml:space="preserve"> </w:t>
      </w:r>
      <w:r>
        <w:rPr>
          <w:rFonts w:ascii="Times New Roman;serif" w:hAnsi="Times New Roman;serif"/>
          <w:b w:val="false"/>
          <w:sz w:val="20"/>
        </w:rPr>
        <w:t>thousand, respectively, compared to lease expense of $296</w:t>
      </w:r>
      <w:r>
        <w:rPr>
          <w:rFonts w:ascii="Times New Roman" w:hAnsi="Times New Roman"/>
          <w:sz w:val="20"/>
        </w:rPr>
        <w:t xml:space="preserve"> </w:t>
      </w:r>
      <w:r>
        <w:rPr>
          <w:rFonts w:ascii="Times New Roman;serif" w:hAnsi="Times New Roman;serif"/>
          <w:b w:val="false"/>
          <w:sz w:val="20"/>
        </w:rPr>
        <w:t>thousand and $589</w:t>
      </w:r>
      <w:r>
        <w:rPr>
          <w:rFonts w:ascii="Times New Roman" w:hAnsi="Times New Roman"/>
          <w:sz w:val="20"/>
        </w:rPr>
        <w:t xml:space="preserve"> </w:t>
      </w:r>
      <w:r>
        <w:rPr>
          <w:rFonts w:ascii="Times New Roman;serif" w:hAnsi="Times New Roman;serif"/>
          <w:b w:val="false"/>
          <w:sz w:val="20"/>
        </w:rPr>
        <w:t>thousand for the three and six months ended June 30, 2022, respectively.</w:t>
      </w:r>
    </w:p>
    <w:p>
      <w:pPr>
        <w:pStyle w:val="TextBody"/>
        <w:bidi w:val="0"/>
        <w:spacing w:before="2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serif" w:hAnsi="Times New Roman;serif"/>
          <w:b/>
          <w:sz w:val="20"/>
        </w:rPr>
      </w:pPr>
      <w:r>
        <w:rPr>
          <w:rFonts w:ascii="Times New Roman;serif" w:hAnsi="Times New Roman;serif"/>
          <w:b/>
          <w:sz w:val="20"/>
        </w:rPr>
        <w:t>7. NOTES PAYABLE</w:t>
      </w:r>
    </w:p>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At June 30, 2023 and December 31, 2022, notes payable consisted of the following:</w:t>
      </w:r>
      <w:r>
        <w:rPr>
          <w:rFonts w:ascii="Times New Roman" w:hAnsi="Times New Roman"/>
          <w:sz w:val="20"/>
        </w:rPr>
        <w:t xml:space="preserve"> </w:t>
      </w:r>
    </w:p>
    <w:tbl>
      <w:tblPr>
        <w:tblW w:w="6425" w:type="dxa"/>
        <w:jc w:val="left"/>
        <w:tblInd w:w="0" w:type="dxa"/>
        <w:tblLayout w:type="fixed"/>
        <w:tblCellMar>
          <w:top w:w="28" w:type="dxa"/>
          <w:left w:w="28" w:type="dxa"/>
          <w:bottom w:w="28" w:type="dxa"/>
          <w:right w:w="28" w:type="dxa"/>
        </w:tblCellMar>
      </w:tblPr>
      <w:tblGrid>
        <w:gridCol w:w="3286"/>
        <w:gridCol w:w="196"/>
        <w:gridCol w:w="1156"/>
        <w:gridCol w:w="196"/>
        <w:gridCol w:w="1591"/>
      </w:tblGrid>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3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94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328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Charitable Contributions</w:t>
            </w:r>
            <w:r>
              <w:rPr>
                <w:rFonts w:ascii="Times New Roman;serif" w:hAnsi="Times New Roman;serif"/>
                <w:b w:val="false"/>
                <w:sz w:val="12"/>
              </w:rPr>
              <w:t>1</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449</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764</w:t>
            </w:r>
          </w:p>
        </w:tc>
      </w:tr>
      <w:tr>
        <w:trPr/>
        <w:tc>
          <w:tcPr>
            <w:tcW w:w="328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Private placement debt dated April 30, 2021</w:t>
            </w:r>
            <w:r>
              <w:rPr>
                <w:rFonts w:ascii="Times New Roman;serif" w:hAnsi="Times New Roman;serif"/>
                <w:b w:val="false"/>
                <w:sz w:val="12"/>
              </w:rPr>
              <w:t>2</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242,347</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237,795</w:t>
            </w:r>
          </w:p>
        </w:tc>
      </w:tr>
      <w:tr>
        <w:trPr/>
        <w:tc>
          <w:tcPr>
            <w:tcW w:w="328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Mortgage notes</w:t>
            </w:r>
            <w:r>
              <w:rPr>
                <w:rFonts w:ascii="Times New Roman;serif" w:hAnsi="Times New Roman;serif"/>
                <w:b w:val="false"/>
                <w:sz w:val="12"/>
              </w:rPr>
              <w:t>3</w:t>
            </w:r>
          </w:p>
        </w:tc>
        <w:tc>
          <w:tcPr>
            <w:tcW w:w="196" w:type="dxa"/>
            <w:tcBorders/>
            <w:vAlign w:val="center"/>
          </w:tcPr>
          <w:p>
            <w:pPr>
              <w:pStyle w:val="TableContents"/>
              <w:bidi w:val="0"/>
              <w:spacing w:before="0" w:after="0"/>
              <w:ind w:left="0" w:right="0" w:hanging="0"/>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47,109</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37,109</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notes payable</w:t>
            </w:r>
          </w:p>
        </w:tc>
        <w:tc>
          <w:tcPr>
            <w:tcW w:w="196" w:type="dxa"/>
            <w:tcBorders/>
            <w:vAlign w:val="center"/>
          </w:tcPr>
          <w:p>
            <w:pPr>
              <w:pStyle w:val="TableContents"/>
              <w:bidi w:val="0"/>
              <w:spacing w:before="0" w:after="0"/>
              <w:ind w:left="0" w:right="0" w:hanging="0"/>
              <w:jc w:val="center"/>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289,905</w:t>
            </w:r>
          </w:p>
        </w:tc>
        <w:tc>
          <w:tcPr>
            <w:tcW w:w="19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275,668</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Less: current portion of notes payable</w:t>
            </w:r>
          </w:p>
        </w:tc>
        <w:tc>
          <w:tcPr>
            <w:tcW w:w="196" w:type="dxa"/>
            <w:tcBorders/>
            <w:vAlign w:val="center"/>
          </w:tcPr>
          <w:p>
            <w:pPr>
              <w:pStyle w:val="TableContents"/>
              <w:bidi w:val="0"/>
              <w:spacing w:before="0" w:after="0"/>
              <w:ind w:left="0" w:right="0" w:hanging="0"/>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(1,048)</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(1,037)</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Notes payable, net of current portion</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288,857</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274,631</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12"/>
        </w:rPr>
        <w:t>1</w:t>
      </w:r>
      <w:r>
        <w:rPr>
          <w:rFonts w:ascii="Times New Roman" w:hAnsi="Times New Roman"/>
          <w:sz w:val="20"/>
        </w:rPr>
        <w:t xml:space="preserve"> </w:t>
      </w:r>
      <w:r>
        <w:rPr>
          <w:rFonts w:ascii="Times New Roman;serif" w:hAnsi="Times New Roman;serif"/>
          <w:b w:val="false"/>
          <w:sz w:val="18"/>
        </w:rPr>
        <w:t>In connection with acquisitions completed in 2017 and 2019, the Company is required to make quarterly charitable contributions of $50</w:t>
      </w:r>
      <w:r>
        <w:rPr>
          <w:rFonts w:ascii="Times New Roman" w:hAnsi="Times New Roman"/>
          <w:sz w:val="20"/>
        </w:rPr>
        <w:t xml:space="preserve"> </w:t>
      </w:r>
      <w:r>
        <w:rPr>
          <w:rFonts w:ascii="Times New Roman;serif" w:hAnsi="Times New Roman;serif"/>
          <w:b w:val="false"/>
          <w:sz w:val="18"/>
        </w:rPr>
        <w:t>thousand through October 2024</w:t>
      </w:r>
      <w:r>
        <w:rPr>
          <w:rFonts w:ascii="Times New Roman" w:hAnsi="Times New Roman"/>
          <w:sz w:val="20"/>
        </w:rPr>
        <w:t xml:space="preserve"> </w:t>
      </w:r>
      <w:r>
        <w:rPr>
          <w:rFonts w:ascii="Times New Roman;serif" w:hAnsi="Times New Roman;serif"/>
          <w:b w:val="false"/>
          <w:sz w:val="18"/>
        </w:rPr>
        <w:t>and annual charitable contributions of $250</w:t>
      </w:r>
      <w:r>
        <w:rPr>
          <w:rFonts w:ascii="Times New Roman" w:hAnsi="Times New Roman"/>
          <w:sz w:val="20"/>
        </w:rPr>
        <w:t xml:space="preserve"> </w:t>
      </w:r>
      <w:r>
        <w:rPr>
          <w:rFonts w:ascii="Times New Roman;serif" w:hAnsi="Times New Roman;serif"/>
          <w:b w:val="false"/>
          <w:sz w:val="18"/>
        </w:rPr>
        <w:t>thousand through</w:t>
      </w:r>
      <w:r>
        <w:rPr>
          <w:rFonts w:ascii="Times New Roman" w:hAnsi="Times New Roman"/>
          <w:sz w:val="20"/>
        </w:rPr>
        <w:t xml:space="preserve"> </w:t>
      </w:r>
      <w:r>
        <w:rPr>
          <w:rFonts w:ascii="Times New Roman;serif" w:hAnsi="Times New Roman;serif"/>
          <w:b w:val="false"/>
          <w:sz w:val="18"/>
        </w:rPr>
        <w:t>May 2024, respectively. The net present value of these required payments has been recorded as a liability with interest rates ranging between 2.17%</w:t>
      </w:r>
      <w:r>
        <w:rPr>
          <w:rFonts w:ascii="Times New Roman" w:hAnsi="Times New Roman"/>
          <w:sz w:val="20"/>
        </w:rPr>
        <w:t xml:space="preserve"> </w:t>
      </w:r>
      <w:r>
        <w:rPr>
          <w:rFonts w:ascii="Times New Roman;serif" w:hAnsi="Times New Roman;serif"/>
          <w:b w:val="false"/>
          <w:sz w:val="18"/>
        </w:rPr>
        <w:t>- 7.00%.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12"/>
        </w:rPr>
        <w:t>2</w:t>
      </w:r>
      <w:r>
        <w:rPr>
          <w:rFonts w:ascii="Times New Roman" w:hAnsi="Times New Roman"/>
          <w:sz w:val="20"/>
        </w:rPr>
        <w:t xml:space="preserve"> </w:t>
      </w:r>
      <w:r>
        <w:rPr>
          <w:rFonts w:ascii="Times New Roman;serif" w:hAnsi="Times New Roman;serif"/>
          <w:b w:val="false"/>
          <w:sz w:val="18"/>
        </w:rPr>
        <w:t>The April 30, 2021 private placement debt, as amended on October 21, 2021 (the “April 30, 2021 Notes”), were issued in a total amount of $249,934</w:t>
      </w:r>
      <w:r>
        <w:rPr>
          <w:rFonts w:ascii="Times New Roman" w:hAnsi="Times New Roman"/>
          <w:sz w:val="20"/>
        </w:rPr>
        <w:t xml:space="preserve"> </w:t>
      </w:r>
      <w:r>
        <w:rPr>
          <w:rFonts w:ascii="Times New Roman;serif" w:hAnsi="Times New Roman;serif"/>
          <w:b w:val="false"/>
          <w:sz w:val="18"/>
        </w:rPr>
        <w:t>thousand with an interest rate of 7.00%, maturing on April 30, 2025. The April 30, 2021 Notes were issued at a discount, the carrying value of which was $7,587</w:t>
      </w:r>
      <w:r>
        <w:rPr>
          <w:rFonts w:ascii="Times New Roman" w:hAnsi="Times New Roman"/>
          <w:sz w:val="20"/>
        </w:rPr>
        <w:t xml:space="preserve"> </w:t>
      </w:r>
      <w:r>
        <w:rPr>
          <w:rFonts w:ascii="Times New Roman;serif" w:hAnsi="Times New Roman;serif"/>
          <w:b w:val="false"/>
          <w:sz w:val="18"/>
        </w:rPr>
        <w:t>thousand and $12,139</w:t>
      </w:r>
      <w:r>
        <w:rPr>
          <w:rFonts w:ascii="Times New Roman" w:hAnsi="Times New Roman"/>
          <w:sz w:val="20"/>
        </w:rPr>
        <w:t xml:space="preserve"> </w:t>
      </w:r>
      <w:r>
        <w:rPr>
          <w:rFonts w:ascii="Times New Roman;serif" w:hAnsi="Times New Roman;serif"/>
          <w:b w:val="false"/>
          <w:sz w:val="18"/>
        </w:rPr>
        <w:t>thousand as of June 30, 2023 and December 31,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12"/>
        </w:rPr>
        <w:t>3</w:t>
      </w:r>
      <w:r>
        <w:rPr>
          <w:rFonts w:ascii="Times New Roman" w:hAnsi="Times New Roman"/>
          <w:sz w:val="20"/>
        </w:rPr>
        <w:t xml:space="preserve"> </w:t>
      </w:r>
      <w:r>
        <w:rPr>
          <w:rFonts w:ascii="Times New Roman;serif" w:hAnsi="Times New Roman;serif"/>
          <w:b w:val="false"/>
          <w:sz w:val="18"/>
        </w:rPr>
        <w:t>Mortgage notes with an initial value of $48,426</w:t>
      </w:r>
      <w:r>
        <w:rPr>
          <w:rFonts w:ascii="Times New Roman" w:hAnsi="Times New Roman"/>
          <w:sz w:val="20"/>
        </w:rPr>
        <w:t xml:space="preserve"> </w:t>
      </w:r>
      <w:r>
        <w:rPr>
          <w:rFonts w:ascii="Times New Roman;serif" w:hAnsi="Times New Roman;serif"/>
          <w:b w:val="false"/>
          <w:sz w:val="18"/>
        </w:rPr>
        <w:t>thousand and $38,292</w:t>
      </w:r>
      <w:r>
        <w:rPr>
          <w:rFonts w:ascii="Times New Roman" w:hAnsi="Times New Roman"/>
          <w:sz w:val="20"/>
        </w:rPr>
        <w:t xml:space="preserve"> </w:t>
      </w:r>
      <w:r>
        <w:rPr>
          <w:rFonts w:ascii="Times New Roman;serif" w:hAnsi="Times New Roman;serif"/>
          <w:b w:val="false"/>
          <w:sz w:val="18"/>
        </w:rPr>
        <w:t>thousand, respectively, were issued by the Company in connection with various operating properties, and were recorded at such gross value as of June 30, 2023 and December 31, 2022. These mortgage notes mature between August 20, 2025 and June 5, 2035</w:t>
      </w:r>
      <w:r>
        <w:rPr>
          <w:rFonts w:ascii="Times New Roman" w:hAnsi="Times New Roman"/>
          <w:sz w:val="20"/>
        </w:rPr>
        <w:t xml:space="preserve"> </w:t>
      </w:r>
      <w:r>
        <w:rPr>
          <w:rFonts w:ascii="Times New Roman;serif" w:hAnsi="Times New Roman;serif"/>
          <w:b w:val="false"/>
          <w:sz w:val="18"/>
        </w:rPr>
        <w:t>with interest rates ranging between 5.00%</w:t>
      </w:r>
      <w:r>
        <w:rPr>
          <w:rFonts w:ascii="Times New Roman" w:hAnsi="Times New Roman"/>
          <w:sz w:val="20"/>
        </w:rPr>
        <w:t xml:space="preserve"> </w:t>
      </w:r>
      <w:r>
        <w:rPr>
          <w:rFonts w:ascii="Times New Roman;serif" w:hAnsi="Times New Roman;serif"/>
          <w:b w:val="false"/>
          <w:sz w:val="18"/>
        </w:rPr>
        <w:t>and 9.25%. The mortgage notes were issued at a discount, the carrying value of which was $259</w:t>
      </w:r>
      <w:r>
        <w:rPr>
          <w:rFonts w:ascii="Times New Roman" w:hAnsi="Times New Roman"/>
          <w:sz w:val="20"/>
        </w:rPr>
        <w:t xml:space="preserve"> </w:t>
      </w:r>
      <w:r>
        <w:rPr>
          <w:rFonts w:ascii="Times New Roman;serif" w:hAnsi="Times New Roman;serif"/>
          <w:b w:val="false"/>
          <w:sz w:val="18"/>
        </w:rPr>
        <w:t>thousand and $437</w:t>
      </w:r>
      <w:r>
        <w:rPr>
          <w:rFonts w:ascii="Times New Roman" w:hAnsi="Times New Roman"/>
          <w:sz w:val="20"/>
        </w:rPr>
        <w:t xml:space="preserve"> </w:t>
      </w:r>
      <w:r>
        <w:rPr>
          <w:rFonts w:ascii="Times New Roman;serif" w:hAnsi="Times New Roman;serif"/>
          <w:b w:val="false"/>
          <w:sz w:val="18"/>
        </w:rPr>
        <w:t>thousand, respectively, and are presented net of principal payments of $1,058</w:t>
      </w:r>
      <w:r>
        <w:rPr>
          <w:rFonts w:ascii="Times New Roman" w:hAnsi="Times New Roman"/>
          <w:sz w:val="20"/>
        </w:rPr>
        <w:t xml:space="preserve"> </w:t>
      </w:r>
      <w:r>
        <w:rPr>
          <w:rFonts w:ascii="Times New Roman;serif" w:hAnsi="Times New Roman;serif"/>
          <w:b w:val="false"/>
          <w:sz w:val="18"/>
        </w:rPr>
        <w:t>thousand and $746</w:t>
      </w:r>
      <w:r>
        <w:rPr>
          <w:rFonts w:ascii="Times New Roman" w:hAnsi="Times New Roman"/>
          <w:sz w:val="20"/>
        </w:rPr>
        <w:t xml:space="preserve"> </w:t>
      </w:r>
      <w:r>
        <w:rPr>
          <w:rFonts w:ascii="Times New Roman;serif" w:hAnsi="Times New Roman;serif"/>
          <w:b w:val="false"/>
          <w:sz w:val="18"/>
        </w:rPr>
        <w:t>thousand as of June 30, 2023 and December 31,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(b) Related Parties</w:t>
      </w:r>
    </w:p>
    <w:p>
      <w:pPr>
        <w:pStyle w:val="TextBody"/>
        <w:bidi w:val="0"/>
        <w:spacing w:before="120" w:after="0"/>
        <w:jc w:val="left"/>
        <w:rPr>
          <w:rFonts w:ascii="Times New Roman" w:hAnsi="Times New Roman"/>
          <w:sz w:val="20"/>
        </w:rPr>
      </w:pPr>
      <w:r>
        <w:rPr>
          <w:rFonts w:ascii="Times New Roman;serif" w:hAnsi="Times New Roman;serif"/>
          <w:b w:val="false"/>
          <w:sz w:val="20"/>
        </w:rPr>
        <w:t>A portion of the April 30, 2021 Notes are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Anthony Georgiadis, the President and a director of the Company (held through Three One Four Holdings, LLC); and Anthony Georgiadis and William Gruver, a former director of the Company (held through ABG, LLC).</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rFonts w:ascii="Times New Roman" w:hAnsi="Times New Roman"/>
          <w:sz w:val="20"/>
        </w:rPr>
      </w:pPr>
      <w:r>
        <w:rPr>
          <w:rFonts w:ascii="Times New Roman;serif" w:hAnsi="Times New Roman;serif"/>
          <w:b/>
          <w:sz w:val="20"/>
        </w:rPr>
        <w:t>8. WARRANTS</w:t>
      </w:r>
      <w:r>
        <w:rPr>
          <w:rFonts w:ascii="Times New Roman" w:hAnsi="Times New Roman"/>
          <w:sz w:val="20"/>
        </w:rPr>
        <w:t xml:space="preserve"> </w:t>
      </w:r>
    </w:p>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part of the financing of the April 30, 2021 Notes, as well as other financing arrangements, the Company issued warrants to related parties, as well as unrelated third parties, which allow the holders to purchase Subordinate Voting Shares at an exercise price determined at the time of issuance.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number of warrants outstanding as of June 30, 2023 and December 31, 2022:</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162"/>
        <w:gridCol w:w="921"/>
        <w:gridCol w:w="146"/>
        <w:gridCol w:w="244"/>
        <w:gridCol w:w="284"/>
        <w:gridCol w:w="1003"/>
        <w:gridCol w:w="146"/>
        <w:gridCol w:w="408"/>
        <w:gridCol w:w="1182"/>
        <w:gridCol w:w="146"/>
        <w:gridCol w:w="162"/>
        <w:gridCol w:w="921"/>
        <w:gridCol w:w="146"/>
        <w:gridCol w:w="196"/>
        <w:gridCol w:w="291"/>
        <w:gridCol w:w="1027"/>
        <w:gridCol w:w="146"/>
        <w:gridCol w:w="331"/>
        <w:gridCol w:w="959"/>
        <w:gridCol w:w="199"/>
      </w:tblGrid>
      <w:tr>
        <w:trPr/>
        <w:tc>
          <w:tcPr>
            <w:tcW w:w="1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85" w:type="dxa"/>
            <w:tcBorders/>
            <w:vAlign w:val="center"/>
          </w:tcPr>
          <w:p>
            <w:pPr>
              <w:pStyle w:val="TableContents"/>
              <w:bidi w:val="0"/>
              <w:spacing w:before="0" w:after="0"/>
              <w:ind w:left="0" w:right="0" w:hanging="0"/>
              <w:jc w:val="left"/>
              <w:rPr/>
            </w:pPr>
            <w:r>
              <w:rPr/>
              <w:t> </w:t>
            </w:r>
          </w:p>
        </w:tc>
        <w:tc>
          <w:tcPr>
            <w:tcW w:w="4496"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Liability Classified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179"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 Classified</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5" w:type="dxa"/>
            <w:tcBorders/>
            <w:vAlign w:val="center"/>
          </w:tcPr>
          <w:p>
            <w:pPr>
              <w:pStyle w:val="TableContents"/>
              <w:bidi w:val="0"/>
              <w:spacing w:before="0" w:after="0"/>
              <w:ind w:left="0" w:right="0" w:hanging="0"/>
              <w:jc w:val="left"/>
              <w:rPr/>
            </w:pPr>
            <w:r>
              <w:rPr/>
              <w:t> </w:t>
            </w:r>
          </w:p>
        </w:tc>
        <w:tc>
          <w:tcPr>
            <w:tcW w:w="10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4"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 Average Exercise Price (C$)</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 Average Remaining Contractual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3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 Average Exercise Price (USD)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 Average</w:t>
              <w:br/>
              <w:t>Remaining Contractual Life</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2022</w:t>
            </w:r>
          </w:p>
        </w:tc>
        <w:tc>
          <w:tcPr>
            <w:tcW w:w="162"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1,997,208</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w:t>
            </w:r>
          </w:p>
        </w:tc>
        <w:tc>
          <w:tcPr>
            <w:tcW w:w="284"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18.03</w:t>
            </w:r>
          </w:p>
        </w:tc>
        <w:tc>
          <w:tcPr>
            <w:tcW w:w="146"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146"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1,737,347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91"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31.83</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3.38</w:t>
            </w:r>
          </w:p>
        </w:tc>
        <w:tc>
          <w:tcPr>
            <w:tcW w:w="199" w:type="dxa"/>
            <w:tcBorders/>
            <w:vAlign w:val="center"/>
          </w:tcPr>
          <w:p>
            <w:pPr>
              <w:pStyle w:val="TableContents"/>
              <w:bidi w:val="0"/>
              <w:spacing w:before="0" w:after="0"/>
              <w:ind w:left="0" w:right="0" w:hanging="0"/>
              <w:jc w:val="left"/>
              <w:rPr/>
            </w:pPr>
            <w:r>
              <w:rPr/>
              <w:t> </w:t>
            </w:r>
          </w:p>
        </w:tc>
      </w:tr>
      <w:tr>
        <w:trPr/>
        <w:tc>
          <w:tcPr>
            <w:tcW w:w="118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w:t>
            </w:r>
          </w:p>
        </w:tc>
        <w:tc>
          <w:tcPr>
            <w:tcW w:w="16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1,997,208</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w:t>
            </w:r>
          </w:p>
        </w:tc>
        <w:tc>
          <w:tcPr>
            <w:tcW w:w="28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0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8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6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1,737,347</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2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2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31.83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3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5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2.88</w:t>
            </w:r>
          </w:p>
        </w:tc>
        <w:tc>
          <w:tcPr>
            <w:tcW w:w="19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(a) Liability Classified Warrants Outstanding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the fair value of the liability classified warrants at June 30, 2023 and December 31, 2022:</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440"/>
        <w:gridCol w:w="899"/>
        <w:gridCol w:w="146"/>
        <w:gridCol w:w="255"/>
        <w:gridCol w:w="1446"/>
        <w:gridCol w:w="146"/>
        <w:gridCol w:w="292"/>
        <w:gridCol w:w="764"/>
        <w:gridCol w:w="146"/>
        <w:gridCol w:w="386"/>
        <w:gridCol w:w="1011"/>
        <w:gridCol w:w="146"/>
        <w:gridCol w:w="146"/>
        <w:gridCol w:w="196"/>
        <w:gridCol w:w="571"/>
        <w:gridCol w:w="215"/>
      </w:tblGrid>
      <w:tr>
        <w:trPr/>
        <w:tc>
          <w:tcPr>
            <w:tcW w:w="344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58"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40" w:type="dxa"/>
            <w:tcBorders/>
            <w:vAlign w:val="center"/>
          </w:tcPr>
          <w:p>
            <w:pPr>
              <w:pStyle w:val="TableContents"/>
              <w:bidi w:val="0"/>
              <w:spacing w:before="0" w:after="0"/>
              <w:ind w:left="0" w:right="0" w:hanging="0"/>
              <w:jc w:val="left"/>
              <w:rPr>
                <w:rFonts w:ascii="Times New Roman;serif" w:hAnsi="Times New Roman;serif"/>
                <w:b/>
                <w:i/>
                <w:sz w:val="18"/>
              </w:rPr>
            </w:pPr>
            <w:r>
              <w:rPr>
                <w:rFonts w:ascii="Times New Roman;serif" w:hAnsi="Times New Roman;serif"/>
                <w:b/>
                <w:i/>
                <w:sz w:val="18"/>
              </w:rPr>
              <w:t>Warrant Liability</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Strike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Warrants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4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658"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Private Placement Financing Warrants Issued May 2019</w:t>
            </w:r>
          </w:p>
        </w:tc>
        <w:tc>
          <w:tcPr>
            <w:tcW w:w="89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C$19.39</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4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1,606,533</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1,414</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(1,711</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4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Modification Warrants Issued November 2019</w:t>
            </w:r>
          </w:p>
        </w:tc>
        <w:tc>
          <w:tcPr>
            <w:tcW w:w="89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C$12.04</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4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316,947</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(471</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4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Modification Warrants Issued May 2020</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C$14.03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440"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Totals</w:t>
            </w:r>
          </w:p>
        </w:tc>
        <w:tc>
          <w:tcPr>
            <w:tcW w:w="8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1,997,208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2,257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4,520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(2,263</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three and six months ended June 30, 2023 and 2022, the Company recorded gains of $621</w:t>
      </w:r>
      <w:r>
        <w:rPr>
          <w:rFonts w:ascii="Times New Roman" w:hAnsi="Times New Roman"/>
          <w:sz w:val="20"/>
        </w:rPr>
        <w:t xml:space="preserve"> </w:t>
      </w:r>
      <w:r>
        <w:rPr>
          <w:rFonts w:ascii="Times New Roman;serif" w:hAnsi="Times New Roman;serif"/>
          <w:b w:val="false"/>
          <w:sz w:val="20"/>
        </w:rPr>
        <w:t>thousand and $2,263</w:t>
      </w:r>
      <w:r>
        <w:rPr>
          <w:rFonts w:ascii="Times New Roman" w:hAnsi="Times New Roman"/>
          <w:sz w:val="20"/>
        </w:rPr>
        <w:t xml:space="preserve"> </w:t>
      </w:r>
      <w:r>
        <w:rPr>
          <w:rFonts w:ascii="Times New Roman;serif" w:hAnsi="Times New Roman;serif"/>
          <w:b w:val="false"/>
          <w:sz w:val="20"/>
        </w:rPr>
        <w:t>thousand, and $13,843</w:t>
      </w:r>
      <w:r>
        <w:rPr>
          <w:rFonts w:ascii="Times New Roman" w:hAnsi="Times New Roman"/>
          <w:sz w:val="20"/>
        </w:rPr>
        <w:t xml:space="preserve"> </w:t>
      </w:r>
      <w:r>
        <w:rPr>
          <w:rFonts w:ascii="Times New Roman;serif" w:hAnsi="Times New Roman;serif"/>
          <w:b w:val="false"/>
          <w:sz w:val="20"/>
        </w:rPr>
        <w:t>thousand and $21,772</w:t>
      </w:r>
      <w:r>
        <w:rPr>
          <w:rFonts w:ascii="Times New Roman" w:hAnsi="Times New Roman"/>
          <w:sz w:val="20"/>
        </w:rPr>
        <w:t xml:space="preserve"> </w:t>
      </w:r>
      <w:r>
        <w:rPr>
          <w:rFonts w:ascii="Times New Roman;serif" w:hAnsi="Times New Roman;serif"/>
          <w:b w:val="false"/>
          <w:sz w:val="20"/>
        </w:rPr>
        <w:t>thousand, respectively, on the change in the fair value of the warrant liability within other income on the unaudited interim condensed consolidated statements of operations. As of June 30, 2023, the warrant liability was classified as a current liability, and recorded within accrued liabilities on the unaudited interim condensed consolidated balance sheet.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summarizes the significant assumptions used in determining the fair value of the warrant liability as of each reporting date (see Note 13 - Fair Value Measurements for additional details):</w:t>
      </w:r>
      <w:r>
        <w:rPr>
          <w:rFonts w:ascii="Times New Roman" w:hAnsi="Times New Roman"/>
          <w:sz w:val="20"/>
        </w:rPr>
        <w:t xml:space="preserve"> </w:t>
      </w:r>
    </w:p>
    <w:p>
      <w:pPr>
        <w:pStyle w:val="TextBody"/>
        <w:bidi w:val="0"/>
        <w:spacing w:before="0" w:after="0"/>
        <w:jc w:val="left"/>
        <w:rPr/>
      </w:pPr>
      <w:r>
        <w:rPr/>
        <w:t> </w:t>
      </w:r>
    </w:p>
    <w:tbl>
      <w:tblPr>
        <w:tblW w:w="4859" w:type="dxa"/>
        <w:jc w:val="left"/>
        <w:tblInd w:w="0" w:type="dxa"/>
        <w:tblLayout w:type="fixed"/>
        <w:tblCellMar>
          <w:top w:w="28" w:type="dxa"/>
          <w:left w:w="28" w:type="dxa"/>
          <w:bottom w:w="28" w:type="dxa"/>
          <w:right w:w="28" w:type="dxa"/>
        </w:tblCellMar>
      </w:tblPr>
      <w:tblGrid>
        <w:gridCol w:w="1936"/>
        <w:gridCol w:w="1366"/>
        <w:gridCol w:w="146"/>
        <w:gridCol w:w="1411"/>
      </w:tblGrid>
      <w:tr>
        <w:trPr/>
        <w:tc>
          <w:tcPr>
            <w:tcW w:w="193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w:t>
            </w:r>
          </w:p>
        </w:tc>
        <w:tc>
          <w:tcPr>
            <w:tcW w:w="1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i/>
                <w:sz w:val="18"/>
              </w:rPr>
            </w:pPr>
            <w:r>
              <w:rPr>
                <w:rFonts w:ascii="Times New Roman;serif" w:hAnsi="Times New Roman;serif"/>
                <w:b/>
                <w:i/>
                <w:sz w:val="18"/>
              </w:rPr>
              <w:t>Significant Assumptions</w:t>
            </w:r>
          </w:p>
        </w:tc>
        <w:tc>
          <w:tcPr>
            <w:tcW w:w="1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Volatility</w:t>
            </w:r>
          </w:p>
        </w:tc>
        <w:tc>
          <w:tcPr>
            <w:tcW w:w="13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71.66% - 76.66%</w:t>
            </w:r>
          </w:p>
        </w:tc>
        <w:tc>
          <w:tcPr>
            <w:tcW w:w="146" w:type="dxa"/>
            <w:tcBorders/>
            <w:vAlign w:val="center"/>
          </w:tcPr>
          <w:p>
            <w:pPr>
              <w:pStyle w:val="TableContents"/>
              <w:bidi w:val="0"/>
              <w:spacing w:before="0" w:after="0"/>
              <w:ind w:left="0" w:right="0" w:hanging="0"/>
              <w:jc w:val="center"/>
              <w:rPr/>
            </w:pPr>
            <w:r>
              <w:rPr/>
              <w:t> </w:t>
            </w:r>
          </w:p>
        </w:tc>
        <w:tc>
          <w:tcPr>
            <w:tcW w:w="141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70.44% - 78.21%</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Remaining Term</w:t>
            </w:r>
          </w:p>
        </w:tc>
        <w:tc>
          <w:tcPr>
            <w:tcW w:w="136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0.9</w:t>
            </w:r>
            <w:r>
              <w:rPr>
                <w:rFonts w:ascii="Times New Roman" w:hAnsi="Times New Roman"/>
                <w:sz w:val="20"/>
              </w:rPr>
              <w:t> </w:t>
            </w:r>
            <w:r>
              <w:rPr>
                <w:rFonts w:ascii="Times New Roman;serif" w:hAnsi="Times New Roman;serif"/>
                <w:b w:val="false"/>
                <w:sz w:val="18"/>
              </w:rPr>
              <w:t>- 1.9</w:t>
            </w:r>
            <w:r>
              <w:rPr>
                <w:rFonts w:ascii="Times New Roman" w:hAnsi="Times New Roman"/>
                <w:sz w:val="20"/>
              </w:rPr>
              <w:t> </w:t>
            </w:r>
            <w:r>
              <w:rPr>
                <w:rFonts w:ascii="Times New Roman;serif" w:hAnsi="Times New Roman;serif"/>
                <w:b w:val="false"/>
                <w:sz w:val="18"/>
              </w:rPr>
              <w:t>years</w:t>
            </w:r>
          </w:p>
        </w:tc>
        <w:tc>
          <w:tcPr>
            <w:tcW w:w="146" w:type="dxa"/>
            <w:tcBorders/>
            <w:vAlign w:val="center"/>
          </w:tcPr>
          <w:p>
            <w:pPr>
              <w:pStyle w:val="TableContents"/>
              <w:bidi w:val="0"/>
              <w:spacing w:before="0" w:after="0"/>
              <w:ind w:left="0" w:right="0" w:hanging="0"/>
              <w:jc w:val="center"/>
              <w:rPr/>
            </w:pPr>
            <w:r>
              <w:rPr/>
              <w:t> </w:t>
            </w:r>
          </w:p>
        </w:tc>
        <w:tc>
          <w:tcPr>
            <w:tcW w:w="141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1.39</w:t>
            </w:r>
            <w:r>
              <w:rPr>
                <w:rFonts w:ascii="Times New Roman" w:hAnsi="Times New Roman"/>
                <w:sz w:val="20"/>
              </w:rPr>
              <w:t> </w:t>
            </w:r>
            <w:r>
              <w:rPr>
                <w:rFonts w:ascii="Times New Roman;serif" w:hAnsi="Times New Roman;serif"/>
                <w:b w:val="false"/>
                <w:sz w:val="18"/>
              </w:rPr>
              <w:t>- 2.39</w:t>
            </w:r>
            <w:r>
              <w:rPr>
                <w:rFonts w:ascii="Times New Roman" w:hAnsi="Times New Roman"/>
                <w:sz w:val="20"/>
              </w:rPr>
              <w:t> </w:t>
            </w:r>
            <w:r>
              <w:rPr>
                <w:rFonts w:ascii="Times New Roman;serif" w:hAnsi="Times New Roman;serif"/>
                <w:b w:val="false"/>
                <w:sz w:val="18"/>
              </w:rPr>
              <w:t>years</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Risk Free Rate</w:t>
            </w:r>
          </w:p>
        </w:tc>
        <w:tc>
          <w:tcPr>
            <w:tcW w:w="13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4.54%</w:t>
            </w:r>
          </w:p>
        </w:tc>
        <w:tc>
          <w:tcPr>
            <w:tcW w:w="146" w:type="dxa"/>
            <w:tcBorders/>
            <w:vAlign w:val="center"/>
          </w:tcPr>
          <w:p>
            <w:pPr>
              <w:pStyle w:val="TableContents"/>
              <w:bidi w:val="0"/>
              <w:spacing w:before="0" w:after="0"/>
              <w:ind w:left="0" w:right="0" w:hanging="0"/>
              <w:jc w:val="center"/>
              <w:rPr/>
            </w:pPr>
            <w:r>
              <w:rPr/>
              <w:t> </w:t>
            </w:r>
          </w:p>
        </w:tc>
        <w:tc>
          <w:tcPr>
            <w:tcW w:w="141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3.82% - 4.07%</w:t>
            </w:r>
          </w:p>
        </w:tc>
      </w:tr>
    </w:tbl>
    <w:p>
      <w:pPr>
        <w:pStyle w:val="TextBody"/>
        <w:bidi w:val="0"/>
        <w:spacing w:before="4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8. WARRANTS</w:t>
      </w:r>
      <w:r>
        <w:rPr>
          <w:rFonts w:ascii="Times New Roman" w:hAnsi="Times New Roman"/>
          <w:sz w:val="20"/>
        </w:rPr>
        <w:t xml:space="preserve"> </w:t>
      </w:r>
      <w:r>
        <w:rPr>
          <w:rFonts w:ascii="Times New Roman;serif" w:hAnsi="Times New Roman;serif"/>
          <w:b w:val="false"/>
          <w:i/>
          <w:sz w:val="20"/>
        </w:rPr>
        <w:t>(Continued)</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(b) Equity Classified Warrants Outstanding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Company's equity classified warrants were recorded at fair value at each respective date of issuance. Equity classified warrants are not remeasured at fair value on a recurring basis and are carried at their issuance date fair value. The following table summarizes the carrying amounts of the Company's equity classified warrants at</w:t>
      </w:r>
      <w:r>
        <w:rPr>
          <w:rFonts w:ascii="Times New Roman" w:hAnsi="Times New Roman"/>
          <w:sz w:val="20"/>
        </w:rPr>
        <w:t xml:space="preserve"> </w:t>
      </w:r>
      <w:r>
        <w:rPr>
          <w:rFonts w:ascii="Times New Roman;serif" w:hAnsi="Times New Roman;serif"/>
          <w:b w:val="false"/>
          <w:sz w:val="20"/>
        </w:rPr>
        <w:t xml:space="preserve">June 30, 2023 and December 31, 2022: </w:t>
      </w:r>
    </w:p>
    <w:p>
      <w:pPr>
        <w:pStyle w:val="TextBody"/>
        <w:bidi w:val="0"/>
        <w:spacing w:before="0" w:after="0"/>
        <w:jc w:val="left"/>
        <w:rPr/>
      </w:pPr>
      <w:r>
        <w:rPr/>
        <w:t> </w:t>
      </w:r>
    </w:p>
    <w:tbl>
      <w:tblPr>
        <w:tblW w:w="9295" w:type="dxa"/>
        <w:jc w:val="left"/>
        <w:tblInd w:w="0" w:type="dxa"/>
        <w:tblLayout w:type="fixed"/>
        <w:tblCellMar>
          <w:top w:w="28" w:type="dxa"/>
          <w:left w:w="28" w:type="dxa"/>
          <w:bottom w:w="28" w:type="dxa"/>
          <w:right w:w="28" w:type="dxa"/>
        </w:tblCellMar>
      </w:tblPr>
      <w:tblGrid>
        <w:gridCol w:w="4351"/>
        <w:gridCol w:w="274"/>
        <w:gridCol w:w="716"/>
        <w:gridCol w:w="146"/>
        <w:gridCol w:w="146"/>
        <w:gridCol w:w="162"/>
        <w:gridCol w:w="919"/>
        <w:gridCol w:w="146"/>
        <w:gridCol w:w="229"/>
        <w:gridCol w:w="704"/>
        <w:gridCol w:w="171"/>
        <w:gridCol w:w="280"/>
        <w:gridCol w:w="860"/>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Issuance 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Warrants</w:t>
            </w:r>
          </w:p>
        </w:tc>
        <w:tc>
          <w:tcPr>
            <w:tcW w:w="146" w:type="dxa"/>
            <w:tcBorders/>
            <w:vAlign w:val="center"/>
          </w:tcPr>
          <w:p>
            <w:pPr>
              <w:pStyle w:val="TableContents"/>
              <w:bidi w:val="0"/>
              <w:spacing w:before="0" w:after="0"/>
              <w:ind w:left="0" w:right="0" w:hanging="0"/>
              <w:jc w:val="center"/>
              <w:rPr/>
            </w:pPr>
            <w:r>
              <w:rPr/>
              <w:t> </w:t>
            </w:r>
          </w:p>
        </w:tc>
        <w:tc>
          <w:tcPr>
            <w:tcW w:w="933"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w:t>
            </w:r>
          </w:p>
        </w:tc>
        <w:tc>
          <w:tcPr>
            <w:tcW w:w="171"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i/>
                <w:sz w:val="18"/>
              </w:rPr>
            </w:pPr>
            <w:r>
              <w:rPr>
                <w:rFonts w:ascii="Times New Roman;serif" w:hAnsi="Times New Roman;serif"/>
                <w:b/>
                <w:i/>
                <w:sz w:val="18"/>
              </w:rPr>
              <w:t>Warrants Included in Contributed Surplus</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Strike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Mortgage Warrants Issued June 2020</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35,000</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17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w:t>
            </w:r>
          </w:p>
        </w:tc>
        <w:tc>
          <w:tcPr>
            <w:tcW w:w="19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Private Placement Refinance Warrants Issued April 2021</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1,459,044</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22,259</w:t>
            </w:r>
          </w:p>
        </w:tc>
        <w:tc>
          <w:tcPr>
            <w:tcW w:w="17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22,259</w:t>
            </w:r>
          </w:p>
        </w:tc>
        <w:tc>
          <w:tcPr>
            <w:tcW w:w="19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Private Placement Refinance Warrants Issued October 2021</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243,303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2,616</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2,616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Totals</w:t>
            </w:r>
          </w:p>
        </w:tc>
        <w:tc>
          <w:tcPr>
            <w:tcW w:w="99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1,737,347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25,056</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8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25,056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equity warrants were valued as of the date of issuance using a Black Scholes Option Pricing model. The following table summarizes the significant assumptions used in determining the fair value of the warrants as of each respective issuance date: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16"/>
        <w:gridCol w:w="2933"/>
        <w:gridCol w:w="146"/>
        <w:gridCol w:w="2933"/>
        <w:gridCol w:w="2377"/>
      </w:tblGrid>
      <w:tr>
        <w:trPr/>
        <w:tc>
          <w:tcPr>
            <w:tcW w:w="1816"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rFonts w:ascii="Times New Roman;serif" w:hAnsi="Times New Roman;serif"/>
                <w:b/>
                <w:i/>
                <w:sz w:val="18"/>
              </w:rPr>
            </w:pPr>
            <w:r>
              <w:rPr>
                <w:rFonts w:ascii="Times New Roman;serif" w:hAnsi="Times New Roman;serif"/>
                <w:b/>
                <w:i/>
                <w:sz w:val="18"/>
              </w:rPr>
              <w:t>Significant Assumptions</w:t>
            </w:r>
          </w:p>
        </w:tc>
        <w:tc>
          <w:tcPr>
            <w:tcW w:w="29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Private Placement Refinancing Warrants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Private Placement Refinancing Warrants</w:t>
            </w:r>
          </w:p>
        </w:tc>
        <w:tc>
          <w:tcPr>
            <w:tcW w:w="2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Dispensary Mortgage Warrants</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Date of Issuance</w:t>
            </w:r>
          </w:p>
        </w:tc>
        <w:tc>
          <w:tcPr>
            <w:tcW w:w="2933"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October 15, 2021</w:t>
            </w:r>
          </w:p>
        </w:tc>
        <w:tc>
          <w:tcPr>
            <w:tcW w:w="146" w:type="dxa"/>
            <w:tcBorders/>
            <w:vAlign w:val="center"/>
          </w:tcPr>
          <w:p>
            <w:pPr>
              <w:pStyle w:val="TableContents"/>
              <w:bidi w:val="0"/>
              <w:spacing w:before="0" w:after="0"/>
              <w:ind w:left="0" w:right="0" w:hanging="0"/>
              <w:jc w:val="left"/>
              <w:rPr/>
            </w:pPr>
            <w:r>
              <w:rPr/>
              <w:t> </w:t>
            </w:r>
          </w:p>
        </w:tc>
        <w:tc>
          <w:tcPr>
            <w:tcW w:w="2933"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30, 2021</w:t>
            </w:r>
          </w:p>
        </w:tc>
        <w:tc>
          <w:tcPr>
            <w:tcW w:w="2377"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June 5, 2020</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Volatility</w:t>
            </w:r>
          </w:p>
        </w:tc>
        <w:tc>
          <w:tcPr>
            <w:tcW w:w="2933"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73%</w:t>
            </w:r>
          </w:p>
        </w:tc>
        <w:tc>
          <w:tcPr>
            <w:tcW w:w="146" w:type="dxa"/>
            <w:tcBorders/>
            <w:vAlign w:val="center"/>
          </w:tcPr>
          <w:p>
            <w:pPr>
              <w:pStyle w:val="TableContents"/>
              <w:bidi w:val="0"/>
              <w:spacing w:before="0" w:after="0"/>
              <w:ind w:left="0" w:right="0" w:hanging="0"/>
              <w:jc w:val="center"/>
              <w:rPr/>
            </w:pPr>
            <w:r>
              <w:rPr/>
              <w:t> </w:t>
            </w:r>
          </w:p>
        </w:tc>
        <w:tc>
          <w:tcPr>
            <w:tcW w:w="2933"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73%</w:t>
            </w:r>
          </w:p>
        </w:tc>
        <w:tc>
          <w:tcPr>
            <w:tcW w:w="2377"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80%</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Estimated Term</w:t>
            </w:r>
          </w:p>
        </w:tc>
        <w:tc>
          <w:tcPr>
            <w:tcW w:w="293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4</w:t>
            </w:r>
            <w:r>
              <w:rPr>
                <w:rFonts w:ascii="Times New Roman" w:hAnsi="Times New Roman"/>
                <w:sz w:val="20"/>
              </w:rPr>
              <w:t> </w:t>
            </w:r>
            <w:r>
              <w:rPr>
                <w:rFonts w:ascii="Times New Roman;serif" w:hAnsi="Times New Roman;serif"/>
                <w:b w:val="false"/>
                <w:sz w:val="18"/>
              </w:rPr>
              <w:t>years</w:t>
            </w:r>
          </w:p>
        </w:tc>
        <w:tc>
          <w:tcPr>
            <w:tcW w:w="146" w:type="dxa"/>
            <w:tcBorders/>
            <w:vAlign w:val="center"/>
          </w:tcPr>
          <w:p>
            <w:pPr>
              <w:pStyle w:val="TableContents"/>
              <w:bidi w:val="0"/>
              <w:spacing w:before="0" w:after="0"/>
              <w:ind w:left="0" w:right="0" w:hanging="0"/>
              <w:jc w:val="center"/>
              <w:rPr/>
            </w:pPr>
            <w:r>
              <w:rPr/>
              <w:t> </w:t>
            </w:r>
          </w:p>
        </w:tc>
        <w:tc>
          <w:tcPr>
            <w:tcW w:w="293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4</w:t>
            </w:r>
            <w:r>
              <w:rPr>
                <w:rFonts w:ascii="Times New Roman" w:hAnsi="Times New Roman"/>
                <w:sz w:val="20"/>
              </w:rPr>
              <w:t> </w:t>
            </w:r>
            <w:r>
              <w:rPr>
                <w:rFonts w:ascii="Times New Roman;serif" w:hAnsi="Times New Roman;serif"/>
                <w:b w:val="false"/>
                <w:sz w:val="18"/>
              </w:rPr>
              <w:t>years</w:t>
            </w:r>
          </w:p>
        </w:tc>
        <w:tc>
          <w:tcPr>
            <w:tcW w:w="2377"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5</w:t>
            </w:r>
            <w:r>
              <w:rPr>
                <w:rFonts w:ascii="Times New Roman" w:hAnsi="Times New Roman"/>
                <w:sz w:val="20"/>
              </w:rPr>
              <w:t> </w:t>
            </w:r>
            <w:r>
              <w:rPr>
                <w:rFonts w:ascii="Times New Roman;serif" w:hAnsi="Times New Roman;serif"/>
                <w:b w:val="false"/>
                <w:sz w:val="18"/>
              </w:rPr>
              <w:t>years</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Risk Free Rate</w:t>
            </w:r>
          </w:p>
        </w:tc>
        <w:tc>
          <w:tcPr>
            <w:tcW w:w="2933"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1.12%</w:t>
            </w:r>
          </w:p>
        </w:tc>
        <w:tc>
          <w:tcPr>
            <w:tcW w:w="146" w:type="dxa"/>
            <w:tcBorders/>
            <w:vAlign w:val="center"/>
          </w:tcPr>
          <w:p>
            <w:pPr>
              <w:pStyle w:val="TableContents"/>
              <w:bidi w:val="0"/>
              <w:spacing w:before="0" w:after="0"/>
              <w:ind w:left="0" w:right="0" w:hanging="0"/>
              <w:jc w:val="center"/>
              <w:rPr/>
            </w:pPr>
            <w:r>
              <w:rPr/>
              <w:t> </w:t>
            </w:r>
          </w:p>
        </w:tc>
        <w:tc>
          <w:tcPr>
            <w:tcW w:w="2933"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0.74%</w:t>
            </w:r>
          </w:p>
        </w:tc>
        <w:tc>
          <w:tcPr>
            <w:tcW w:w="2377"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0.37%</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9. SHARE CAPITAL</w:t>
      </w:r>
    </w:p>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Standards Codification (</w:t>
      </w:r>
      <w:r>
        <w:rPr>
          <w:rFonts w:ascii="Times New Roman" w:hAnsi="Times New Roman"/>
          <w:sz w:val="20"/>
        </w:rPr>
        <w:t>“</w:t>
      </w:r>
      <w:r>
        <w:rPr>
          <w:rFonts w:ascii="Times New Roman;serif" w:hAnsi="Times New Roman;serif"/>
          <w:b w:val="false"/>
          <w:sz w:val="20"/>
        </w:rPr>
        <w:t>ASC</w:t>
      </w:r>
      <w:r>
        <w:rPr>
          <w:rFonts w:ascii="Times New Roman" w:hAnsi="Times New Roman"/>
          <w:sz w:val="20"/>
        </w:rPr>
        <w:t>”</w:t>
      </w:r>
      <w:r>
        <w:rPr>
          <w:rFonts w:ascii="Times New Roman;serif" w:hAnsi="Times New Roman;serif"/>
          <w:b w:val="false"/>
          <w:sz w:val="20"/>
        </w:rPr>
        <w:t xml:space="preserve">) 740, </w:t>
      </w:r>
      <w:r>
        <w:rPr>
          <w:rFonts w:ascii="Times New Roman;serif" w:hAnsi="Times New Roman;serif"/>
          <w:b w:val="false"/>
          <w:i/>
          <w:sz w:val="20"/>
        </w:rPr>
        <w:t>Income Taxes</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(a) Authorized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the following classes of share capital, with each class having no par value: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(i) Subordinate Voting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w:t>
      </w:r>
      <w:r>
        <w:rPr>
          <w:rFonts w:ascii="Times New Roman" w:hAnsi="Times New Roman"/>
          <w:sz w:val="20"/>
        </w:rPr>
        <w:t xml:space="preserve"> </w:t>
      </w:r>
      <w:r>
        <w:rPr>
          <w:rFonts w:ascii="Times New Roman;serif" w:hAnsi="Times New Roman;serif"/>
          <w:b w:val="false"/>
          <w:sz w:val="20"/>
        </w:rPr>
        <w:t>par value Subordinate Voting Shares.</w:t>
      </w:r>
    </w:p>
    <w:p>
      <w:pPr>
        <w:pStyle w:val="TextBody"/>
        <w:bidi w:val="0"/>
        <w:spacing w:before="120" w:after="0"/>
        <w:jc w:val="left"/>
        <w:rPr>
          <w:rFonts w:ascii="Times New Roman" w:hAnsi="Times New Roman"/>
          <w:sz w:val="20"/>
        </w:rPr>
      </w:pPr>
      <w:r>
        <w:rPr>
          <w:rFonts w:ascii="Times New Roman;serif" w:hAnsi="Times New Roman;serif"/>
          <w:b/>
          <w:sz w:val="20"/>
        </w:rPr>
        <w:t>(ii) Multiple Voting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Each Multiple Voting Share is entitled to 100</w:t>
      </w:r>
      <w:r>
        <w:rPr>
          <w:rFonts w:ascii="Times New Roman" w:hAnsi="Times New Roman"/>
          <w:sz w:val="20"/>
        </w:rPr>
        <w:t xml:space="preserve"> </w:t>
      </w:r>
      <w:r>
        <w:rPr>
          <w:rFonts w:ascii="Times New Roman;serif" w:hAnsi="Times New Roman;serif"/>
          <w:b w:val="false"/>
          <w:sz w:val="20"/>
        </w:rPr>
        <w:t>votes per share at shareholder meetings of the Company and is exchangeable for 100 Subordinate Voting Shares. At June 30, 2023, the Company had 38,531</w:t>
      </w:r>
      <w:r>
        <w:rPr>
          <w:rFonts w:ascii="Times New Roman" w:hAnsi="Times New Roman"/>
          <w:sz w:val="20"/>
        </w:rPr>
        <w:t xml:space="preserve"> </w:t>
      </w:r>
      <w:r>
        <w:rPr>
          <w:rFonts w:ascii="Times New Roman;serif" w:hAnsi="Times New Roman;serif"/>
          <w:b w:val="false"/>
          <w:sz w:val="20"/>
        </w:rPr>
        <w:t>issued and outstanding Multiple Voting Shares, which convert into 3,853,100</w:t>
      </w:r>
      <w:r>
        <w:rPr>
          <w:rFonts w:ascii="Times New Roman" w:hAnsi="Times New Roman"/>
          <w:sz w:val="20"/>
        </w:rPr>
        <w:t xml:space="preserve"> </w:t>
      </w:r>
      <w:r>
        <w:rPr>
          <w:rFonts w:ascii="Times New Roman;serif" w:hAnsi="Times New Roman;serif"/>
          <w:b w:val="false"/>
          <w:sz w:val="20"/>
        </w:rPr>
        <w:t>Subordinate Voting Shares. The Company is authorized to issue an unlimited number of Multiple Voting Shares.</w:t>
      </w:r>
    </w:p>
    <w:p>
      <w:pPr>
        <w:pStyle w:val="TextBody"/>
        <w:bidi w:val="0"/>
        <w:spacing w:before="120" w:after="0"/>
        <w:jc w:val="left"/>
        <w:rPr>
          <w:rFonts w:ascii="Times New Roman" w:hAnsi="Times New Roman"/>
          <w:sz w:val="20"/>
        </w:rPr>
      </w:pPr>
      <w:r>
        <w:rPr>
          <w:rFonts w:ascii="Times New Roman;serif" w:hAnsi="Times New Roman;serif"/>
          <w:b/>
          <w:sz w:val="20"/>
        </w:rPr>
        <w:t>(iii) Super Voting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Each Super Voting Share is entitled to 1,000</w:t>
      </w:r>
      <w:r>
        <w:rPr>
          <w:rFonts w:ascii="Times New Roman" w:hAnsi="Times New Roman"/>
          <w:sz w:val="20"/>
        </w:rPr>
        <w:t xml:space="preserve"> </w:t>
      </w:r>
      <w:r>
        <w:rPr>
          <w:rFonts w:ascii="Times New Roman;serif" w:hAnsi="Times New Roman;serif"/>
          <w:b w:val="false"/>
          <w:sz w:val="20"/>
        </w:rPr>
        <w:t>votes per share at shareholder meetings of the Company and is exchangeable for 100 Subordinate Voting Shares or one Multiple Voting Share. At June 30, 2023, the Company had 251,690</w:t>
      </w:r>
      <w:r>
        <w:rPr>
          <w:rFonts w:ascii="Times New Roman" w:hAnsi="Times New Roman"/>
          <w:sz w:val="20"/>
        </w:rPr>
        <w:t xml:space="preserve"> </w:t>
      </w:r>
      <w:r>
        <w:rPr>
          <w:rFonts w:ascii="Times New Roman;serif" w:hAnsi="Times New Roman;serif"/>
          <w:b w:val="false"/>
          <w:sz w:val="20"/>
        </w:rPr>
        <w:t>issued and outstanding Super Voting Shares which convert into 25,169,000</w:t>
      </w:r>
      <w:r>
        <w:rPr>
          <w:rFonts w:ascii="Times New Roman" w:hAnsi="Times New Roman"/>
          <w:sz w:val="20"/>
        </w:rPr>
        <w:t xml:space="preserve"> </w:t>
      </w:r>
      <w:r>
        <w:rPr>
          <w:rFonts w:ascii="Times New Roman;serif" w:hAnsi="Times New Roman;serif"/>
          <w:b w:val="false"/>
          <w:sz w:val="20"/>
        </w:rPr>
        <w:t>Subordinate Voting Shares. The Company is authorized to issue an unlimited number of Super Voting Shares.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(b) Issued and Outstanding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reconciliation of the beginning and ending amounts of the issued and outstanding shares by class is as follows:</w:t>
      </w:r>
      <w:r>
        <w:rPr>
          <w:rFonts w:ascii="Times New Roman" w:hAnsi="Times New Roman"/>
          <w:sz w:val="20"/>
        </w:rPr>
        <w:t xml:space="preserve"> </w:t>
      </w:r>
    </w:p>
    <w:p>
      <w:pPr>
        <w:pStyle w:val="TextBody"/>
        <w:bidi w:val="0"/>
        <w:spacing w:before="120" w:after="0"/>
        <w:jc w:val="left"/>
        <w:rPr/>
      </w:pPr>
      <w:r>
        <w:rPr/>
        <w:t> </w:t>
      </w:r>
    </w:p>
    <w:tbl>
      <w:tblPr>
        <w:tblW w:w="6712" w:type="dxa"/>
        <w:jc w:val="left"/>
        <w:tblInd w:w="0" w:type="dxa"/>
        <w:tblLayout w:type="fixed"/>
        <w:tblCellMar>
          <w:top w:w="28" w:type="dxa"/>
          <w:left w:w="28" w:type="dxa"/>
          <w:bottom w:w="28" w:type="dxa"/>
          <w:right w:w="28" w:type="dxa"/>
        </w:tblCellMar>
      </w:tblPr>
      <w:tblGrid>
        <w:gridCol w:w="3601"/>
        <w:gridCol w:w="146"/>
        <w:gridCol w:w="1141"/>
        <w:gridCol w:w="146"/>
        <w:gridCol w:w="706"/>
        <w:gridCol w:w="146"/>
        <w:gridCol w:w="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65"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Issued and Outstanding</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Subordinate</w:t>
              <w:br/>
              <w:t>Voting</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Multiple</w:t>
              <w:br/>
              <w:t>Voting</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Super</w:t>
              <w:br/>
              <w:t>Voting</w:t>
              <w:br/>
              <w:t>Shares</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 at January 1, 2023</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206,991,275</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38,531</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251,690</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Distribution of contingent consideration</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822,447</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Distribution of deferred shares</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680,089</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upon exercise of options</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130,508</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Issuances of shares upon vesting of RSUs</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351,721</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 at June 30, 2023</w:t>
            </w:r>
          </w:p>
        </w:tc>
        <w:tc>
          <w:tcPr>
            <w:tcW w:w="146" w:type="dxa"/>
            <w:tcBorders/>
            <w:vAlign w:val="center"/>
          </w:tcPr>
          <w:p>
            <w:pPr>
              <w:pStyle w:val="TableContents"/>
              <w:bidi w:val="0"/>
              <w:spacing w:before="0" w:after="0"/>
              <w:ind w:left="0" w:right="0" w:hanging="0"/>
              <w:jc w:val="left"/>
              <w:rPr/>
            </w:pPr>
            <w:r>
              <w:rPr/>
              <w:t> </w:t>
            </w:r>
          </w:p>
        </w:tc>
        <w:tc>
          <w:tcPr>
            <w:tcW w:w="11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208,976,040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70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38,531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82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251,690</w:t>
            </w:r>
          </w:p>
        </w:tc>
      </w:tr>
    </w:tbl>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 xml:space="preserve">9. SHARE CAPITAL </w:t>
      </w:r>
      <w:r>
        <w:rPr>
          <w:rFonts w:ascii="Times New Roman;serif" w:hAnsi="Times New Roman;serif"/>
          <w:b w:val="false"/>
          <w:i/>
          <w:sz w:val="20"/>
        </w:rPr>
        <w:t>(Continued)</w:t>
      </w:r>
    </w:p>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(b) Issued and Outstanding</w:t>
      </w:r>
      <w:r>
        <w:rPr>
          <w:rFonts w:ascii="Times New Roman" w:hAnsi="Times New Roman"/>
          <w:sz w:val="20"/>
        </w:rPr>
        <w:t xml:space="preserve"> </w:t>
      </w:r>
      <w:r>
        <w:rPr>
          <w:rFonts w:ascii="Times New Roman;serif" w:hAnsi="Times New Roman;serif"/>
          <w:b w:val="false"/>
          <w:i/>
          <w:sz w:val="20"/>
        </w:rPr>
        <w:t>(Continued)</w:t>
      </w:r>
    </w:p>
    <w:p>
      <w:pPr>
        <w:pStyle w:val="TextBody"/>
        <w:bidi w:val="0"/>
        <w:spacing w:before="120" w:after="0"/>
        <w:jc w:val="left"/>
        <w:rPr>
          <w:rFonts w:ascii="Times New Roman" w:hAnsi="Times New Roman"/>
          <w:sz w:val="20"/>
        </w:rPr>
      </w:pPr>
      <w:r>
        <w:rPr>
          <w:rFonts w:ascii="Times New Roman;serif" w:hAnsi="Times New Roman;serif"/>
          <w:b/>
          <w:sz w:val="20"/>
        </w:rPr>
        <w:t>(i) Distribution of Deferred Shares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the consideration exchanged for certain acquisitions completed throughout 2021, the Company deferred the distribution of Subordinate Voting Shares to secure the Company's indemnification rights associated with post-acquisition costs. The following table summarizes the activity during the six months ended June 30, 2023:</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510"/>
        <w:gridCol w:w="1648"/>
        <w:gridCol w:w="1394"/>
        <w:gridCol w:w="1289"/>
        <w:gridCol w:w="1364"/>
      </w:tblGrid>
      <w:tr>
        <w:trPr/>
        <w:tc>
          <w:tcPr>
            <w:tcW w:w="451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4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Related Acquisition</w:t>
            </w:r>
          </w:p>
        </w:tc>
        <w:tc>
          <w:tcPr>
            <w:tcW w:w="16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at December 31, 2022</w:t>
            </w:r>
          </w:p>
        </w:tc>
        <w:tc>
          <w:tcPr>
            <w:tcW w:w="1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Distributed Shares</w:t>
            </w:r>
          </w:p>
        </w:tc>
        <w:tc>
          <w:tcPr>
            <w:tcW w:w="1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Cancelled Shares</w:t>
            </w:r>
          </w:p>
        </w:tc>
        <w:tc>
          <w:tcPr>
            <w:tcW w:w="1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at June 30, 2023</w:t>
            </w:r>
          </w:p>
        </w:tc>
      </w:tr>
      <w:tr>
        <w:trPr/>
        <w:tc>
          <w:tcPr>
            <w:tcW w:w="4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Liberty Compassion, Inc.</w:t>
            </w:r>
          </w:p>
        </w:tc>
        <w:tc>
          <w:tcPr>
            <w:tcW w:w="1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214,768</w:t>
            </w:r>
          </w:p>
        </w:tc>
        <w:tc>
          <w:tcPr>
            <w:tcW w:w="1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(214,768)</w:t>
            </w:r>
          </w:p>
        </w:tc>
        <w:tc>
          <w:tcPr>
            <w:tcW w:w="1289" w:type="dxa"/>
            <w:tcBorders/>
            <w:vAlign w:val="center"/>
          </w:tcPr>
          <w:p>
            <w:pPr>
              <w:pStyle w:val="TableContents"/>
              <w:bidi w:val="0"/>
              <w:spacing w:before="0" w:after="0"/>
              <w:ind w:left="0" w:right="0" w:hanging="0"/>
              <w:jc w:val="right"/>
              <w:rPr/>
            </w:pPr>
            <w:r>
              <w:rPr/>
              <w:t>—</w:t>
            </w:r>
          </w:p>
        </w:tc>
        <w:tc>
          <w:tcPr>
            <w:tcW w:w="1364" w:type="dxa"/>
            <w:tcBorders/>
            <w:vAlign w:val="center"/>
          </w:tcPr>
          <w:p>
            <w:pPr>
              <w:pStyle w:val="TableContents"/>
              <w:bidi w:val="0"/>
              <w:spacing w:before="0" w:after="0"/>
              <w:ind w:left="0" w:right="0" w:hanging="0"/>
              <w:jc w:val="right"/>
              <w:rPr/>
            </w:pPr>
            <w:r>
              <w:rPr/>
              <w:t>—</w:t>
            </w:r>
          </w:p>
        </w:tc>
      </w:tr>
      <w:tr>
        <w:trPr/>
        <w:tc>
          <w:tcPr>
            <w:tcW w:w="4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Dharma Pharmaceuticals, LLC</w:t>
            </w:r>
          </w:p>
        </w:tc>
        <w:tc>
          <w:tcPr>
            <w:tcW w:w="1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229,878</w:t>
            </w:r>
          </w:p>
        </w:tc>
        <w:tc>
          <w:tcPr>
            <w:tcW w:w="1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(229,878)</w:t>
            </w:r>
          </w:p>
        </w:tc>
        <w:tc>
          <w:tcPr>
            <w:tcW w:w="1289" w:type="dxa"/>
            <w:tcBorders/>
            <w:vAlign w:val="center"/>
          </w:tcPr>
          <w:p>
            <w:pPr>
              <w:pStyle w:val="TableContents"/>
              <w:bidi w:val="0"/>
              <w:spacing w:before="0" w:after="0"/>
              <w:ind w:left="0" w:right="0" w:hanging="0"/>
              <w:jc w:val="right"/>
              <w:rPr/>
            </w:pPr>
            <w:r>
              <w:rPr/>
              <w:t>—</w:t>
            </w:r>
          </w:p>
        </w:tc>
        <w:tc>
          <w:tcPr>
            <w:tcW w:w="1364" w:type="dxa"/>
            <w:tcBorders/>
            <w:vAlign w:val="center"/>
          </w:tcPr>
          <w:p>
            <w:pPr>
              <w:pStyle w:val="TableContents"/>
              <w:bidi w:val="0"/>
              <w:spacing w:before="0" w:after="0"/>
              <w:ind w:left="0" w:right="0" w:hanging="0"/>
              <w:jc w:val="right"/>
              <w:rPr/>
            </w:pPr>
            <w:r>
              <w:rPr/>
              <w:t>—</w:t>
            </w:r>
          </w:p>
        </w:tc>
      </w:tr>
      <w:tr>
        <w:trPr/>
        <w:tc>
          <w:tcPr>
            <w:tcW w:w="4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Mobley Pain Management and Wellness Center, LLC and Canwell Processing, LLC</w:t>
            </w:r>
          </w:p>
        </w:tc>
        <w:tc>
          <w:tcPr>
            <w:tcW w:w="1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264,760</w:t>
            </w:r>
          </w:p>
        </w:tc>
        <w:tc>
          <w:tcPr>
            <w:tcW w:w="1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(12,305)</w:t>
            </w:r>
          </w:p>
        </w:tc>
        <w:tc>
          <w:tcPr>
            <w:tcW w:w="12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(84,122)</w:t>
            </w:r>
          </w:p>
        </w:tc>
        <w:tc>
          <w:tcPr>
            <w:tcW w:w="13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168,333</w:t>
            </w:r>
          </w:p>
        </w:tc>
      </w:tr>
      <w:tr>
        <w:trPr/>
        <w:tc>
          <w:tcPr>
            <w:tcW w:w="4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GreenStar Herbals, Inc.</w:t>
            </w:r>
          </w:p>
        </w:tc>
        <w:tc>
          <w:tcPr>
            <w:tcW w:w="1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161,306</w:t>
            </w:r>
          </w:p>
        </w:tc>
        <w:tc>
          <w:tcPr>
            <w:tcW w:w="1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(161,306)</w:t>
            </w:r>
          </w:p>
        </w:tc>
        <w:tc>
          <w:tcPr>
            <w:tcW w:w="1289" w:type="dxa"/>
            <w:tcBorders/>
            <w:vAlign w:val="center"/>
          </w:tcPr>
          <w:p>
            <w:pPr>
              <w:pStyle w:val="TableContents"/>
              <w:bidi w:val="0"/>
              <w:spacing w:before="0" w:after="0"/>
              <w:ind w:left="0" w:right="0" w:hanging="0"/>
              <w:jc w:val="right"/>
              <w:rPr/>
            </w:pPr>
            <w:r>
              <w:rPr/>
              <w:t>—</w:t>
            </w:r>
          </w:p>
        </w:tc>
        <w:tc>
          <w:tcPr>
            <w:tcW w:w="1364" w:type="dxa"/>
            <w:tcBorders/>
            <w:vAlign w:val="center"/>
          </w:tcPr>
          <w:p>
            <w:pPr>
              <w:pStyle w:val="TableContents"/>
              <w:bidi w:val="0"/>
              <w:spacing w:before="0" w:after="0"/>
              <w:ind w:left="0" w:right="0" w:hanging="0"/>
              <w:jc w:val="right"/>
              <w:rPr/>
            </w:pPr>
            <w:r>
              <w:rPr/>
              <w:t>—</w:t>
            </w:r>
          </w:p>
        </w:tc>
      </w:tr>
      <w:tr>
        <w:trPr/>
        <w:tc>
          <w:tcPr>
            <w:tcW w:w="4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Maryland Health and Wellness Center, Inc.</w:t>
            </w:r>
          </w:p>
        </w:tc>
        <w:tc>
          <w:tcPr>
            <w:tcW w:w="1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61,832</w:t>
            </w:r>
          </w:p>
        </w:tc>
        <w:tc>
          <w:tcPr>
            <w:tcW w:w="1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(61,832)</w:t>
            </w:r>
          </w:p>
        </w:tc>
        <w:tc>
          <w:tcPr>
            <w:tcW w:w="1289" w:type="dxa"/>
            <w:tcBorders/>
            <w:vAlign w:val="center"/>
          </w:tcPr>
          <w:p>
            <w:pPr>
              <w:pStyle w:val="TableContents"/>
              <w:bidi w:val="0"/>
              <w:spacing w:before="0" w:after="0"/>
              <w:ind w:left="0" w:right="0" w:hanging="0"/>
              <w:jc w:val="right"/>
              <w:rPr/>
            </w:pPr>
            <w:r>
              <w:rPr/>
              <w:t>—</w:t>
            </w:r>
          </w:p>
        </w:tc>
        <w:tc>
          <w:tcPr>
            <w:tcW w:w="1364" w:type="dxa"/>
            <w:tcBorders/>
            <w:vAlign w:val="center"/>
          </w:tcPr>
          <w:p>
            <w:pPr>
              <w:pStyle w:val="TableContents"/>
              <w:bidi w:val="0"/>
              <w:spacing w:before="0" w:after="0"/>
              <w:ind w:left="0" w:right="0" w:hanging="0"/>
              <w:jc w:val="right"/>
              <w:rPr/>
            </w:pPr>
            <w:r>
              <w:rPr/>
              <w:t>—</w:t>
            </w:r>
          </w:p>
        </w:tc>
      </w:tr>
      <w:tr>
        <w:trPr/>
        <w:tc>
          <w:tcPr>
            <w:tcW w:w="4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LeafLine Industries, LLC</w:t>
            </w:r>
          </w:p>
        </w:tc>
        <w:tc>
          <w:tcPr>
            <w:tcW w:w="16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386,002</w:t>
            </w:r>
          </w:p>
        </w:tc>
        <w:tc>
          <w:tcPr>
            <w:tcW w:w="1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386,002</w:t>
            </w:r>
          </w:p>
        </w:tc>
      </w:tr>
      <w:tr>
        <w:trPr/>
        <w:tc>
          <w:tcPr>
            <w:tcW w:w="45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6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1,318,546</w:t>
            </w:r>
          </w:p>
        </w:tc>
        <w:tc>
          <w:tcPr>
            <w:tcW w:w="1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(680,089)</w:t>
            </w:r>
          </w:p>
        </w:tc>
        <w:tc>
          <w:tcPr>
            <w:tcW w:w="1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(84,122)</w:t>
            </w:r>
          </w:p>
        </w:tc>
        <w:tc>
          <w:tcPr>
            <w:tcW w:w="1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554,335</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held deferred shares in the amount of $12,973</w:t>
      </w:r>
      <w:r>
        <w:rPr>
          <w:rFonts w:ascii="Times New Roman" w:hAnsi="Times New Roman"/>
          <w:sz w:val="20"/>
        </w:rPr>
        <w:t xml:space="preserve"> </w:t>
      </w:r>
      <w:r>
        <w:rPr>
          <w:rFonts w:ascii="Times New Roman;serif" w:hAnsi="Times New Roman;serif"/>
          <w:b w:val="false"/>
          <w:sz w:val="20"/>
        </w:rPr>
        <w:t>thousand and $36,211</w:t>
      </w:r>
      <w:r>
        <w:rPr>
          <w:rFonts w:ascii="Times New Roman" w:hAnsi="Times New Roman"/>
          <w:sz w:val="20"/>
        </w:rPr>
        <w:t xml:space="preserve"> </w:t>
      </w:r>
      <w:r>
        <w:rPr>
          <w:rFonts w:ascii="Times New Roman;serif" w:hAnsi="Times New Roman;serif"/>
          <w:b w:val="false"/>
          <w:sz w:val="20"/>
        </w:rPr>
        <w:t>thousand, respectively. In accordance with the relevant acquisition agreement, a portion of the outstanding deferred shares were cancelled in order to indemnify the Company for post-acquisition costs. As the cancellation of the deferred shares occurred outside of the measurement period, rather than an adjustment to the purchase price allocation, the Company recorded a gain of $2,784 thousand during the three and six months ended June 30, 2023. For the three and six months ended June 30, 2022, no such cancellations occurred.</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(ii) Distribution of Contingent Consideration</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Dharma Pharmaceuticals, LLC</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connection with the Company's 2021 acquisition of Dharma Pharmaceuticals, LLC (“Dharma”), the purchase agreement included contingent consideration of up to $65,000</w:t>
      </w:r>
      <w:r>
        <w:rPr>
          <w:rFonts w:ascii="Times New Roman" w:hAnsi="Times New Roman"/>
          <w:sz w:val="20"/>
        </w:rPr>
        <w:t xml:space="preserve"> </w:t>
      </w:r>
      <w:r>
        <w:rPr>
          <w:rFonts w:ascii="Times New Roman;serif" w:hAnsi="Times New Roman;serif"/>
          <w:b w:val="false"/>
          <w:sz w:val="20"/>
        </w:rPr>
        <w:t>thousand in Subordinate Voting Shares of Green Thumb, dependent upon the successful opening of up to five retail stores in the Virginia area within the first three years following the signing of the agreement and the legal sale of adult-use cannabis in a retail store by January 1, 2025. On June 1, 2023, the Company issued 822,447</w:t>
      </w:r>
      <w:r>
        <w:rPr>
          <w:rFonts w:ascii="Times New Roman" w:hAnsi="Times New Roman"/>
          <w:sz w:val="20"/>
        </w:rPr>
        <w:t xml:space="preserve"> </w:t>
      </w:r>
      <w:r>
        <w:rPr>
          <w:rFonts w:ascii="Times New Roman;serif" w:hAnsi="Times New Roman;serif"/>
          <w:b w:val="false"/>
          <w:sz w:val="20"/>
        </w:rPr>
        <w:t>Subordinate Voting Shares to the former owners of Dharma in connection with the successful opening of the fourth retail store in Virginia. The shares had a fair value of $6,070</w:t>
      </w:r>
      <w:r>
        <w:rPr>
          <w:rFonts w:ascii="Times New Roman" w:hAnsi="Times New Roman"/>
          <w:sz w:val="20"/>
        </w:rPr>
        <w:t xml:space="preserve"> </w:t>
      </w:r>
      <w:r>
        <w:rPr>
          <w:rFonts w:ascii="Times New Roman;serif" w:hAnsi="Times New Roman;serif"/>
          <w:b w:val="false"/>
          <w:sz w:val="20"/>
        </w:rPr>
        <w:t>thousand at the date of issuance. On June 28, 2023, the Company successfully opened a fifth retail store in Virginia. However, the shares associated with this achievement were not issued until July 2023. As the liability was no longer contingent upon a future event, the Company recorded an obligation of $6,000</w:t>
      </w:r>
      <w:r>
        <w:rPr>
          <w:rFonts w:ascii="Times New Roman" w:hAnsi="Times New Roman"/>
          <w:sz w:val="20"/>
        </w:rPr>
        <w:t xml:space="preserve"> </w:t>
      </w:r>
      <w:r>
        <w:rPr>
          <w:rFonts w:ascii="Times New Roman;serif" w:hAnsi="Times New Roman;serif"/>
          <w:b w:val="false"/>
          <w:sz w:val="20"/>
        </w:rPr>
        <w:t>thousand, within accrued liabilities on the Company's unaudited interim condensed consolidated balance sheets representing the fair value of the Subordinate Voting Shares to be issued.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 xml:space="preserve">9. SHARE CAPITAL </w:t>
      </w:r>
      <w:r>
        <w:rPr>
          <w:rFonts w:ascii="Times New Roman;serif" w:hAnsi="Times New Roman;serif"/>
          <w:b w:val="false"/>
          <w:i/>
          <w:sz w:val="20"/>
        </w:rPr>
        <w:t>(Continued)</w:t>
      </w:r>
    </w:p>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(c) 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2018, the Company established the Green Thumb Industries Inc. 2018 Stock and Incentive Plan, which was amended by Amendment No. 1 and Amendment No. 2 thereto (as amended, the “Plan”). The maximum number of Restricted Stock Units (“RSUs”) and options issued under the Plan shall not exceed 10% of the issued and outstanding shares on an as-converted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Option and RSU awards generally vest over three years, and options typically have a life of five to ten years. Option grants are determined by the Compensation Committee of the Company’s Board of Directors with the option price set at no less than 100% of the fair market value of a share on the date of grant.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Stock option activity is summarized as follows: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784"/>
        <w:gridCol w:w="1403"/>
        <w:gridCol w:w="2484"/>
        <w:gridCol w:w="3534"/>
      </w:tblGrid>
      <w:tr>
        <w:trPr/>
        <w:tc>
          <w:tcPr>
            <w:tcW w:w="27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2784" w:type="dxa"/>
            <w:tcBorders/>
            <w:vAlign w:val="center"/>
          </w:tcPr>
          <w:p>
            <w:pPr>
              <w:pStyle w:val="TableContents"/>
              <w:bidi w:val="0"/>
              <w:spacing w:before="0" w:after="0"/>
              <w:ind w:left="0" w:right="0" w:hanging="0"/>
              <w:jc w:val="left"/>
              <w:rPr/>
            </w:pPr>
            <w:r>
              <w:rPr/>
              <w:t> </w:t>
            </w:r>
          </w:p>
        </w:tc>
        <w:tc>
          <w:tcPr>
            <w:tcW w:w="1403"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248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353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Life</w:t>
            </w:r>
          </w:p>
        </w:tc>
      </w:tr>
      <w:tr>
        <w:trPr/>
        <w:tc>
          <w:tcPr>
            <w:tcW w:w="2784" w:type="dxa"/>
            <w:tcBorders/>
            <w:vAlign w:val="center"/>
          </w:tcPr>
          <w:p>
            <w:pPr>
              <w:pStyle w:val="TableContents"/>
              <w:bidi w:val="0"/>
              <w:spacing w:before="0" w:after="0"/>
              <w:ind w:left="0" w:right="0" w:hanging="0"/>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9,577,947</w:t>
            </w:r>
          </w:p>
        </w:tc>
        <w:tc>
          <w:tcPr>
            <w:tcW w:w="2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$12.71</w:t>
            </w:r>
          </w:p>
        </w:tc>
        <w:tc>
          <w:tcPr>
            <w:tcW w:w="35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2,172,481</w:t>
            </w:r>
          </w:p>
        </w:tc>
        <w:tc>
          <w:tcPr>
            <w:tcW w:w="2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7.75</w:t>
            </w:r>
          </w:p>
        </w:tc>
        <w:tc>
          <w:tcPr>
            <w:tcW w:w="35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(130,508)</w:t>
            </w:r>
          </w:p>
        </w:tc>
        <w:tc>
          <w:tcPr>
            <w:tcW w:w="2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3534" w:type="dxa"/>
            <w:tcBorders/>
            <w:vAlign w:val="center"/>
          </w:tcPr>
          <w:p>
            <w:pPr>
              <w:pStyle w:val="TableContents"/>
              <w:bidi w:val="0"/>
              <w:spacing w:before="0" w:after="0"/>
              <w:ind w:left="0" w:right="0" w:hanging="0"/>
              <w:jc w:val="righ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(745,869)</w:t>
            </w:r>
          </w:p>
        </w:tc>
        <w:tc>
          <w:tcPr>
            <w:tcW w:w="2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w:t>
            </w:r>
          </w:p>
        </w:tc>
        <w:tc>
          <w:tcPr>
            <w:tcW w:w="3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10,874,051</w:t>
            </w:r>
          </w:p>
        </w:tc>
        <w:tc>
          <w:tcPr>
            <w:tcW w:w="2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35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5,666,427</w:t>
            </w:r>
          </w:p>
        </w:tc>
        <w:tc>
          <w:tcPr>
            <w:tcW w:w="2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3534" w:type="dxa"/>
            <w:tcBorders/>
            <w:vAlign w:val="center"/>
          </w:tcPr>
          <w:p>
            <w:pPr>
              <w:pStyle w:val="TableContents"/>
              <w:bidi w:val="0"/>
              <w:spacing w:before="0" w:after="0"/>
              <w:ind w:left="0" w:right="0" w:hanging="0"/>
              <w:jc w:val="righ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of June 30, 2023</w:t>
            </w:r>
          </w:p>
        </w:tc>
        <w:tc>
          <w:tcPr>
            <w:tcW w:w="14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1,096,059</w:t>
            </w:r>
          </w:p>
        </w:tc>
        <w:tc>
          <w:tcPr>
            <w:tcW w:w="2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w:t>
            </w:r>
          </w:p>
        </w:tc>
        <w:tc>
          <w:tcPr>
            <w:tcW w:w="35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r>
    </w:tbl>
    <w:p>
      <w:pPr>
        <w:pStyle w:val="TextBody"/>
        <w:bidi w:val="0"/>
        <w:spacing w:before="4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used the Black-Scholes option pricing model to estimate the fair value of the options granted during the six months ended June 30, 2023 and the year ended December 31, 2022, using the following ranges of assumptions:</w:t>
      </w:r>
      <w:r>
        <w:rPr>
          <w:rFonts w:ascii="Times New Roman" w:hAnsi="Times New Roman"/>
          <w:sz w:val="20"/>
        </w:rPr>
        <w:t xml:space="preserve"> </w:t>
      </w:r>
    </w:p>
    <w:tbl>
      <w:tblPr>
        <w:tblW w:w="4788" w:type="dxa"/>
        <w:jc w:val="left"/>
        <w:tblInd w:w="0" w:type="dxa"/>
        <w:tblLayout w:type="fixed"/>
        <w:tblCellMar>
          <w:top w:w="28" w:type="dxa"/>
          <w:left w:w="28" w:type="dxa"/>
          <w:bottom w:w="28" w:type="dxa"/>
          <w:right w:w="28" w:type="dxa"/>
        </w:tblCellMar>
      </w:tblPr>
      <w:tblGrid>
        <w:gridCol w:w="2131"/>
        <w:gridCol w:w="1306"/>
        <w:gridCol w:w="1351"/>
      </w:tblGrid>
      <w:tr>
        <w:trPr/>
        <w:tc>
          <w:tcPr>
            <w:tcW w:w="213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3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r>
      <w:tr>
        <w:trPr/>
        <w:tc>
          <w:tcPr>
            <w:tcW w:w="2131" w:type="dxa"/>
            <w:tcBorders/>
            <w:vAlign w:val="center"/>
          </w:tcPr>
          <w:p>
            <w:pPr>
              <w:pStyle w:val="TableContents"/>
              <w:bidi w:val="0"/>
              <w:spacing w:before="0" w:after="0"/>
              <w:ind w:left="0" w:right="0" w:hanging="0"/>
              <w:jc w:val="lef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3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3.06% - 3.64%</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1.18% - 3.54%</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3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3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64%</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60% - 64%</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option life</w:t>
            </w:r>
          </w:p>
        </w:tc>
        <w:tc>
          <w:tcPr>
            <w:tcW w:w="13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3.5</w:t>
            </w:r>
            <w:r>
              <w:rPr>
                <w:rFonts w:ascii="Times New Roman" w:hAnsi="Times New Roman"/>
                <w:sz w:val="20"/>
              </w:rPr>
              <w:t xml:space="preserve"> – </w:t>
            </w:r>
            <w:r>
              <w:rPr>
                <w:rFonts w:ascii="Times New Roman;serif" w:hAnsi="Times New Roman;serif"/>
                <w:b w:val="false"/>
                <w:sz w:val="20"/>
              </w:rPr>
              <w:t>4.5</w:t>
            </w:r>
            <w:r>
              <w:rPr>
                <w:rFonts w:ascii="Times New Roman" w:hAnsi="Times New Roman"/>
                <w:sz w:val="20"/>
              </w:rPr>
              <w:t> </w:t>
            </w:r>
            <w:r>
              <w:rPr>
                <w:rFonts w:ascii="Times New Roman;serif" w:hAnsi="Times New Roman;serif"/>
                <w:b w:val="false"/>
                <w:sz w:val="20"/>
              </w:rPr>
              <w:t>years</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w:t>
            </w:r>
            <w:r>
              <w:rPr>
                <w:rFonts w:ascii="Times New Roman" w:hAnsi="Times New Roman"/>
                <w:sz w:val="20"/>
              </w:rPr>
              <w:t xml:space="preserve"> – </w:t>
            </w:r>
            <w:r>
              <w:rPr>
                <w:rFonts w:ascii="Times New Roman;serif" w:hAnsi="Times New Roman;serif"/>
                <w:b w:val="false"/>
                <w:sz w:val="20"/>
              </w:rPr>
              <w:t>4.5</w:t>
            </w:r>
            <w:r>
              <w:rPr>
                <w:rFonts w:ascii="Times New Roman" w:hAnsi="Times New Roman"/>
                <w:sz w:val="20"/>
              </w:rPr>
              <w:t> </w:t>
            </w:r>
            <w:r>
              <w:rPr>
                <w:rFonts w:ascii="Times New Roman;serif" w:hAnsi="Times New Roman;serif"/>
                <w:b w:val="false"/>
                <w:sz w:val="20"/>
              </w:rPr>
              <w:t>years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permitted under ASC 718, the Company has made an accounting policy choice to account for forfeitures when they occur.</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 xml:space="preserve">9. SHARE CAPITAL </w:t>
      </w:r>
      <w:r>
        <w:rPr>
          <w:rFonts w:ascii="Times New Roman;serif" w:hAnsi="Times New Roman;serif"/>
          <w:b w:val="false"/>
          <w:i/>
          <w:sz w:val="20"/>
        </w:rPr>
        <w:t>(Continued)</w:t>
      </w:r>
    </w:p>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(c) Stock-Based Compensation</w:t>
      </w:r>
      <w:r>
        <w:rPr>
          <w:rFonts w:ascii="Times New Roman" w:hAnsi="Times New Roman"/>
          <w:sz w:val="20"/>
        </w:rPr>
        <w:t xml:space="preserve"> </w:t>
      </w:r>
      <w:r>
        <w:rPr>
          <w:rFonts w:ascii="Times New Roman;serif" w:hAnsi="Times New Roman;serif"/>
          <w:b w:val="false"/>
          <w:i/>
          <w:sz w:val="20"/>
        </w:rPr>
        <w:t>(Continued)</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the number of unvested RSU awards as of June 30, 2023 and December 31, 2022 and the changes during the six months ended June 30, 2023:</w:t>
      </w:r>
      <w:r>
        <w:rPr>
          <w:rFonts w:ascii="Times New Roman" w:hAnsi="Times New Roman"/>
          <w:sz w:val="20"/>
        </w:rPr>
        <w:t xml:space="preserve"> </w:t>
      </w:r>
    </w:p>
    <w:tbl>
      <w:tblPr>
        <w:tblW w:w="8250" w:type="dxa"/>
        <w:jc w:val="left"/>
        <w:tblInd w:w="0" w:type="dxa"/>
        <w:tblLayout w:type="fixed"/>
        <w:tblCellMar>
          <w:top w:w="28" w:type="dxa"/>
          <w:left w:w="28" w:type="dxa"/>
          <w:bottom w:w="28" w:type="dxa"/>
          <w:right w:w="28" w:type="dxa"/>
        </w:tblCellMar>
      </w:tblPr>
      <w:tblGrid>
        <w:gridCol w:w="3271"/>
        <w:gridCol w:w="146"/>
        <w:gridCol w:w="1411"/>
        <w:gridCol w:w="211"/>
        <w:gridCol w:w="3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Shares at December 31, 2022</w:t>
            </w:r>
          </w:p>
        </w:tc>
        <w:tc>
          <w:tcPr>
            <w:tcW w:w="1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947,502</w:t>
            </w:r>
          </w:p>
        </w:tc>
        <w:tc>
          <w:tcPr>
            <w:tcW w:w="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17.91</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3,092,835</w:t>
            </w:r>
          </w:p>
        </w:tc>
        <w:tc>
          <w:tcPr>
            <w:tcW w:w="211" w:type="dxa"/>
            <w:tcBorders/>
            <w:vAlign w:val="center"/>
          </w:tcPr>
          <w:p>
            <w:pPr>
              <w:pStyle w:val="TableContents"/>
              <w:bidi w:val="0"/>
              <w:spacing w:before="0" w:after="0"/>
              <w:ind w:left="0" w:right="0" w:hanging="0"/>
              <w:jc w:val="right"/>
              <w:rPr/>
            </w:pPr>
            <w:r>
              <w:rPr/>
              <w:t> </w:t>
            </w:r>
          </w:p>
        </w:tc>
        <w:tc>
          <w:tcPr>
            <w:tcW w:w="3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(235,156)</w:t>
            </w:r>
          </w:p>
        </w:tc>
        <w:tc>
          <w:tcPr>
            <w:tcW w:w="211" w:type="dxa"/>
            <w:tcBorders/>
            <w:vAlign w:val="center"/>
          </w:tcPr>
          <w:p>
            <w:pPr>
              <w:pStyle w:val="TableContents"/>
              <w:bidi w:val="0"/>
              <w:spacing w:before="0" w:after="0"/>
              <w:ind w:left="0" w:right="0" w:hanging="0"/>
              <w:jc w:val="right"/>
              <w:rPr/>
            </w:pPr>
            <w:r>
              <w:rPr/>
              <w:t> </w:t>
            </w:r>
          </w:p>
        </w:tc>
        <w:tc>
          <w:tcPr>
            <w:tcW w:w="3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(351,721)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15.78</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Shares at June 30, 2023</w:t>
            </w:r>
          </w:p>
        </w:tc>
        <w:tc>
          <w:tcPr>
            <w:tcW w:w="1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3,453,460</w:t>
            </w:r>
          </w:p>
        </w:tc>
        <w:tc>
          <w:tcPr>
            <w:tcW w:w="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stock-based compensation expense for the three and six months ended June 30, 2023 and 2022 was as follows:</w:t>
      </w:r>
      <w:r>
        <w:rPr>
          <w:rFonts w:ascii="Times New Roman" w:hAnsi="Times New Roman"/>
          <w:sz w:val="20"/>
        </w:rPr>
        <w:t xml:space="preserve"> </w:t>
      </w:r>
    </w:p>
    <w:tbl>
      <w:tblPr>
        <w:tblW w:w="8372" w:type="dxa"/>
        <w:jc w:val="left"/>
        <w:tblInd w:w="0" w:type="dxa"/>
        <w:tblLayout w:type="fixed"/>
        <w:tblCellMar>
          <w:top w:w="28" w:type="dxa"/>
          <w:left w:w="28" w:type="dxa"/>
          <w:bottom w:w="28" w:type="dxa"/>
          <w:right w:w="28" w:type="dxa"/>
        </w:tblCellMar>
      </w:tblPr>
      <w:tblGrid>
        <w:gridCol w:w="3571"/>
        <w:gridCol w:w="211"/>
        <w:gridCol w:w="956"/>
        <w:gridCol w:w="353"/>
        <w:gridCol w:w="956"/>
        <w:gridCol w:w="211"/>
        <w:gridCol w:w="889"/>
        <w:gridCol w:w="277"/>
        <w:gridCol w:w="948"/>
      </w:tblGrid>
      <w:tr>
        <w:trPr/>
        <w:tc>
          <w:tcPr>
            <w:tcW w:w="3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226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35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35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226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expense</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4,303</w:t>
            </w:r>
          </w:p>
        </w:tc>
        <w:tc>
          <w:tcPr>
            <w:tcW w:w="35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3,775</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8,786</w:t>
            </w:r>
          </w:p>
        </w:tc>
        <w:tc>
          <w:tcPr>
            <w:tcW w:w="27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6,982</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211" w:type="dxa"/>
            <w:tcBorders/>
            <w:vAlign w:val="center"/>
          </w:tcPr>
          <w:p>
            <w:pPr>
              <w:pStyle w:val="TableContents"/>
              <w:bidi w:val="0"/>
              <w:spacing w:before="0" w:after="0"/>
              <w:ind w:left="0" w:right="0" w:hanging="0"/>
              <w:jc w:val="center"/>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3,078</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4,834</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4,502</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 Based Compensation Expense</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7,381</w:t>
            </w:r>
          </w:p>
        </w:tc>
        <w:tc>
          <w:tcPr>
            <w:tcW w:w="3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13,620</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11,484</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$51,798</w:t>
      </w:r>
      <w:r>
        <w:rPr>
          <w:rFonts w:ascii="Times New Roman" w:hAnsi="Times New Roman"/>
          <w:sz w:val="20"/>
        </w:rPr>
        <w:t xml:space="preserve"> </w:t>
      </w:r>
      <w:r>
        <w:rPr>
          <w:rFonts w:ascii="Times New Roman;serif" w:hAnsi="Times New Roman;serif"/>
          <w:b w:val="false"/>
          <w:sz w:val="20"/>
        </w:rPr>
        <w:t>thousand of total unrecognized expense related to stock-based compensation awards is expected to be recognized over a weighted-average period of 2.20</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10. INCOME TAX EXPENSE</w:t>
      </w:r>
      <w:r>
        <w:rPr>
          <w:rFonts w:ascii="Times New Roman" w:hAnsi="Times New Roman"/>
          <w:sz w:val="20"/>
        </w:rPr>
        <w:t xml:space="preserve"> </w:t>
      </w:r>
    </w:p>
    <w:p>
      <w:pPr>
        <w:pStyle w:val="TextBody"/>
        <w:pBdr>
          <w:bottom w:val="sing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summarizes the Company’s income tax expense and effective tax rates for the three and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7248" w:type="dxa"/>
        <w:jc w:val="left"/>
        <w:tblInd w:w="0" w:type="dxa"/>
        <w:tblLayout w:type="fixed"/>
        <w:tblCellMar>
          <w:top w:w="28" w:type="dxa"/>
          <w:left w:w="28" w:type="dxa"/>
          <w:bottom w:w="28" w:type="dxa"/>
          <w:right w:w="28" w:type="dxa"/>
        </w:tblCellMar>
      </w:tblPr>
      <w:tblGrid>
        <w:gridCol w:w="2446"/>
        <w:gridCol w:w="211"/>
        <w:gridCol w:w="980"/>
        <w:gridCol w:w="305"/>
        <w:gridCol w:w="980"/>
        <w:gridCol w:w="211"/>
        <w:gridCol w:w="835"/>
        <w:gridCol w:w="260"/>
        <w:gridCol w:w="1020"/>
      </w:tblGrid>
      <w:tr>
        <w:trPr/>
        <w:tc>
          <w:tcPr>
            <w:tcW w:w="2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226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24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39,455</w:t>
            </w:r>
          </w:p>
        </w:tc>
        <w:tc>
          <w:tcPr>
            <w:tcW w:w="30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63,071</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82,496</w:t>
            </w:r>
          </w:p>
        </w:tc>
        <w:tc>
          <w:tcPr>
            <w:tcW w:w="2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123,888</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11"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25,765</w:t>
            </w:r>
          </w:p>
        </w:tc>
        <w:tc>
          <w:tcPr>
            <w:tcW w:w="30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38,340</w:t>
            </w:r>
          </w:p>
        </w:tc>
        <w:tc>
          <w:tcPr>
            <w:tcW w:w="211"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59,401</w:t>
            </w:r>
          </w:p>
        </w:tc>
        <w:tc>
          <w:tcPr>
            <w:tcW w:w="260" w:type="dxa"/>
            <w:tcBorders/>
            <w:vAlign w:val="center"/>
          </w:tcPr>
          <w:p>
            <w:pPr>
              <w:pStyle w:val="TableContents"/>
              <w:bidi w:val="0"/>
              <w:spacing w:before="0" w:after="0"/>
              <w:ind w:left="0" w:right="0" w:hanging="0"/>
              <w:jc w:val="center"/>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69,471</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211"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w:t>
            </w:r>
          </w:p>
        </w:tc>
        <w:tc>
          <w:tcPr>
            <w:tcW w:w="30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211"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w:t>
            </w:r>
          </w:p>
        </w:tc>
        <w:tc>
          <w:tcPr>
            <w:tcW w:w="260" w:type="dxa"/>
            <w:tcBorders/>
            <w:vAlign w:val="center"/>
          </w:tcPr>
          <w:p>
            <w:pPr>
              <w:pStyle w:val="TableContents"/>
              <w:bidi w:val="0"/>
              <w:spacing w:before="0" w:after="0"/>
              <w:ind w:left="0" w:right="0" w:hanging="0"/>
              <w:jc w:val="center"/>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effective tax rates for the three and six months ended June 30, 2023 and 2022 were based on the Company’s forecasted annualized effective tax rates and were adjusted for discrete items that occurred within the periods presented.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240" w:after="0"/>
        <w:jc w:val="left"/>
        <w:rPr>
          <w:rFonts w:ascii="Times New Roman" w:hAnsi="Times New Roman"/>
          <w:sz w:val="20"/>
        </w:rPr>
      </w:pPr>
      <w:r>
        <w:rPr>
          <w:rFonts w:ascii="Times New Roman;serif" w:hAnsi="Times New Roman;serif"/>
          <w:b w:val="false"/>
          <w:sz w:val="20"/>
        </w:rPr>
        <w:t>Taxes paid during the six months ended June 30, 2023 and 2022 were $52,134</w:t>
      </w:r>
      <w:r>
        <w:rPr>
          <w:rFonts w:ascii="Times New Roman" w:hAnsi="Times New Roman"/>
          <w:sz w:val="20"/>
        </w:rPr>
        <w:t xml:space="preserve"> </w:t>
      </w:r>
      <w:r>
        <w:rPr>
          <w:rFonts w:ascii="Times New Roman;serif" w:hAnsi="Times New Roman;serif"/>
          <w:b w:val="false"/>
          <w:sz w:val="20"/>
        </w:rPr>
        <w:t>thousand and $64,803</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11. OTHER INCOME (EXPENSE)</w:t>
      </w:r>
      <w:r>
        <w:rPr>
          <w:rFonts w:ascii="Times New Roman" w:hAnsi="Times New Roman"/>
          <w:sz w:val="20"/>
        </w:rPr>
        <w:t xml:space="preserve"> </w:t>
      </w:r>
    </w:p>
    <w:p>
      <w:pPr>
        <w:pStyle w:val="TextBody"/>
        <w:pBdr>
          <w:bottom w:val="sing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and 2022 other income (expense) was comprised of the following:</w:t>
      </w:r>
      <w:r>
        <w:rPr>
          <w:rFonts w:ascii="Times New Roman" w:hAnsi="Times New Roman"/>
          <w:sz w:val="20"/>
        </w:rPr>
        <w:t xml:space="preserve"> </w:t>
      </w:r>
    </w:p>
    <w:p>
      <w:pPr>
        <w:pStyle w:val="TextBody"/>
        <w:bidi w:val="0"/>
        <w:spacing w:before="120" w:after="0"/>
        <w:jc w:val="left"/>
        <w:rPr/>
      </w:pPr>
      <w:r>
        <w:rPr/>
        <w:t> </w:t>
      </w:r>
    </w:p>
    <w:tbl>
      <w:tblPr>
        <w:tblW w:w="8788" w:type="dxa"/>
        <w:jc w:val="left"/>
        <w:tblInd w:w="0" w:type="dxa"/>
        <w:tblLayout w:type="fixed"/>
        <w:tblCellMar>
          <w:top w:w="28" w:type="dxa"/>
          <w:left w:w="28" w:type="dxa"/>
          <w:bottom w:w="28" w:type="dxa"/>
          <w:right w:w="28" w:type="dxa"/>
        </w:tblCellMar>
      </w:tblPr>
      <w:tblGrid>
        <w:gridCol w:w="3871"/>
        <w:gridCol w:w="196"/>
        <w:gridCol w:w="849"/>
        <w:gridCol w:w="335"/>
        <w:gridCol w:w="1080"/>
        <w:gridCol w:w="146"/>
        <w:gridCol w:w="196"/>
        <w:gridCol w:w="838"/>
        <w:gridCol w:w="260"/>
        <w:gridCol w:w="1017"/>
      </w:tblGrid>
      <w:tr>
        <w:trPr/>
        <w:tc>
          <w:tcPr>
            <w:tcW w:w="3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2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387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387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22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adjustments on equity investments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(655)</w:t>
            </w:r>
          </w:p>
        </w:tc>
        <w:tc>
          <w:tcPr>
            <w:tcW w:w="335"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(8,018)</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(1,134)</w:t>
            </w:r>
          </w:p>
        </w:tc>
        <w:tc>
          <w:tcPr>
            <w:tcW w:w="260"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(17,627)</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adjustments on equity method investments</w:t>
            </w:r>
          </w:p>
        </w:tc>
        <w:tc>
          <w:tcPr>
            <w:tcW w:w="196" w:type="dxa"/>
            <w:tcBorders/>
            <w:vAlign w:val="center"/>
          </w:tcPr>
          <w:p>
            <w:pPr>
              <w:pStyle w:val="TableContents"/>
              <w:bidi w:val="0"/>
              <w:spacing w:before="0" w:after="0"/>
              <w:ind w:left="0" w:right="0" w:hanging="0"/>
              <w:jc w:val="center"/>
              <w:rPr/>
            </w:pPr>
            <w:r>
              <w:rPr/>
              <w:t> </w:t>
            </w:r>
          </w:p>
        </w:tc>
        <w:tc>
          <w:tcPr>
            <w:tcW w:w="849"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center"/>
              <w:rPr/>
            </w:pPr>
            <w:r>
              <w:rPr/>
              <w:t> </w:t>
            </w:r>
          </w:p>
        </w:tc>
        <w:tc>
          <w:tcPr>
            <w:tcW w:w="10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838"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center"/>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14,119</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adjustments on warrants issued</w:t>
            </w:r>
          </w:p>
        </w:tc>
        <w:tc>
          <w:tcPr>
            <w:tcW w:w="196" w:type="dxa"/>
            <w:tcBorders/>
            <w:vAlign w:val="center"/>
          </w:tcPr>
          <w:p>
            <w:pPr>
              <w:pStyle w:val="TableContents"/>
              <w:bidi w:val="0"/>
              <w:spacing w:before="0" w:after="0"/>
              <w:ind w:left="0" w:right="0" w:hanging="0"/>
              <w:jc w:val="center"/>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w:t>
            </w:r>
          </w:p>
        </w:tc>
        <w:tc>
          <w:tcPr>
            <w:tcW w:w="335" w:type="dxa"/>
            <w:tcBorders/>
            <w:vAlign w:val="center"/>
          </w:tcPr>
          <w:p>
            <w:pPr>
              <w:pStyle w:val="TableContents"/>
              <w:bidi w:val="0"/>
              <w:spacing w:before="0" w:after="0"/>
              <w:ind w:left="0" w:right="0" w:hanging="0"/>
              <w:jc w:val="center"/>
              <w:rPr/>
            </w:pPr>
            <w:r>
              <w:rPr/>
              <w:t> </w:t>
            </w:r>
          </w:p>
        </w:tc>
        <w:tc>
          <w:tcPr>
            <w:tcW w:w="10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13,843</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2,263</w:t>
            </w:r>
          </w:p>
        </w:tc>
        <w:tc>
          <w:tcPr>
            <w:tcW w:w="260" w:type="dxa"/>
            <w:tcBorders/>
            <w:vAlign w:val="center"/>
          </w:tcPr>
          <w:p>
            <w:pPr>
              <w:pStyle w:val="TableContents"/>
              <w:bidi w:val="0"/>
              <w:spacing w:before="0" w:after="0"/>
              <w:ind w:left="0" w:right="0" w:hanging="0"/>
              <w:jc w:val="center"/>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21,772</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Earnings (loss) from equity method investments</w:t>
            </w:r>
          </w:p>
        </w:tc>
        <w:tc>
          <w:tcPr>
            <w:tcW w:w="196" w:type="dxa"/>
            <w:tcBorders/>
            <w:vAlign w:val="center"/>
          </w:tcPr>
          <w:p>
            <w:pPr>
              <w:pStyle w:val="TableContents"/>
              <w:bidi w:val="0"/>
              <w:spacing w:before="0" w:after="0"/>
              <w:ind w:left="0" w:right="0" w:hanging="0"/>
              <w:jc w:val="center"/>
              <w:rPr/>
            </w:pPr>
            <w:r>
              <w:rPr/>
              <w:t> </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(432)</w:t>
            </w:r>
          </w:p>
        </w:tc>
        <w:tc>
          <w:tcPr>
            <w:tcW w:w="335" w:type="dxa"/>
            <w:tcBorders/>
            <w:vAlign w:val="center"/>
          </w:tcPr>
          <w:p>
            <w:pPr>
              <w:pStyle w:val="TableContents"/>
              <w:bidi w:val="0"/>
              <w:spacing w:before="0" w:after="0"/>
              <w:ind w:left="0" w:right="0" w:hanging="0"/>
              <w:jc w:val="center"/>
              <w:rPr/>
            </w:pPr>
            <w:r>
              <w:rPr/>
              <w:t> </w:t>
            </w:r>
          </w:p>
        </w:tc>
        <w:tc>
          <w:tcPr>
            <w:tcW w:w="10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(738)</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(750)</w:t>
            </w:r>
          </w:p>
        </w:tc>
        <w:tc>
          <w:tcPr>
            <w:tcW w:w="260" w:type="dxa"/>
            <w:tcBorders/>
            <w:vAlign w:val="center"/>
          </w:tcPr>
          <w:p>
            <w:pPr>
              <w:pStyle w:val="TableContents"/>
              <w:bidi w:val="0"/>
              <w:spacing w:before="0" w:after="0"/>
              <w:ind w:left="0" w:right="0" w:hanging="0"/>
              <w:jc w:val="center"/>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(1,941)</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w:t>
            </w:r>
          </w:p>
        </w:tc>
        <w:tc>
          <w:tcPr>
            <w:tcW w:w="196" w:type="dxa"/>
            <w:tcBorders/>
            <w:vAlign w:val="center"/>
          </w:tcPr>
          <w:p>
            <w:pPr>
              <w:pStyle w:val="TableContents"/>
              <w:bidi w:val="0"/>
              <w:spacing w:before="0" w:after="0"/>
              <w:ind w:left="0" w:right="0" w:hanging="0"/>
              <w:jc w:val="center"/>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695</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Other Income (Expense)</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(270)</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0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5,583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8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654</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0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17,018</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12. COMMITMENTS AND CONTINGENCIES</w:t>
      </w:r>
      <w:r>
        <w:rPr>
          <w:rFonts w:ascii="Times New Roman" w:hAnsi="Times New Roman"/>
          <w:sz w:val="20"/>
        </w:rPr>
        <w:t xml:space="preserve"> </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w:t>
      </w:r>
    </w:p>
    <w:p>
      <w:pPr>
        <w:pStyle w:val="TextBody"/>
        <w:bidi w:val="0"/>
        <w:spacing w:before="120" w:after="0"/>
        <w:jc w:val="left"/>
        <w:rPr>
          <w:rFonts w:ascii="Times New Roman" w:hAnsi="Times New Roman"/>
          <w:sz w:val="20"/>
        </w:rPr>
      </w:pPr>
      <w:r>
        <w:rPr>
          <w:rFonts w:ascii="Times New Roman;serif" w:hAnsi="Times New Roman;serif"/>
          <w:b/>
          <w:sz w:val="20"/>
        </w:rPr>
        <w:t>(a)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(b) Claims and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be involved in litigation relating to claims arising out of operations in the normal course of business. As of June 30, 2023, the following matter remains pending: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Cresco Labs New York, LLC and Cresco Labs LLC (“Plaintiffs”) filed an amended complaint against one of the Company’s subsidiaries, Fiorello Pharmaceuticals, Inc. (“Defendant”) on November 20, 2018, in the Supreme Court of the State of New York, alleging Defendant breached the parties’ Equity Purchase Agreement Letter of Intent (“LOI”) relating to the acquisition of Defendant by Plaintiffs. In December 2022, the trial court granted Plaintiffs' motion for summary judgment on their claim that Defendant breached the LOI. However, Defendant successfully appealed the trial court's decision, and in June 2023, the New York Appellate Court vacated the trial court’s decision on liability, and completely and unanimously reversed the trial court on the issue of damages, making clear that Plaintiffs, if Defendant is found liable, are limited to out-of-pocket damages. Plaintiffs have since sought the Appellate Division’s permission for further review from the New York Court of Appeals. As of June 30, 2023 and December 31, 2022, a $900</w:t>
      </w:r>
      <w:r>
        <w:rPr>
          <w:rFonts w:ascii="Times New Roman" w:hAnsi="Times New Roman"/>
          <w:sz w:val="20"/>
        </w:rPr>
        <w:t xml:space="preserve"> </w:t>
      </w:r>
      <w:r>
        <w:rPr>
          <w:rFonts w:ascii="Times New Roman;serif" w:hAnsi="Times New Roman;serif"/>
          <w:b w:val="false"/>
          <w:sz w:val="20"/>
        </w:rPr>
        <w:t>thousand loss contingency was recorded within accrued liabilities on the unaudited interim condensed consolidated balance sheets as of each period end representing the Company's estimate of out-of-pocket damages associated with the complaint.</w:t>
      </w:r>
    </w:p>
    <w:p>
      <w:pPr>
        <w:pStyle w:val="TextBody"/>
        <w:bidi w:val="0"/>
        <w:spacing w:before="120" w:after="0"/>
        <w:jc w:val="left"/>
        <w:rPr>
          <w:rFonts w:ascii="Times New Roman" w:hAnsi="Times New Roman"/>
          <w:sz w:val="20"/>
        </w:rPr>
      </w:pPr>
      <w:r>
        <w:rPr>
          <w:rFonts w:ascii="Times New Roman;serif" w:hAnsi="Times New Roman;serif"/>
          <w:b w:val="false"/>
          <w:sz w:val="20"/>
        </w:rPr>
        <w:t>At June 30, 2023, there were no</w:t>
      </w:r>
      <w:r>
        <w:rPr>
          <w:rFonts w:ascii="Times New Roman" w:hAnsi="Times New Roman"/>
          <w:sz w:val="20"/>
        </w:rPr>
        <w:t xml:space="preserve"> </w:t>
      </w:r>
      <w:r>
        <w:rPr>
          <w:rFonts w:ascii="Times New Roman;serif" w:hAnsi="Times New Roman;serif"/>
          <w:b w:val="false"/>
          <w:sz w:val="20"/>
        </w:rPr>
        <w:t>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(c) Construction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Company held approximately $22,000</w:t>
      </w:r>
      <w:r>
        <w:rPr>
          <w:rFonts w:ascii="Times New Roman" w:hAnsi="Times New Roman"/>
          <w:sz w:val="20"/>
        </w:rPr>
        <w:t xml:space="preserve"> </w:t>
      </w:r>
      <w:r>
        <w:rPr>
          <w:rFonts w:ascii="Times New Roman;serif" w:hAnsi="Times New Roman;serif"/>
          <w:b w:val="false"/>
          <w:sz w:val="20"/>
        </w:rPr>
        <w:t>thousand of open construction commitments to contractors on work being performed.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13. FAIR VALUE MEASUREMENTS</w:t>
      </w:r>
    </w:p>
    <w:p>
      <w:pPr>
        <w:pStyle w:val="TextBody"/>
        <w:pBdr>
          <w:bottom w:val="sing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Unadjusted quoted prices in active markets for identical assets or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Inputs other than quoted prices that are observable for the asset or liability, either directly or indirectly;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Inputs for the asset or liability that are not based on observable market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(a)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financial instruments consist of cash and cash equivalents, accounts receivable, investments, accounts payable and accrued liabilities, notes payable, warrant liability, and contingent consideration payable.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It was not practicable to estimate the fair value of the Company's long-term notes payable, which consist of charitable contributions, private placement debt and mortgage notes, since there were no quoted prices or active trading markets. The carrying amount of notes payable at June 30, 2023 and December 31, 2022 was $289,905</w:t>
      </w:r>
      <w:r>
        <w:rPr>
          <w:rFonts w:ascii="Times New Roman" w:hAnsi="Times New Roman"/>
          <w:sz w:val="20"/>
        </w:rPr>
        <w:t xml:space="preserve"> </w:t>
      </w:r>
      <w:r>
        <w:rPr>
          <w:rFonts w:ascii="Times New Roman;serif" w:hAnsi="Times New Roman;serif"/>
          <w:b w:val="false"/>
          <w:sz w:val="20"/>
        </w:rPr>
        <w:t>thousand and $275,668</w:t>
      </w:r>
      <w:r>
        <w:rPr>
          <w:rFonts w:ascii="Times New Roman" w:hAnsi="Times New Roman"/>
          <w:sz w:val="20"/>
        </w:rPr>
        <w:t xml:space="preserve"> </w:t>
      </w:r>
      <w:r>
        <w:rPr>
          <w:rFonts w:ascii="Times New Roman;serif" w:hAnsi="Times New Roman;serif"/>
          <w:b w:val="false"/>
          <w:sz w:val="20"/>
        </w:rPr>
        <w:t>thousand, which includes $1,048</w:t>
      </w:r>
      <w:r>
        <w:rPr>
          <w:rFonts w:ascii="Times New Roman" w:hAnsi="Times New Roman"/>
          <w:sz w:val="20"/>
        </w:rPr>
        <w:t xml:space="preserve"> </w:t>
      </w:r>
      <w:r>
        <w:rPr>
          <w:rFonts w:ascii="Times New Roman;serif" w:hAnsi="Times New Roman;serif"/>
          <w:b w:val="false"/>
          <w:sz w:val="20"/>
        </w:rPr>
        <w:t>thousand and $1,037</w:t>
      </w:r>
      <w:r>
        <w:rPr>
          <w:rFonts w:ascii="Times New Roman" w:hAnsi="Times New Roman"/>
          <w:sz w:val="20"/>
        </w:rPr>
        <w:t xml:space="preserve"> </w:t>
      </w:r>
      <w:r>
        <w:rPr>
          <w:rFonts w:ascii="Times New Roman;serif" w:hAnsi="Times New Roman;serif"/>
          <w:b w:val="false"/>
          <w:sz w:val="20"/>
        </w:rPr>
        <w:t>thousand, respectively, of short-term debt due within one year.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bidi w:val="0"/>
        <w:spacing w:before="0" w:after="0"/>
        <w:jc w:val="left"/>
        <w:rPr/>
      </w:pPr>
      <w:r>
        <w:rPr/>
        <w:t> </w:t>
      </w:r>
    </w:p>
    <w:tbl>
      <w:tblPr>
        <w:tblW w:w="6144" w:type="dxa"/>
        <w:jc w:val="left"/>
        <w:tblInd w:w="0" w:type="dxa"/>
        <w:tblLayout w:type="fixed"/>
        <w:tblCellMar>
          <w:top w:w="28" w:type="dxa"/>
          <w:left w:w="28" w:type="dxa"/>
          <w:bottom w:w="28" w:type="dxa"/>
          <w:right w:w="28" w:type="dxa"/>
        </w:tblCellMar>
      </w:tblPr>
      <w:tblGrid>
        <w:gridCol w:w="2536"/>
        <w:gridCol w:w="196"/>
        <w:gridCol w:w="691"/>
        <w:gridCol w:w="196"/>
        <w:gridCol w:w="646"/>
        <w:gridCol w:w="196"/>
        <w:gridCol w:w="721"/>
        <w:gridCol w:w="196"/>
        <w:gridCol w:w="766"/>
      </w:tblGrid>
      <w:tr>
        <w:trPr/>
        <w:tc>
          <w:tcPr>
            <w:tcW w:w="2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12"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June 30, 2023</w:t>
            </w:r>
          </w:p>
        </w:tc>
      </w:tr>
      <w:tr>
        <w:trPr/>
        <w:tc>
          <w:tcPr>
            <w:tcW w:w="2536" w:type="dxa"/>
            <w:tcBorders/>
            <w:vAlign w:val="center"/>
          </w:tcPr>
          <w:p>
            <w:pPr>
              <w:pStyle w:val="TableContents"/>
              <w:bidi w:val="0"/>
              <w:spacing w:before="0" w:after="0"/>
              <w:ind w:left="0" w:right="0" w:hanging="0"/>
              <w:jc w:val="left"/>
              <w:rPr/>
            </w:pPr>
            <w:r>
              <w:rPr/>
              <w:t> </w:t>
            </w:r>
          </w:p>
        </w:tc>
        <w:tc>
          <w:tcPr>
            <w:tcW w:w="3608" w:type="dxa"/>
            <w:gridSpan w:val="8"/>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53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6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7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149,026</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2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149,026</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Investments</w:t>
            </w:r>
          </w:p>
        </w:tc>
        <w:tc>
          <w:tcPr>
            <w:tcW w:w="19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23,584</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51,476</w:t>
            </w:r>
          </w:p>
        </w:tc>
        <w:tc>
          <w:tcPr>
            <w:tcW w:w="196"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75,060</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Contingent Consideration Payable</w:t>
            </w:r>
          </w:p>
        </w:tc>
        <w:tc>
          <w:tcPr>
            <w:tcW w:w="19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(32,022)</w:t>
            </w:r>
          </w:p>
        </w:tc>
        <w:tc>
          <w:tcPr>
            <w:tcW w:w="196"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(32,022)</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96" w:type="dxa"/>
            <w:tcBorders/>
            <w:vAlign w:val="center"/>
          </w:tcPr>
          <w:p>
            <w:pPr>
              <w:pStyle w:val="TableContents"/>
              <w:bidi w:val="0"/>
              <w:spacing w:before="0" w:after="0"/>
              <w:ind w:left="0" w:right="0" w:hanging="0"/>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(2,257)</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(2,257)</w:t>
            </w:r>
          </w:p>
        </w:tc>
      </w:tr>
      <w:tr>
        <w:trPr/>
        <w:tc>
          <w:tcPr>
            <w:tcW w:w="253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172,610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17,197</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189,807</w:t>
            </w:r>
          </w:p>
        </w:tc>
      </w:tr>
    </w:tbl>
    <w:p>
      <w:pPr>
        <w:pStyle w:val="TextBody"/>
        <w:bidi w:val="0"/>
        <w:spacing w:before="0" w:after="0"/>
        <w:jc w:val="left"/>
        <w:rPr/>
      </w:pPr>
      <w:r>
        <w:rPr/>
        <w:t> </w:t>
      </w:r>
    </w:p>
    <w:p>
      <w:pPr>
        <w:pStyle w:val="TextBody"/>
        <w:bidi w:val="0"/>
        <w:spacing w:before="0" w:after="0"/>
        <w:jc w:val="left"/>
        <w:rPr/>
      </w:pPr>
      <w:r>
        <w:rPr/>
        <w:t> </w:t>
      </w:r>
    </w:p>
    <w:tbl>
      <w:tblPr>
        <w:tblW w:w="6144" w:type="dxa"/>
        <w:jc w:val="left"/>
        <w:tblInd w:w="0" w:type="dxa"/>
        <w:tblLayout w:type="fixed"/>
        <w:tblCellMar>
          <w:top w:w="28" w:type="dxa"/>
          <w:left w:w="28" w:type="dxa"/>
          <w:bottom w:w="28" w:type="dxa"/>
          <w:right w:w="28" w:type="dxa"/>
        </w:tblCellMar>
      </w:tblPr>
      <w:tblGrid>
        <w:gridCol w:w="2536"/>
        <w:gridCol w:w="196"/>
        <w:gridCol w:w="691"/>
        <w:gridCol w:w="196"/>
        <w:gridCol w:w="646"/>
        <w:gridCol w:w="196"/>
        <w:gridCol w:w="721"/>
        <w:gridCol w:w="196"/>
        <w:gridCol w:w="766"/>
      </w:tblGrid>
      <w:tr>
        <w:trPr/>
        <w:tc>
          <w:tcPr>
            <w:tcW w:w="2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3412"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December 31, 2022</w:t>
            </w:r>
          </w:p>
        </w:tc>
      </w:tr>
      <w:tr>
        <w:trPr/>
        <w:tc>
          <w:tcPr>
            <w:tcW w:w="2536" w:type="dxa"/>
            <w:tcBorders/>
            <w:vAlign w:val="center"/>
          </w:tcPr>
          <w:p>
            <w:pPr>
              <w:pStyle w:val="TableContents"/>
              <w:bidi w:val="0"/>
              <w:spacing w:before="0" w:after="0"/>
              <w:ind w:left="0" w:right="0" w:hanging="0"/>
              <w:jc w:val="left"/>
              <w:rPr/>
            </w:pPr>
            <w:r>
              <w:rPr/>
              <w:t> </w:t>
            </w:r>
          </w:p>
        </w:tc>
        <w:tc>
          <w:tcPr>
            <w:tcW w:w="3608" w:type="dxa"/>
            <w:gridSpan w:val="8"/>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253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6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7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177,682</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6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2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177,682</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Investments</w:t>
            </w:r>
          </w:p>
        </w:tc>
        <w:tc>
          <w:tcPr>
            <w:tcW w:w="19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24,749</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49,420</w:t>
            </w:r>
          </w:p>
        </w:tc>
        <w:tc>
          <w:tcPr>
            <w:tcW w:w="196"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74,169</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Contingent Consideration Payable</w:t>
            </w:r>
          </w:p>
        </w:tc>
        <w:tc>
          <w:tcPr>
            <w:tcW w:w="19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(41,943)</w:t>
            </w:r>
          </w:p>
        </w:tc>
        <w:tc>
          <w:tcPr>
            <w:tcW w:w="196"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(41,943)</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9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(4,520)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(4,520)</w:t>
            </w:r>
          </w:p>
        </w:tc>
      </w:tr>
      <w:tr>
        <w:trPr/>
        <w:tc>
          <w:tcPr>
            <w:tcW w:w="253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202,431</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6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2,957</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205,388</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Green Thumb Industries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Interim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Expressed in United States Dollars, Except Where Stated Otherwise)</w:t>
      </w:r>
    </w:p>
    <w:p>
      <w:pPr>
        <w:pStyle w:val="TextBody"/>
        <w:bidi w:val="0"/>
        <w:spacing w:before="24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14. SEGMENT REPORTING</w:t>
      </w:r>
    </w:p>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below table presents revenues by type for the three and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8748" w:type="dxa"/>
        <w:jc w:val="left"/>
        <w:tblInd w:w="0" w:type="dxa"/>
        <w:tblLayout w:type="fixed"/>
        <w:tblCellMar>
          <w:top w:w="28" w:type="dxa"/>
          <w:left w:w="28" w:type="dxa"/>
          <w:bottom w:w="28" w:type="dxa"/>
          <w:right w:w="28" w:type="dxa"/>
        </w:tblCellMar>
      </w:tblPr>
      <w:tblGrid>
        <w:gridCol w:w="3271"/>
        <w:gridCol w:w="211"/>
        <w:gridCol w:w="1159"/>
        <w:gridCol w:w="307"/>
        <w:gridCol w:w="1159"/>
        <w:gridCol w:w="211"/>
        <w:gridCol w:w="1064"/>
        <w:gridCol w:w="249"/>
        <w:gridCol w:w="1117"/>
      </w:tblGrid>
      <w:tr>
        <w:trPr/>
        <w:tc>
          <w:tcPr>
            <w:tcW w:w="3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262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3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r>
      <w:tr>
        <w:trPr/>
        <w:tc>
          <w:tcPr>
            <w:tcW w:w="3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r>
      <w:tr>
        <w:trPr/>
        <w:tc>
          <w:tcPr>
            <w:tcW w:w="3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 </w:t>
            </w:r>
          </w:p>
        </w:tc>
        <w:tc>
          <w:tcPr>
            <w:tcW w:w="262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3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Revenues, Net of Discounts</w:t>
            </w:r>
          </w:p>
        </w:tc>
        <w:tc>
          <w:tcPr>
            <w:tcW w:w="211"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center"/>
              <w:rPr/>
            </w:pPr>
            <w:r>
              <w:rPr/>
              <w:t> </w:t>
            </w:r>
          </w:p>
        </w:tc>
        <w:tc>
          <w:tcPr>
            <w:tcW w:w="1064"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center"/>
              <w:rPr/>
            </w:pPr>
            <w:r>
              <w:rPr/>
              <w:t> </w:t>
            </w:r>
          </w:p>
        </w:tc>
        <w:tc>
          <w:tcPr>
            <w:tcW w:w="1117" w:type="dxa"/>
            <w:tcBorders/>
            <w:vAlign w:val="center"/>
          </w:tcPr>
          <w:p>
            <w:pPr>
              <w:pStyle w:val="TableContents"/>
              <w:bidi w:val="0"/>
              <w:spacing w:before="0" w:after="0"/>
              <w:ind w:left="0" w:right="0" w:hanging="0"/>
              <w:jc w:val="righ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188,044</w:t>
            </w:r>
          </w:p>
        </w:tc>
        <w:tc>
          <w:tcPr>
            <w:tcW w:w="3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192,734</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376,922</w:t>
            </w:r>
          </w:p>
        </w:tc>
        <w:tc>
          <w:tcPr>
            <w:tcW w:w="24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365,320</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Packaged Goods</w:t>
            </w:r>
          </w:p>
        </w:tc>
        <w:tc>
          <w:tcPr>
            <w:tcW w:w="211"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136,054</w:t>
            </w:r>
          </w:p>
        </w:tc>
        <w:tc>
          <w:tcPr>
            <w:tcW w:w="307"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120,604</w:t>
            </w:r>
          </w:p>
        </w:tc>
        <w:tc>
          <w:tcPr>
            <w:tcW w:w="211" w:type="dxa"/>
            <w:tcBorders/>
            <w:vAlign w:val="center"/>
          </w:tcPr>
          <w:p>
            <w:pPr>
              <w:pStyle w:val="TableContents"/>
              <w:bidi w:val="0"/>
              <w:spacing w:before="0" w:after="0"/>
              <w:ind w:left="0" w:right="0" w:hanging="0"/>
              <w:jc w:val="center"/>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261,671</w:t>
            </w:r>
          </w:p>
        </w:tc>
        <w:tc>
          <w:tcPr>
            <w:tcW w:w="249" w:type="dxa"/>
            <w:tcBorders/>
            <w:vAlign w:val="center"/>
          </w:tcPr>
          <w:p>
            <w:pPr>
              <w:pStyle w:val="TableContents"/>
              <w:bidi w:val="0"/>
              <w:spacing w:before="0" w:after="0"/>
              <w:ind w:left="0" w:right="0" w:hanging="0"/>
              <w:jc w:val="center"/>
              <w:rPr/>
            </w:pPr>
            <w:r>
              <w:rPr/>
              <w:t> </w:t>
            </w:r>
          </w:p>
        </w:tc>
        <w:tc>
          <w:tcPr>
            <w:tcW w:w="11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241,016</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Eliminations</w:t>
            </w:r>
          </w:p>
        </w:tc>
        <w:tc>
          <w:tcPr>
            <w:tcW w:w="211" w:type="dxa"/>
            <w:tcBorders/>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(71,710)</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(59,027)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(137,669)</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(109,425)</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Revenues, Net of Discounts</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252,388</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254,311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0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500,924</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496,911</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Depreciation and Amortization</w:t>
            </w:r>
          </w:p>
        </w:tc>
        <w:tc>
          <w:tcPr>
            <w:tcW w:w="211"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pPr>
            <w:r>
              <w:rPr/>
              <w:t> </w:t>
            </w:r>
          </w:p>
        </w:tc>
        <w:tc>
          <w:tcPr>
            <w:tcW w:w="307"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center"/>
              <w:rPr/>
            </w:pPr>
            <w:r>
              <w:rPr/>
              <w:t> </w:t>
            </w:r>
          </w:p>
        </w:tc>
        <w:tc>
          <w:tcPr>
            <w:tcW w:w="1064"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center"/>
              <w:rPr/>
            </w:pPr>
            <w:r>
              <w:rPr/>
              <w:t> </w:t>
            </w:r>
          </w:p>
        </w:tc>
        <w:tc>
          <w:tcPr>
            <w:tcW w:w="1117" w:type="dxa"/>
            <w:tcBorders/>
            <w:vAlign w:val="center"/>
          </w:tcPr>
          <w:p>
            <w:pPr>
              <w:pStyle w:val="TableContents"/>
              <w:bidi w:val="0"/>
              <w:spacing w:before="0" w:after="0"/>
              <w:ind w:left="0" w:right="0" w:hanging="0"/>
              <w:jc w:val="righ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9,109</w:t>
            </w:r>
          </w:p>
        </w:tc>
        <w:tc>
          <w:tcPr>
            <w:tcW w:w="3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10,127</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17,941</w:t>
            </w:r>
          </w:p>
        </w:tc>
        <w:tc>
          <w:tcPr>
            <w:tcW w:w="24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19,960</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Packaged Goods</w:t>
            </w:r>
          </w:p>
        </w:tc>
        <w:tc>
          <w:tcPr>
            <w:tcW w:w="211"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15,125</w:t>
            </w:r>
          </w:p>
        </w:tc>
        <w:tc>
          <w:tcPr>
            <w:tcW w:w="307"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14,071</w:t>
            </w:r>
          </w:p>
        </w:tc>
        <w:tc>
          <w:tcPr>
            <w:tcW w:w="211" w:type="dxa"/>
            <w:tcBorders/>
            <w:vAlign w:val="center"/>
          </w:tcPr>
          <w:p>
            <w:pPr>
              <w:pStyle w:val="TableContents"/>
              <w:bidi w:val="0"/>
              <w:spacing w:before="0" w:after="0"/>
              <w:ind w:left="0" w:right="0" w:hanging="0"/>
              <w:jc w:val="center"/>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29,794</w:t>
            </w:r>
          </w:p>
        </w:tc>
        <w:tc>
          <w:tcPr>
            <w:tcW w:w="249" w:type="dxa"/>
            <w:tcBorders/>
            <w:vAlign w:val="center"/>
          </w:tcPr>
          <w:p>
            <w:pPr>
              <w:pStyle w:val="TableContents"/>
              <w:bidi w:val="0"/>
              <w:spacing w:before="0" w:after="0"/>
              <w:ind w:left="0" w:right="0" w:hanging="0"/>
              <w:jc w:val="center"/>
              <w:rPr/>
            </w:pPr>
            <w:r>
              <w:rPr/>
              <w:t> </w:t>
            </w:r>
          </w:p>
        </w:tc>
        <w:tc>
          <w:tcPr>
            <w:tcW w:w="11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27,228</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Eliminations</w:t>
            </w:r>
          </w:p>
        </w:tc>
        <w:tc>
          <w:tcPr>
            <w:tcW w:w="211" w:type="dxa"/>
            <w:tcBorders/>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Depreciation and Amortization</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24,234</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24,198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0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47,735</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47,188</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Income Taxes</w:t>
            </w:r>
          </w:p>
        </w:tc>
        <w:tc>
          <w:tcPr>
            <w:tcW w:w="211"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pPr>
            <w:r>
              <w:rPr/>
              <w:t> </w:t>
            </w:r>
          </w:p>
        </w:tc>
        <w:tc>
          <w:tcPr>
            <w:tcW w:w="307"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center"/>
              <w:rPr/>
            </w:pPr>
            <w:r>
              <w:rPr/>
              <w:t> </w:t>
            </w:r>
          </w:p>
        </w:tc>
        <w:tc>
          <w:tcPr>
            <w:tcW w:w="1064"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center"/>
              <w:rPr/>
            </w:pPr>
            <w:r>
              <w:rPr/>
              <w:t> </w:t>
            </w:r>
          </w:p>
        </w:tc>
        <w:tc>
          <w:tcPr>
            <w:tcW w:w="1117" w:type="dxa"/>
            <w:tcBorders/>
            <w:vAlign w:val="center"/>
          </w:tcPr>
          <w:p>
            <w:pPr>
              <w:pStyle w:val="TableContents"/>
              <w:bidi w:val="0"/>
              <w:spacing w:before="0" w:after="0"/>
              <w:ind w:left="0" w:right="0" w:hanging="0"/>
              <w:jc w:val="righ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13,328</w:t>
            </w:r>
          </w:p>
        </w:tc>
        <w:tc>
          <w:tcPr>
            <w:tcW w:w="3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21,681</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32,339</w:t>
            </w:r>
          </w:p>
        </w:tc>
        <w:tc>
          <w:tcPr>
            <w:tcW w:w="24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1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39,871</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Packaged Goods</w:t>
            </w:r>
          </w:p>
        </w:tc>
        <w:tc>
          <w:tcPr>
            <w:tcW w:w="211"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12,437</w:t>
            </w:r>
          </w:p>
        </w:tc>
        <w:tc>
          <w:tcPr>
            <w:tcW w:w="307" w:type="dxa"/>
            <w:tcBorders/>
            <w:vAlign w:val="center"/>
          </w:tcPr>
          <w:p>
            <w:pPr>
              <w:pStyle w:val="TableContents"/>
              <w:bidi w:val="0"/>
              <w:spacing w:before="0" w:after="0"/>
              <w:ind w:left="0" w:right="0" w:hanging="0"/>
              <w:jc w:val="center"/>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16,659</w:t>
            </w:r>
          </w:p>
        </w:tc>
        <w:tc>
          <w:tcPr>
            <w:tcW w:w="211" w:type="dxa"/>
            <w:tcBorders/>
            <w:vAlign w:val="center"/>
          </w:tcPr>
          <w:p>
            <w:pPr>
              <w:pStyle w:val="TableContents"/>
              <w:bidi w:val="0"/>
              <w:spacing w:before="0" w:after="0"/>
              <w:ind w:left="0" w:right="0" w:hanging="0"/>
              <w:jc w:val="center"/>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27,062</w:t>
            </w:r>
          </w:p>
        </w:tc>
        <w:tc>
          <w:tcPr>
            <w:tcW w:w="249" w:type="dxa"/>
            <w:tcBorders/>
            <w:vAlign w:val="center"/>
          </w:tcPr>
          <w:p>
            <w:pPr>
              <w:pStyle w:val="TableContents"/>
              <w:bidi w:val="0"/>
              <w:spacing w:before="0" w:after="0"/>
              <w:ind w:left="0" w:right="0" w:hanging="0"/>
              <w:jc w:val="center"/>
              <w:rPr/>
            </w:pPr>
            <w:r>
              <w:rPr/>
              <w:t> </w:t>
            </w:r>
          </w:p>
        </w:tc>
        <w:tc>
          <w:tcPr>
            <w:tcW w:w="11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29,600</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Eliminations</w:t>
            </w:r>
          </w:p>
        </w:tc>
        <w:tc>
          <w:tcPr>
            <w:tcW w:w="211" w:type="dxa"/>
            <w:tcBorders/>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Income Taxes</w:t>
            </w:r>
          </w:p>
        </w:tc>
        <w:tc>
          <w:tcPr>
            <w:tcW w:w="21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25,765</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38,340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0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59,401</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1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69,471</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Goodwill assigned to the Consumer Packaged Goods segment as of June 30, 2023 and December 31, 2022 was $315,889</w:t>
      </w:r>
      <w:r>
        <w:rPr>
          <w:rFonts w:ascii="Times New Roman" w:hAnsi="Times New Roman"/>
          <w:sz w:val="20"/>
        </w:rPr>
        <w:t xml:space="preserve"> </w:t>
      </w:r>
      <w:r>
        <w:rPr>
          <w:rFonts w:ascii="Times New Roman;serif" w:hAnsi="Times New Roman;serif"/>
          <w:b w:val="false"/>
          <w:sz w:val="20"/>
        </w:rPr>
        <w:t>thousand and $315,889</w:t>
      </w:r>
      <w:r>
        <w:rPr>
          <w:rFonts w:ascii="Times New Roman" w:hAnsi="Times New Roman"/>
          <w:sz w:val="20"/>
        </w:rPr>
        <w:t xml:space="preserve"> </w:t>
      </w:r>
      <w:r>
        <w:rPr>
          <w:rFonts w:ascii="Times New Roman;serif" w:hAnsi="Times New Roman;serif"/>
          <w:b w:val="false"/>
          <w:sz w:val="20"/>
        </w:rPr>
        <w:t>thousand, respectively. Intangible assets, net assigned to the Consumer Packaged Goods segment as of June 30, 2023 and December 31, 2022 was $273,581</w:t>
      </w:r>
      <w:r>
        <w:rPr>
          <w:rFonts w:ascii="Times New Roman" w:hAnsi="Times New Roman"/>
          <w:sz w:val="20"/>
        </w:rPr>
        <w:t xml:space="preserve"> </w:t>
      </w:r>
      <w:r>
        <w:rPr>
          <w:rFonts w:ascii="Times New Roman;serif" w:hAnsi="Times New Roman;serif"/>
          <w:b w:val="false"/>
          <w:sz w:val="20"/>
        </w:rPr>
        <w:t>thousand and $286,922</w:t>
      </w:r>
      <w:r>
        <w:rPr>
          <w:rFonts w:ascii="Times New Roman" w:hAnsi="Times New Roman"/>
          <w:sz w:val="20"/>
        </w:rPr>
        <w:t xml:space="preserve"> </w:t>
      </w:r>
      <w:r>
        <w:rPr>
          <w:rFonts w:ascii="Times New Roman;serif" w:hAnsi="Times New Roman;serif"/>
          <w:b w:val="false"/>
          <w:sz w:val="20"/>
        </w:rPr>
        <w:t>thousand,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Goodwill assigned to the Retail segment as of June 30, 2023 and December 31, 2022 was $273,802</w:t>
      </w:r>
      <w:r>
        <w:rPr>
          <w:rFonts w:ascii="Times New Roman" w:hAnsi="Times New Roman"/>
          <w:sz w:val="20"/>
        </w:rPr>
        <w:t xml:space="preserve"> </w:t>
      </w:r>
      <w:r>
        <w:rPr>
          <w:rFonts w:ascii="Times New Roman;serif" w:hAnsi="Times New Roman;serif"/>
          <w:b w:val="false"/>
          <w:sz w:val="20"/>
        </w:rPr>
        <w:t>thousand and $273,802</w:t>
      </w:r>
      <w:r>
        <w:rPr>
          <w:rFonts w:ascii="Times New Roman" w:hAnsi="Times New Roman"/>
          <w:sz w:val="20"/>
        </w:rPr>
        <w:t xml:space="preserve"> </w:t>
      </w:r>
      <w:r>
        <w:rPr>
          <w:rFonts w:ascii="Times New Roman;serif" w:hAnsi="Times New Roman;serif"/>
          <w:b w:val="false"/>
          <w:sz w:val="20"/>
        </w:rPr>
        <w:t>thousand, respectively. Intangible assets, net assigned to the Retail segment as of June 30, 2023 and December 31, 2022 was $290,584</w:t>
      </w:r>
      <w:r>
        <w:rPr>
          <w:rFonts w:ascii="Times New Roman" w:hAnsi="Times New Roman"/>
          <w:sz w:val="20"/>
        </w:rPr>
        <w:t xml:space="preserve"> </w:t>
      </w:r>
      <w:r>
        <w:rPr>
          <w:rFonts w:ascii="Times New Roman;serif" w:hAnsi="Times New Roman;serif"/>
          <w:b w:val="false"/>
          <w:sz w:val="20"/>
        </w:rPr>
        <w:t>thousand and $302,597</w:t>
      </w:r>
      <w:r>
        <w:rPr>
          <w:rFonts w:ascii="Times New Roman" w:hAnsi="Times New Roman"/>
          <w:sz w:val="20"/>
        </w:rPr>
        <w:t xml:space="preserve"> </w:t>
      </w:r>
      <w:r>
        <w:rPr>
          <w:rFonts w:ascii="Times New Roman;serif" w:hAnsi="Times New Roman;serif"/>
          <w:b w:val="false"/>
          <w:sz w:val="20"/>
        </w:rPr>
        <w:t>thousand,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8" w:name="management_discussion_and_analysis"/>
      <w:bookmarkStart w:id="9" w:name="item2_mda"/>
      <w:bookmarkEnd w:id="8"/>
      <w:bookmarkEnd w:id="9"/>
      <w:r>
        <w:rPr>
          <w:rFonts w:ascii="Times New Roman;serif" w:hAnsi="Times New Roman;serif"/>
          <w:b/>
          <w:sz w:val="20"/>
        </w:rPr>
        <w:t>ITEM 2. MANAGEMENT DISCUSSION AND ANALYSIS OF FINANCIAL CONDITION AND RESULTS OF OPERATION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management discussion and analysis (“MD&amp;A”) of the financial condition and results of operations of Green Thumb Industries Inc. (the “Company” or “Green Thumb”) is for the three and six months ended June 30, 2023 and 2022. It is supplemental to, and should be read in conjunction with, the Company’s unaudited interim condensed consolidated financial statements as of June 30, 2023 and the consolidated financial statements for the year ended December 31, 2022 included in the Company’s Annual Report on Form 10-K for the year ended December 31, 2022 filed with the U.S. Securities and Exchange Commission on March 1, 2023 (the “2022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of the 2022 Form 10-K.” As a result of many factors, the Company’s actual results may differ materially from those anticipated in these forward-looking statements and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OVERVIEW OF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Established in 2014 and headquartered in Chicago, Illinois, Green Thumb promotes well-being through the power of cannabis through branded consumer packaged goods and people-first retail experiences, while giving back to the communities in which it serves. As of June 30, 2023, Green Thumb has operations in fifteen U.S. markets, employs approximately 4,300 people and serves millions of patients and customers annually.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Consumer Packaged Goods portfolio is primarily generated from plant material that Green Thumb grows and processes itself, which we use to produce our consumer packaged goods in eighteen manufacturing facilities. This portfolio consists of stock keeping units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stores throughout the U.S. including at Green Thumb’s own RISE and other stores.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Green Thumb owns and operates a national cannabis retail chain called RISE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naming is subject to licensing or similar restrictions or in certain instances where we co-own the store.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fourteen of the states in which we operate. As of June 30, 2023, the Company had 83 open and operating retail stores. The Company’s new store opening plans will remain fluid depending on market conditions, obtaining local licensing, construction and other permissions and subject to the Company’s capital allocation plans.</w:t>
      </w:r>
    </w:p>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Results of Operations – Consolidated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Company’s selected consolidated financial results for the periods, and as of the dates, indicated. The (i) unaudited interim condensed consolidated statements of operations for the three and six months ended June 30, 2023 and 2022 and (ii) unaudited interim condensed consolidated balance sheet as of June 30, 2023 and December 31, 2022 have been derived from, and should be read in conjunction with, the unaudited interim condensed consolidated financial statements and accompanying notes presented in Item 1 of this quarterly report on Form 10-Q.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323"/>
        <w:gridCol w:w="196"/>
        <w:gridCol w:w="1012"/>
        <w:gridCol w:w="197"/>
        <w:gridCol w:w="1012"/>
        <w:gridCol w:w="146"/>
        <w:gridCol w:w="196"/>
        <w:gridCol w:w="1006"/>
        <w:gridCol w:w="196"/>
        <w:gridCol w:w="1006"/>
        <w:gridCol w:w="146"/>
        <w:gridCol w:w="196"/>
        <w:gridCol w:w="676"/>
        <w:gridCol w:w="487"/>
        <w:gridCol w:w="196"/>
        <w:gridCol w:w="676"/>
        <w:gridCol w:w="538"/>
      </w:tblGrid>
      <w:tr>
        <w:trPr/>
        <w:tc>
          <w:tcPr>
            <w:tcW w:w="2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323"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222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220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11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QTD Change</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YTD Change</w:t>
            </w:r>
          </w:p>
        </w:tc>
      </w:tr>
      <w:tr>
        <w:trPr/>
        <w:tc>
          <w:tcPr>
            <w:tcW w:w="2323"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2323"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4771"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and per share amounts)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2573"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Revenues, Net of Discounts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252,388</w:t>
            </w:r>
          </w:p>
        </w:tc>
        <w:tc>
          <w:tcPr>
            <w:tcW w:w="19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254,311</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500,924</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496,911</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(1,923)</w:t>
            </w:r>
          </w:p>
        </w:tc>
        <w:tc>
          <w:tcPr>
            <w:tcW w:w="4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4,013</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Goods Sold, Net</w:t>
            </w:r>
          </w:p>
        </w:tc>
        <w:tc>
          <w:tcPr>
            <w:tcW w:w="196" w:type="dxa"/>
            <w:tcBorders/>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(127,108)</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(250,923)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(248,173)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(1,405)</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2,750</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Gross Profit</w:t>
            </w:r>
          </w:p>
        </w:tc>
        <w:tc>
          <w:tcPr>
            <w:tcW w:w="196"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125,280</w:t>
            </w:r>
          </w:p>
        </w:tc>
        <w:tc>
          <w:tcPr>
            <w:tcW w:w="197"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125,798</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250,001</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248,738</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(518)</w:t>
            </w:r>
          </w:p>
        </w:tc>
        <w:tc>
          <w:tcPr>
            <w:tcW w:w="4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1,263</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96"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pPr>
            <w:r>
              <w:rPr/>
              <w:t> </w:t>
            </w:r>
          </w:p>
        </w:tc>
        <w:tc>
          <w:tcPr>
            <w:tcW w:w="487"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pPr>
            <w:r>
              <w:rPr/>
              <w:t> </w:t>
            </w:r>
          </w:p>
        </w:tc>
        <w:tc>
          <w:tcPr>
            <w:tcW w:w="538" w:type="dxa"/>
            <w:tcBorders/>
            <w:vAlign w:val="center"/>
          </w:tcPr>
          <w:p>
            <w:pPr>
              <w:pStyle w:val="TableContents"/>
              <w:bidi w:val="0"/>
              <w:spacing w:before="0" w:after="0"/>
              <w:ind w:left="0" w:right="0" w:hanging="0"/>
              <w:jc w:val="right"/>
              <w:rPr/>
            </w:pPr>
            <w:r>
              <w:rPr/>
              <w:t> </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Selling, General, and Administrative</w:t>
            </w:r>
          </w:p>
        </w:tc>
        <w:tc>
          <w:tcPr>
            <w:tcW w:w="196"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84,217</w:t>
            </w:r>
          </w:p>
        </w:tc>
        <w:tc>
          <w:tcPr>
            <w:tcW w:w="197"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63,535</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164,736</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131,923</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20,682</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32,813</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96" w:type="dxa"/>
            <w:tcBorders/>
            <w:vAlign w:val="center"/>
          </w:tcPr>
          <w:p>
            <w:pPr>
              <w:pStyle w:val="TableContents"/>
              <w:bidi w:val="0"/>
              <w:spacing w:before="0" w:after="0"/>
              <w:ind w:left="0" w:right="0" w:hanging="0"/>
              <w:jc w:val="center"/>
              <w:rPr/>
            </w:pPr>
            <w:r>
              <w:rPr/>
              <w:t> </w:t>
            </w:r>
          </w:p>
        </w:tc>
        <w:tc>
          <w:tcPr>
            <w:tcW w:w="101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84,217</w:t>
            </w:r>
          </w:p>
        </w:tc>
        <w:tc>
          <w:tcPr>
            <w:tcW w:w="19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01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63,535</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164,736</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131,923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20,682</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32,813</w:t>
            </w:r>
          </w:p>
        </w:tc>
        <w:tc>
          <w:tcPr>
            <w:tcW w:w="53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From Operations</w:t>
            </w:r>
          </w:p>
        </w:tc>
        <w:tc>
          <w:tcPr>
            <w:tcW w:w="196"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41,063</w:t>
            </w:r>
          </w:p>
        </w:tc>
        <w:tc>
          <w:tcPr>
            <w:tcW w:w="197"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62,263</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85,265</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116,815</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(21,200)</w:t>
            </w:r>
          </w:p>
        </w:tc>
        <w:tc>
          <w:tcPr>
            <w:tcW w:w="4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(31,550)</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Income (Expense)</w:t>
            </w:r>
          </w:p>
        </w:tc>
        <w:tc>
          <w:tcPr>
            <w:tcW w:w="196" w:type="dxa"/>
            <w:tcBorders/>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(1,608)</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(2,769)</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(2,416)</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(9,842)</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Before Provision for Income Taxes And Non-Controlling Interest</w:t>
            </w:r>
          </w:p>
        </w:tc>
        <w:tc>
          <w:tcPr>
            <w:tcW w:w="196"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39,455</w:t>
            </w:r>
          </w:p>
        </w:tc>
        <w:tc>
          <w:tcPr>
            <w:tcW w:w="197"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63,071</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82,496</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123,888</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(23,616)</w:t>
            </w:r>
          </w:p>
        </w:tc>
        <w:tc>
          <w:tcPr>
            <w:tcW w:w="4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(41,392)</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Provision for Income Taxes</w:t>
            </w:r>
          </w:p>
        </w:tc>
        <w:tc>
          <w:tcPr>
            <w:tcW w:w="196" w:type="dxa"/>
            <w:tcBorders/>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25,765</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59,401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69,471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(12,575)</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(10,070)</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Before Non-Controlling Interest</w:t>
            </w:r>
          </w:p>
        </w:tc>
        <w:tc>
          <w:tcPr>
            <w:tcW w:w="196"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13,690</w:t>
            </w:r>
          </w:p>
        </w:tc>
        <w:tc>
          <w:tcPr>
            <w:tcW w:w="197" w:type="dxa"/>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24,731</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23,095</w:t>
            </w:r>
          </w:p>
        </w:tc>
        <w:tc>
          <w:tcPr>
            <w:tcW w:w="19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54,417</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(11,041)</w:t>
            </w:r>
          </w:p>
        </w:tc>
        <w:tc>
          <w:tcPr>
            <w:tcW w:w="4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(31,322)</w:t>
            </w:r>
          </w:p>
        </w:tc>
        <w:tc>
          <w:tcPr>
            <w:tcW w:w="5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Attributable to Non-Controlling Interest</w:t>
            </w:r>
          </w:p>
        </w:tc>
        <w:tc>
          <w:tcPr>
            <w:tcW w:w="196" w:type="dxa"/>
            <w:tcBorders/>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4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w:t>
            </w:r>
          </w:p>
        </w:tc>
        <w:tc>
          <w:tcPr>
            <w:tcW w:w="5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Attributable To Green Thumb Industries Inc.</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13,400</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22,539</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53,376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(11,037)</w:t>
            </w:r>
          </w:p>
        </w:tc>
        <w:tc>
          <w:tcPr>
            <w:tcW w:w="4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(30,837)</w:t>
            </w:r>
          </w:p>
        </w:tc>
        <w:tc>
          <w:tcPr>
            <w:tcW w:w="5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Per Share - Basic</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0.09</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(0.06)</w:t>
            </w:r>
          </w:p>
        </w:tc>
        <w:tc>
          <w:tcPr>
            <w:tcW w:w="4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(0.14)</w:t>
            </w:r>
          </w:p>
        </w:tc>
        <w:tc>
          <w:tcPr>
            <w:tcW w:w="5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Per Share - Diluted</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0.09</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(0.05)</w:t>
            </w:r>
          </w:p>
        </w:tc>
        <w:tc>
          <w:tcPr>
            <w:tcW w:w="4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(0.13)</w:t>
            </w:r>
          </w:p>
        </w:tc>
        <w:tc>
          <w:tcPr>
            <w:tcW w:w="5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Number of Shares Outstanding – Basic</w:t>
            </w:r>
          </w:p>
        </w:tc>
        <w:tc>
          <w:tcPr>
            <w:tcW w:w="196" w:type="dxa"/>
            <w:tcBorders/>
            <w:vAlign w:val="center"/>
          </w:tcPr>
          <w:p>
            <w:pPr>
              <w:pStyle w:val="TableContents"/>
              <w:bidi w:val="0"/>
              <w:spacing w:before="0" w:after="0"/>
              <w:ind w:left="0" w:right="0" w:hanging="0"/>
              <w:jc w:val="center"/>
              <w:rPr/>
            </w:pPr>
            <w:r>
              <w:rPr/>
              <w:t> </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238,000,135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236,783,625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237,700,856</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236,313,896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487"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 </w:t>
            </w:r>
          </w:p>
        </w:tc>
        <w:tc>
          <w:tcPr>
            <w:tcW w:w="538" w:type="dxa"/>
            <w:tcBorders/>
            <w:vAlign w:val="center"/>
          </w:tcPr>
          <w:p>
            <w:pPr>
              <w:pStyle w:val="TableContents"/>
              <w:bidi w:val="0"/>
              <w:spacing w:before="0" w:after="0"/>
              <w:ind w:left="0" w:right="0" w:hanging="0"/>
              <w:jc w:val="center"/>
              <w:rPr/>
            </w:pPr>
            <w:r>
              <w:rPr/>
              <w:t> </w:t>
            </w:r>
          </w:p>
        </w:tc>
      </w:tr>
      <w:tr>
        <w:trPr/>
        <w:tc>
          <w:tcPr>
            <w:tcW w:w="23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Number of Shares Outstanding – Diluted</w:t>
            </w:r>
          </w:p>
        </w:tc>
        <w:tc>
          <w:tcPr>
            <w:tcW w:w="196" w:type="dxa"/>
            <w:tcBorders/>
            <w:vAlign w:val="center"/>
          </w:tcPr>
          <w:p>
            <w:pPr>
              <w:pStyle w:val="TableContents"/>
              <w:bidi w:val="0"/>
              <w:spacing w:before="0" w:after="0"/>
              <w:ind w:left="0" w:right="0" w:hanging="0"/>
              <w:jc w:val="center"/>
              <w:rPr/>
            </w:pPr>
            <w:r>
              <w:rPr/>
              <w:t> </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238,423,288</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237,762,903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center"/>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239,455,964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237,869,300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left"/>
              <w:rPr/>
            </w:pPr>
            <w:r>
              <w:rPr/>
              <w:t> </w:t>
            </w:r>
          </w:p>
        </w:tc>
        <w:tc>
          <w:tcPr>
            <w:tcW w:w="487"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4805" w:type="dxa"/>
        <w:jc w:val="left"/>
        <w:tblInd w:w="0" w:type="dxa"/>
        <w:tblLayout w:type="fixed"/>
        <w:tblCellMar>
          <w:top w:w="28" w:type="dxa"/>
          <w:left w:w="28" w:type="dxa"/>
          <w:bottom w:w="28" w:type="dxa"/>
          <w:right w:w="28" w:type="dxa"/>
        </w:tblCellMar>
      </w:tblPr>
      <w:tblGrid>
        <w:gridCol w:w="1666"/>
        <w:gridCol w:w="196"/>
        <w:gridCol w:w="1156"/>
        <w:gridCol w:w="196"/>
        <w:gridCol w:w="1591"/>
      </w:tblGrid>
      <w:tr>
        <w:trPr/>
        <w:tc>
          <w:tcPr>
            <w:tcW w:w="1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r>
      <w:tr>
        <w:trPr/>
        <w:tc>
          <w:tcPr>
            <w:tcW w:w="166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294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2,512,834</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2,433,528</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Long-Term Liabilities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631,757</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5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621,525</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Three Months Ended June 30, 2023 Compared to the Three Months Ended June 30, 2022</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Revenues, net of Discounts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for the three months ended June 30, 2023 was $252,388 thousand, a decrease of 1% from $254,311 thousand for the three months ended June 30, 2022. The Company increased the number of total units sold, but due to price compression, total revenue declined. This decrease was partially offset by continued growth in existing markets such as New Jersey, Virginia, and Connecticut, as well as revenue generated from new retail stores opened in the current period.</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generated revenue from 83 retail stores during the quarter, compared to 77 in the same quarter of the prior year. During the three months ended June 30, 2023, the Company opened two retail stores in Pennsylvania, two retail stores in Virginia, one retail store in Minnesota, and one retail store in Nevada.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Cost of Goods Sold,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Cost of goods sold are derived from retail purchases made by the Company from its third-party licensed producers operating within our state markets and costs related to the internal cultivation and production of cannabis. Cost of goods sold for the three months ended June 30, 2023 was $127,108 thousand, a decrease of 1% from $128,513 thousand for the three months ended June 30, 2022, driven by the decrease in revenue as described above.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Gross Profit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for the three months ended June 30, 2023 was $125,280 thousand, representing a gross margin on the sale of branded cannabis flower and processed and packaged products including concentrates, edibles, topicals and other cannabis products, of 50%. This is compared to gross profit for the three months ended June 30, 2022 of $125,798 thousand, or a 49% gross margin. The increase in gross margin (percent) was primarily driven by increased sales of Company branded products which have higher margins. The decrease in gross profit (dollars) was directly attributable to the revenue decrease as described above.</w:t>
      </w:r>
    </w:p>
    <w:p>
      <w:pPr>
        <w:pStyle w:val="TextBody"/>
        <w:bidi w:val="0"/>
        <w:spacing w:before="360" w:after="0"/>
        <w:jc w:val="left"/>
        <w:rPr>
          <w:rFonts w:ascii="Times New Roman" w:hAnsi="Times New Roman"/>
          <w:sz w:val="20"/>
        </w:rPr>
      </w:pPr>
      <w:r>
        <w:rPr>
          <w:rFonts w:ascii="Times New Roman;serif" w:hAnsi="Times New Roman;serif"/>
          <w:b w:val="false"/>
          <w:i/>
          <w:sz w:val="20"/>
        </w:rPr>
        <w:t>Total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Total expenses for the three months ended June 30, 2023 were $84,217 thousand, or 33% of revenues, net of discounts, resulting in an increase of $20,682 thousand over the same period in the prior year. Total expenses for the three months ended June 30, 2022 were $63,535 thousand or 25% of revenues, net of discounts. Total expenses were lower in the three months ended June 30, 2022 primarily due to favorable fair value adjustments associated with the Company's contingent consideration arrangements.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Total Other Income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other income (expense) for three months ended June 30, 2023 was $(1,608) thousand, a decrease of $2,416 thousand, due to favorable fair value adjustments to the Company's warrant liability, partially offset by unfavorable fair value adjustments associated with the Company's equity investments, both recorded during the three months ended June 30, 2022.</w:t>
      </w:r>
    </w:p>
    <w:p>
      <w:pPr>
        <w:pStyle w:val="TextBody"/>
        <w:bidi w:val="0"/>
        <w:spacing w:before="360" w:after="0"/>
        <w:jc w:val="left"/>
        <w:rPr>
          <w:rFonts w:ascii="Times New Roman" w:hAnsi="Times New Roman"/>
          <w:sz w:val="20"/>
        </w:rPr>
      </w:pPr>
      <w:r>
        <w:rPr>
          <w:rFonts w:ascii="Times New Roman;serif" w:hAnsi="Times New Roman;serif"/>
          <w:b w:val="false"/>
          <w:i/>
          <w:sz w:val="20"/>
        </w:rPr>
        <w:t>Income (Loss) Before Provision for Income Taxes and Non-Controlling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Income before provision for income taxes and non-controlling interest for the three months ended June 30, 2023 was $39,455 thousand, a decrease of $23,616 thousand compared to the three months ended June 30,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presented under the heading “Non-GAAP Measures” below, after adjusting for non-cash equity incentive compensation of $7,381 thousand and $6,833 thousand in the three months ended June 30, 2023 and 2022, respectively, and other nonoperating (income) expenses, of $3,138 thousand and $(14,557) thousand in the three months ended June 30, 2023 and 2022, respectively, adjusted earnings before interest, depreciation, and amortization (“EBITDA”) was $75,816 thousand and $78,737 thousand,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Income tax expense is recognized based on the expected tax payable on the taxable income for the year, using tax rates enacted or substantively enacted at year-end. For the three months ended June 30, 2023, federal and state income tax expense totaled $25,765 thousand compared to expense of $38,340 thousand</w:t>
      </w:r>
      <w:r>
        <w:rPr>
          <w:rFonts w:ascii="Times New Roman" w:hAnsi="Times New Roman"/>
          <w:sz w:val="20"/>
        </w:rPr>
        <w:t xml:space="preserve"> </w:t>
      </w:r>
      <w:r>
        <w:rPr>
          <w:rFonts w:ascii="Times New Roman;serif" w:hAnsi="Times New Roman;serif"/>
          <w:b w:val="false"/>
          <w:sz w:val="20"/>
        </w:rPr>
        <w:t>for the three months ended June 30,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Six Months Ended June 30, 2023 Compared to the Six Months Ended June 30,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Revenues, net of Discounts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Revenue for the six months ended June 30, 2023 was $500,924 thousand, an increase of 1% from $496,911 for the six months ended June 30, 2022. The increase in revenue was largely due to legalization of adult-use sales in New Jersey, which began on April 21, 2022, continued growth in existing markets such as Connecticut and Virginia, as well as revenue generated from new retail stores opened in the current period, partially offset by price compression.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generated revenue from 83 retail stores during the period compared to 77 in the same period of the prior year. During the six months ended June 30, 2023, the Company opened two retail stores in Pennsylvania, two retail stores in Virginia, one retail store in Minnesota, and one retail store in Nevada.</w:t>
      </w:r>
      <w:r>
        <w:rPr>
          <w:rFonts w:ascii="Times New Roman" w:hAnsi="Times New Roman"/>
          <w:sz w:val="20"/>
        </w:rPr>
        <w:t xml:space="preserve">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Cost of Goods Sold, net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Cost of goods sold are derived from retail purchases made by the Company from its third-party licensed producers operating within our state markets and costs related to the internal cultivation and production of cannabis. Cost of goods sold for the six months ended June 30, 2023 was $250,923 thousand, an increase of 1% from $248,173 thousand for the six months ended June 30, 2022, driven by increased revenue as described above.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Gross Profit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Gross profit for the six months ended June 30, 2023 was $250,001 thousand, representing a gross margin on the sale of branded cannabis flower and processed and packaged products including concentrates, edibles, topicals and other cannabis products, of 50%. This is compared to gross profit for the six months ended June 30, 2022 of $248,738 thousand or a 50% gross margin. The increase in gross profit (dollars) was directly attributable to the revenue increase as described above.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Total Expenses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Total expenses for the six months ended June 30, 2023 were $164,736 thousand or 33% of revenues, net of discounts, resulting in an increase of $32,813 thousand over the same period in the prior year. Total expenses for the six months ended June 30, 2022 were $131,923 thousand or 27% of revenues, net of discounts. Total expenses were lower in the first six months of 2022 primarily due to favorable fair value adjustments associated with the Company's contingent consideration arrangements, which were recorded during the six months ended June 30,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Total Other Income (Expense)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Total other income (expense) for six months ended June 30, 2023 was $(2,769) thousand a decrease of $9,842 thousand, due to favorable adjustments to the Company's warrant liability, partially offset by unfavorable fair value adjustments associated with the Company's equity investments, both recorded during the six months ended June 30,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Income (Loss) Before Provision for Income Taxes and Non-Controlling Interest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Net operating income before provision for income taxes and non-controlling interest for six months ended June 30, 2023 was $82,496 thousand, a decrease of $41,392 thousand compared to the six months ended June 30,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presented under the heading “Non-GAAP Measures” below, after adjusting for non-cash equity incentive compensation of $13,620 thousand and $11,484 thousand, and other nonoperating (income) expenses, of $5,430 thousand and $(29,711) thousand in the six months ended June 30, 2023 and 2022, respectively, Adjusted EBITDA was $152,050 thousand and $145,776 thousand, respectively.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Provision for Income Taxes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Income tax expense is recognized based on the expected tax payable on the taxable income for the year, using tax rates enacted or substantively enacted at year-end. For the six months ended June 30, 2023, federal and state income tax expense totaled $59,401 thousand compared to expense of $69,471 thousand for the six months ended June 30, 2022.</w:t>
      </w:r>
    </w:p>
    <w:p>
      <w:pPr>
        <w:pStyle w:val="TextBody"/>
        <w:bidi w:val="0"/>
        <w:spacing w:before="360" w:after="0"/>
        <w:jc w:val="left"/>
        <w:rPr>
          <w:rFonts w:ascii="Times New Roman" w:hAnsi="Times New Roman"/>
          <w:sz w:val="20"/>
        </w:rPr>
      </w:pPr>
      <w:r>
        <w:rPr>
          <w:rFonts w:ascii="Times New Roman;serif" w:hAnsi="Times New Roman;serif"/>
          <w:b/>
          <w:i/>
          <w:sz w:val="20"/>
        </w:rPr>
        <w:t>Results of Operations by Segment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revenues net of sales discounts by segment for the three and six months ended June 30, 2023 and 2022:</w:t>
      </w:r>
      <w:r>
        <w:rPr>
          <w:rFonts w:ascii="Times New Roman" w:hAnsi="Times New Roman"/>
          <w:sz w:val="20"/>
        </w:rPr>
        <w:t xml:space="preserve"> </w:t>
      </w:r>
    </w:p>
    <w:p>
      <w:pPr>
        <w:pStyle w:val="TextBody"/>
        <w:bidi w:val="0"/>
        <w:spacing w:before="120" w:after="0"/>
        <w:jc w:val="left"/>
        <w:rPr/>
      </w:pPr>
      <w:r>
        <w:rPr/>
        <w:t> </w:t>
      </w:r>
    </w:p>
    <w:tbl>
      <w:tblPr>
        <w:tblW w:w="6723" w:type="dxa"/>
        <w:jc w:val="left"/>
        <w:tblInd w:w="0" w:type="dxa"/>
        <w:tblLayout w:type="fixed"/>
        <w:tblCellMar>
          <w:top w:w="28" w:type="dxa"/>
          <w:left w:w="28" w:type="dxa"/>
          <w:bottom w:w="28" w:type="dxa"/>
          <w:right w:w="28" w:type="dxa"/>
        </w:tblCellMar>
      </w:tblPr>
      <w:tblGrid>
        <w:gridCol w:w="2506"/>
        <w:gridCol w:w="196"/>
        <w:gridCol w:w="997"/>
        <w:gridCol w:w="271"/>
        <w:gridCol w:w="997"/>
        <w:gridCol w:w="196"/>
        <w:gridCol w:w="788"/>
        <w:gridCol w:w="772"/>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226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r>
      <w:tr>
        <w:trPr/>
        <w:tc>
          <w:tcPr>
            <w:tcW w:w="250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r>
      <w:tr>
        <w:trPr/>
        <w:tc>
          <w:tcPr>
            <w:tcW w:w="250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2265"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Retail</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188,044</w:t>
            </w:r>
          </w:p>
        </w:tc>
        <w:tc>
          <w:tcPr>
            <w:tcW w:w="27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192,734</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(4,690)</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Packaged Goods</w:t>
            </w:r>
          </w:p>
        </w:tc>
        <w:tc>
          <w:tcPr>
            <w:tcW w:w="196" w:type="dxa"/>
            <w:tcBorders/>
            <w:vAlign w:val="center"/>
          </w:tcPr>
          <w:p>
            <w:pPr>
              <w:pStyle w:val="TableContents"/>
              <w:bidi w:val="0"/>
              <w:spacing w:before="0" w:after="0"/>
              <w:ind w:left="0" w:right="0" w:hanging="0"/>
              <w:jc w:val="center"/>
              <w:rPr/>
            </w:pPr>
            <w:r>
              <w:rPr/>
              <w:t> </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136,054</w:t>
            </w:r>
          </w:p>
        </w:tc>
        <w:tc>
          <w:tcPr>
            <w:tcW w:w="271" w:type="dxa"/>
            <w:tcBorders/>
            <w:vAlign w:val="center"/>
          </w:tcPr>
          <w:p>
            <w:pPr>
              <w:pStyle w:val="TableContents"/>
              <w:bidi w:val="0"/>
              <w:spacing w:before="0" w:after="0"/>
              <w:ind w:left="0" w:right="0" w:hanging="0"/>
              <w:jc w:val="center"/>
              <w:rPr/>
            </w:pPr>
            <w:r>
              <w:rPr/>
              <w:t> </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120,604</w:t>
            </w:r>
          </w:p>
        </w:tc>
        <w:tc>
          <w:tcPr>
            <w:tcW w:w="196" w:type="dxa"/>
            <w:tcBorders/>
            <w:vAlign w:val="center"/>
          </w:tcPr>
          <w:p>
            <w:pPr>
              <w:pStyle w:val="TableContents"/>
              <w:bidi w:val="0"/>
              <w:spacing w:before="0" w:after="0"/>
              <w:ind w:left="0" w:right="0" w:hanging="0"/>
              <w:jc w:val="center"/>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15,450</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Intersegment Eliminations</w:t>
            </w:r>
          </w:p>
        </w:tc>
        <w:tc>
          <w:tcPr>
            <w:tcW w:w="196" w:type="dxa"/>
            <w:tcBorders/>
            <w:vAlign w:val="center"/>
          </w:tcPr>
          <w:p>
            <w:pPr>
              <w:pStyle w:val="TableContents"/>
              <w:bidi w:val="0"/>
              <w:spacing w:before="0" w:after="0"/>
              <w:ind w:left="0" w:right="0" w:hanging="0"/>
              <w:jc w:val="center"/>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(71,710)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(59,027)</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(12,683)</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Revenues, Net of Discounts</w:t>
            </w:r>
          </w:p>
        </w:tc>
        <w:tc>
          <w:tcPr>
            <w:tcW w:w="1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252,388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254,311</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(1,923)</w:t>
            </w:r>
          </w:p>
        </w:tc>
        <w:tc>
          <w:tcPr>
            <w:tcW w:w="7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r>
    </w:tbl>
    <w:p>
      <w:pPr>
        <w:pStyle w:val="TextBody"/>
        <w:bidi w:val="0"/>
        <w:spacing w:before="360" w:after="0"/>
        <w:jc w:val="left"/>
        <w:rPr/>
      </w:pPr>
      <w:r>
        <w:rPr/>
        <w:t> </w:t>
      </w:r>
    </w:p>
    <w:tbl>
      <w:tblPr>
        <w:tblW w:w="6527" w:type="dxa"/>
        <w:jc w:val="left"/>
        <w:tblInd w:w="0" w:type="dxa"/>
        <w:tblLayout w:type="fixed"/>
        <w:tblCellMar>
          <w:top w:w="28" w:type="dxa"/>
          <w:left w:w="28" w:type="dxa"/>
          <w:bottom w:w="28" w:type="dxa"/>
          <w:right w:w="28" w:type="dxa"/>
        </w:tblCellMar>
      </w:tblPr>
      <w:tblGrid>
        <w:gridCol w:w="2506"/>
        <w:gridCol w:w="196"/>
        <w:gridCol w:w="923"/>
        <w:gridCol w:w="223"/>
        <w:gridCol w:w="923"/>
        <w:gridCol w:w="196"/>
        <w:gridCol w:w="788"/>
        <w:gridCol w:w="772"/>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206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r>
      <w:tr>
        <w:trPr/>
        <w:tc>
          <w:tcPr>
            <w:tcW w:w="250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r>
      <w:tr>
        <w:trPr/>
        <w:tc>
          <w:tcPr>
            <w:tcW w:w="250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206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Retail</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376,922</w:t>
            </w:r>
          </w:p>
        </w:tc>
        <w:tc>
          <w:tcPr>
            <w:tcW w:w="22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365,320</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11,602</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Packaged Goods</w:t>
            </w:r>
          </w:p>
        </w:tc>
        <w:tc>
          <w:tcPr>
            <w:tcW w:w="196" w:type="dxa"/>
            <w:tcBorders/>
            <w:vAlign w:val="center"/>
          </w:tcPr>
          <w:p>
            <w:pPr>
              <w:pStyle w:val="TableContents"/>
              <w:bidi w:val="0"/>
              <w:spacing w:before="0" w:after="0"/>
              <w:ind w:left="0" w:right="0" w:hanging="0"/>
              <w:jc w:val="center"/>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261,671</w:t>
            </w:r>
          </w:p>
        </w:tc>
        <w:tc>
          <w:tcPr>
            <w:tcW w:w="223" w:type="dxa"/>
            <w:tcBorders/>
            <w:vAlign w:val="center"/>
          </w:tcPr>
          <w:p>
            <w:pPr>
              <w:pStyle w:val="TableContents"/>
              <w:bidi w:val="0"/>
              <w:spacing w:before="0" w:after="0"/>
              <w:ind w:left="0" w:right="0" w:hanging="0"/>
              <w:jc w:val="center"/>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241,016</w:t>
            </w:r>
          </w:p>
        </w:tc>
        <w:tc>
          <w:tcPr>
            <w:tcW w:w="196" w:type="dxa"/>
            <w:tcBorders/>
            <w:vAlign w:val="center"/>
          </w:tcPr>
          <w:p>
            <w:pPr>
              <w:pStyle w:val="TableContents"/>
              <w:bidi w:val="0"/>
              <w:spacing w:before="0" w:after="0"/>
              <w:ind w:left="0" w:right="0" w:hanging="0"/>
              <w:jc w:val="center"/>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20,655</w:t>
            </w:r>
          </w:p>
        </w:tc>
        <w:tc>
          <w:tcPr>
            <w:tcW w:w="7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Intersegment Eliminations</w:t>
            </w:r>
          </w:p>
        </w:tc>
        <w:tc>
          <w:tcPr>
            <w:tcW w:w="196" w:type="dxa"/>
            <w:tcBorders/>
            <w:vAlign w:val="center"/>
          </w:tcPr>
          <w:p>
            <w:pPr>
              <w:pStyle w:val="TableContents"/>
              <w:bidi w:val="0"/>
              <w:spacing w:before="0" w:after="0"/>
              <w:ind w:left="0" w:right="0" w:hanging="0"/>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(137,669)</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(109,425)</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(28,244)</w:t>
            </w:r>
          </w:p>
        </w:tc>
        <w:tc>
          <w:tcPr>
            <w:tcW w:w="7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Revenues, Net of Discounts</w:t>
            </w:r>
          </w:p>
        </w:tc>
        <w:tc>
          <w:tcPr>
            <w:tcW w:w="1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500,924</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496,911</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4,013</w:t>
            </w:r>
          </w:p>
        </w:tc>
        <w:tc>
          <w:tcPr>
            <w:tcW w:w="7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r>
    </w:tbl>
    <w:p>
      <w:pPr>
        <w:pStyle w:val="TextBody"/>
        <w:bidi w:val="0"/>
        <w:spacing w:before="360" w:after="0"/>
        <w:jc w:val="left"/>
        <w:rPr>
          <w:rFonts w:ascii="Times New Roman" w:hAnsi="Times New Roman"/>
          <w:sz w:val="20"/>
        </w:rPr>
      </w:pPr>
      <w:r>
        <w:rPr>
          <w:rFonts w:ascii="Times New Roman;serif" w:hAnsi="Times New Roman;serif"/>
          <w:b/>
          <w:i/>
          <w:sz w:val="20"/>
        </w:rPr>
        <w:t>Three Months Ended June 30, 2023 Compared with the Three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Revenues, net of discounts, for the Retail segment were $188,044 thousand, a decrease of $4,690 thousand or 2%, compared to the three months ended June 30, 2022. The Company increased the total number of units sold, but due to price compression, total revenue declined. This decrease was partially offset by continued growth in existing markets such as New Jersey, Virginia, and Connecticut, as well as revenue generated from new retail stores opened in the current period.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Revenues, net of discounts, for the Consumer Packaged Goods Segment were $136,054 thousand, an increase of $15,450 thousand or 13%, compared to the three months ended June 30, 2022. The key driver for the increase in Consumer Packaged Goods revenues was increased production capacity within existing markets.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Intersegment eliminations associated with the Consumer Packaged Goods Segment were $71,710 thousand, an increase of $12,683 thousand or 21% compared to the three months ended June 30, 2022. The increase in intersegment eliminations was driven by increased intercompany sales to Company-owned retail stores. Consumer Packaged Goods revenues, net of intersegment eliminations, made up 25% of total revenues during the three months ended June 30, 2023 as compared to 24% during the three months ended June 30,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Due to the vertically integrated nature of the business, the Company reviews its revenue at the Retail and Consumer Packaged Goods level while reviewing its operating results on a consolidated basis.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Six Months Ended June 30, 2023 Compared with the Six Months Ended June 30, 2022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Revenues, net of discounts for the Retail segment were $376,922, an increase of $11,602 or 3%, compared to the six months ended June 30, 2022. The increase in Retail revenues, net of discounts, was primarily driven by legalization of adult-use sales in New Jersey, which began on April 21, 2022, continued growth in existing markets such as Connecticut and Virginia, as well as revenue generated from new retail stores opened in the current period, partially offset by price compression.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Revenues, net of discounts, for the Consumer Packaged Goods Segment were $261,671 thousand, an increase of $20,655 thousand or 9%, compared to the six months ended June 30, 2022. The key driver for the increase in Consumer Packaged Goods revenues was increased production capacity within existing markets.</w:t>
      </w:r>
    </w:p>
    <w:p>
      <w:pPr>
        <w:pStyle w:val="TextBody"/>
        <w:bidi w:val="0"/>
        <w:spacing w:before="240" w:after="0"/>
        <w:jc w:val="left"/>
        <w:rPr>
          <w:rFonts w:ascii="Times New Roman" w:hAnsi="Times New Roman"/>
          <w:sz w:val="20"/>
        </w:rPr>
      </w:pPr>
      <w:r>
        <w:rPr>
          <w:rFonts w:ascii="Times New Roman;serif" w:hAnsi="Times New Roman;serif"/>
          <w:b w:val="false"/>
          <w:sz w:val="20"/>
        </w:rPr>
        <w:t>Intersegment eliminations associated with the Consumer Packaged Goods Segment were $137,669 thousand, an increase of $28,244 thousand or 26% compared to the six months ended June 30, 2022. The increase in intersegment eliminations was driven by increased intercompany sales to Company-owned retail stores primarily in Illinois, Pennsylvania, and New Jersey as well as to newly acquired retail stores as discussed above. Consumer Packaged Goods revenues, net of intersegment eliminations, made up 25% of total revenues during the six months ended June 30, 2023 as compared to 26% during the six months ended June 30,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Due to the vertically integrated nature of the business, the Company reviews its revenue at the Retail and Consumer Packaged Goods level while reviewing its operating results on a consolidated basis.</w:t>
      </w:r>
    </w:p>
    <w:p>
      <w:pPr>
        <w:pStyle w:val="TextBody"/>
        <w:bidi w:val="0"/>
        <w:spacing w:before="360" w:after="0"/>
        <w:jc w:val="left"/>
        <w:rPr>
          <w:rFonts w:ascii="Times New Roman" w:hAnsi="Times New Roman"/>
          <w:sz w:val="20"/>
        </w:rPr>
      </w:pPr>
      <w:r>
        <w:rPr>
          <w:rFonts w:ascii="Times New Roman;serif" w:hAnsi="Times New Roman;serif"/>
          <w:b/>
          <w:sz w:val="20"/>
        </w:rPr>
        <w:t>Drivers of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derives its revenue from two revenue streams: a Consumer Packaged Goods business in which it manufactures, sells and distributes its portfolio of Consumer Packaged Goods brands including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and six months ended June 30, 2023, revenue was contributed from Consumer Packaged Goods and Retail sales across California, Colorado, Connecticut, Florida, Illinois, Maryland, Massachusetts, Minnesota, Nevada, New Jersey, New York, Ohio, Pennsylvania, Rhode Island and Virginia.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Gross Profit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2023, the Company continued to be focused on creating sustainable, profitable growth of the Company’s business within its current markets while considering strategic acquisition and partnership opportunities.</w:t>
      </w:r>
    </w:p>
    <w:p>
      <w:pPr>
        <w:pStyle w:val="TextBody"/>
        <w:bidi w:val="0"/>
        <w:spacing w:before="360" w:after="0"/>
        <w:jc w:val="left"/>
        <w:rPr>
          <w:rFonts w:ascii="Times New Roman" w:hAnsi="Times New Roman"/>
          <w:sz w:val="20"/>
        </w:rPr>
      </w:pPr>
      <w:r>
        <w:rPr>
          <w:rFonts w:ascii="Times New Roman;serif" w:hAnsi="Times New Roman;serif"/>
          <w:b w:val="false"/>
          <w:i/>
          <w:sz w:val="20"/>
        </w:rPr>
        <w:t>Total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Retail selling costs generally correlate to revenue. As new stores begin operations, these stores generally experience higher selling costs as a percentage of revenue compared to more established stores, which experience a more constant rate of selling costs. As a percentage of sales, the Company expects selling costs to remain constant in the more established stores and increase in the newer stores as business continues to grow.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General and administrative expenses also include costs incurred at the Company’s corporate offices, primarily related to back office personnel costs, including salaries, incentive compensation, benefits, stock-based compensation and other professional service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Non-GAAP Measures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120" w:after="0"/>
        <w:jc w:val="left"/>
        <w:rPr/>
      </w:pPr>
      <w:r>
        <w:rPr/>
        <w:t> </w:t>
      </w:r>
    </w:p>
    <w:tbl>
      <w:tblPr>
        <w:tblW w:w="9462" w:type="dxa"/>
        <w:jc w:val="left"/>
        <w:tblInd w:w="0" w:type="dxa"/>
        <w:tblLayout w:type="fixed"/>
        <w:tblCellMar>
          <w:top w:w="28" w:type="dxa"/>
          <w:left w:w="28" w:type="dxa"/>
          <w:bottom w:w="28" w:type="dxa"/>
          <w:right w:w="28" w:type="dxa"/>
        </w:tblCellMar>
      </w:tblPr>
      <w:tblGrid>
        <w:gridCol w:w="4546"/>
        <w:gridCol w:w="196"/>
        <w:gridCol w:w="923"/>
        <w:gridCol w:w="286"/>
        <w:gridCol w:w="1055"/>
        <w:gridCol w:w="146"/>
        <w:gridCol w:w="196"/>
        <w:gridCol w:w="884"/>
        <w:gridCol w:w="250"/>
        <w:gridCol w:w="980"/>
      </w:tblGrid>
      <w:tr>
        <w:trPr/>
        <w:tc>
          <w:tcPr>
            <w:tcW w:w="4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22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45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45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22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Income Before Non-Controlling Interest</w:t>
            </w:r>
          </w:p>
        </w:tc>
        <w:tc>
          <w:tcPr>
            <w:tcW w:w="1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13,690</w:t>
            </w:r>
          </w:p>
        </w:tc>
        <w:tc>
          <w:tcPr>
            <w:tcW w:w="2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0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24,731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23,095</w:t>
            </w:r>
          </w:p>
        </w:tc>
        <w:tc>
          <w:tcPr>
            <w:tcW w:w="25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54,417</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 net</w:t>
            </w:r>
          </w:p>
        </w:tc>
        <w:tc>
          <w:tcPr>
            <w:tcW w:w="196" w:type="dxa"/>
            <w:tcBorders/>
            <w:vAlign w:val="center"/>
          </w:tcPr>
          <w:p>
            <w:pPr>
              <w:pStyle w:val="TableContents"/>
              <w:bidi w:val="0"/>
              <w:spacing w:before="0" w:after="0"/>
              <w:ind w:left="0" w:right="0" w:hanging="0"/>
              <w:jc w:val="center"/>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(1,531)</w:t>
            </w:r>
          </w:p>
        </w:tc>
        <w:tc>
          <w:tcPr>
            <w:tcW w:w="286" w:type="dxa"/>
            <w:tcBorders/>
            <w:vAlign w:val="center"/>
          </w:tcPr>
          <w:p>
            <w:pPr>
              <w:pStyle w:val="TableContents"/>
              <w:bidi w:val="0"/>
              <w:spacing w:before="0" w:after="0"/>
              <w:ind w:left="0" w:right="0" w:hanging="0"/>
              <w:jc w:val="center"/>
              <w:rPr/>
            </w:pPr>
            <w:r>
              <w:rPr/>
              <w:t> </w:t>
            </w:r>
          </w:p>
        </w:tc>
        <w:tc>
          <w:tcPr>
            <w:tcW w:w="10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(3,262)</w:t>
            </w:r>
          </w:p>
        </w:tc>
        <w:tc>
          <w:tcPr>
            <w:tcW w:w="250" w:type="dxa"/>
            <w:tcBorders/>
            <w:vAlign w:val="center"/>
          </w:tcPr>
          <w:p>
            <w:pPr>
              <w:pStyle w:val="TableContents"/>
              <w:bidi w:val="0"/>
              <w:spacing w:before="0" w:after="0"/>
              <w:ind w:left="0" w:right="0" w:hanging="0"/>
              <w:jc w:val="center"/>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(1,524)</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 net</w:t>
            </w:r>
          </w:p>
        </w:tc>
        <w:tc>
          <w:tcPr>
            <w:tcW w:w="196" w:type="dxa"/>
            <w:tcBorders/>
            <w:vAlign w:val="center"/>
          </w:tcPr>
          <w:p>
            <w:pPr>
              <w:pStyle w:val="TableContents"/>
              <w:bidi w:val="0"/>
              <w:spacing w:before="0" w:after="0"/>
              <w:ind w:left="0" w:right="0" w:hanging="0"/>
              <w:jc w:val="center"/>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2,869</w:t>
            </w:r>
          </w:p>
        </w:tc>
        <w:tc>
          <w:tcPr>
            <w:tcW w:w="286" w:type="dxa"/>
            <w:tcBorders/>
            <w:vAlign w:val="center"/>
          </w:tcPr>
          <w:p>
            <w:pPr>
              <w:pStyle w:val="TableContents"/>
              <w:bidi w:val="0"/>
              <w:spacing w:before="0" w:after="0"/>
              <w:ind w:left="0" w:right="0" w:hanging="0"/>
              <w:jc w:val="center"/>
              <w:rPr/>
            </w:pPr>
            <w:r>
              <w:rPr/>
              <w:t> </w:t>
            </w:r>
          </w:p>
        </w:tc>
        <w:tc>
          <w:tcPr>
            <w:tcW w:w="10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5,399</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6,685</w:t>
            </w:r>
          </w:p>
        </w:tc>
        <w:tc>
          <w:tcPr>
            <w:tcW w:w="250" w:type="dxa"/>
            <w:tcBorders/>
            <w:vAlign w:val="center"/>
          </w:tcPr>
          <w:p>
            <w:pPr>
              <w:pStyle w:val="TableContents"/>
              <w:bidi w:val="0"/>
              <w:spacing w:before="0" w:after="0"/>
              <w:ind w:left="0" w:right="0" w:hanging="0"/>
              <w:jc w:val="center"/>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11,469</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Provision For Income Taxes</w:t>
            </w:r>
          </w:p>
        </w:tc>
        <w:tc>
          <w:tcPr>
            <w:tcW w:w="196" w:type="dxa"/>
            <w:tcBorders/>
            <w:vAlign w:val="center"/>
          </w:tcPr>
          <w:p>
            <w:pPr>
              <w:pStyle w:val="TableContents"/>
              <w:bidi w:val="0"/>
              <w:spacing w:before="0" w:after="0"/>
              <w:ind w:left="0" w:right="0" w:hanging="0"/>
              <w:jc w:val="center"/>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25,765</w:t>
            </w:r>
          </w:p>
        </w:tc>
        <w:tc>
          <w:tcPr>
            <w:tcW w:w="286" w:type="dxa"/>
            <w:tcBorders/>
            <w:vAlign w:val="center"/>
          </w:tcPr>
          <w:p>
            <w:pPr>
              <w:pStyle w:val="TableContents"/>
              <w:bidi w:val="0"/>
              <w:spacing w:before="0" w:after="0"/>
              <w:ind w:left="0" w:right="0" w:hanging="0"/>
              <w:jc w:val="center"/>
              <w:rPr/>
            </w:pPr>
            <w:r>
              <w:rPr/>
              <w:t> </w:t>
            </w:r>
          </w:p>
        </w:tc>
        <w:tc>
          <w:tcPr>
            <w:tcW w:w="10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38,340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59,401</w:t>
            </w:r>
          </w:p>
        </w:tc>
        <w:tc>
          <w:tcPr>
            <w:tcW w:w="250" w:type="dxa"/>
            <w:tcBorders/>
            <w:vAlign w:val="center"/>
          </w:tcPr>
          <w:p>
            <w:pPr>
              <w:pStyle w:val="TableContents"/>
              <w:bidi w:val="0"/>
              <w:spacing w:before="0" w:after="0"/>
              <w:ind w:left="0" w:right="0" w:hanging="0"/>
              <w:jc w:val="center"/>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69,471</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(Income) Expense</w:t>
            </w:r>
          </w:p>
        </w:tc>
        <w:tc>
          <w:tcPr>
            <w:tcW w:w="196" w:type="dxa"/>
            <w:tcBorders/>
            <w:vAlign w:val="center"/>
          </w:tcPr>
          <w:p>
            <w:pPr>
              <w:pStyle w:val="TableContents"/>
              <w:bidi w:val="0"/>
              <w:spacing w:before="0" w:after="0"/>
              <w:ind w:left="0" w:right="0" w:hanging="0"/>
              <w:jc w:val="center"/>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w:t>
            </w:r>
          </w:p>
        </w:tc>
        <w:tc>
          <w:tcPr>
            <w:tcW w:w="286" w:type="dxa"/>
            <w:tcBorders/>
            <w:vAlign w:val="center"/>
          </w:tcPr>
          <w:p>
            <w:pPr>
              <w:pStyle w:val="TableContents"/>
              <w:bidi w:val="0"/>
              <w:spacing w:before="0" w:after="0"/>
              <w:ind w:left="0" w:right="0" w:hanging="0"/>
              <w:jc w:val="center"/>
              <w:rPr/>
            </w:pPr>
            <w:r>
              <w:rPr/>
              <w:t> </w:t>
            </w:r>
          </w:p>
        </w:tc>
        <w:tc>
          <w:tcPr>
            <w:tcW w:w="10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(5,583)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(654)</w:t>
            </w:r>
          </w:p>
        </w:tc>
        <w:tc>
          <w:tcPr>
            <w:tcW w:w="250" w:type="dxa"/>
            <w:tcBorders/>
            <w:vAlign w:val="center"/>
          </w:tcPr>
          <w:p>
            <w:pPr>
              <w:pStyle w:val="TableContents"/>
              <w:bidi w:val="0"/>
              <w:spacing w:before="0" w:after="0"/>
              <w:ind w:left="0" w:right="0" w:hanging="0"/>
              <w:jc w:val="center"/>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(17,018)</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96" w:type="dxa"/>
            <w:tcBorders/>
            <w:vAlign w:val="center"/>
          </w:tcPr>
          <w:p>
            <w:pPr>
              <w:pStyle w:val="TableContents"/>
              <w:bidi w:val="0"/>
              <w:spacing w:before="0" w:after="0"/>
              <w:ind w:left="0" w:right="0" w:hanging="0"/>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24,234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47,735</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47,188</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Earnings before interest, taxes, depreciation and</w:t>
              <w:br/>
              <w:t>   amortization (EBITDA) (non-GAAP measure)</w:t>
            </w:r>
          </w:p>
        </w:tc>
        <w:tc>
          <w:tcPr>
            <w:tcW w:w="1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65,297</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0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86,461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133,000</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164,003</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non-cash</w:t>
            </w:r>
          </w:p>
        </w:tc>
        <w:tc>
          <w:tcPr>
            <w:tcW w:w="196" w:type="dxa"/>
            <w:tcBorders/>
            <w:vAlign w:val="center"/>
          </w:tcPr>
          <w:p>
            <w:pPr>
              <w:pStyle w:val="TableContents"/>
              <w:bidi w:val="0"/>
              <w:spacing w:before="0" w:after="0"/>
              <w:ind w:left="0" w:right="0" w:hanging="0"/>
              <w:jc w:val="center"/>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7,381</w:t>
            </w:r>
          </w:p>
        </w:tc>
        <w:tc>
          <w:tcPr>
            <w:tcW w:w="286" w:type="dxa"/>
            <w:tcBorders/>
            <w:vAlign w:val="center"/>
          </w:tcPr>
          <w:p>
            <w:pPr>
              <w:pStyle w:val="TableContents"/>
              <w:bidi w:val="0"/>
              <w:spacing w:before="0" w:after="0"/>
              <w:ind w:left="0" w:right="0" w:hanging="0"/>
              <w:jc w:val="center"/>
              <w:rPr/>
            </w:pPr>
            <w:r>
              <w:rPr/>
              <w:t> </w:t>
            </w:r>
          </w:p>
        </w:tc>
        <w:tc>
          <w:tcPr>
            <w:tcW w:w="10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6,833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center"/>
              <w:rPr/>
            </w:pPr>
            <w:r>
              <w:rPr/>
              <w:t> </w:t>
            </w:r>
          </w:p>
        </w:tc>
        <w:tc>
          <w:tcPr>
            <w:tcW w:w="8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13,620</w:t>
            </w:r>
          </w:p>
        </w:tc>
        <w:tc>
          <w:tcPr>
            <w:tcW w:w="250" w:type="dxa"/>
            <w:tcBorders/>
            <w:vAlign w:val="center"/>
          </w:tcPr>
          <w:p>
            <w:pPr>
              <w:pStyle w:val="TableContents"/>
              <w:bidi w:val="0"/>
              <w:spacing w:before="0" w:after="0"/>
              <w:ind w:left="0" w:right="0" w:hanging="0"/>
              <w:jc w:val="center"/>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11,484</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Acquisition, transaction and other non-operating (income) costs</w:t>
            </w:r>
          </w:p>
        </w:tc>
        <w:tc>
          <w:tcPr>
            <w:tcW w:w="196" w:type="dxa"/>
            <w:tcBorders/>
            <w:vAlign w:val="center"/>
          </w:tcPr>
          <w:p>
            <w:pPr>
              <w:pStyle w:val="TableContents"/>
              <w:bidi w:val="0"/>
              <w:spacing w:before="0" w:after="0"/>
              <w:ind w:left="0" w:right="0" w:hanging="0"/>
              <w:jc w:val="center"/>
              <w:rPr/>
            </w:pPr>
            <w:r>
              <w:rPr/>
              <w:t> </w:t>
            </w:r>
          </w:p>
        </w:tc>
        <w:tc>
          <w:tcPr>
            <w:tcW w:w="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3,138</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5,430</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(29,711)</w:t>
            </w:r>
          </w:p>
        </w:tc>
      </w:tr>
      <w:tr>
        <w:trPr/>
        <w:tc>
          <w:tcPr>
            <w:tcW w:w="45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Adjusted EBITDA (non-GAAP measure)</w:t>
            </w:r>
          </w:p>
        </w:tc>
        <w:tc>
          <w:tcPr>
            <w:tcW w:w="1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75,816</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0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78,737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152,050</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145,776</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Liquidity, Financing Activities During the Period, and Capital Resources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and December 31, 2022 the Company had total current liabilities of $175,261 thousand and $146,571 thousand, respectively, and cash and cash equivalents of $149,026 thousand and $177,682 thousand, respectively, to meet its current obligations. The Company had working capital of $165,993 thousand as of June 30, 2023, a decrease of $38,787 thousand as compared to December 31, 2022. This decrease in working capital was primarily driven by purchases of property, plant, and equipment, as well as tax payments made in the current period.</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an early-stage growth company, generating cash from revenues, deploying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Cash Used in Operating Activities, Investing and 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provided by (used in) operating, investing and financing activities for the six months ended June 30, 2023 and 2022, were as follows:</w:t>
      </w:r>
      <w:r>
        <w:rPr>
          <w:rFonts w:ascii="Times New Roman" w:hAnsi="Times New Roman"/>
          <w:sz w:val="20"/>
        </w:rPr>
        <w:t xml:space="preserve"> </w:t>
      </w:r>
    </w:p>
    <w:p>
      <w:pPr>
        <w:pStyle w:val="TextBody"/>
        <w:bidi w:val="0"/>
        <w:spacing w:before="0" w:after="0"/>
        <w:jc w:val="left"/>
        <w:rPr/>
      </w:pPr>
      <w:r>
        <w:rPr/>
        <w:t> </w:t>
      </w:r>
    </w:p>
    <w:tbl>
      <w:tblPr>
        <w:tblW w:w="6361" w:type="dxa"/>
        <w:jc w:val="left"/>
        <w:tblInd w:w="0" w:type="dxa"/>
        <w:tblLayout w:type="fixed"/>
        <w:tblCellMar>
          <w:top w:w="28" w:type="dxa"/>
          <w:left w:w="28" w:type="dxa"/>
          <w:bottom w:w="28" w:type="dxa"/>
          <w:right w:w="28" w:type="dxa"/>
        </w:tblCellMar>
      </w:tblPr>
      <w:tblGrid>
        <w:gridCol w:w="3886"/>
        <w:gridCol w:w="196"/>
        <w:gridCol w:w="992"/>
        <w:gridCol w:w="239"/>
        <w:gridCol w:w="1048"/>
      </w:tblGrid>
      <w:tr>
        <w:trPr/>
        <w:tc>
          <w:tcPr>
            <w:tcW w:w="3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227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r>
      <w:tr>
        <w:trPr/>
        <w:tc>
          <w:tcPr>
            <w:tcW w:w="388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r>
      <w:tr>
        <w:trPr/>
        <w:tc>
          <w:tcPr>
            <w:tcW w:w="388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2279"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r>
      <w:tr>
        <w:trPr/>
        <w:tc>
          <w:tcPr>
            <w:tcW w:w="38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Operating Activities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93,028</w:t>
            </w:r>
          </w:p>
        </w:tc>
        <w:tc>
          <w:tcPr>
            <w:tcW w:w="23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39,914</w:t>
            </w:r>
          </w:p>
        </w:tc>
      </w:tr>
      <w:tr>
        <w:trPr/>
        <w:tc>
          <w:tcPr>
            <w:tcW w:w="38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Investing Activities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(131,542)</w:t>
            </w:r>
          </w:p>
        </w:tc>
        <w:tc>
          <w:tcPr>
            <w:tcW w:w="23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(114,296)</w:t>
            </w:r>
          </w:p>
        </w:tc>
      </w:tr>
      <w:tr>
        <w:trPr/>
        <w:tc>
          <w:tcPr>
            <w:tcW w:w="38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(Used in) Financing Activities</w:t>
            </w:r>
          </w:p>
        </w:tc>
        <w:tc>
          <w:tcPr>
            <w:tcW w:w="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9,858</w:t>
            </w:r>
          </w:p>
        </w:tc>
        <w:tc>
          <w:tcPr>
            <w:tcW w:w="23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(10,761)</w:t>
            </w:r>
          </w:p>
        </w:tc>
      </w:tr>
    </w:tbl>
    <w:p>
      <w:pPr>
        <w:pStyle w:val="TextBody"/>
        <w:bidi w:val="0"/>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Changes in or Adoption of Accounting Practices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Refer to the discussion of recently adopted/issued accounting pronouncements under Part I, Item 1, Notes to Unaudited Interim Condensed Consolidated Financial Statements, Note 1—Overview and Basis of Presentation.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were no material changes to our critical accounting policies and estimates from the information provided in “Management’s Discussion and Analysis of Financial Condition and Results of Operations,” included in our 2022 Form 10-K.</w:t>
      </w:r>
      <w:r>
        <w:rPr>
          <w:rFonts w:ascii="Times New Roman" w:hAnsi="Times New Roman"/>
          <w:sz w:val="20"/>
        </w:rPr>
        <w:t xml:space="preserve"> </w:t>
      </w:r>
    </w:p>
    <w:p>
      <w:pPr>
        <w:pStyle w:val="TextBody"/>
        <w:bidi w:val="0"/>
        <w:spacing w:before="36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0" w:name="quant_and_qual_disclosure_market_risk"/>
      <w:bookmarkEnd w:id="10"/>
      <w:r>
        <w:rPr>
          <w:rFonts w:ascii="Times New Roman;serif" w:hAnsi="Times New Roman;serif"/>
          <w:b/>
          <w:sz w:val="20"/>
        </w:rPr>
        <w:t>ITEM 3. QUANTITAVE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material changes to our market risk disclosures as set forth in Part II Item 7A of our 2022 Form 10-K.</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1" w:name="controls_and_procedures"/>
      <w:bookmarkEnd w:id="11"/>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June 30, 2023.</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changes in the Company's internal control over financial reporting during the second quarter of 2023 that have materially affected, or are reasonably likely to materially affect, our internal control over financial reporting.</w:t>
      </w:r>
    </w:p>
    <w:p>
      <w:pPr>
        <w:pStyle w:val="TextBody"/>
        <w:bidi w:val="0"/>
        <w:spacing w:before="120" w:after="0"/>
        <w:jc w:val="left"/>
        <w:rPr>
          <w:rFonts w:ascii="Times New Roman" w:hAnsi="Times New Roman"/>
          <w:sz w:val="20"/>
        </w:rPr>
      </w:pPr>
      <w:r>
        <w:rPr>
          <w:rFonts w:ascii="Times New Roman;serif" w:hAnsi="Times New Roman;serif"/>
          <w:b/>
          <w:sz w:val="20"/>
        </w:rPr>
        <w:t>Inherent Limitations on Control Systems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 w:name="partii_item1_legal_proceedings"/>
      <w:bookmarkEnd w:id="12"/>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r>
        <w:rPr>
          <w:rFonts w:ascii="Times New Roman" w:hAnsi="Times New Roman"/>
          <w:sz w:val="20"/>
        </w:rPr>
        <w:t xml:space="preserve"> </w:t>
      </w:r>
    </w:p>
    <w:p>
      <w:pPr>
        <w:pStyle w:val="TextBody"/>
        <w:bidi w:val="0"/>
        <w:spacing w:before="120" w:after="0"/>
        <w:jc w:val="left"/>
        <w:rPr/>
      </w:pPr>
      <w:bookmarkStart w:id="13" w:name="partii_item1a_risk_factors"/>
      <w:bookmarkEnd w:id="13"/>
      <w:r>
        <w:rPr/>
        <w:t> </w:t>
      </w:r>
    </w:p>
    <w:p>
      <w:pPr>
        <w:pStyle w:val="TextBody"/>
        <w:bidi w:val="0"/>
        <w:spacing w:before="120" w:after="0"/>
        <w:jc w:val="left"/>
        <w:rPr>
          <w:rFonts w:ascii="Times New Roman" w:hAnsi="Times New Roman"/>
          <w:sz w:val="20"/>
        </w:rPr>
      </w:pPr>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 discussion of our potential risks and uncertainties, see the information under the heading "Risk Factors" in our 2022 Form 10-K.</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bookmarkStart w:id="14" w:name="partii_item2_sale_of_unregistered_securi"/>
      <w:bookmarkEnd w:id="14"/>
      <w:r>
        <w:rPr>
          <w:rFonts w:ascii="Times New Roman;serif" w:hAnsi="Times New Roman;serif"/>
          <w:b/>
          <w:sz w:val="20"/>
        </w:rPr>
        <w:t>ITEM 2. UNREGISTERED SALE OF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Recent Sales of Unregistered Securities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Subordinate Voting Shares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Between April 1, 2023 and June 30, 2023, the Company issued a total of 64,270 deferred shares associated with the Company's previous acquisitions of various privately held Companies.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June 1, 2023, the Company issued 822,447 Subordinate Voting Shares as contingent consideration associated with the Company's July 2021 acquisition of Dharma Pharmaceuticals, LLC.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Multiple Voting Shares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Super Voting Shares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5" w:name="partii_item3_defaults_upon_senior_securi"/>
      <w:bookmarkEnd w:id="15"/>
      <w:r>
        <w:rPr>
          <w:rFonts w:ascii="Times New Roman;serif" w:hAnsi="Times New Roman;serif"/>
          <w:b/>
          <w:sz w:val="20"/>
        </w:rPr>
        <w:t>ITEM 3. DEFAULTS UPON 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6" w:name="partii_item4_mine_safety_disclosure"/>
      <w:bookmarkEnd w:id="16"/>
      <w:r>
        <w:rPr>
          <w:rFonts w:ascii="Times New Roman;serif" w:hAnsi="Times New Roman;serif"/>
          <w:b/>
          <w:sz w:val="20"/>
        </w:rPr>
        <w:t>ITEM 4. MINE SAFETY 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7" w:name="partii_item5_other_information"/>
      <w:bookmarkEnd w:id="17"/>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8" w:name="partii_item6_exhibits"/>
      <w:bookmarkEnd w:id="18"/>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exhibits are filed with this report:</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9415"/>
      </w:tblGrid>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9415" w:type="dxa"/>
            <w:tcBorders/>
            <w:vAlign w:val="center"/>
          </w:tcPr>
          <w:p>
            <w:pPr>
              <w:pStyle w:val="TableContents"/>
              <w:bidi w:val="0"/>
              <w:spacing w:before="0" w:after="0"/>
              <w:ind w:left="0" w:right="0" w:hanging="0"/>
              <w:jc w:val="left"/>
              <w:rPr/>
            </w:pPr>
            <w:hyperlink w:anchor="gtbif-ex31_1.htm">
              <w:r>
                <w:rPr>
                  <w:rStyle w:val="InternetLink"/>
                  <w:rFonts w:ascii="Times New Roman;serif" w:hAnsi="Times New Roman;serif"/>
                  <w:b w:val="false"/>
                  <w:sz w:val="20"/>
                  <w:u w:val="single"/>
                </w:rPr>
                <w:t>CERTIFICATE OF CHIEF EXECUTIVE OFFICER</w:t>
              </w:r>
            </w:hyperlink>
            <w:hyperlink w:anchor="gtbif-ex31_1.htm">
              <w:r>
                <w:rPr>
                  <w:rStyle w:val="InternetLink"/>
                  <w:rFonts w:ascii="Times New Roman" w:hAnsi="Times New Roman"/>
                  <w:sz w:val="20"/>
                </w:rPr>
                <w:t xml:space="preserve"> </w:t>
              </w:r>
            </w:hyperlink>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31.2</w:t>
            </w:r>
          </w:p>
        </w:tc>
        <w:tc>
          <w:tcPr>
            <w:tcW w:w="9415" w:type="dxa"/>
            <w:tcBorders/>
            <w:vAlign w:val="center"/>
          </w:tcPr>
          <w:p>
            <w:pPr>
              <w:pStyle w:val="TableContents"/>
              <w:bidi w:val="0"/>
              <w:spacing w:before="0" w:after="0"/>
              <w:ind w:left="0" w:right="0" w:hanging="0"/>
              <w:jc w:val="left"/>
              <w:rPr/>
            </w:pPr>
            <w:hyperlink w:anchor="gtbif-ex31_2.htm">
              <w:r>
                <w:rPr>
                  <w:rStyle w:val="InternetLink"/>
                  <w:rFonts w:ascii="Times New Roman;serif" w:hAnsi="Times New Roman;serif"/>
                  <w:b w:val="false"/>
                  <w:sz w:val="20"/>
                  <w:u w:val="single"/>
                </w:rPr>
                <w:t>CERTIFICATE OF CHIEF FINANCIAL OFFICER</w:t>
              </w:r>
            </w:hyperlink>
            <w:hyperlink w:anchor="gtbif-ex31_2.htm">
              <w:r>
                <w:rPr>
                  <w:rStyle w:val="InternetLink"/>
                  <w:rFonts w:ascii="Times New Roman" w:hAnsi="Times New Roman"/>
                  <w:sz w:val="20"/>
                </w:rPr>
                <w:t xml:space="preserve"> </w:t>
              </w:r>
            </w:hyperlink>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9415" w:type="dxa"/>
            <w:tcBorders/>
            <w:vAlign w:val="center"/>
          </w:tcPr>
          <w:p>
            <w:pPr>
              <w:pStyle w:val="TableContents"/>
              <w:bidi w:val="0"/>
              <w:spacing w:before="0" w:after="0"/>
              <w:ind w:left="0" w:right="0" w:hanging="0"/>
              <w:jc w:val="left"/>
              <w:rPr/>
            </w:pPr>
            <w:hyperlink w:anchor="gtbif-ex32_1.htm">
              <w:r>
                <w:rPr>
                  <w:rStyle w:val="InternetLink"/>
                  <w:rFonts w:ascii="Times New Roman;serif" w:hAnsi="Times New Roman;serif"/>
                  <w:b w:val="false"/>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sz w:val="20"/>
                </w:rPr>
                <w:t xml:space="preserve"> </w:t>
              </w:r>
            </w:hyperlink>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32.2</w:t>
            </w:r>
          </w:p>
        </w:tc>
        <w:tc>
          <w:tcPr>
            <w:tcW w:w="9415" w:type="dxa"/>
            <w:tcBorders/>
            <w:vAlign w:val="center"/>
          </w:tcPr>
          <w:p>
            <w:pPr>
              <w:pStyle w:val="TableContents"/>
              <w:bidi w:val="0"/>
              <w:spacing w:before="0" w:after="0"/>
              <w:ind w:left="0" w:right="0" w:hanging="0"/>
              <w:jc w:val="left"/>
              <w:rPr/>
            </w:pPr>
            <w:hyperlink w:anchor="gtbif-ex32_2.htm">
              <w:r>
                <w:rPr>
                  <w:rStyle w:val="InternetLink"/>
                  <w:rFonts w:ascii="Times New Roman;serif" w:hAnsi="Times New Roman;serif"/>
                  <w:b w:val="false"/>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sz w:val="20"/>
                </w:rPr>
                <w:t xml:space="preserve"> </w:t>
              </w:r>
            </w:hyperlink>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9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9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9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90" w:type="dxa"/>
            <w:tcBorders/>
            <w:vAlign w:val="center"/>
          </w:tcPr>
          <w:p>
            <w:pPr>
              <w:pStyle w:val="TableContents"/>
              <w:bidi w:val="0"/>
              <w:spacing w:before="0" w:after="283"/>
              <w:ind w:left="0" w:right="0" w:hanging="0"/>
              <w:jc w:val="left"/>
              <w:rPr>
                <w:sz w:val="4"/>
                <w:szCs w:val="4"/>
              </w:rPr>
            </w:pPr>
            <w:r>
              <w:rPr>
                <w:sz w:val="4"/>
                <w:szCs w:val="4"/>
              </w:rPr>
            </w:r>
          </w:p>
        </w:tc>
        <w:tc>
          <w:tcPr>
            <w:tcW w:w="9415"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9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9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941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(embedded with Inline XBRL File)</w:t>
            </w:r>
            <w:r>
              <w:rPr>
                <w:rFonts w:ascii="Times New Roman" w:hAnsi="Times New Roman"/>
                <w:sz w:val="20"/>
              </w:rPr>
              <w:t xml:space="preserve"> </w:t>
            </w:r>
          </w:p>
        </w:tc>
      </w:tr>
    </w:tbl>
    <w:p>
      <w:pPr>
        <w:pStyle w:val="TextBody"/>
        <w:bidi w:val="0"/>
        <w:spacing w:before="12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9" w:name="signatures"/>
      <w:bookmarkEnd w:id="19"/>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requirements of the Securities Exchange Act of 1934, the Company has duly caused this report to be signed on its behalf by the undersigned thereunto duly authorized.</w:t>
      </w:r>
      <w:r>
        <w:rPr>
          <w:rFonts w:ascii="Times New Roman" w:hAnsi="Times New Roman"/>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/s/Benjamin Kovler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 Benjamin Kovler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Date: August 9, 2023</w:t>
      </w:r>
      <w:r>
        <w:rPr>
          <w:rFonts w:ascii="Times New Roman" w:hAnsi="Times New Roman"/>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/s/Mathew Faulkner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 Mathew Faulkner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Date: August 9, 2023</w:t>
      </w:r>
      <w:r>
        <w:rPr>
          <w:rFonts w:ascii="Times New Roman" w:hAnsi="Times New Roman"/>
          <w:sz w:val="20"/>
        </w:rPr>
        <w:t xml:space="preserve"> </w:t>
      </w:r>
    </w:p>
    <w:p>
      <w:pPr>
        <w:pStyle w:val="TextBody"/>
        <w:bidi w:val="0"/>
        <w:spacing w:before="18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0" w:name="gtbif-ex31_1.htm"/>
      <w:bookmarkStart w:id="21" w:name="ksgtbifex31_1"/>
      <w:bookmarkEnd w:id="20"/>
      <w:bookmarkEnd w:id="21"/>
      <w:r>
        <w:rPr>
          <w:rFonts w:ascii="Times New Roman;serif" w:hAnsi="Times New Roman;serif"/>
          <w:b/>
          <w:sz w:val="20"/>
        </w:rPr>
        <w:t>Exhibit 31.1</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CERTIFICATE OF CHIEF EXECUTIVE OFFICER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Benjamin Kovler,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Green Thumb Industries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/s/Benjamin Kovler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 Benjamin Kovler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Date: August 9, 2023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2" w:name="gtbif-ex31_2.htm"/>
      <w:bookmarkStart w:id="23" w:name="ksgtbifex31_2"/>
      <w:bookmarkEnd w:id="22"/>
      <w:bookmarkEnd w:id="23"/>
      <w:r>
        <w:rPr>
          <w:rFonts w:ascii="Times New Roman;serif" w:hAnsi="Times New Roman;serif"/>
          <w:b/>
          <w:sz w:val="20"/>
        </w:rPr>
        <w:t>Exhibit 31.2</w:t>
      </w:r>
      <w:r>
        <w:rPr>
          <w:rFonts w:ascii="Times New Roman" w:hAnsi="Times New Roman"/>
          <w:sz w:val="20"/>
        </w:rPr>
        <w:t xml:space="preserve"> </w:t>
      </w:r>
      <w:r>
        <w:br w:type="page"/>
      </w:r>
    </w:p>
    <w:p>
      <w:pPr>
        <w:pStyle w:val="TextBody"/>
        <w:bidi w:val="0"/>
        <w:spacing w:before="240" w:after="0"/>
        <w:jc w:val="center"/>
        <w:rPr>
          <w:rFonts w:ascii="Times New Roman" w:hAnsi="Times New Roman"/>
          <w:sz w:val="20"/>
        </w:rPr>
      </w:pPr>
      <w:r>
        <w:rPr>
          <w:rFonts w:ascii="Times New Roman;serif" w:hAnsi="Times New Roman;serif"/>
          <w:b/>
          <w:sz w:val="20"/>
        </w:rPr>
        <w:t>CERTIFICATE OF CHIEF FINANCIAL OFFICER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Mathew Faulkner,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Green Thumb Industries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/s/Mathew Faulkner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 Mathew Faulkner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9, 2023</w:t>
      </w:r>
    </w:p>
    <w:p>
      <w:pPr>
        <w:pStyle w:val="HorizontalLine"/>
        <w:pBdr>
          <w:bottom w:val="double" w:sz="2" w:space="0" w:color="808080"/>
        </w:pBdr>
        <w:bidi w:val="0"/>
        <w:spacing w:before="0" w:after="283"/>
        <w:jc w:val="left"/>
        <w:rPr/>
      </w:pPr>
      <w:r>
        <w:rPr/>
      </w:r>
    </w:p>
    <w:p>
      <w:pPr>
        <w:pStyle w:val="TextBody"/>
        <w:bidi w:val="0"/>
        <w:spacing w:before="180" w:after="0"/>
        <w:jc w:val="left"/>
        <w:rPr/>
      </w:pPr>
      <w:bookmarkStart w:id="24" w:name="gtbif-ex32_1.htm"/>
      <w:bookmarkStart w:id="25" w:name="ksgtbifex32_1"/>
      <w:bookmarkEnd w:id="24"/>
      <w:bookmarkEnd w:id="25"/>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 18 U.S.C. SECTION 1350, 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of Green Thumb Industries Inc. (the “Company”) on Form 10-Q for the three and six months ended June 30, 2023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/s/Benjamin Kovler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 Benjamin Kovler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9, 2023</w:t>
      </w:r>
    </w:p>
    <w:p>
      <w:pPr>
        <w:pStyle w:val="HorizontalLine"/>
        <w:pBdr>
          <w:bottom w:val="double" w:sz="2" w:space="0" w:color="808080"/>
        </w:pBdr>
        <w:bidi w:val="0"/>
        <w:spacing w:before="0" w:after="283"/>
        <w:jc w:val="left"/>
        <w:rPr/>
      </w:pPr>
      <w:r>
        <w:rPr/>
      </w:r>
    </w:p>
    <w:p>
      <w:pPr>
        <w:pStyle w:val="TextBody"/>
        <w:bidi w:val="0"/>
        <w:spacing w:before="180" w:after="0"/>
        <w:jc w:val="left"/>
        <w:rPr/>
      </w:pPr>
      <w:bookmarkStart w:id="26" w:name="gtbif-ex32_2.htm"/>
      <w:bookmarkStart w:id="27" w:name="ksgtbifex32_2"/>
      <w:bookmarkEnd w:id="26"/>
      <w:bookmarkEnd w:id="27"/>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 18 U.S.C. SECTION 1350, 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of Green Thumb Industries Inc. (the “Company”) on Form 10-Q for the three and six months ended June 30, 2023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GREEN THUMB INDUSTRIES INC.</w:t>
            </w:r>
          </w:p>
        </w:tc>
      </w:tr>
      <w:tr>
        <w:trPr/>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/s/Mathew Faulkner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 Mathew Faulkner</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Date: August 9, 2023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17080</Words>
  <Characters>96005</Characters>
  <CharactersWithSpaces>113508</CharactersWithSpaces>
  <Paragraphs>5205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