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534035</wp:posOffset>
            </wp:positionH>
            <wp:positionV relativeFrom="page">
              <wp:posOffset>294640</wp:posOffset>
            </wp:positionV>
            <wp:extent cx="68065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6565" cy="8255"/>
                    </a:xfrm>
                    <a:prstGeom prst="rect">
                      <a:avLst/>
                    </a:prstGeom>
                    <a:noFill/>
                  </pic:spPr>
                </pic:pic>
              </a:graphicData>
            </a:graphic>
          </wp:anchor>
        </w:drawing>
        <w:drawing>
          <wp:anchor simplePos="0" relativeHeight="251657728" behindDoc="1" locked="0" layoutInCell="0" allowOverlap="1">
            <wp:simplePos x="0" y="0"/>
            <wp:positionH relativeFrom="page">
              <wp:posOffset>534035</wp:posOffset>
            </wp:positionH>
            <wp:positionV relativeFrom="page">
              <wp:posOffset>311785</wp:posOffset>
            </wp:positionV>
            <wp:extent cx="68065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6565"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133350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155575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97"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2022</w:t>
      </w:r>
    </w:p>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71" w:lineRule="exact"/>
        <w:rPr>
          <w:sz w:val="24"/>
          <w:szCs w:val="24"/>
          <w:color w:val="auto"/>
        </w:rPr>
      </w:pPr>
    </w:p>
    <w:p>
      <w:pPr>
        <w:ind w:left="1260" w:hanging="431"/>
        <w:spacing w:after="0"/>
        <w:tabs>
          <w:tab w:leader="none" w:pos="12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4100"/>
        <w:spacing w:after="0"/>
        <w:tabs>
          <w:tab w:leader="none" w:pos="69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80010</wp:posOffset>
            </wp:positionV>
            <wp:extent cx="4843145" cy="720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43145" cy="720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60" w:type="dxa"/>
            <w:vAlign w:val="bottom"/>
            <w:gridSpan w:val="3"/>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Commission file number 000-56132</w:t>
            </w:r>
          </w:p>
        </w:tc>
        <w:tc>
          <w:tcPr>
            <w:tcW w:w="1280" w:type="dxa"/>
            <w:vAlign w:val="bottom"/>
          </w:tcPr>
          <w:p>
            <w:pPr>
              <w:spacing w:after="0"/>
              <w:rPr>
                <w:sz w:val="16"/>
                <w:szCs w:val="16"/>
                <w:color w:val="auto"/>
              </w:rPr>
            </w:pPr>
          </w:p>
        </w:tc>
      </w:tr>
      <w:tr>
        <w:trPr>
          <w:trHeight w:val="172"/>
        </w:trPr>
        <w:tc>
          <w:tcPr>
            <w:tcW w:w="4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gridSpan w:val="2"/>
          </w:tcPr>
          <w:p>
            <w:pPr>
              <w:spacing w:after="0"/>
              <w:rPr>
                <w:sz w:val="14"/>
                <w:szCs w:val="14"/>
                <w:color w:val="auto"/>
              </w:rPr>
            </w:pPr>
          </w:p>
        </w:tc>
      </w:tr>
      <w:tr>
        <w:trPr>
          <w:trHeight w:val="482"/>
        </w:trPr>
        <w:tc>
          <w:tcPr>
            <w:tcW w:w="8840" w:type="dxa"/>
            <w:vAlign w:val="bottom"/>
            <w:gridSpan w:val="6"/>
          </w:tcPr>
          <w:p>
            <w:pPr>
              <w:ind w:left="2940"/>
              <w:spacing w:after="0"/>
              <w:rPr>
                <w:sz w:val="20"/>
                <w:szCs w:val="20"/>
                <w:color w:val="auto"/>
              </w:rPr>
            </w:pPr>
            <w:r>
              <w:rPr>
                <w:rFonts w:ascii="Times New Roman" w:cs="Times New Roman" w:eastAsia="Times New Roman" w:hAnsi="Times New Roman"/>
                <w:sz w:val="32"/>
                <w:szCs w:val="32"/>
                <w:b w:val="1"/>
                <w:bCs w:val="1"/>
                <w:color w:val="auto"/>
              </w:rPr>
              <w:t>GREEN THUMB INDUSTRIES INC.</w:t>
            </w:r>
          </w:p>
        </w:tc>
      </w:tr>
      <w:tr>
        <w:trPr>
          <w:trHeight w:val="190"/>
        </w:trPr>
        <w:tc>
          <w:tcPr>
            <w:tcW w:w="7560" w:type="dxa"/>
            <w:vAlign w:val="bottom"/>
            <w:gridSpan w:val="5"/>
          </w:tcPr>
          <w:p>
            <w:pPr>
              <w:jc w:val="center"/>
              <w:ind w:left="3585"/>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1280" w:type="dxa"/>
            <w:vAlign w:val="bottom"/>
          </w:tcPr>
          <w:p>
            <w:pPr>
              <w:spacing w:after="0"/>
              <w:rPr>
                <w:sz w:val="16"/>
                <w:szCs w:val="16"/>
                <w:color w:val="auto"/>
              </w:rPr>
            </w:pPr>
          </w:p>
        </w:tc>
      </w:tr>
      <w:tr>
        <w:trPr>
          <w:trHeight w:val="172"/>
        </w:trPr>
        <w:tc>
          <w:tcPr>
            <w:tcW w:w="4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61"/>
        </w:trPr>
        <w:tc>
          <w:tcPr>
            <w:tcW w:w="7560" w:type="dxa"/>
            <w:vAlign w:val="bottom"/>
            <w:gridSpan w:val="5"/>
          </w:tcPr>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British Columbia</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98-1437430</w:t>
            </w:r>
          </w:p>
        </w:tc>
      </w:tr>
      <w:tr>
        <w:trPr>
          <w:trHeight w:val="122"/>
        </w:trPr>
        <w:tc>
          <w:tcPr>
            <w:tcW w:w="7560" w:type="dxa"/>
            <w:vAlign w:val="bottom"/>
            <w:gridSpan w:val="5"/>
          </w:tcPr>
          <w:p>
            <w:pPr>
              <w:jc w:val="center"/>
              <w:ind w:right="19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(State or other jurisdiction of</w:t>
            </w:r>
          </w:p>
        </w:tc>
        <w:tc>
          <w:tcPr>
            <w:tcW w:w="1280" w:type="dxa"/>
            <w:vAlign w:val="bottom"/>
          </w:tcPr>
          <w:p>
            <w:pPr>
              <w:jc w:val="center"/>
              <w:ind w:left="397"/>
              <w:spacing w:after="0" w:line="122" w:lineRule="exact"/>
              <w:rPr>
                <w:sz w:val="20"/>
                <w:szCs w:val="20"/>
                <w:color w:val="auto"/>
              </w:rPr>
            </w:pPr>
            <w:r>
              <w:rPr>
                <w:rFonts w:ascii="Times New Roman" w:cs="Times New Roman" w:eastAsia="Times New Roman" w:hAnsi="Times New Roman"/>
                <w:sz w:val="11"/>
                <w:szCs w:val="11"/>
                <w:b w:val="1"/>
                <w:bCs w:val="1"/>
                <w:color w:val="auto"/>
                <w:w w:val="96"/>
              </w:rPr>
              <w:t>(I.R.S. employer</w:t>
            </w:r>
          </w:p>
        </w:tc>
      </w:tr>
      <w:tr>
        <w:trPr>
          <w:trHeight w:val="142"/>
        </w:trPr>
        <w:tc>
          <w:tcPr>
            <w:tcW w:w="7560" w:type="dxa"/>
            <w:vAlign w:val="bottom"/>
            <w:gridSpan w:val="5"/>
          </w:tcPr>
          <w:p>
            <w:pPr>
              <w:jc w:val="center"/>
              <w:ind w:right="1920"/>
              <w:spacing w:after="0"/>
              <w:rPr>
                <w:sz w:val="20"/>
                <w:szCs w:val="20"/>
                <w:color w:val="auto"/>
              </w:rPr>
            </w:pPr>
            <w:r>
              <w:rPr>
                <w:rFonts w:ascii="Times New Roman" w:cs="Times New Roman" w:eastAsia="Times New Roman" w:hAnsi="Times New Roman"/>
                <w:sz w:val="11"/>
                <w:szCs w:val="11"/>
                <w:b w:val="1"/>
                <w:bCs w:val="1"/>
                <w:color w:val="auto"/>
                <w:w w:val="97"/>
              </w:rPr>
              <w:t>incorporation or organization)</w:t>
            </w:r>
          </w:p>
        </w:tc>
        <w:tc>
          <w:tcPr>
            <w:tcW w:w="1280" w:type="dxa"/>
            <w:vAlign w:val="bottom"/>
          </w:tcPr>
          <w:p>
            <w:pPr>
              <w:jc w:val="center"/>
              <w:ind w:left="397"/>
              <w:spacing w:after="0"/>
              <w:rPr>
                <w:sz w:val="20"/>
                <w:szCs w:val="20"/>
                <w:color w:val="auto"/>
              </w:rPr>
            </w:pPr>
            <w:r>
              <w:rPr>
                <w:rFonts w:ascii="Times New Roman" w:cs="Times New Roman" w:eastAsia="Times New Roman" w:hAnsi="Times New Roman"/>
                <w:sz w:val="11"/>
                <w:szCs w:val="11"/>
                <w:b w:val="1"/>
                <w:bCs w:val="1"/>
                <w:color w:val="auto"/>
                <w:w w:val="98"/>
              </w:rPr>
              <w:t>identification no.)</w:t>
            </w:r>
          </w:p>
        </w:tc>
      </w:tr>
      <w:tr>
        <w:trPr>
          <w:trHeight w:val="294"/>
        </w:trPr>
        <w:tc>
          <w:tcPr>
            <w:tcW w:w="7560" w:type="dxa"/>
            <w:vAlign w:val="bottom"/>
            <w:gridSpan w:val="5"/>
          </w:tcPr>
          <w:p>
            <w:pPr>
              <w:jc w:val="center"/>
              <w:ind w:right="1920"/>
              <w:spacing w:after="0"/>
              <w:rPr>
                <w:sz w:val="20"/>
                <w:szCs w:val="20"/>
                <w:color w:val="auto"/>
              </w:rPr>
            </w:pPr>
            <w:r>
              <w:rPr>
                <w:rFonts w:ascii="Times New Roman" w:cs="Times New Roman" w:eastAsia="Times New Roman" w:hAnsi="Times New Roman"/>
                <w:sz w:val="14"/>
                <w:szCs w:val="14"/>
                <w:b w:val="1"/>
                <w:bCs w:val="1"/>
                <w:color w:val="auto"/>
              </w:rPr>
              <w:t>325 West Huron Street,</w:t>
            </w:r>
          </w:p>
        </w:tc>
        <w:tc>
          <w:tcPr>
            <w:tcW w:w="1280" w:type="dxa"/>
            <w:vAlign w:val="bottom"/>
          </w:tcPr>
          <w:p>
            <w:pPr>
              <w:spacing w:after="0"/>
              <w:rPr>
                <w:sz w:val="24"/>
                <w:szCs w:val="24"/>
                <w:color w:val="auto"/>
              </w:rPr>
            </w:pPr>
          </w:p>
        </w:tc>
      </w:tr>
      <w:tr>
        <w:trPr>
          <w:trHeight w:val="198"/>
        </w:trPr>
        <w:tc>
          <w:tcPr>
            <w:tcW w:w="7560" w:type="dxa"/>
            <w:vAlign w:val="bottom"/>
            <w:gridSpan w:val="5"/>
          </w:tcPr>
          <w:p>
            <w:pPr>
              <w:jc w:val="center"/>
              <w:ind w:right="1920"/>
              <w:spacing w:after="0"/>
              <w:rPr>
                <w:sz w:val="20"/>
                <w:szCs w:val="20"/>
                <w:color w:val="auto"/>
              </w:rPr>
            </w:pPr>
            <w:r>
              <w:rPr>
                <w:rFonts w:ascii="Times New Roman" w:cs="Times New Roman" w:eastAsia="Times New Roman" w:hAnsi="Times New Roman"/>
                <w:sz w:val="14"/>
                <w:szCs w:val="14"/>
                <w:b w:val="1"/>
                <w:bCs w:val="1"/>
                <w:color w:val="auto"/>
              </w:rPr>
              <w:t>Suite 700 Chicago, Illinois</w:t>
            </w:r>
          </w:p>
        </w:tc>
        <w:tc>
          <w:tcPr>
            <w:tcW w:w="128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60654</w:t>
            </w:r>
          </w:p>
        </w:tc>
      </w:tr>
      <w:tr>
        <w:trPr>
          <w:trHeight w:val="142"/>
        </w:trPr>
        <w:tc>
          <w:tcPr>
            <w:tcW w:w="7560" w:type="dxa"/>
            <w:vAlign w:val="bottom"/>
            <w:gridSpan w:val="5"/>
          </w:tcPr>
          <w:p>
            <w:pPr>
              <w:jc w:val="center"/>
              <w:ind w:right="1940"/>
              <w:spacing w:after="0"/>
              <w:rPr>
                <w:sz w:val="20"/>
                <w:szCs w:val="20"/>
                <w:color w:val="auto"/>
              </w:rPr>
            </w:pPr>
            <w:r>
              <w:rPr>
                <w:rFonts w:ascii="Times New Roman" w:cs="Times New Roman" w:eastAsia="Times New Roman" w:hAnsi="Times New Roman"/>
                <w:sz w:val="11"/>
                <w:szCs w:val="11"/>
                <w:b w:val="1"/>
                <w:bCs w:val="1"/>
                <w:color w:val="auto"/>
                <w:w w:val="97"/>
              </w:rPr>
              <w:t>(Address of principal executive offices)</w:t>
            </w:r>
          </w:p>
        </w:tc>
        <w:tc>
          <w:tcPr>
            <w:tcW w:w="1280" w:type="dxa"/>
            <w:vAlign w:val="bottom"/>
          </w:tcPr>
          <w:p>
            <w:pPr>
              <w:jc w:val="center"/>
              <w:ind w:left="397"/>
              <w:spacing w:after="0"/>
              <w:rPr>
                <w:sz w:val="20"/>
                <w:szCs w:val="20"/>
                <w:color w:val="auto"/>
              </w:rPr>
            </w:pPr>
            <w:r>
              <w:rPr>
                <w:rFonts w:ascii="Times New Roman" w:cs="Times New Roman" w:eastAsia="Times New Roman" w:hAnsi="Times New Roman"/>
                <w:sz w:val="11"/>
                <w:szCs w:val="11"/>
                <w:b w:val="1"/>
                <w:bCs w:val="1"/>
                <w:color w:val="auto"/>
              </w:rPr>
              <w:t>(zip code)</w:t>
            </w:r>
          </w:p>
        </w:tc>
      </w:tr>
      <w:tr>
        <w:trPr>
          <w:trHeight w:val="269"/>
        </w:trPr>
        <w:tc>
          <w:tcPr>
            <w:tcW w:w="8840" w:type="dxa"/>
            <w:vAlign w:val="bottom"/>
            <w:gridSpan w:val="6"/>
          </w:tcPr>
          <w:p>
            <w:pPr>
              <w:jc w:val="center"/>
              <w:ind w:left="2305"/>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 (312) 471-6720</w:t>
            </w:r>
          </w:p>
        </w:tc>
      </w:tr>
      <w:tr>
        <w:trPr>
          <w:trHeight w:val="104"/>
        </w:trPr>
        <w:tc>
          <w:tcPr>
            <w:tcW w:w="4480" w:type="dxa"/>
            <w:vAlign w:val="bottom"/>
          </w:tcPr>
          <w:p>
            <w:pPr>
              <w:spacing w:after="0"/>
              <w:rPr>
                <w:sz w:val="9"/>
                <w:szCs w:val="9"/>
                <w:color w:val="auto"/>
              </w:rPr>
            </w:pPr>
          </w:p>
        </w:tc>
        <w:tc>
          <w:tcPr>
            <w:tcW w:w="2280" w:type="dxa"/>
            <w:vAlign w:val="bottom"/>
            <w:tcBorders>
              <w:bottom w:val="single" w:sz="8" w:color="auto"/>
            </w:tcBorders>
            <w:gridSpan w:val="3"/>
          </w:tcPr>
          <w:p>
            <w:pPr>
              <w:spacing w:after="0"/>
              <w:rPr>
                <w:sz w:val="9"/>
                <w:szCs w:val="9"/>
                <w:color w:val="auto"/>
              </w:rPr>
            </w:pPr>
          </w:p>
        </w:tc>
        <w:tc>
          <w:tcPr>
            <w:tcW w:w="800" w:type="dxa"/>
            <w:vAlign w:val="bottom"/>
          </w:tcPr>
          <w:p>
            <w:pPr>
              <w:spacing w:after="0"/>
              <w:rPr>
                <w:sz w:val="9"/>
                <w:szCs w:val="9"/>
                <w:color w:val="auto"/>
              </w:rPr>
            </w:pPr>
          </w:p>
        </w:tc>
        <w:tc>
          <w:tcPr>
            <w:tcW w:w="1280" w:type="dxa"/>
            <w:vAlign w:val="bottom"/>
          </w:tcPr>
          <w:p>
            <w:pPr>
              <w:spacing w:after="0"/>
              <w:rPr>
                <w:sz w:val="9"/>
                <w:szCs w:val="9"/>
                <w:color w:val="auto"/>
              </w:rPr>
            </w:pPr>
          </w:p>
        </w:tc>
      </w:tr>
      <w:tr>
        <w:trPr>
          <w:trHeight w:val="212"/>
        </w:trPr>
        <w:tc>
          <w:tcPr>
            <w:tcW w:w="7560" w:type="dxa"/>
            <w:vAlign w:val="bottom"/>
            <w:gridSpan w:val="5"/>
          </w:tcPr>
          <w:p>
            <w:pPr>
              <w:jc w:val="center"/>
              <w:ind w:left="3585"/>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tc>
        <w:tc>
          <w:tcPr>
            <w:tcW w:w="1280" w:type="dxa"/>
            <w:vAlign w:val="bottom"/>
          </w:tcPr>
          <w:p>
            <w:pPr>
              <w:spacing w:after="0"/>
              <w:rPr>
                <w:sz w:val="18"/>
                <w:szCs w:val="18"/>
                <w:color w:val="auto"/>
              </w:rPr>
            </w:pPr>
          </w:p>
        </w:tc>
      </w:tr>
      <w:tr>
        <w:trPr>
          <w:trHeight w:val="149"/>
        </w:trPr>
        <w:tc>
          <w:tcPr>
            <w:tcW w:w="4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60" w:type="dxa"/>
            <w:vAlign w:val="bottom"/>
            <w:gridSpan w:val="3"/>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Subordinate Voting Shares</w:t>
            </w:r>
          </w:p>
        </w:tc>
        <w:tc>
          <w:tcPr>
            <w:tcW w:w="1280" w:type="dxa"/>
            <w:vAlign w:val="bottom"/>
          </w:tcPr>
          <w:p>
            <w:pPr>
              <w:spacing w:after="0"/>
              <w:rPr>
                <w:sz w:val="12"/>
                <w:szCs w:val="12"/>
                <w:color w:val="auto"/>
              </w:rPr>
            </w:pPr>
          </w:p>
        </w:tc>
      </w:tr>
      <w:tr>
        <w:trPr>
          <w:trHeight w:val="148"/>
        </w:trPr>
        <w:tc>
          <w:tcPr>
            <w:tcW w:w="4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60" w:type="dxa"/>
            <w:vAlign w:val="bottom"/>
            <w:gridSpan w:val="3"/>
          </w:tcPr>
          <w:p>
            <w:pPr>
              <w:jc w:val="center"/>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Multiple Voting Shares</w:t>
            </w:r>
          </w:p>
        </w:tc>
        <w:tc>
          <w:tcPr>
            <w:tcW w:w="1280" w:type="dxa"/>
            <w:vAlign w:val="bottom"/>
          </w:tcPr>
          <w:p>
            <w:pPr>
              <w:spacing w:after="0"/>
              <w:rPr>
                <w:sz w:val="12"/>
                <w:szCs w:val="12"/>
                <w:color w:val="auto"/>
              </w:rPr>
            </w:pPr>
          </w:p>
        </w:tc>
      </w:tr>
      <w:tr>
        <w:trPr>
          <w:trHeight w:val="157"/>
        </w:trPr>
        <w:tc>
          <w:tcPr>
            <w:tcW w:w="4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60" w:type="dxa"/>
            <w:vAlign w:val="bottom"/>
            <w:gridSpan w:val="3"/>
          </w:tcPr>
          <w:p>
            <w:pPr>
              <w:jc w:val="center"/>
              <w:ind w:right="840"/>
              <w:spacing w:after="0" w:line="157" w:lineRule="exact"/>
              <w:rPr>
                <w:sz w:val="20"/>
                <w:szCs w:val="20"/>
                <w:color w:val="auto"/>
              </w:rPr>
            </w:pPr>
            <w:r>
              <w:rPr>
                <w:rFonts w:ascii="Times New Roman" w:cs="Times New Roman" w:eastAsia="Times New Roman" w:hAnsi="Times New Roman"/>
                <w:sz w:val="14"/>
                <w:szCs w:val="14"/>
                <w:b w:val="1"/>
                <w:bCs w:val="1"/>
                <w:color w:val="auto"/>
              </w:rPr>
              <w:t>Super Voting Shares</w:t>
            </w:r>
          </w:p>
        </w:tc>
        <w:tc>
          <w:tcPr>
            <w:tcW w:w="1280" w:type="dxa"/>
            <w:vAlign w:val="bottom"/>
          </w:tcPr>
          <w:p>
            <w:pPr>
              <w:spacing w:after="0"/>
              <w:rPr>
                <w:sz w:val="13"/>
                <w:szCs w:val="13"/>
                <w:color w:val="auto"/>
              </w:rPr>
            </w:pPr>
          </w:p>
        </w:tc>
      </w:tr>
      <w:tr>
        <w:trPr>
          <w:trHeight w:val="142"/>
        </w:trPr>
        <w:tc>
          <w:tcPr>
            <w:tcW w:w="4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60" w:type="dxa"/>
            <w:vAlign w:val="bottom"/>
            <w:gridSpan w:val="3"/>
          </w:tcPr>
          <w:p>
            <w:pPr>
              <w:jc w:val="center"/>
              <w:ind w:right="840"/>
              <w:spacing w:after="0"/>
              <w:rPr>
                <w:sz w:val="20"/>
                <w:szCs w:val="20"/>
                <w:color w:val="auto"/>
              </w:rPr>
            </w:pPr>
            <w:r>
              <w:rPr>
                <w:rFonts w:ascii="Times New Roman" w:cs="Times New Roman" w:eastAsia="Times New Roman" w:hAnsi="Times New Roman"/>
                <w:sz w:val="11"/>
                <w:szCs w:val="11"/>
                <w:b w:val="1"/>
                <w:bCs w:val="1"/>
                <w:color w:val="auto"/>
                <w:w w:val="96"/>
              </w:rPr>
              <w:t>(Title of each Class)</w:t>
            </w:r>
          </w:p>
        </w:tc>
        <w:tc>
          <w:tcPr>
            <w:tcW w:w="1280" w:type="dxa"/>
            <w:vAlign w:val="bottom"/>
          </w:tcPr>
          <w:p>
            <w:pPr>
              <w:spacing w:after="0"/>
              <w:rPr>
                <w:sz w:val="12"/>
                <w:szCs w:val="12"/>
                <w:color w:val="auto"/>
              </w:rPr>
            </w:pPr>
          </w:p>
        </w:tc>
      </w:tr>
      <w:tr>
        <w:trPr>
          <w:trHeight w:val="269"/>
        </w:trPr>
        <w:tc>
          <w:tcPr>
            <w:tcW w:w="7560" w:type="dxa"/>
            <w:vAlign w:val="bottom"/>
            <w:gridSpan w:val="5"/>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tc>
        <w:tc>
          <w:tcPr>
            <w:tcW w:w="128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r>
    </w:tbl>
    <w:p>
      <w:pPr>
        <w:spacing w:after="0" w:line="44" w:lineRule="exact"/>
        <w:rPr>
          <w:sz w:val="24"/>
          <w:szCs w:val="24"/>
          <w:color w:val="auto"/>
        </w:rPr>
      </w:pPr>
    </w:p>
    <w:p>
      <w:pPr>
        <w:spacing w:after="0" w:line="161" w:lineRule="exact"/>
        <w:tabs>
          <w:tab w:leader="none" w:pos="7460" w:val="left"/>
        </w:tabs>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19" w:lineRule="exact"/>
        <w:rPr>
          <w:sz w:val="24"/>
          <w:szCs w:val="24"/>
          <w:color w:val="auto"/>
        </w:rPr>
      </w:pPr>
    </w:p>
    <w:p>
      <w:pPr>
        <w:ind w:right="16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ind w:right="4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5" w:lineRule="exact"/>
        <w:rPr>
          <w:sz w:val="24"/>
          <w:szCs w:val="24"/>
          <w:color w:val="auto"/>
        </w:rPr>
      </w:pPr>
    </w:p>
    <w:p>
      <w:pPr>
        <w:ind w:right="38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5"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7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3240"/>
              <w:spacing w:after="0"/>
              <w:rPr>
                <w:sz w:val="20"/>
                <w:szCs w:val="20"/>
                <w:color w:val="auto"/>
              </w:rPr>
            </w:pPr>
            <w:r>
              <w:rPr>
                <w:rFonts w:ascii="Times New Roman" w:cs="Times New Roman" w:eastAsia="Times New Roman" w:hAnsi="Times New Roman"/>
                <w:sz w:val="14"/>
                <w:szCs w:val="14"/>
                <w:color w:val="auto"/>
              </w:rPr>
              <w:t>Accelerated filer</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10"/>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7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32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10"/>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7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68" w:lineRule="exact"/>
        <w:rPr>
          <w:sz w:val="24"/>
          <w:szCs w:val="24"/>
          <w:color w:val="auto"/>
        </w:rPr>
      </w:pPr>
    </w:p>
    <w:p>
      <w:pPr>
        <w:ind w:right="50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1"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5" w:lineRule="exact"/>
        <w:rPr>
          <w:sz w:val="24"/>
          <w:szCs w:val="24"/>
          <w:color w:val="auto"/>
        </w:rPr>
      </w:pPr>
    </w:p>
    <w:p>
      <w:pPr>
        <w:spacing w:after="0" w:line="161" w:lineRule="exact"/>
        <w:tabs>
          <w:tab w:leader="none" w:pos="652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222885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74" w:right="399" w:bottom="1440" w:gutter="0" w:footer="0" w:header="0"/>
        </w:sectPr>
      </w:pPr>
    </w:p>
    <w:bookmarkStart w:id="1" w:name="page2"/>
    <w:bookmarkEnd w:id="1"/>
    <w:p>
      <w:pPr>
        <w:spacing w:after="0" w:line="261" w:lineRule="auto"/>
        <w:rPr>
          <w:sz w:val="20"/>
          <w:szCs w:val="20"/>
          <w:color w:val="auto"/>
        </w:rPr>
      </w:pPr>
      <w:r>
        <w:rPr>
          <w:rFonts w:ascii="Times New Roman" w:cs="Times New Roman" w:eastAsia="Times New Roman" w:hAnsi="Times New Roman"/>
          <w:sz w:val="14"/>
          <w:szCs w:val="14"/>
          <w:color w:val="auto"/>
        </w:rPr>
        <w:t>As of February 20, 2023, there were 207,816,253 shares of the registrant’s Subordinate Voting Shares, 3,853,100 shares of the registrant’s Multiple Voting Shares (on an as converted basis) and 25,169,000 shares of the registrant’s Super Voting Shares (on an as converted basis) outstanding.</w:t>
      </w:r>
    </w:p>
    <w:p>
      <w:pPr>
        <w:spacing w:after="0" w:line="28" w:lineRule="exact"/>
        <w:rPr>
          <w:sz w:val="20"/>
          <w:szCs w:val="20"/>
          <w:color w:val="auto"/>
        </w:rPr>
      </w:pPr>
    </w:p>
    <w:p>
      <w:pPr>
        <w:jc w:val="both"/>
        <w:ind w:right="120"/>
        <w:spacing w:after="0" w:line="241" w:lineRule="auto"/>
        <w:rPr>
          <w:sz w:val="20"/>
          <w:szCs w:val="20"/>
          <w:color w:val="auto"/>
        </w:rPr>
      </w:pPr>
      <w:r>
        <w:rPr>
          <w:rFonts w:ascii="Times New Roman" w:cs="Times New Roman" w:eastAsia="Times New Roman" w:hAnsi="Times New Roman"/>
          <w:sz w:val="14"/>
          <w:szCs w:val="14"/>
          <w:color w:val="auto"/>
        </w:rPr>
        <w:t>The aggregate market value of the Subordinate Voting Shares, and Multiple Voting Shares, and Super Voting Shares (on an as converted basis, based on the closing price of these Subordinate Voting Shares on the Canadian Stock Exchange) on June 30, 2022, the last business day of the registrant's most recently completed second fiscal quarter, held by nonaffiliates was $1,731,448 thousand.</w:t>
      </w:r>
    </w:p>
    <w:p>
      <w:pPr>
        <w:spacing w:after="0" w:line="20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136"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4"/>
          <w:szCs w:val="14"/>
          <w:color w:val="auto"/>
        </w:rPr>
        <w:t>Part I of this Annual Report on Form 10-K incorporates certain information by reference from the Registrant's Amendment No. 2 Registration Statement on Form S-1 (No. 333-248213) to the extent stated herein under the heading "History of the Company."</w:t>
      </w:r>
    </w:p>
    <w:p>
      <w:pPr>
        <w:spacing w:after="0" w:line="95" w:lineRule="exact"/>
        <w:rPr>
          <w:sz w:val="20"/>
          <w:szCs w:val="20"/>
          <w:color w:val="auto"/>
        </w:rPr>
      </w:pPr>
    </w:p>
    <w:p>
      <w:pPr>
        <w:jc w:val="both"/>
        <w:ind w:right="60"/>
        <w:spacing w:after="0" w:line="241" w:lineRule="auto"/>
        <w:rPr>
          <w:sz w:val="20"/>
          <w:szCs w:val="20"/>
          <w:color w:val="auto"/>
        </w:rPr>
      </w:pPr>
      <w:r>
        <w:rPr>
          <w:rFonts w:ascii="Times New Roman" w:cs="Times New Roman" w:eastAsia="Times New Roman" w:hAnsi="Times New Roman"/>
          <w:sz w:val="14"/>
          <w:szCs w:val="14"/>
          <w:color w:val="auto"/>
        </w:rPr>
        <w:t>Part III of this Annual Report on Form 10-K incorporates certain information by reference from the definitive proxy statement to be filed by the registrant in connection with the 2023 General Annual Meeting of Stockholders (the “2023 Proxy Statement”). The 2023 Proxy Statement will be filed by the registrant with the Securities and Exchange Commission not later than 120 days after December 31, 2022, the end of the registrant’s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414020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427" w:right="49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2022</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140" w:type="dxa"/>
        <w:tblCellMar>
          <w:top w:w="0" w:type="dxa"/>
          <w:left w:w="0" w:type="dxa"/>
          <w:bottom w:w="0" w:type="dxa"/>
          <w:right w:w="0" w:type="dxa"/>
        </w:tblCellMar>
      </w:tblPr>
      <w:tr>
        <w:trPr>
          <w:trHeight w:val="190"/>
        </w:trPr>
        <w:tc>
          <w:tcPr>
            <w:tcW w:w="1760" w:type="dxa"/>
            <w:vAlign w:val="bottom"/>
            <w:gridSpan w:val="7"/>
            <w:vMerge w:val="restart"/>
          </w:tcPr>
          <w:p>
            <w:pPr>
              <w:jc w:val="center"/>
              <w:ind w:right="1120"/>
              <w:spacing w:after="0"/>
              <w:rPr>
                <w:sz w:val="20"/>
                <w:szCs w:val="20"/>
                <w:color w:val="auto"/>
              </w:rPr>
            </w:pPr>
            <w:r>
              <w:rPr>
                <w:rFonts w:ascii="Times New Roman" w:cs="Times New Roman" w:eastAsia="Times New Roman" w:hAnsi="Times New Roman"/>
                <w:sz w:val="18"/>
                <w:szCs w:val="18"/>
                <w:color w:val="auto"/>
                <w:w w:val="91"/>
              </w:rPr>
              <w:t>PART I</w:t>
            </w:r>
          </w:p>
        </w:tc>
        <w:tc>
          <w:tcPr>
            <w:tcW w:w="8360" w:type="dxa"/>
            <w:vAlign w:val="bottom"/>
          </w:tcPr>
          <w:p>
            <w:pPr>
              <w:spacing w:after="0"/>
              <w:rPr>
                <w:sz w:val="16"/>
                <w:szCs w:val="16"/>
                <w:color w:val="auto"/>
              </w:rPr>
            </w:pPr>
          </w:p>
        </w:tc>
        <w:tc>
          <w:tcPr>
            <w:tcW w:w="96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26"/>
        </w:trPr>
        <w:tc>
          <w:tcPr>
            <w:tcW w:w="1760" w:type="dxa"/>
            <w:vAlign w:val="bottom"/>
            <w:gridSpan w:val="7"/>
            <w:vMerge w:val="continue"/>
          </w:tcPr>
          <w:p>
            <w:pPr>
              <w:spacing w:after="0"/>
              <w:rPr>
                <w:sz w:val="19"/>
                <w:szCs w:val="19"/>
                <w:color w:val="auto"/>
              </w:rPr>
            </w:pPr>
          </w:p>
        </w:tc>
        <w:tc>
          <w:tcPr>
            <w:tcW w:w="8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620" w:type="dxa"/>
            <w:vAlign w:val="bottom"/>
            <w:tcBorders>
              <w:bottom w:val="single" w:sz="8" w:color="0000FF"/>
            </w:tcBorders>
          </w:tcPr>
          <w:p>
            <w:pPr>
              <w:spacing w:after="0" w:line="202" w:lineRule="exact"/>
              <w:rPr>
                <w:sz w:val="20"/>
                <w:szCs w:val="20"/>
                <w:color w:val="auto"/>
              </w:rPr>
            </w:pPr>
            <w:r>
              <w:rPr>
                <w:rFonts w:ascii="Times New Roman" w:cs="Times New Roman" w:eastAsia="Times New Roman" w:hAnsi="Times New Roman"/>
                <w:sz w:val="18"/>
                <w:szCs w:val="18"/>
                <w:color w:val="0000FF"/>
                <w:w w:val="96"/>
              </w:rPr>
              <w:t>ITEM 1.</w:t>
            </w:r>
          </w:p>
        </w:tc>
        <w:tc>
          <w:tcPr>
            <w:tcW w:w="20" w:type="dxa"/>
            <w:vAlign w:val="bottom"/>
            <w:tcBorders>
              <w:bottom w:val="single" w:sz="8" w:color="0000EE"/>
            </w:tcBorders>
          </w:tcPr>
          <w:p>
            <w:pPr>
              <w:spacing w:after="0"/>
              <w:rPr>
                <w:sz w:val="17"/>
                <w:szCs w:val="17"/>
                <w:color w:val="auto"/>
              </w:rPr>
            </w:pPr>
          </w:p>
        </w:tc>
        <w:tc>
          <w:tcPr>
            <w:tcW w:w="280" w:type="dxa"/>
            <w:vAlign w:val="bottom"/>
            <w:gridSpan w:val="4"/>
          </w:tcPr>
          <w:p>
            <w:pPr>
              <w:spacing w:after="0"/>
              <w:rPr>
                <w:sz w:val="17"/>
                <w:szCs w:val="17"/>
                <w:color w:val="auto"/>
              </w:rPr>
            </w:pPr>
          </w:p>
        </w:tc>
        <w:tc>
          <w:tcPr>
            <w:tcW w:w="836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BUSINESS</w:t>
            </w:r>
          </w:p>
        </w:tc>
        <w:tc>
          <w:tcPr>
            <w:tcW w:w="9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7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 1A.</w:t>
            </w:r>
          </w:p>
        </w:tc>
        <w:tc>
          <w:tcPr>
            <w:tcW w:w="140" w:type="dxa"/>
            <w:vAlign w:val="bottom"/>
          </w:tcPr>
          <w:p>
            <w:pPr>
              <w:spacing w:after="0"/>
              <w:rPr>
                <w:sz w:val="19"/>
                <w:szCs w:val="19"/>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RISK FACTORS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7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ITEM 1B.</w:t>
            </w:r>
          </w:p>
        </w:tc>
        <w:tc>
          <w:tcPr>
            <w:tcW w:w="180" w:type="dxa"/>
            <w:vAlign w:val="bottom"/>
            <w:gridSpan w:val="3"/>
          </w:tcPr>
          <w:p>
            <w:pPr>
              <w:spacing w:after="0"/>
              <w:rPr>
                <w:sz w:val="19"/>
                <w:szCs w:val="19"/>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6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ITEM 2.</w:t>
            </w:r>
          </w:p>
        </w:tc>
        <w:tc>
          <w:tcPr>
            <w:tcW w:w="20" w:type="dxa"/>
            <w:vAlign w:val="bottom"/>
            <w:tcBorders>
              <w:bottom w:val="single" w:sz="8" w:color="0000EE"/>
            </w:tcBorders>
          </w:tcPr>
          <w:p>
            <w:pPr>
              <w:spacing w:after="0"/>
              <w:rPr>
                <w:sz w:val="19"/>
                <w:szCs w:val="19"/>
                <w:color w:val="auto"/>
              </w:rPr>
            </w:pPr>
          </w:p>
        </w:tc>
        <w:tc>
          <w:tcPr>
            <w:tcW w:w="280" w:type="dxa"/>
            <w:vAlign w:val="bottom"/>
            <w:gridSpan w:val="4"/>
          </w:tcPr>
          <w:p>
            <w:pPr>
              <w:spacing w:after="0"/>
              <w:rPr>
                <w:sz w:val="19"/>
                <w:szCs w:val="19"/>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PROPERTIES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6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ITEM 3.</w:t>
            </w:r>
          </w:p>
        </w:tc>
        <w:tc>
          <w:tcPr>
            <w:tcW w:w="20" w:type="dxa"/>
            <w:vAlign w:val="bottom"/>
            <w:tcBorders>
              <w:bottom w:val="single" w:sz="8" w:color="0000EE"/>
            </w:tcBorders>
          </w:tcPr>
          <w:p>
            <w:pPr>
              <w:spacing w:after="0"/>
              <w:rPr>
                <w:sz w:val="19"/>
                <w:szCs w:val="19"/>
                <w:color w:val="auto"/>
              </w:rPr>
            </w:pPr>
          </w:p>
        </w:tc>
        <w:tc>
          <w:tcPr>
            <w:tcW w:w="280" w:type="dxa"/>
            <w:vAlign w:val="bottom"/>
            <w:gridSpan w:val="4"/>
          </w:tcPr>
          <w:p>
            <w:pPr>
              <w:spacing w:after="0"/>
              <w:rPr>
                <w:sz w:val="19"/>
                <w:szCs w:val="19"/>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LEGAL PROCEEDINGS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6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ITEM 4.</w:t>
            </w:r>
          </w:p>
        </w:tc>
        <w:tc>
          <w:tcPr>
            <w:tcW w:w="300" w:type="dxa"/>
            <w:vAlign w:val="bottom"/>
            <w:gridSpan w:val="5"/>
          </w:tcPr>
          <w:p>
            <w:pPr>
              <w:spacing w:after="0"/>
              <w:rPr>
                <w:sz w:val="19"/>
                <w:szCs w:val="19"/>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MINE SAFETY DISCLOSURES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63"/>
        </w:trPr>
        <w:tc>
          <w:tcPr>
            <w:tcW w:w="1760" w:type="dxa"/>
            <w:vAlign w:val="bottom"/>
            <w:gridSpan w:val="7"/>
          </w:tcPr>
          <w:p>
            <w:pPr>
              <w:jc w:val="center"/>
              <w:ind w:right="1120"/>
              <w:spacing w:after="0"/>
              <w:rPr>
                <w:sz w:val="20"/>
                <w:szCs w:val="20"/>
                <w:color w:val="auto"/>
              </w:rPr>
            </w:pPr>
            <w:r>
              <w:rPr>
                <w:rFonts w:ascii="Times New Roman" w:cs="Times New Roman" w:eastAsia="Times New Roman" w:hAnsi="Times New Roman"/>
                <w:sz w:val="18"/>
                <w:szCs w:val="18"/>
                <w:color w:val="auto"/>
                <w:w w:val="95"/>
              </w:rPr>
              <w:t>PART II</w:t>
            </w:r>
          </w:p>
        </w:tc>
        <w:tc>
          <w:tcPr>
            <w:tcW w:w="8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9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5.</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MARKET PRICE OF AND DIVIDENDS ON THE REGISTRANTS COMMON EQUITY AND RELATED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62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SHAREHOLDER MATTERS</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620" w:type="dxa"/>
            <w:vAlign w:val="bottom"/>
            <w:tcBorders>
              <w:bottom w:val="single" w:sz="8" w:color="0000FF"/>
            </w:tcBorders>
          </w:tcPr>
          <w:p>
            <w:pPr>
              <w:spacing w:after="0" w:line="202" w:lineRule="exact"/>
              <w:rPr>
                <w:sz w:val="20"/>
                <w:szCs w:val="20"/>
                <w:color w:val="auto"/>
              </w:rPr>
            </w:pPr>
            <w:r>
              <w:rPr>
                <w:rFonts w:ascii="Times New Roman" w:cs="Times New Roman" w:eastAsia="Times New Roman" w:hAnsi="Times New Roman"/>
                <w:sz w:val="18"/>
                <w:szCs w:val="18"/>
                <w:color w:val="0000FF"/>
                <w:w w:val="96"/>
              </w:rPr>
              <w:t>ITEM 6.</w:t>
            </w:r>
          </w:p>
        </w:tc>
        <w:tc>
          <w:tcPr>
            <w:tcW w:w="20" w:type="dxa"/>
            <w:vAlign w:val="bottom"/>
            <w:tcBorders>
              <w:bottom w:val="single" w:sz="8" w:color="0000EE"/>
            </w:tcBorders>
          </w:tcPr>
          <w:p>
            <w:pPr>
              <w:spacing w:after="0"/>
              <w:rPr>
                <w:sz w:val="17"/>
                <w:szCs w:val="17"/>
                <w:color w:val="auto"/>
              </w:rPr>
            </w:pPr>
          </w:p>
        </w:tc>
        <w:tc>
          <w:tcPr>
            <w:tcW w:w="280" w:type="dxa"/>
            <w:vAlign w:val="bottom"/>
            <w:gridSpan w:val="4"/>
          </w:tcPr>
          <w:p>
            <w:pPr>
              <w:spacing w:after="0"/>
              <w:rPr>
                <w:sz w:val="17"/>
                <w:szCs w:val="17"/>
                <w:color w:val="auto"/>
              </w:rPr>
            </w:pPr>
          </w:p>
        </w:tc>
        <w:tc>
          <w:tcPr>
            <w:tcW w:w="836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SELECTED FINANCIAL DATA</w:t>
            </w:r>
          </w:p>
        </w:tc>
        <w:tc>
          <w:tcPr>
            <w:tcW w:w="9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9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7.</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MANAGEMENT DISCUSSION AND ANALYSIS OF FINANCIAL CONDITION AND RESULTS OF</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OPERATION</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780" w:type="dxa"/>
            <w:vAlign w:val="bottom"/>
            <w:tcBorders>
              <w:bottom w:val="single" w:sz="8" w:color="0000FF"/>
            </w:tcBorders>
            <w:gridSpan w:val="5"/>
          </w:tcPr>
          <w:p>
            <w:pPr>
              <w:spacing w:after="0" w:line="202" w:lineRule="exact"/>
              <w:rPr>
                <w:sz w:val="20"/>
                <w:szCs w:val="20"/>
                <w:color w:val="auto"/>
              </w:rPr>
            </w:pPr>
            <w:r>
              <w:rPr>
                <w:rFonts w:ascii="Times New Roman" w:cs="Times New Roman" w:eastAsia="Times New Roman" w:hAnsi="Times New Roman"/>
                <w:sz w:val="18"/>
                <w:szCs w:val="18"/>
                <w:color w:val="0000FF"/>
              </w:rPr>
              <w:t>ITEM 7A.</w:t>
            </w:r>
          </w:p>
        </w:tc>
        <w:tc>
          <w:tcPr>
            <w:tcW w:w="140" w:type="dxa"/>
            <w:vAlign w:val="bottom"/>
          </w:tcPr>
          <w:p>
            <w:pPr>
              <w:spacing w:after="0"/>
              <w:rPr>
                <w:sz w:val="17"/>
                <w:szCs w:val="17"/>
                <w:color w:val="auto"/>
              </w:rPr>
            </w:pPr>
          </w:p>
        </w:tc>
        <w:tc>
          <w:tcPr>
            <w:tcW w:w="836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9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6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ITEM 8.</w:t>
            </w:r>
          </w:p>
        </w:tc>
        <w:tc>
          <w:tcPr>
            <w:tcW w:w="20" w:type="dxa"/>
            <w:vAlign w:val="bottom"/>
            <w:tcBorders>
              <w:bottom w:val="single" w:sz="8" w:color="0000EE"/>
            </w:tcBorders>
          </w:tcPr>
          <w:p>
            <w:pPr>
              <w:spacing w:after="0"/>
              <w:rPr>
                <w:sz w:val="19"/>
                <w:szCs w:val="19"/>
                <w:color w:val="auto"/>
              </w:rPr>
            </w:pPr>
          </w:p>
        </w:tc>
        <w:tc>
          <w:tcPr>
            <w:tcW w:w="280" w:type="dxa"/>
            <w:vAlign w:val="bottom"/>
            <w:gridSpan w:val="4"/>
          </w:tcPr>
          <w:p>
            <w:pPr>
              <w:spacing w:after="0"/>
              <w:rPr>
                <w:sz w:val="19"/>
                <w:szCs w:val="19"/>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9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9.</w:t>
            </w: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AND DISAGREEMENTS WITH ACCOUNTANTS ON ACCOUNTING AND FINANCIAL</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DISCLOSURE</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780" w:type="dxa"/>
            <w:vAlign w:val="bottom"/>
            <w:tcBorders>
              <w:bottom w:val="single" w:sz="8" w:color="0000FF"/>
            </w:tcBorders>
            <w:gridSpan w:val="5"/>
          </w:tcPr>
          <w:p>
            <w:pPr>
              <w:spacing w:after="0" w:line="202" w:lineRule="exact"/>
              <w:rPr>
                <w:sz w:val="20"/>
                <w:szCs w:val="20"/>
                <w:color w:val="auto"/>
              </w:rPr>
            </w:pPr>
            <w:r>
              <w:rPr>
                <w:rFonts w:ascii="Times New Roman" w:cs="Times New Roman" w:eastAsia="Times New Roman" w:hAnsi="Times New Roman"/>
                <w:sz w:val="18"/>
                <w:szCs w:val="18"/>
                <w:color w:val="0000FF"/>
              </w:rPr>
              <w:t>ITEM 9A.</w:t>
            </w:r>
          </w:p>
        </w:tc>
        <w:tc>
          <w:tcPr>
            <w:tcW w:w="140" w:type="dxa"/>
            <w:vAlign w:val="bottom"/>
          </w:tcPr>
          <w:p>
            <w:pPr>
              <w:spacing w:after="0"/>
              <w:rPr>
                <w:sz w:val="17"/>
                <w:szCs w:val="17"/>
                <w:color w:val="auto"/>
              </w:rPr>
            </w:pPr>
          </w:p>
        </w:tc>
        <w:tc>
          <w:tcPr>
            <w:tcW w:w="836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CONTROLS AND PROCEDURES</w:t>
            </w:r>
          </w:p>
        </w:tc>
        <w:tc>
          <w:tcPr>
            <w:tcW w:w="9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7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ITEM 9B.</w:t>
            </w:r>
          </w:p>
        </w:tc>
        <w:tc>
          <w:tcPr>
            <w:tcW w:w="20" w:type="dxa"/>
            <w:vAlign w:val="bottom"/>
            <w:tcBorders>
              <w:bottom w:val="single" w:sz="8" w:color="0000EE"/>
            </w:tcBorders>
          </w:tcPr>
          <w:p>
            <w:pPr>
              <w:spacing w:after="0"/>
              <w:rPr>
                <w:sz w:val="19"/>
                <w:szCs w:val="19"/>
                <w:color w:val="auto"/>
              </w:rPr>
            </w:pPr>
          </w:p>
        </w:tc>
        <w:tc>
          <w:tcPr>
            <w:tcW w:w="160" w:type="dxa"/>
            <w:vAlign w:val="bottom"/>
            <w:gridSpan w:val="2"/>
          </w:tcPr>
          <w:p>
            <w:pPr>
              <w:spacing w:after="0"/>
              <w:rPr>
                <w:sz w:val="19"/>
                <w:szCs w:val="19"/>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INFORMATION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7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ITEM 9C.</w:t>
            </w:r>
          </w:p>
        </w:tc>
        <w:tc>
          <w:tcPr>
            <w:tcW w:w="180" w:type="dxa"/>
            <w:vAlign w:val="bottom"/>
            <w:gridSpan w:val="3"/>
          </w:tcPr>
          <w:p>
            <w:pPr>
              <w:spacing w:after="0"/>
              <w:rPr>
                <w:sz w:val="19"/>
                <w:szCs w:val="19"/>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64"/>
        </w:trPr>
        <w:tc>
          <w:tcPr>
            <w:tcW w:w="1760" w:type="dxa"/>
            <w:vAlign w:val="bottom"/>
            <w:gridSpan w:val="7"/>
          </w:tcPr>
          <w:p>
            <w:pPr>
              <w:jc w:val="center"/>
              <w:ind w:right="1120"/>
              <w:spacing w:after="0"/>
              <w:rPr>
                <w:sz w:val="20"/>
                <w:szCs w:val="20"/>
                <w:color w:val="auto"/>
              </w:rPr>
            </w:pPr>
            <w:r>
              <w:rPr>
                <w:rFonts w:ascii="Times New Roman" w:cs="Times New Roman" w:eastAsia="Times New Roman" w:hAnsi="Times New Roman"/>
                <w:sz w:val="18"/>
                <w:szCs w:val="18"/>
                <w:color w:val="auto"/>
                <w:w w:val="93"/>
              </w:rPr>
              <w:t>PART III</w:t>
            </w:r>
          </w:p>
        </w:tc>
        <w:tc>
          <w:tcPr>
            <w:tcW w:w="8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333" w:right="339" w:bottom="1440" w:gutter="0" w:footer="0" w:header="0"/>
        </w:sectPr>
      </w:pPr>
    </w:p>
    <w:p>
      <w:pPr>
        <w:ind w:left="980"/>
        <w:spacing w:after="0"/>
        <w:rPr>
          <w:sz w:val="20"/>
          <w:szCs w:val="20"/>
          <w:color w:val="auto"/>
        </w:rPr>
      </w:pPr>
      <w:r>
        <w:rPr>
          <w:rFonts w:ascii="Times New Roman" w:cs="Times New Roman" w:eastAsia="Times New Roman" w:hAnsi="Times New Roman"/>
          <w:sz w:val="17"/>
          <w:szCs w:val="17"/>
          <w:u w:val="single" w:color="auto"/>
          <w:color w:val="0000FF"/>
        </w:rPr>
        <w:t>ITEM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-635</wp:posOffset>
            </wp:positionV>
            <wp:extent cx="4508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0850" cy="8255"/>
                    </a:xfrm>
                    <a:prstGeom prst="rect">
                      <a:avLst/>
                    </a:prstGeom>
                    <a:noFill/>
                  </pic:spPr>
                </pic:pic>
              </a:graphicData>
            </a:graphic>
          </wp:anchor>
        </w:drawing>
      </w:r>
    </w:p>
    <w:p>
      <w:pPr>
        <w:spacing w:after="0" w:line="2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u w:val="single" w:color="auto"/>
          <w:color w:val="0000FF"/>
        </w:rPr>
        <w:t>ITEM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-635</wp:posOffset>
            </wp:positionV>
            <wp:extent cx="4464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46405" cy="8255"/>
                    </a:xfrm>
                    <a:prstGeom prst="rect">
                      <a:avLst/>
                    </a:prstGeom>
                    <a:noFill/>
                  </pic:spPr>
                </pic:pic>
              </a:graphicData>
            </a:graphic>
          </wp:anchor>
        </w:drawing>
      </w:r>
    </w:p>
    <w:p>
      <w:pPr>
        <w:spacing w:after="0" w:line="2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u w:val="single" w:color="auto"/>
          <w:color w:val="0000FF"/>
        </w:rPr>
        <w:t>ITEM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-635</wp:posOffset>
            </wp:positionV>
            <wp:extent cx="4508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50850" cy="8255"/>
                    </a:xfrm>
                    <a:prstGeom prst="rect">
                      <a:avLst/>
                    </a:prstGeom>
                    <a:noFill/>
                  </pic:spPr>
                </pic:pic>
              </a:graphicData>
            </a:graphic>
          </wp:anchor>
        </w:drawing>
      </w:r>
    </w:p>
    <w:p>
      <w:pPr>
        <w:spacing w:after="0" w:line="2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u w:val="single" w:color="auto"/>
          <w:color w:val="0000FF"/>
        </w:rPr>
        <w:t>ITEM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-635</wp:posOffset>
            </wp:positionV>
            <wp:extent cx="4508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50850" cy="8255"/>
                    </a:xfrm>
                    <a:prstGeom prst="rect">
                      <a:avLst/>
                    </a:prstGeom>
                    <a:noFill/>
                  </pic:spPr>
                </pic:pic>
              </a:graphicData>
            </a:graphic>
          </wp:anchor>
        </w:drawing>
      </w:r>
    </w:p>
    <w:p>
      <w:pPr>
        <w:spacing w:after="0" w:line="2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u w:val="single" w:color="auto"/>
          <w:color w:val="0000FF"/>
        </w:rPr>
        <w:t>ITEM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-635</wp:posOffset>
            </wp:positionV>
            <wp:extent cx="4508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508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EXECUTIVE OFFICERS OF GREEN THUMB INDUSTRIES, INC.</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43"/>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EXECUTIVE COMPENSATION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5"/>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4"/>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STOCKHOLDER MATTERS</w:t>
            </w:r>
          </w:p>
        </w:tc>
        <w:tc>
          <w:tcPr>
            <w:tcW w:w="660" w:type="dxa"/>
            <w:vAlign w:val="bottom"/>
          </w:tcPr>
          <w:p>
            <w:pPr>
              <w:spacing w:after="0"/>
              <w:rPr>
                <w:sz w:val="20"/>
                <w:szCs w:val="20"/>
                <w:color w:val="auto"/>
              </w:rPr>
            </w:pPr>
          </w:p>
        </w:tc>
      </w:tr>
      <w:tr>
        <w:trPr>
          <w:trHeight w:val="243"/>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43"/>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FEES AND SERVICES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bl>
    <w:p>
      <w:pPr>
        <w:spacing w:after="0" w:line="9" w:lineRule="exact"/>
        <w:rPr>
          <w:sz w:val="20"/>
          <w:szCs w:val="20"/>
          <w:color w:val="auto"/>
        </w:rPr>
      </w:pPr>
    </w:p>
    <w:p>
      <w:pPr>
        <w:sectPr>
          <w:pgSz w:w="11900" w:h="16838" w:orient="portrait"/>
          <w:cols w:equalWidth="0" w:num="2">
            <w:col w:w="1680" w:space="380"/>
            <w:col w:w="9180"/>
          </w:cols>
          <w:pgMar w:left="320" w:top="333" w:right="3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color w:val="auto"/>
        </w:rPr>
        <w:t>PART IV</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15.</w:t>
            </w:r>
          </w:p>
        </w:tc>
        <w:tc>
          <w:tcPr>
            <w:tcW w:w="65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EXHIBITS, FINANCIAL STATEMENT SCHEDULES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223"/>
        </w:trPr>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16.</w:t>
            </w:r>
          </w:p>
        </w:tc>
        <w:tc>
          <w:tcPr>
            <w:tcW w:w="65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FORM 10-K SUMMARY</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223"/>
        </w:trPr>
        <w:tc>
          <w:tcPr>
            <w:tcW w:w="920" w:type="dxa"/>
            <w:vAlign w:val="bottom"/>
          </w:tcPr>
          <w:p>
            <w:pPr>
              <w:spacing w:after="0"/>
              <w:rPr>
                <w:sz w:val="19"/>
                <w:szCs w:val="19"/>
                <w:color w:val="auto"/>
              </w:rPr>
            </w:pPr>
          </w:p>
        </w:tc>
        <w:tc>
          <w:tcPr>
            <w:tcW w:w="75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Index to Consolidated Financial Statements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r>
        <w:trPr>
          <w:trHeight w:val="20"/>
        </w:trPr>
        <w:tc>
          <w:tcPr>
            <w:tcW w:w="920" w:type="dxa"/>
            <w:vAlign w:val="bottom"/>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60" w:type="dxa"/>
            <w:vAlign w:val="bottom"/>
            <w:tcBorders>
              <w:right w:val="single" w:sz="8" w:color="0000EE"/>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223"/>
        </w:trPr>
        <w:tc>
          <w:tcPr>
            <w:tcW w:w="920" w:type="dxa"/>
            <w:vAlign w:val="bottom"/>
          </w:tcPr>
          <w:p>
            <w:pPr>
              <w:spacing w:after="0"/>
              <w:rPr>
                <w:sz w:val="19"/>
                <w:szCs w:val="19"/>
                <w:color w:val="auto"/>
              </w:rPr>
            </w:pPr>
          </w:p>
        </w:tc>
        <w:tc>
          <w:tcPr>
            <w:tcW w:w="32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Financial Statements and Notes</w:t>
            </w:r>
          </w:p>
        </w:tc>
        <w:tc>
          <w:tcPr>
            <w:tcW w:w="20" w:type="dxa"/>
            <w:vAlign w:val="bottom"/>
            <w:tcBorders>
              <w:bottom w:val="single" w:sz="8" w:color="0000EE"/>
            </w:tcBorders>
          </w:tcPr>
          <w:p>
            <w:pPr>
              <w:spacing w:after="0"/>
              <w:rPr>
                <w:sz w:val="19"/>
                <w:szCs w:val="19"/>
                <w:color w:val="auto"/>
              </w:rPr>
            </w:pPr>
          </w:p>
        </w:tc>
        <w:tc>
          <w:tcPr>
            <w:tcW w:w="4280" w:type="dxa"/>
            <w:vAlign w:val="bottom"/>
            <w:gridSpan w:val="2"/>
          </w:tcPr>
          <w:p>
            <w:pPr>
              <w:spacing w:after="0"/>
              <w:rPr>
                <w:sz w:val="19"/>
                <w:szCs w:val="19"/>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r>
        <w:trPr>
          <w:trHeight w:val="223"/>
        </w:trPr>
        <w:tc>
          <w:tcPr>
            <w:tcW w:w="920" w:type="dxa"/>
            <w:vAlign w:val="bottom"/>
          </w:tcPr>
          <w:p>
            <w:pPr>
              <w:spacing w:after="0"/>
              <w:rPr>
                <w:sz w:val="19"/>
                <w:szCs w:val="19"/>
                <w:color w:val="auto"/>
              </w:rPr>
            </w:pPr>
          </w:p>
        </w:tc>
        <w:tc>
          <w:tcPr>
            <w:tcW w:w="75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F-48</w:t>
            </w:r>
          </w:p>
        </w:tc>
      </w:tr>
      <w:tr>
        <w:trPr>
          <w:trHeight w:val="223"/>
        </w:trPr>
        <w:tc>
          <w:tcPr>
            <w:tcW w:w="920" w:type="dxa"/>
            <w:vAlign w:val="bottom"/>
          </w:tcPr>
          <w:p>
            <w:pPr>
              <w:spacing w:after="0"/>
              <w:rPr>
                <w:sz w:val="19"/>
                <w:szCs w:val="19"/>
                <w:color w:val="auto"/>
              </w:rPr>
            </w:pPr>
          </w:p>
        </w:tc>
        <w:tc>
          <w:tcPr>
            <w:tcW w:w="10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Exhibits</w:t>
            </w:r>
          </w:p>
        </w:tc>
        <w:tc>
          <w:tcPr>
            <w:tcW w:w="21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000" w:type="dxa"/>
            <w:vAlign w:val="bottom"/>
            <w:tcBorders>
              <w:top w:val="single" w:sz="8" w:color="0000FF"/>
            </w:tcBorders>
          </w:tcPr>
          <w:p>
            <w:pPr>
              <w:spacing w:after="0"/>
              <w:rPr>
                <w:sz w:val="19"/>
                <w:szCs w:val="19"/>
                <w:color w:val="auto"/>
              </w:rPr>
            </w:pPr>
          </w:p>
        </w:tc>
        <w:tc>
          <w:tcPr>
            <w:tcW w:w="3280" w:type="dxa"/>
            <w:vAlign w:val="bottom"/>
          </w:tcPr>
          <w:p>
            <w:pPr>
              <w:spacing w:after="0"/>
              <w:rPr>
                <w:sz w:val="19"/>
                <w:szCs w:val="19"/>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E-71</w:t>
            </w:r>
          </w:p>
        </w:tc>
      </w:tr>
      <w:tr>
        <w:trPr>
          <w:trHeight w:val="20"/>
        </w:trPr>
        <w:tc>
          <w:tcPr>
            <w:tcW w:w="920" w:type="dxa"/>
            <w:vAlign w:val="bottom"/>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223"/>
        </w:trPr>
        <w:tc>
          <w:tcPr>
            <w:tcW w:w="920" w:type="dxa"/>
            <w:vAlign w:val="bottom"/>
          </w:tcPr>
          <w:p>
            <w:pPr>
              <w:spacing w:after="0"/>
              <w:rPr>
                <w:sz w:val="19"/>
                <w:szCs w:val="19"/>
                <w:color w:val="auto"/>
              </w:rPr>
            </w:pPr>
          </w:p>
        </w:tc>
        <w:tc>
          <w:tcPr>
            <w:tcW w:w="9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Appendix A</w:t>
            </w:r>
          </w:p>
        </w:tc>
        <w:tc>
          <w:tcPr>
            <w:tcW w:w="1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223"/>
        </w:trPr>
        <w:tc>
          <w:tcPr>
            <w:tcW w:w="920" w:type="dxa"/>
            <w:vAlign w:val="bottom"/>
          </w:tcPr>
          <w:p>
            <w:pPr>
              <w:spacing w:after="0"/>
              <w:rPr>
                <w:sz w:val="19"/>
                <w:szCs w:val="19"/>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581"/>
        </w:trPr>
        <w:tc>
          <w:tcPr>
            <w:tcW w:w="920" w:type="dxa"/>
            <w:vAlign w:val="bottom"/>
            <w:tcBorders>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Use of Names</w:t>
      </w:r>
    </w:p>
    <w:p>
      <w:pPr>
        <w:spacing w:after="0" w:line="121"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In this Annual Report on Form 10-K, unless the context otherwise requires, the terms “we,” “us,” “our,” “Company,” “Corporation” or “Green Thumb” refer to Green Thumb Industries Inc. together with its wholly-owned subsidiaries.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w:t>
      </w:r>
    </w:p>
    <w:p>
      <w:pPr>
        <w:spacing w:after="0" w:line="121"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Unless otherwise indicated, all references to “$” or “US$” in this document refer to United States dollars, and all references to “C$” refer to Canadian dollars.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11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statements that we believe are, or may be considered to be, “forward-looking statements.” All statements other than statements of historical fact included in this document regarding the prospects of our industry or our prospects, plans, financial position or business strategy may constitute forward-looking statements. In addition, forward-looking statements generally can be identified by the use of forward-looking words such as “may,” “will,” “expect,” “intend,” “estimate,” “foresee,” “project,” “anticipate,” “potential,” “anticipate,” “risk,” “believe,” “plan,” “forecast,” “continue” or “could” or the negative of these terms or variations of them or similar terms. Furthermore, forward-looking statements may be included in various filings that we make with the Securities and Exchange Commission (the “SEC”), and in press releases or oral statements made by or with the approval of one of our authorized executive officers. Although we believe that the expectations reflected in these forward-looking statements are reasonable, we cannot assure you that these expectations will prove to be correct. These forward-looking statements are subject to certain known and unknown risks and uncertainties, as well as assumptions that could cause actual results to differ materially from those reflected in these forward-looking statements. Readers are cautioned not to place undue reliance on any forward-looking statements contained in this document, which reflect management’s opinions only as of the date hereof. Except as required by law, we undertake no obligation to revise or publicly release the results of any revision to any forward-looking statements. You are advised, however, to consult any additional disclosures we make in our reports to the SEC. All subsequent written and oral forward-looking statements attributable to us or persons acting on our behalf are expressly qualified in their entirety by the cautionary statements contained in this document.</w:t>
      </w: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ind w:right="260" w:firstLine="749"/>
        <w:spacing w:after="0" w:line="266" w:lineRule="auto"/>
        <w:rPr>
          <w:sz w:val="20"/>
          <w:szCs w:val="20"/>
          <w:color w:val="auto"/>
        </w:rPr>
      </w:pPr>
      <w:r>
        <w:rPr>
          <w:rFonts w:ascii="Times New Roman" w:cs="Times New Roman" w:eastAsia="Times New Roman" w:hAnsi="Times New Roman"/>
          <w:sz w:val="18"/>
          <w:szCs w:val="18"/>
          <w:color w:val="auto"/>
        </w:rPr>
        <w:t>Green Thumb Industries Inc. is a reporting issuer in the United States and Canada and the Company's Subordinate Voting Shares are listed for trading on the Canadian Securities Exchange (“CSE”) under the symbol “GTII.” The Company’s Subordinate Voting Shares (as hereinafter defined) are also traded in the United States on the OTCQX Best Market (the “OTCQX”) under the symbol “GTBIF.”</w:t>
      </w:r>
    </w:p>
    <w:p>
      <w:pPr>
        <w:spacing w:after="0" w:line="17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Originally founded in 2014, Green Thumb began operations in 2015 upon the award of a medical marijuana license for cultivation/processing and retail sale of cannabis in Illinois. The Company has since expanded its operational footprint to 15 U.S. markets, including California, Colorado, Connecticut, Florida, Illinois, Maryland, Massachusetts, Minnesota, Nevada, New Jersey, New York, Ohio, Pennsylvania, Rhode Island and Virginia. Currently, Green Thumb owns, manufactures, and distributes a portfolio of cannabis consumer packaged goods brands including &amp;Shine, Beboe, Dogwalkers, Doctor Solomon’s, Good Green, incredibles and RYTHM, to third-party retail stores across the United States as well as to Green Thumb owned retail stores (which we refer to as our Consumer Packaged Goods business). The Company also owns and operates retail cannabis stores that include a national chain called RISE, as well as retail stores operating under other names, many of which are in the process of being rebranded to RISE. Our retail stores sell a combination of our products and third-party products (which we refer to as our Retail business).</w:t>
      </w:r>
    </w:p>
    <w:p>
      <w:pPr>
        <w:spacing w:after="0" w:line="192"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The Company, through its subsidiaries, owns state-licensed medical and/or adult-use marijuana businesses in California, Connecticut, Florida, Illinois, Maryland, Massachusetts, Minnesota, Nevada, New Jersey, New York, Ohio, Pennsylvania, Rhode Island and Virginia. We also license our intellectual property and certain brands to a licensee in Colorado. The following organizational chart describes the organizational structure of the Company as of December 31, 2022. See Exhibit 21.1 to this document for a list of subsidiaries of the Company. All lines represent 100% ownership of outstanding securities of the applicable subsidiary unless otherwise noted in Exhibit 21.1. In part, the complexity of our organization structure is due to state licensing requirements that mandate that we maintain the corporate identity of our operating license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130810</wp:posOffset>
            </wp:positionV>
            <wp:extent cx="6172200" cy="3471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registered office of the Company is located at 250 Howe Street,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7"/>
          <w:szCs w:val="17"/>
          <w:color w:val="auto"/>
        </w:rPr>
        <w:t xml:space="preserve"> Floor, Vancouver, British Columbia V6C 3R8. The head office is located at 325 W.</w:t>
      </w:r>
    </w:p>
    <w:p>
      <w:pPr>
        <w:spacing w:after="0"/>
        <w:rPr>
          <w:sz w:val="20"/>
          <w:szCs w:val="20"/>
          <w:color w:val="auto"/>
        </w:rPr>
      </w:pPr>
      <w:r>
        <w:rPr>
          <w:rFonts w:ascii="Times New Roman" w:cs="Times New Roman" w:eastAsia="Times New Roman" w:hAnsi="Times New Roman"/>
          <w:sz w:val="18"/>
          <w:szCs w:val="18"/>
          <w:color w:val="auto"/>
        </w:rPr>
        <w:t>Huron Street, Suite 700, Chicago, Illinois 60654.</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History of the Company</w:t>
      </w:r>
    </w:p>
    <w:p>
      <w:pPr>
        <w:spacing w:after="0" w:line="229"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For information on the history of the Company and the development of the business prior to June 13, 2018, the day our Subordinate Voting Shares began trading on the CSE, see the information set forth under the headings “Business – Our History” and “Business – General Development of the Business” in Amendment No. 2 to our Registration Statement on Form S-1 that was filed with the SEC on February 2, 2021 with Registration No. 333-248213.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 Construction Loan</w:t>
      </w:r>
    </w:p>
    <w:p>
      <w:pPr>
        <w:spacing w:after="0" w:line="229"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On October 12, 2022, the Company entered into a construction-to-permanent financing arrangement (the “Construction Loan”) which provided funding for the construction of a cultivation and processing facility in the amount of up to $31,000 thousand, which, as of December 31, 2022, the Company has drawn $18,345 thousand on the facility. The Construction Loan will bear interest at the U.S. prime rate plus 1%, with a floor of 5%, and mature upon the earlier of the completion of the construction, or 24 months from the date of issuance. Interest only payments became due on the first of each month beginning on November 1, 2022. Upon maturity, the Construction Loan will convert to a ten year mortgage note with a fixed interest rate of 3% over the weekly average yield of the U.S. treasury securities adjusted to a constant maturity of five years, with a floor of 5%. Payments of both principal and interest will be due on the first day of each calendar month following conversion of the Construction Loan.</w:t>
      </w:r>
    </w:p>
    <w:p>
      <w:pPr>
        <w:spacing w:after="0" w:line="200" w:lineRule="exact"/>
        <w:rPr>
          <w:sz w:val="20"/>
          <w:szCs w:val="20"/>
          <w:color w:val="auto"/>
        </w:rPr>
      </w:pPr>
    </w:p>
    <w:p>
      <w:pPr>
        <w:spacing w:after="0" w:line="20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(ii) Senior Secured Notes</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On April 30, 2021, the Company closed a $216,734 thousand senior secured non-brokered private placement financing through the issuance of senior secured notes (the “April 30, 2021 Notes”) pursuant to the Second Amendment to the Note Purchase Agreement (the “Note Purchase Agreement”). The Company used the proceeds to retire the Company’s existing $105,466 thousand, senior secured notes due May 22, 2023 (the “May 22, 2019 Notes”) and the remaining proceeds for general working capital purposes as well as various growth initiatives. The April 30, 2021 Notes had a maturity date of April 30, 2024 and bear interest from the date of issue of 7.00% per annum, payable quarterly, with an option, at the discretion of the Company, to extend for an additional twelve months. The financing permitted the Company to borrow an additional $33,266 thousand over the next twelve months. The purchasers of the April 30, 2021 Notes also received 1,459,044 warrants (the “Warrants”) which allow the holder to purchase one Subordinate Voting Share of the Company at an exercise price of $32.68 per share, for a period of 60 months from the date of issue.</w:t>
      </w:r>
    </w:p>
    <w:p>
      <w:pPr>
        <w:spacing w:after="0" w:line="192"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18"/>
          <w:szCs w:val="18"/>
          <w:color w:val="auto"/>
        </w:rPr>
        <w:t xml:space="preserve">On October 15, 2021, the Company amended its existing Notes Purchase Agreement with the Second Amended Notes Purchase Agreement dated April 30, 2021, for the purposes of borrowing an additional $33,200 thousand, as permitted under the April 30, 2021 Notes Purchase Agreement (the </w:t>
      </w:r>
      <w:r>
        <w:rPr>
          <w:rFonts w:ascii="Times New Roman" w:cs="Times New Roman" w:eastAsia="Times New Roman" w:hAnsi="Times New Roman"/>
          <w:sz w:val="21"/>
          <w:szCs w:val="21"/>
          <w:color w:val="auto"/>
        </w:rPr>
        <w:t>“</w:t>
      </w:r>
      <w:r>
        <w:rPr>
          <w:rFonts w:ascii="Times New Roman" w:cs="Times New Roman" w:eastAsia="Times New Roman" w:hAnsi="Times New Roman"/>
          <w:sz w:val="17"/>
          <w:szCs w:val="17"/>
          <w:color w:val="auto"/>
        </w:rPr>
        <w:t>Amended Notes</w:t>
      </w:r>
      <w:r>
        <w:rPr>
          <w:rFonts w:ascii="Times New Roman" w:cs="Times New Roman" w:eastAsia="Times New Roman" w:hAnsi="Times New Roman"/>
          <w:sz w:val="21"/>
          <w:szCs w:val="21"/>
          <w:color w:val="auto"/>
        </w:rPr>
        <w:t>”</w:t>
      </w:r>
      <w:r>
        <w:rPr>
          <w:rFonts w:ascii="Times New Roman" w:cs="Times New Roman" w:eastAsia="Times New Roman" w:hAnsi="Times New Roman"/>
          <w:sz w:val="17"/>
          <w:szCs w:val="17"/>
          <w:color w:val="auto"/>
        </w:rPr>
        <w:t>). The additional borrowings have terms consistent with the April 30, 2021 Notes and increase the total amount borrowed to $249,934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thousand. The Company intends to use the additional proceeds for general working capital purposes as well as various growth initiatives. The purchasers of the Amended Notes received an additional 243,303 warrants which allow the holder to purchase one Subordinate Voting Share of the Company at an exercise price of $30.02 per share, for a period of 60 months from the date of issue.</w:t>
      </w:r>
    </w:p>
    <w:p>
      <w:pPr>
        <w:spacing w:after="0" w:line="183"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On July 14, 2022, Green Thumb announced it exercised its right to extend the maturity date of the April 30, 2021 Notes by one year from April 30, 2024 to April 30, 2025. The April 30, 2021 Notes have a total principal amount of $249,934 thousand, and bear interest at a rate of 7.0% per annum that is paid quarterly. The extended maturity date did not involve any amendments to the April 30, 2021 Notes or any additional consideration to the existing lenders.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6" w:name="page7"/>
    <w:bookmarkEnd w:id="6"/>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(iii) IIP Real Estate Funding</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Danville, Pennsylvania</w:t>
      </w:r>
    </w:p>
    <w:p>
      <w:pPr>
        <w:spacing w:after="0" w:line="227"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On November 12, 2019, the Company closed a sale and lease back transaction to sell its Danville, Pennsylvania cultivation and processing facility to Innovative Industrial Properties, Inc. (“IIP”). Under a long-term agreement, the Company leased back the facility and continues to operate and manage it. The purchase price for the property was $20,300 thousand, excluding transaction costs. The Company made certain improvements to the property that have significantly enhanced production capacity, for which IIP provided reimbursement of $19,300 thousand.</w:t>
      </w:r>
    </w:p>
    <w:p>
      <w:pPr>
        <w:spacing w:after="0" w:line="180" w:lineRule="exact"/>
        <w:rPr>
          <w:sz w:val="20"/>
          <w:szCs w:val="20"/>
          <w:color w:val="auto"/>
        </w:rPr>
      </w:pPr>
    </w:p>
    <w:p>
      <w:pPr>
        <w:ind w:right="480" w:firstLine="749"/>
        <w:spacing w:after="0" w:line="266" w:lineRule="auto"/>
        <w:rPr>
          <w:sz w:val="20"/>
          <w:szCs w:val="20"/>
          <w:color w:val="auto"/>
        </w:rPr>
      </w:pPr>
      <w:r>
        <w:rPr>
          <w:rFonts w:ascii="Times New Roman" w:cs="Times New Roman" w:eastAsia="Times New Roman" w:hAnsi="Times New Roman"/>
          <w:sz w:val="18"/>
          <w:szCs w:val="18"/>
          <w:color w:val="auto"/>
        </w:rPr>
        <w:t>On June 29, 2022, the Company amended its original lease agreement (the “Amendment”) with IIP associated with Danville, Pennsylvania cultivation and production facilities. The Amendment provided an additional tenant improvement allowance of $55,000 thousand to be used on enhancements to the facility.</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Toledo, Ohio</w:t>
      </w:r>
    </w:p>
    <w:p>
      <w:pPr>
        <w:spacing w:after="0" w:line="227"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On January 31, 2020, the Company closed a sale and leaseback transaction to sell its Toledo, Ohio processing facility to IIP. Under a long-term agreement, the Company leased back the facility and continues to operate and manage it. The purchase price for the property was $2,900 thousand, excluding transaction costs. The Company made certain improvements to the property that have significantly enhance production capacity, for which IIP has provided reimbursement of $4,300 thousand.</w:t>
      </w:r>
    </w:p>
    <w:p>
      <w:pPr>
        <w:spacing w:after="0" w:line="180"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On October 1, 2020, the Company and IIP agreed to amend the lease on the Toledo, Ohio processing facility. Under the amendment, IIP provided an additional $25,000 thousand in funding to be used for the construction of a cannabis cultivation facility at the property.</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Oglesby, Illinois</w:t>
      </w:r>
    </w:p>
    <w:p>
      <w:pPr>
        <w:spacing w:after="0" w:line="227"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On March 6, 2020, the Company closed a sale and lease back transaction to sell its Oglesby, Illinois cultivation and processing facility to an unrelated third party, IIP. Under a long-term agreement, the Company leased back the facility and continues to operate and manage it. The purchase price for the property was $9,000 thousand, excluding transaction costs. The Company made certain improvements to the property that have significantly enhanced production capacity, for which IIP provided reimbursement of $41,000 thousand.</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(iv) Registration Statement on Form S-1</w:t>
      </w:r>
    </w:p>
    <w:p>
      <w:pPr>
        <w:spacing w:after="0" w:line="229"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On February 8, 2021, the SEC declared effective the Company’s Registration Statement No. 333-248213 on Form S-1 filed on February 2, 2021. Shortly thereafter, the Company received an offer from a single institutional investor to purchase 3,122,074 of the Subordinate Voting Shares of the Company registered on the Form S-1 at a price of $32.03 per share for a total of $100,000 thousand. The transaction closed on February 9, 2021. On February 23, 2021, the Company accepted additional offers to purchase a total of 1,571,917 Subordinate Voting Shares of the Company at a price of $35.50 per share, for a total of $55,803 thousand. The Company used the net proceeds from the sale of securities for general corporate purposes, which included capital expenditures, working capital and general and administrative expenses. The Company also used a portion of the net proceeds to acquire or invest in businesses or products that are complimentary to the Company's own businesses and products.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Certain Recent Developments</w:t>
      </w:r>
    </w:p>
    <w:p>
      <w:pPr>
        <w:spacing w:after="0" w:line="229"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On January 1, 2023, Anthony Georgiadis, who is also a member of the the Company's Board of Directors (the “Board”), was promoted to President, having previously served as the Company’s Chief Financial Officer; Mathew Faulkner, was promoted to Chief Financial Officer from his previous role as Chief Accounting Officer, and Bret Kravitz was appointed as General Counsel from the role of Chief Counsel. Also on January 1, 2023, Dawn Wilson Barnes joined the Board.</w:t>
      </w:r>
    </w:p>
    <w:p>
      <w:pPr>
        <w:spacing w:after="0" w:line="18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On March 1, 2022, the Company acquired the remaining 50% ownership interests of ILDISP, LLC (“ILDISP”) from the Company's former membership interest partner for the purposes of expanding the Company's operational capacity in the Illinois market. Prior to March 1, 2022, one of the two retail stores owned by ILDISP, RISE Effingham, was consolidated by Green Thumb as the Company was determined to be the primary beneficiary of the variable interest entity. The other retail store was accounted for as an equity method investment given the Company's 50% ownership interest and its ability to significantly influence that store's operations. The total consideration exchanged included $18,623 thousand in cash, which included $250 thousand in deferred consideration, which was paid in September 2022, along with 204,036 Subordinate Voting Shares valued at approximately $3,785 thousand.</w:t>
      </w:r>
    </w:p>
    <w:p>
      <w:pPr>
        <w:spacing w:after="0" w:line="187"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On December 30, 2021, the Company closed on its acquisition of LeafLine Industries, LLC (“LeafLine”) which expanded the Company's national footprint into the Minnesota cannabis market, for $38,731 thousand in cash and 5,513,942 Subordinate Voting Shares (including 386,002 deferred shares) valued at approximately $117,833 thousand. LeafLine is one of only two licensed cultivators in the Minnesota medical cannabis market, licensed to grow, process and dispense medical cannabis directly to patients. LeafLine has one cultivation facility and six retail stores which are currently open and operating.</w:t>
      </w:r>
    </w:p>
    <w:p>
      <w:pPr>
        <w:spacing w:after="0" w:line="183"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On November 1, 2021, the Company closed on its acquisition of MDHWC Management Corp., which holds contractual interests in Maryland Health and Wellness Center, Inc. a Maryland-based medical dispensary (collectively referred to as “MDHWC”), for $8,320 thousand in cash and 309,157 Subordinate Voting Shares valued at approximately $6,375 thousand. On September 23, 2022, Green Thumb received approval from the Maryland Cannabis Commission to exercise our option to purchase all of the outstanding shares held by the former owner of Maryland Health and Wellness Center Inc. in exchange for $30 thousand in cash. The exercise of this option also resulted in the termination of the MSA that was in place since the date of acquisition.</w:t>
      </w:r>
    </w:p>
    <w:p>
      <w:pPr>
        <w:spacing w:after="0" w:line="187" w:lineRule="exact"/>
        <w:rPr>
          <w:sz w:val="20"/>
          <w:szCs w:val="20"/>
          <w:color w:val="auto"/>
        </w:rPr>
      </w:pPr>
    </w:p>
    <w:p>
      <w:pPr>
        <w:jc w:val="both"/>
        <w:ind w:right="480" w:firstLine="749"/>
        <w:spacing w:after="0" w:line="261" w:lineRule="auto"/>
        <w:rPr>
          <w:sz w:val="20"/>
          <w:szCs w:val="20"/>
          <w:color w:val="auto"/>
        </w:rPr>
      </w:pPr>
      <w:r>
        <w:rPr>
          <w:rFonts w:ascii="Times New Roman" w:cs="Times New Roman" w:eastAsia="Times New Roman" w:hAnsi="Times New Roman"/>
          <w:sz w:val="18"/>
          <w:szCs w:val="18"/>
          <w:color w:val="auto"/>
        </w:rPr>
        <w:t>On September 1, 2021, the Company closed on its acquisition of GreenStar Herbals, Inc. (“GreenStar”), a Massachusetts-based adult-use cannabis retailer, for $5,228 thousand in cash and 1,344,216 Subordinate Voting Shares (including 161,306 deferred shares) valued at approximately $39,681 thousand. The acquisition included two open and operating adult-use retail locations and one location that was opened later in the year, all in Massachusetts.</w:t>
      </w:r>
    </w:p>
    <w:p>
      <w:pPr>
        <w:spacing w:after="0" w:line="180"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On August 2, 2021, the Company closed on its acquisition of Mobley Pain Management and Wellness Center, LLC and Canwell Processing, LLC (collectively referred to as “Summit”), which both hold contractual interests in Summit Medical Compassion Center, Inc., a non-profit corporation with vertically integrated cannabis operations in Rhode Island. The acquisition expanded the Company's national footprint into the Rhode Island cannabis market and was completed for 2,387,807 Subordinate Voting Shares (including 303,599 deferred shares) valued at approximately $69,874 thousand. The acquisition included one of only three retail locations in Rhode Island.</w:t>
      </w:r>
    </w:p>
    <w:p>
      <w:pPr>
        <w:spacing w:after="0" w:line="183"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On July 1, 2021, the Company closed on its acquisition of Dharma Pharmaceuticals, LLC (“Dharma”). The acquisition expanded the Company's national geographic footprint into the Virginia cannabis market and was completed for $15,175 thousand in cash and 2,298,779 Subordinate Voting Shares (including 229,878 deferred shares) valued at approximately $75,897 thousand. As one of only five licensees in the Virginia medical cannabis market, Dharma is licensed to grow, process and distribute cannabis to patients through its own retail stores, as well as third party dispensaries. The acquisition included one open and operating cultivation and production facility and one retail location in Virginia. Green Thumb has subsequently opened three additional stores, and has the ability to open two additional retail locations in Virginia.</w:t>
      </w:r>
    </w:p>
    <w:p>
      <w:pPr>
        <w:spacing w:after="0" w:line="187" w:lineRule="exact"/>
        <w:rPr>
          <w:sz w:val="20"/>
          <w:szCs w:val="20"/>
          <w:color w:val="auto"/>
        </w:rPr>
      </w:pPr>
    </w:p>
    <w:p>
      <w:pPr>
        <w:jc w:val="both"/>
        <w:ind w:right="580" w:firstLine="749"/>
        <w:spacing w:after="0" w:line="266" w:lineRule="auto"/>
        <w:rPr>
          <w:sz w:val="20"/>
          <w:szCs w:val="20"/>
          <w:color w:val="auto"/>
        </w:rPr>
      </w:pPr>
      <w:r>
        <w:rPr>
          <w:rFonts w:ascii="Times New Roman" w:cs="Times New Roman" w:eastAsia="Times New Roman" w:hAnsi="Times New Roman"/>
          <w:sz w:val="18"/>
          <w:szCs w:val="18"/>
          <w:color w:val="auto"/>
        </w:rPr>
        <w:t>On June 1, 2021, the Company closed on its acquisition of Liberty Compassion Inc. (“Liberty”), a Massachusetts-based medical cannabis cultivator and retailer, for 2,146,565 Subordinate Voting Shares (including 259,765 deferred shares) valued at approximately $64,585 thousand. The acquisition included one cultivation and production facility and two operating medical cannabis dispensaries.</w:t>
      </w:r>
    </w:p>
    <w:p>
      <w:pPr>
        <w:spacing w:after="0" w:line="17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On February 8, 2021, the SEC declared effective, the Company’s Registration Statement No. 333-248213 on Form S-1 filed on February 2, 2021. Shortly thereafter, the Company received an offer from a single institutional investor to purchase 3,122,073 of the Subordinate Voting Shares registered on the Form S-1 at a price of $32.03 per share for a total of $100,000 thousand. The transaction closed on February 9, 2021. On February 23, 2021, the Company accepted additional offers to purchase a total of 1,571,917 Subordinate Voting Shares at a price of $35.50 per share, for a total of $55,803 thousand.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Description of the Business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Overview of the Company</w:t>
      </w:r>
    </w:p>
    <w:p>
      <w:pPr>
        <w:spacing w:after="0" w:line="229" w:lineRule="exact"/>
        <w:rPr>
          <w:sz w:val="20"/>
          <w:szCs w:val="20"/>
          <w:color w:val="auto"/>
        </w:rPr>
      </w:pPr>
    </w:p>
    <w:p>
      <w:pPr>
        <w:jc w:val="both"/>
        <w:ind w:right="180" w:firstLine="749"/>
        <w:spacing w:after="0" w:line="266" w:lineRule="auto"/>
        <w:rPr>
          <w:sz w:val="20"/>
          <w:szCs w:val="20"/>
          <w:color w:val="auto"/>
        </w:rPr>
      </w:pPr>
      <w:r>
        <w:rPr>
          <w:rFonts w:ascii="Times New Roman" w:cs="Times New Roman" w:eastAsia="Times New Roman" w:hAnsi="Times New Roman"/>
          <w:sz w:val="18"/>
          <w:szCs w:val="18"/>
          <w:color w:val="auto"/>
        </w:rPr>
        <w:t>Established in 2014 and headquartered in Chicago, Illinois, Green Thumb promotes well-being through the power of cannabis through branded consumer packaged goods and people-first retail experiences, while giving back to the communities in which it serves. As of December 31, 2022, Green Thumb has operations across 15 U.S. markets, employs approximately 3,800 people and serves millions of patients and customers annually.</w:t>
      </w:r>
    </w:p>
    <w:p>
      <w:pPr>
        <w:spacing w:after="0" w:line="176"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Green Thumb’s core business is manufacturing, distributing and marketing a portfolio of owned cannabis consumer packaged goods brands (which we refer to as our Consumer Packaged Goods business), including &amp;Shine, Beboe, Dogwalkers, Doctor Solomon’s, Good Green, incredibles and RYTHM. The Company distributes and markets these products to third-party licensed retail cannabis stores across the United States as well as to Green Thumb-owned retail stores (which we refer to as our Retail business).</w:t>
      </w:r>
    </w:p>
    <w:p>
      <w:pPr>
        <w:spacing w:after="0" w:line="180"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The Company’s Consumer Packaged Goods portfolio is primarily generated from plant material that Green Thumb grows and processes that we use to produce our consumer packaged goods in 18 owned and operated manufacturing facilities. This portfolio consists of stock keeping units (“SKUs”) across a range of cannabis product categories, including flower, pre-rolls, concentrates, vape, capsules, tinctures, edibles, topicals and other cannabis-related products (none of which product category are individually material to the Company). These Consumer Packaged Goods products are sold in retail locations throughout the 15 U.S. markets Green Thumb operates in including Green Thumb’s own RISE stores.</w:t>
      </w:r>
    </w:p>
    <w:p>
      <w:pPr>
        <w:spacing w:after="0" w:line="183"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Green Thumb owns and operates a national cannabis retail chain called RISE that provides relationship-centric retail experiences aimed to deliver a superior level of customer service through high-engagement consumer interaction, a consultative, transparent and education-forward selling approach and a consistently available assortment of cannabis products. In addition, we own stores under other names, primarily where we co-own the stores or naming is subject to licensing or similar restrictions. The income from Green Thumb’s retail stores is primarily from the sale of cannabis-related products, which includes the sale of Green Thumb produced products as well as those produced by third parties, with an immaterial (less than 10%) portion of this income resulting from the sale of other merchandise (such as t-shirts and accessories for cannabis use). The RISE stores currently are located in 13 of the states in which we operate. As of December 31, 2022, the Company had 77 open and operating retail locations. The Company’s new store opening plans will remain fluid depending on market conditions, our ability to obtain local licensing, construction and other permissions and subject to the Company’s capital allocation plans.</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Financial Highlights and Revenue Streams</w:t>
      </w:r>
    </w:p>
    <w:p>
      <w:pPr>
        <w:spacing w:after="0" w:line="229"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242021"/>
        </w:rPr>
        <w:t xml:space="preserve">The Company has consolidated financial statements across its operating businesses with revenue from the </w:t>
      </w:r>
      <w:r>
        <w:rPr>
          <w:rFonts w:ascii="Times New Roman" w:cs="Times New Roman" w:eastAsia="Times New Roman" w:hAnsi="Times New Roman"/>
          <w:sz w:val="18"/>
          <w:szCs w:val="18"/>
          <w:color w:val="000000"/>
        </w:rPr>
        <w:t>manufacture, sale and distribution of</w:t>
      </w:r>
      <w:r>
        <w:rPr>
          <w:rFonts w:ascii="Times New Roman" w:cs="Times New Roman" w:eastAsia="Times New Roman" w:hAnsi="Times New Roman"/>
          <w:sz w:val="18"/>
          <w:szCs w:val="18"/>
          <w:color w:val="242021"/>
        </w:rPr>
        <w:t xml:space="preserve"> </w:t>
      </w:r>
      <w:r>
        <w:rPr>
          <w:rFonts w:ascii="Times New Roman" w:cs="Times New Roman" w:eastAsia="Times New Roman" w:hAnsi="Times New Roman"/>
          <w:sz w:val="18"/>
          <w:szCs w:val="18"/>
          <w:color w:val="000000"/>
        </w:rPr>
        <w:t>branded cannabis products to third-party licensed retail customers as well as the sale of finished products to consumers in its retail stores.</w:t>
      </w:r>
    </w:p>
    <w:p>
      <w:pPr>
        <w:spacing w:after="0" w:line="162" w:lineRule="exact"/>
        <w:rPr>
          <w:sz w:val="20"/>
          <w:szCs w:val="20"/>
          <w:color w:val="auto"/>
        </w:rPr>
      </w:pPr>
    </w:p>
    <w:p>
      <w:pPr>
        <w:ind w:right="80" w:firstLine="749"/>
        <w:spacing w:after="0" w:line="289" w:lineRule="auto"/>
        <w:rPr>
          <w:sz w:val="20"/>
          <w:szCs w:val="20"/>
          <w:color w:val="auto"/>
        </w:rPr>
      </w:pPr>
      <w:r>
        <w:rPr>
          <w:rFonts w:ascii="Times New Roman" w:cs="Times New Roman" w:eastAsia="Times New Roman" w:hAnsi="Times New Roman"/>
          <w:sz w:val="17"/>
          <w:szCs w:val="17"/>
          <w:color w:val="auto"/>
        </w:rPr>
        <w:t>The percentage of total revenue contributed by operations of the Consumer Packaged Goods segment was 25%, 31% and 29% for the years ended December 31, 2022, 2021 and 2020 respectively. The percentage of total revenue contributed by the Retail segment was 75%, 69% and 71% for the years ended December 31, 2022, 2021 and 2020, respectively. See Item 7—“Management Discussion and Analysis” for details on key financial highlights.</w:t>
      </w:r>
    </w:p>
    <w:p>
      <w:pPr>
        <w:spacing w:after="0" w:line="158" w:lineRule="exact"/>
        <w:rPr>
          <w:sz w:val="20"/>
          <w:szCs w:val="20"/>
          <w:color w:val="auto"/>
        </w:rPr>
      </w:pPr>
    </w:p>
    <w:p>
      <w:pPr>
        <w:ind w:right="580" w:firstLine="749"/>
        <w:spacing w:after="0" w:line="282" w:lineRule="auto"/>
        <w:rPr>
          <w:sz w:val="20"/>
          <w:szCs w:val="20"/>
          <w:color w:val="auto"/>
        </w:rPr>
      </w:pPr>
      <w:r>
        <w:rPr>
          <w:rFonts w:ascii="Times New Roman" w:cs="Times New Roman" w:eastAsia="Times New Roman" w:hAnsi="Times New Roman"/>
          <w:sz w:val="18"/>
          <w:szCs w:val="18"/>
          <w:color w:val="auto"/>
        </w:rPr>
        <w:t>As of the year ended December 31, 2022, Green Thumb has operating revenue in 15 markets (California, Colorado, Connecticut, Florida, Illinois, Maryland, Massachusetts, Minnesota, Nevada, New Jersey, New York, Ohio, Pennsylvania, Rhode Island and Virginia).</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229" w:lineRule="exact"/>
        <w:rPr>
          <w:sz w:val="20"/>
          <w:szCs w:val="20"/>
          <w:color w:val="auto"/>
        </w:rPr>
      </w:pPr>
    </w:p>
    <w:p>
      <w:pPr>
        <w:ind w:right="1880" w:firstLine="749"/>
        <w:spacing w:after="0" w:line="282" w:lineRule="auto"/>
        <w:rPr>
          <w:sz w:val="20"/>
          <w:szCs w:val="20"/>
          <w:color w:val="auto"/>
        </w:rPr>
      </w:pPr>
      <w:r>
        <w:rPr>
          <w:rFonts w:ascii="Times New Roman" w:cs="Times New Roman" w:eastAsia="Times New Roman" w:hAnsi="Times New Roman"/>
          <w:sz w:val="18"/>
          <w:szCs w:val="18"/>
          <w:color w:val="auto"/>
        </w:rPr>
        <w:t>Green Thumb operates in 15 U.S. states: California, Colorado, Connecticut, Florida, Illinois, Maryland, Massachusetts, Minnesota, Nevada, New Jersey, New York, Ohio, Pennsylvania, Rhode Island and Virginia.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122555</wp:posOffset>
            </wp:positionV>
            <wp:extent cx="4526280" cy="254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2628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Product Research, Design and Development</w:t>
      </w:r>
    </w:p>
    <w:p>
      <w:pPr>
        <w:spacing w:after="0" w:line="229" w:lineRule="exact"/>
        <w:rPr>
          <w:sz w:val="20"/>
          <w:szCs w:val="20"/>
          <w:color w:val="auto"/>
        </w:rPr>
      </w:pPr>
    </w:p>
    <w:p>
      <w:pPr>
        <w:jc w:val="both"/>
        <w:ind w:right="160" w:firstLine="749"/>
        <w:spacing w:after="0" w:line="266" w:lineRule="auto"/>
        <w:rPr>
          <w:sz w:val="20"/>
          <w:szCs w:val="20"/>
          <w:color w:val="auto"/>
        </w:rPr>
      </w:pPr>
      <w:r>
        <w:rPr>
          <w:rFonts w:ascii="Times New Roman" w:cs="Times New Roman" w:eastAsia="Times New Roman" w:hAnsi="Times New Roman"/>
          <w:sz w:val="18"/>
          <w:szCs w:val="18"/>
          <w:color w:val="auto"/>
        </w:rPr>
        <w:t>The Company’s branded products portfolio includes SKUs across a range of product categories, including flower, pre-rolls, concentrates, vape, tinctures, edibles, topicals and other cannabis-related products. Green Thumb engages in research and development activities focused on developing new extracted or infused cannabis consumer packaged products.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Manufacturing</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Our branded products are produced in manufacturing facilities across 14 U.S. states in which the primary activity is the cultivation, processing and manufacture of cannabis consumer packaged goods. The majority of our finished goods production is manufactured by our owned production facilities. However, we also have entered into manufacturing agreements with third parties, primarily for our cannabidiol (“CBD”) business lines, none of which account for more than 1% of finished goods production.</w:t>
      </w:r>
    </w:p>
    <w:p>
      <w:pPr>
        <w:spacing w:after="0" w:line="180"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We aim to maintain strict brand and quality assurance standards and have implemented standard operating procedures across all production facilities to ensure continuity of product and consistent consumer experience across all operating markets.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Sources and Availability of Materials</w:t>
      </w:r>
    </w:p>
    <w:p>
      <w:pPr>
        <w:spacing w:after="0" w:line="229"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Almost all of the raw material input, except packaging materials, used by the Company to produce finished cannabis consumer packaged goods are cultivated or processed internally for further use in the manufacturing process.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Significant Customers</w:t>
      </w:r>
    </w:p>
    <w:p>
      <w:pPr>
        <w:spacing w:after="0" w:line="229"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Customers of our Consumer Packaged Goods business include legal state-licensed cannabis stores within each U.S. state in which we operate. The majority of our branded consumer packaged goods are distributed to unrelated third-party licensed retail cannabis stores. Green Thumb is not dependent upon a single customer, or a few customers, and the loss of any one or more of our customers would not have a material adverse effect on the business. No customer accounted for 10% or more of our consolidated net revenue during the fiscal years ended December 31, 2022, 2021 or 2020, respectively.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0" w:name="page11"/>
    <w:bookmarkEnd w:id="10"/>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Merchandise</w:t>
      </w:r>
    </w:p>
    <w:p>
      <w:pPr>
        <w:spacing w:after="0" w:line="229"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To meet the array of unique customer needs, we offer a variety of cannabis products at each of our RISE and other stores, totaling thousands of SKUs in managed inventory, covering a comprehensive list of packaged product categories including flower, concentrates, topicals (bath and beauty products) and edibles (confection, beverages, snacks).</w:t>
      </w:r>
    </w:p>
    <w:p>
      <w:pPr>
        <w:spacing w:after="0" w:line="176" w:lineRule="exact"/>
        <w:rPr>
          <w:sz w:val="20"/>
          <w:szCs w:val="20"/>
          <w:color w:val="auto"/>
        </w:rPr>
      </w:pPr>
    </w:p>
    <w:p>
      <w:pPr>
        <w:ind w:right="900" w:firstLine="749"/>
        <w:spacing w:after="0" w:line="282" w:lineRule="auto"/>
        <w:rPr>
          <w:sz w:val="20"/>
          <w:szCs w:val="20"/>
          <w:color w:val="auto"/>
        </w:rPr>
      </w:pPr>
      <w:r>
        <w:rPr>
          <w:rFonts w:ascii="Times New Roman" w:cs="Times New Roman" w:eastAsia="Times New Roman" w:hAnsi="Times New Roman"/>
          <w:sz w:val="18"/>
          <w:szCs w:val="18"/>
          <w:color w:val="auto"/>
        </w:rPr>
        <w:t>We leverage our owned retail channel, RISE and our other stores to distribute our branded product portfolio, such as &amp;Shine, Beboe, Dogwalkers, Doctor Solomon’s, Good Green, incredibles, and RYTHM.</w:t>
      </w:r>
    </w:p>
    <w:p>
      <w:pPr>
        <w:spacing w:after="0" w:line="162" w:lineRule="exact"/>
        <w:rPr>
          <w:sz w:val="20"/>
          <w:szCs w:val="20"/>
          <w:color w:val="auto"/>
        </w:rPr>
      </w:pPr>
    </w:p>
    <w:p>
      <w:pPr>
        <w:jc w:val="both"/>
        <w:ind w:right="260" w:firstLine="749"/>
        <w:spacing w:after="0" w:line="266" w:lineRule="auto"/>
        <w:rPr>
          <w:sz w:val="20"/>
          <w:szCs w:val="20"/>
          <w:color w:val="auto"/>
        </w:rPr>
      </w:pPr>
      <w:r>
        <w:rPr>
          <w:rFonts w:ascii="Times New Roman" w:cs="Times New Roman" w:eastAsia="Times New Roman" w:hAnsi="Times New Roman"/>
          <w:sz w:val="18"/>
          <w:szCs w:val="18"/>
          <w:color w:val="auto"/>
        </w:rPr>
        <w:t>All products that are sold have passed state-mandated third-party testing as required by applicable law to help assure that they do not contain impermissible levels of toxins, microbials or other harmful substances, and that they meet the Company's vendor requirements for quality assurance and reliability. Products are inventoried in a comprehensive seed-to-sale tracking software to minimize product slippage and inventory deviation.</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Omnichannel Distribution</w:t>
      </w:r>
    </w:p>
    <w:p>
      <w:pPr>
        <w:spacing w:after="0" w:line="229"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Our primary retail presence is traditional brick and mortar. However, as regulations allow, we expect to continue to expand our e-commerce, in-store guest pick-up and direct to consumer delivery capabilities as part of our commitment to providing a consistent retail brand experience no matter where the consumer might be.</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 Patents and Trademarks</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We believe that brand protection is critical to our business strategy. We regularly seek to protect our intellectual property rights in connection with our operating names (e.g., Green Thumb and RISE), our consumer packaged goods (e.g., Dogwalkers and RYTHM) and certain patentable goods and services. The U.S. trademark statute, The Lanham Act, allows for the protection of trademarks and service marks on products and services used, or intended for use, lawfully. Because cannabis-related products and services remain illegal at the federal level under the Controlled Substances Act (21 U.S.C. § 811), we are not able to protect all our intellectual property at the federal level; therefore, we currently seek trademark protections at the state level where commercially feasible. Nonetheless, our success depends upon other areas of our business such as product development and design, production and marketing and not exclusively upon trademarks, patents and trade secrets.</w:t>
      </w:r>
    </w:p>
    <w:p>
      <w:pPr>
        <w:spacing w:after="0" w:line="189"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As the Company became licensed to cultivate cannabis, we have developed proprietary cultivation techniques. The Company has also developed certain proprietary intellectual property for operating butane extraction, carbon dioxide extraction and ethanol extraction machinery, including production best practices, procedures and methods. This requires specialized skills in cultivation, extraction and refining.</w:t>
      </w:r>
    </w:p>
    <w:p>
      <w:pPr>
        <w:spacing w:after="0" w:line="176" w:lineRule="exact"/>
        <w:rPr>
          <w:sz w:val="20"/>
          <w:szCs w:val="20"/>
          <w:color w:val="auto"/>
        </w:rPr>
      </w:pPr>
    </w:p>
    <w:p>
      <w:pPr>
        <w:ind w:right="460" w:firstLine="749"/>
        <w:spacing w:after="0" w:line="266" w:lineRule="auto"/>
        <w:rPr>
          <w:sz w:val="20"/>
          <w:szCs w:val="20"/>
          <w:color w:val="auto"/>
        </w:rPr>
      </w:pPr>
      <w:r>
        <w:rPr>
          <w:rFonts w:ascii="Times New Roman" w:cs="Times New Roman" w:eastAsia="Times New Roman" w:hAnsi="Times New Roman"/>
          <w:sz w:val="18"/>
          <w:szCs w:val="18"/>
          <w:color w:val="auto"/>
        </w:rPr>
        <w:t>The Company relies on its code of conduct agreements to protect its intellectual property rights. To the extent the Company describes or discloses its proprietary cultivation or extraction techniques in its applications for cultivation or processing licenses, the Company redacts or requests redaction of such information prior to public disclosure.</w:t>
      </w:r>
    </w:p>
    <w:p>
      <w:pPr>
        <w:spacing w:after="0" w:line="176"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The Company has sought U.S. patent protection for certain of its Doctor Solomon’s products, namely a utility patent for compositions and methods for treating skin and neuropathic conditions and disorders. Where commercially reasonable, we will seek further U.S. patent protection on other eligible products and services. The Company owns several website domains, including www.gtigrows.com, numerous social media accounts across all major platforms, and various phone and web application platforms.</w:t>
      </w:r>
    </w:p>
    <w:p>
      <w:pPr>
        <w:spacing w:after="0" w:line="180"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The Company has successfully registered over 80 trademarks across the United States and internationally and has additional trademark applications pending. The Company anticipates feedback on outstanding submitted applications on a rolling basis. As such, the Company will continue to rely on common law protection for these brands during the trademark registration process. Moreover, the Company will proactively seek intellectual property protection for brand expansions in current markets as well as any new market expansion. For additional details on the risks associated with the lack of trademark protection, see Item 1A—“Risk Factors” with respect to intellectual property.</w:t>
      </w:r>
    </w:p>
    <w:p>
      <w:pPr>
        <w:spacing w:after="0" w:line="183"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For incredibles branded cannabis products, the Company has entered into a licensing contract with a third party that holds licenses to engage in the sale of cannabis in the state of Colorado, where the Company does not have licenses to operate cultivation and processing facilities. Such third party directly engages in or arranges for the sourcing, manufacturing, laboratory testing, quality assurance, storage, marketing, sales, distribution and delivery of products containing cannabis and remits licensing fees to the Company.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1" w:name="page12"/>
    <w:bookmarkEnd w:id="11"/>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Joint Ventures</w:t>
      </w:r>
    </w:p>
    <w:p>
      <w:pPr>
        <w:spacing w:after="0" w:line="229"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We utilize joint ventures when necessary to comply with state regulatory requirements in certain states. Partnering with one or more non-affiliated third parties provides the Company with the opportunity to mitigate certain operational and financial risks while ensuring continued compliance with the applicable regulatory guidelines. As of December 31, 2022, the Company has joint ventures for the operation of (i) a dispensary in Westport, Connecticut of which the Company holds a 46% interest, (ii) a Massachusetts operator of which the Company holds less than a 10% interest and (iii) a California-based cannabis-infused beverage company of which the Company holds a 20% interest.</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Effective inventory management is critical to the Company’s ongoing success and the Company uses a variety of demand and supply forecasting, planning and replenishment techniques. The Company strives to maintain sufficient levels of inventory of core product categories, maintain positive vendor and customer relationships and carefully plan to minimize markdowns and inventory write-offs.</w:t>
      </w:r>
    </w:p>
    <w:p>
      <w:pPr>
        <w:spacing w:after="0" w:line="176"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For additional details on liquidity and Capital Resources, see Item 7—“Management’s Discussion and Analysis of Financial Condition and Results of Operations.”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Number of Employees</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As of December 31, 2022, Green Thumb employs approximately 3,800 team members nationwide including corporate, retail and cultivation and processing, both full- and part-time employees, and including but not limited to: finance and accounting, legal and compliance, supply chain and operations, sales and marketing, commercial and cannabis agriculture, chemists, customer service, construction and project management, real estate, information technology and human resources. We offer a comprehensive package of company-sponsored benefits to our team. Eligibility depends on the full-time or part-time status, employee location and other factors, and benefits include participation in a 401(k) retirement savings plan, medical and dental plans, disability insurance, employee assistance programs and life insurance. Additionally, we believe in aligned incentives and use our employee stock and incentive plan for a competitive total rewards program.</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employees are split across the Company as follows:</w:t>
      </w:r>
    </w:p>
    <w:p>
      <w:pPr>
        <w:spacing w:after="0" w:line="243" w:lineRule="exact"/>
        <w:rPr>
          <w:sz w:val="20"/>
          <w:szCs w:val="20"/>
          <w:color w:val="auto"/>
        </w:rPr>
      </w:pPr>
    </w:p>
    <w:tbl>
      <w:tblPr>
        <w:tblLayout w:type="fixed"/>
        <w:tblInd w:w="1920" w:type="dxa"/>
        <w:tblCellMar>
          <w:top w:w="0" w:type="dxa"/>
          <w:left w:w="0" w:type="dxa"/>
          <w:bottom w:w="0" w:type="dxa"/>
          <w:right w:w="0" w:type="dxa"/>
        </w:tblCellMar>
      </w:tblPr>
      <w:tr>
        <w:trPr>
          <w:trHeight w:val="243"/>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3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w:t>
            </w:r>
          </w:p>
        </w:tc>
      </w:tr>
      <w:tr>
        <w:trPr>
          <w:trHeight w:val="247"/>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Cultivation and Processing:</w:t>
            </w:r>
          </w:p>
        </w:tc>
        <w:tc>
          <w:tcPr>
            <w:tcW w:w="2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w:t>
            </w:r>
          </w:p>
        </w:tc>
      </w:tr>
      <w:tr>
        <w:trPr>
          <w:trHeight w:val="238"/>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3,763</w:t>
            </w:r>
          </w:p>
        </w:tc>
      </w:tr>
    </w:tbl>
    <w:p>
      <w:pPr>
        <w:spacing w:after="0" w:line="202" w:lineRule="exact"/>
        <w:rPr>
          <w:sz w:val="20"/>
          <w:szCs w:val="20"/>
          <w:color w:val="auto"/>
        </w:rPr>
      </w:pPr>
    </w:p>
    <w:p>
      <w:pPr>
        <w:ind w:right="640" w:firstLine="749"/>
        <w:spacing w:after="0" w:line="282" w:lineRule="auto"/>
        <w:rPr>
          <w:sz w:val="20"/>
          <w:szCs w:val="20"/>
          <w:color w:val="auto"/>
        </w:rPr>
      </w:pPr>
      <w:r>
        <w:rPr>
          <w:rFonts w:ascii="Times New Roman" w:cs="Times New Roman" w:eastAsia="Times New Roman" w:hAnsi="Times New Roman"/>
          <w:sz w:val="18"/>
          <w:szCs w:val="18"/>
          <w:color w:val="auto"/>
        </w:rPr>
        <w:t>Approximately 350 of our employees at various cultivation and retail facilities have elected to be represented by a labor organization for purposes of collective bargaining.</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Environmental Compliance</w:t>
      </w:r>
    </w:p>
    <w:p>
      <w:pPr>
        <w:spacing w:after="0" w:line="229"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Expenditures for compliance with federal, state and local environmental laws and regulations are consistent from year to year and are not material to the Company’s financials. The Company is compliant with all applicable regulations and does not use materials that would pose any known risk under normal conditions.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Competitive Conditions and the Company’s Position in the Industry</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The markets in which the Company distributes its products and operates retail stores are highly competitive. Some of those markets have relatively high barriers to entry due to the licensing requirements. The Company competes directly with other cannabis producers and retailers, some of which operate only in a specific market and some of which operate across several U.S. markets. More broadly, Green Thumb views manufacturers of other consumer products, such as those in the pharmaceuticals, alcohol, tobacco, health and beauty and functional wellness industries, as potential competitors. Product quality, performance, new product innovation and development, packaging, customer experience and consumer price/value are important differentiating factors.</w:t>
      </w:r>
    </w:p>
    <w:p>
      <w:pPr>
        <w:spacing w:after="0" w:line="187"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Company faces competition from other companies that may have a longer operating history, a higher capitalization, additional financial resources, more manufacturing and marketing experience, greater access to public equity and debt markets and more experienced management than the Company. Increased competition by larger and better financed competitors could materially affect the business, financial condition and results of operations of the Company. The vast majority of both manufacturing and retail competitors in our markets consist of localized businesses (i.e. doing business in only a single state market). There are a few multistate operators with whom the Company competes directly in several of the Company’s operating markets. Aside from this direct competition, out-of-state operators that are capitalized well enough to enter those markets through acquisitions are also part of the competitive landscape. Similarly, as the Company executes its national U.S. growth strategy, operators in our future state markets will inevitably become direct competitors.</w:t>
      </w:r>
    </w:p>
    <w:p>
      <w:pPr>
        <w:spacing w:after="0" w:line="192" w:lineRule="exact"/>
        <w:rPr>
          <w:sz w:val="20"/>
          <w:szCs w:val="20"/>
          <w:color w:val="auto"/>
        </w:rPr>
      </w:pPr>
    </w:p>
    <w:p>
      <w:pPr>
        <w:ind w:right="220" w:firstLine="749"/>
        <w:spacing w:after="0" w:line="255" w:lineRule="auto"/>
        <w:rPr>
          <w:sz w:val="20"/>
          <w:szCs w:val="20"/>
          <w:color w:val="auto"/>
        </w:rPr>
      </w:pPr>
      <w:r>
        <w:rPr>
          <w:rFonts w:ascii="Times New Roman" w:cs="Times New Roman" w:eastAsia="Times New Roman" w:hAnsi="Times New Roman"/>
          <w:sz w:val="18"/>
          <w:szCs w:val="18"/>
          <w:color w:val="auto"/>
        </w:rPr>
        <w:t>Because of the early stage of the industry in which the Company operates, the Company faces additional competition from new entrants. If the number of consumers of medical and adult-use cannabis in the states in which the Company operates its business increases, the demand for products will increase and the Company expects that competition will become more intense, as current and future competitors begin to offer an increasing number of diversified products and as states make more cannabis licenses available. To remain competitive, the Company will require a continued high level of investment in research and development, marketing, sales and client support. The Company may not have sufficient resources to maintain research and development, marketing, sales and client support efforts on a competitive basis, which could materially and adversely affect the business, financial condition and results of its operations.</w:t>
      </w:r>
    </w:p>
    <w:p>
      <w:pPr>
        <w:spacing w:after="0" w:line="18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In addition, the Company experiences significant competition for its products from illicit operators who are not licensed pursuant to their state’s cannabis laws and regulations. Moreover, markets across the United States have seen the widespread proliferation of hemp-based products purporting to contain psychoactive amounts of THC, including Delta-8 tetrahydrocannabinol, Delta-9 tetrahydrocannabinol, and many other cannabinoids derived or synthesized from hemp that purport to cause a psychoactive effect (“psychoactive hemp-based products”). Most psychoactive hemp-based products on the market are derived from the chemical conversion of hemp-derived cannabidiol (“CBD”). These products are marketed in a legal grey area due to ambiguities created in the 2018 Farm Bill that effectively legalized hemp (cannabis containing less than 0.3% percent THC) on a national level. These psychoactive hemp-based products are frequently not being manufactured and distributed in the U.S by state-licensed cannabis processors and dispensaries. Instead, they are being manufactured and distributed by, for example, convenience stores, gas stations, smoke shops, head shops, and the Internet. These products do not appear to be subject to the testing, packaging, labeling, licensing and other requirements applicable to the Company’s products such as seed-to-sale tracking (which makes product recalls possible) and are being sold without state-mandated cannabis excise taxes applied, thus leading to significant price differentials with the Company’s products.</w:t>
      </w:r>
    </w:p>
    <w:p>
      <w:pPr>
        <w:spacing w:after="0" w:line="19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Given the pricing differential and the absence of state cannabis excise taxes, the continued proliferation of unregulated psychoactive hemp-based products through unlicensed distribution points could ultimately alter certain elements of the current cannabis market in the U.S. Recently, however, several states have begun to promulgate new regulations and interpretations of existing regulations that effectively prohibit the development of these products. If this trend continues, the potential impact of psychoactive hemp-based products on the cannabis market could be blunted. Proposed federal legislation, if passed, could also severely limit or prevent altogether the proliferation of psychoactive hemp-based products.</w:t>
      </w:r>
    </w:p>
    <w:p>
      <w:pPr>
        <w:spacing w:after="0" w:line="1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See Item 1A—“Risk Factors” for more information with respect to competition.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Federal and State Regulation of Cannabis</w:t>
      </w:r>
    </w:p>
    <w:p>
      <w:pPr>
        <w:spacing w:after="0" w:line="229"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Below is a discussion of the federal and state-level regulatory regimes in the jurisdictions where the Company is currently operating through its subsidiaries.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Federal illegality of Cannabis</w:t>
      </w:r>
    </w:p>
    <w:p>
      <w:pPr>
        <w:spacing w:after="0" w:line="22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 U.S. federal government regulates drugs through the Controlled Substances Act (21 U.S.C. § 811), which places controlled substances, including cannabis, in a schedule. Cannabis is classified as a Schedule I controlled substance. A Schedule I controlled substance is defined as a substance that has no currently accepted medical use in the United States, a lack of safety for use under medical supervision and a high potential for abuse. Schedule I controlled substances are federally illegal and the manufacturing, sale and use of cannabis is a violation of federal law.</w:t>
      </w:r>
    </w:p>
    <w:p>
      <w:pPr>
        <w:spacing w:after="0" w:line="18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Due to the conflicting views between state legislatures and the federal government regarding cannabis, cannabis businesses are subject to inconsistent laws and regulations. The Obama Administration attempted to address the inconsistent treatment of cannabis under state and federal law in the Cole Memorandum that Deputy Attorney General James Cole sent to all U.S. Attorneys in August 2013. The Cole Memorandum noted that, in jurisdictions that have enacted laws legalizing cannabis in some form and that have also implemented strong and effective regulatory and enforcement systems to control the cultivation, processing, distribution, sale and possession of cannabis, conduct in compliance with such laws and regulations was not a prosecution or enforcement priority for the Department of Justice.</w:t>
      </w:r>
    </w:p>
    <w:p>
      <w:pPr>
        <w:spacing w:after="0" w:line="187"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On January 4, 2018, then U.S. Attorney General Jeff Sessions rescinded the Cole Memorandum. Despite its rescission, as of December 31, 2022, federal prosecutors appear to continue to use the Cole Memorandum’s priorities as an enforcement guide. Attorney General Merrick Garland stated during his congressional testimony in February 2021, that the Justice Department would not pursue cases against Americans complying with laws of the states that have legalized and are regulating marijuana. In October 2022, President Joseph R. Biden, announced that marijuana scheduling under federal law would be reviewed, noting that marijuana is scheduled as more dangerous than fentanyl and methamphetamine, two substances that are driving an overdose epidemic in the country. In October 2022, President Biden also announced a mass pardon of persons who had been convicted of simple marijuana possession under federal law. In December 2022, President Biden signed the Medical Marijuana and Cannabidiol Research Expansion Act into law, which provides for significantly broader opportunities to study cannabis.</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an industry best practice, the Company continues to employ the following policies to ensure compliance with the guidance provided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Cole Memorandum:</w:t>
      </w:r>
    </w:p>
    <w:p>
      <w:pPr>
        <w:spacing w:after="0" w:line="315" w:lineRule="exact"/>
        <w:rPr>
          <w:sz w:val="20"/>
          <w:szCs w:val="20"/>
          <w:color w:val="auto"/>
        </w:rPr>
      </w:pPr>
    </w:p>
    <w:p>
      <w:pPr>
        <w:ind w:left="1020" w:right="20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and our subsidiaries’ operations are compliant with all licensing requirements as established by the applicable state, county, municipality, town, township, borough and other political/administrative divisions; to this end, we retain appropriately experienced legal counsel to help ensure compliance of such operations with all applicable licensing requirements;</w:t>
      </w:r>
    </w:p>
    <w:p>
      <w:pPr>
        <w:spacing w:after="0" w:line="283" w:lineRule="exact"/>
        <w:rPr>
          <w:rFonts w:ascii="Times New Roman" w:cs="Times New Roman" w:eastAsia="Times New Roman" w:hAnsi="Times New Roman"/>
          <w:sz w:val="18"/>
          <w:szCs w:val="18"/>
          <w:color w:val="auto"/>
        </w:rPr>
      </w:pPr>
    </w:p>
    <w:p>
      <w:pPr>
        <w:ind w:left="1020" w:right="34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cannabis-related activities adhere to the scope of the licensing obtained - for example, in states where only medical cannabis is permitted, the products are only sold to patients who hold the necessary documentation to permit the possession of the cannabis; in states where cannabis is permitted for adult-use, the products are only sold to individuals who meet the requisite age requirements;</w:t>
      </w:r>
    </w:p>
    <w:p>
      <w:pPr>
        <w:spacing w:after="0" w:line="28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subsidiaries must pass a range of requirements, adhere to strict business practice standards and be subject to strict regulatory oversight to ensure that no revenue is distributed to criminal enterprises, gangs or cartels;</w:t>
      </w:r>
    </w:p>
    <w:p>
      <w:pPr>
        <w:spacing w:after="0" w:line="269" w:lineRule="exact"/>
        <w:rPr>
          <w:rFonts w:ascii="Times New Roman" w:cs="Times New Roman" w:eastAsia="Times New Roman" w:hAnsi="Times New Roman"/>
          <w:sz w:val="18"/>
          <w:szCs w:val="18"/>
          <w:color w:val="auto"/>
        </w:rPr>
      </w:pPr>
    </w:p>
    <w:p>
      <w:pPr>
        <w:jc w:val="both"/>
        <w:ind w:left="1020" w:right="4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implemented an inventory tracking system and necessary procedures to help ensure that such compliance system is effective in tracking inventory and preventing diversion of cannabis or cannabis products, and we employ strict customer identification protocols to prevent sales to minors;</w:t>
      </w:r>
    </w:p>
    <w:p>
      <w:pPr>
        <w:spacing w:after="0" w:line="28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state-authorized cannabis business activity is not used as a cover or pretense for trafficking of other illegal drugs, and we are not engaged in any other illegal activity; and</w:t>
      </w:r>
    </w:p>
    <w:p>
      <w:pPr>
        <w:spacing w:after="0" w:line="269"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reviews of products and product packaging to ensure that such products and product packaging comply with applicable regulations and contain necessary disclaimers about the contents of the products.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There have been efforts at reforming federal cannabis law. As of December 31, 2022, there were more than a dozen proposed congressional bills addressing myriad regarding the cannabis industry, from banking and tax reform to full legalization. However, none have passed into law.</w:t>
      </w:r>
    </w:p>
    <w:p>
      <w:pPr>
        <w:spacing w:after="0" w:line="16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There does exist a legislative safeguard for the medical cannabis industry, appended to the federal budget bill. For each year since 2015, Congress has adopted a so-called “rider” provision to the Consolidated Appropriations Acts (formerly referred to as the Rohrabacher-Farr Amendment and currently referred to as the Rohrabacher-Blumenauer Amendment) to prevent the federal government from using congressionally appropriated funds to enforce federal law against regulated medical cannabis actors operating in compliance with state and local law. On December 29, 2022, the amendment was renewed as part of the Consolidated Appropriations Acts of 2023, H.R. 2617, which is effective through September 30, 2023.</w:t>
      </w:r>
    </w:p>
    <w:p>
      <w:pPr>
        <w:spacing w:after="0" w:line="183"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The sheer size of the cannabis industry, in addition to participation by state and local governments and investors, suggests that a large-scale federal enforcement operation would more than likely create unwanted political backlash for the Department of Justice and the current administration. Regardless, cannabis remains illegal at the federal level. The U.S. federal government has always reserved the right to enforce federal law over the sale and disbursement of medical or adult-use cannabis, even if state law authorizes such sale and disbursement. There is no guarantee that state laws legalizing and regulating the sale and use of cannabis will remain in place or that local governmental authorities will not limit the applicability of state laws within their respective jurisdictions. Unless and until the United States Congress amends the Controlled Substances Act with respect to cannabis, there is a risk that federal authorities may enforce current U.S. federal law criminalizing cannabis.</w:t>
      </w:r>
    </w:p>
    <w:p>
      <w:pPr>
        <w:spacing w:after="0" w:line="189" w:lineRule="exact"/>
        <w:rPr>
          <w:sz w:val="20"/>
          <w:szCs w:val="20"/>
          <w:color w:val="auto"/>
        </w:rPr>
      </w:pPr>
    </w:p>
    <w:p>
      <w:pPr>
        <w:jc w:val="both"/>
        <w:ind w:right="240" w:firstLine="749"/>
        <w:spacing w:after="0" w:line="261" w:lineRule="auto"/>
        <w:rPr>
          <w:sz w:val="20"/>
          <w:szCs w:val="20"/>
          <w:color w:val="auto"/>
        </w:rPr>
      </w:pPr>
      <w:r>
        <w:rPr>
          <w:rFonts w:ascii="Times New Roman" w:cs="Times New Roman" w:eastAsia="Times New Roman" w:hAnsi="Times New Roman"/>
          <w:sz w:val="18"/>
          <w:szCs w:val="18"/>
          <w:color w:val="auto"/>
        </w:rPr>
        <w:t>We will continue to monitor compliance on an ongoing basis in accordance with our compliance program and standard operating procedures. While our operations are in compliance with all applicable state laws, regulations and licensing requirements, such activities remain illegal under federal law. For the reasons described above and the risks further described in the section entitled “Risk Factors,” there are significant risks associated with our business. Readers of this Form are strongly encouraged to carefully read all of the risk factors contained in Item 1A—“Risk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Law and Ability to Access Public and Private Capital</w:t>
      </w:r>
    </w:p>
    <w:p>
      <w:pPr>
        <w:spacing w:after="0" w:line="229" w:lineRule="exact"/>
        <w:rPr>
          <w:sz w:val="20"/>
          <w:szCs w:val="20"/>
          <w:color w:val="auto"/>
        </w:rPr>
      </w:pPr>
    </w:p>
    <w:p>
      <w:pPr>
        <w:ind w:right="340" w:firstLine="749"/>
        <w:spacing w:after="0" w:line="266" w:lineRule="auto"/>
        <w:rPr>
          <w:sz w:val="20"/>
          <w:szCs w:val="20"/>
          <w:color w:val="auto"/>
        </w:rPr>
      </w:pPr>
      <w:r>
        <w:rPr>
          <w:rFonts w:ascii="Times New Roman" w:cs="Times New Roman" w:eastAsia="Times New Roman" w:hAnsi="Times New Roman"/>
          <w:sz w:val="18"/>
          <w:szCs w:val="18"/>
          <w:color w:val="auto"/>
        </w:rPr>
        <w:t>Due to the present state of the laws and regulations governing financial institutions in the U.S., banks often refuse to provide services to businesses involved in the cannabis industry and U.S. multistate operators are currently not permitted to list securities on the U.S. securities exchanges. Consequently, it may be difficult for us to obtain financing from large U.S. financial institutions.</w:t>
      </w:r>
    </w:p>
    <w:p>
      <w:pPr>
        <w:spacing w:after="0" w:line="176"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We have historically, and continue to have, access to equity and debt financing from non-public (i.e., private placement) markets and state-chartered financial institutions. Our executive team and Board also have extensive relationships with sources of capital (such as funds and high net worth individuals).</w:t>
      </w:r>
    </w:p>
    <w:p>
      <w:pPr>
        <w:spacing w:after="0" w:line="176"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In addition to our working capital, we continue to generate adequate cash to fund our operations from capital raising transactions. Our business plan continues to include growth, in the form of acquisitions and through facility expansion and improvements. Accordingly, we expect to raise additional capital, both in the form of debt and new equity offerings, during the next few years.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However, there can be no assurance that additional financing will be available to us when needed or on terms that are acceptable.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Access to Banking and Other Financial Services</w:t>
      </w:r>
    </w:p>
    <w:p>
      <w:pPr>
        <w:spacing w:after="0" w:line="22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United States Department of the Treasury's Financial Crimes Enforcement Networks, which we refer to as “FinCEN”, issued the FinCEN Memorandum on February 14, 2014, outlining the pathways for financial institutions to back cannabis businesses in compliance with federal enforcement priorities. These guidelines include burdensome due diligence expectations and reporting requirements. The FinCEN Memorandum outlines the pathways for financial institutions to bank state-sanctioned cannabis businesses in compliance with federal enforcement priorities. The FinCEN Memorandum echoed the enforcement priorities of the Cole Memorandum and states that, in some circumstances, it is permissible for banks to provide services to cannabis-related businesses without risking prosecution for violation of federal money laundering laws. Under these guidelines, financial institutions must submit a Suspicious Activity Report in connection with all cannabis-related banking activities by any client of such financial institution, in accordance with federal money laundering laws.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However, the FinCEN Memorandum does not provide any safe harbors or legal defenses from examination or regulatory or criminal enforcement actions by the Department of Justice, FinCEN or other federal regulators for banks and other financial institutions and can be amended or revoked at any time. Thus, most banks and other financial institutions in the United States do not appear comfortable relying on this guidance to provide banking services to the cannabis industry. Banks and/or card networks may also refuse to process debit card payments and credit card companies generally refuse to process credit card payments for cannabis-related businesses. In addition, federal money laundering statutes and regulations under the Bank Secrecy Act, as amended by Title III of the Uniting and Strengthening America by Providing Appropriate Tools Required to Intercept and Obstruct Terrorism Act of 2001, discourage financial institutions from working with any organization that sells a controlled substance, regardless of whether the state in which it operates permits cannabis sales. The inability or limitation on our ability to open or maintain bank accounts, obtain other banking services and/or accept credit card and debit card payments may make it difficult for us to operate and conduct our business as planned or to operate efficiently.</w:t>
      </w:r>
    </w:p>
    <w:p>
      <w:pPr>
        <w:spacing w:after="0" w:line="188"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On March 7, 2019, Democratic U.S. representative Ed Perlmutter of Colorado introduced the SAFE Banking Act, which would protect banks and their employees from punishment for providing services to cannabis businesses that are legal on a state level. The bill passed with strong bipartisan support in the House of Representatives on September 25, 2019. The House passed the SAFE Banking Act numerous times since then, most recently on February 4, 2022, as an amendment to the America COMPETES Act. However, the SAFE Banking Act failed to pass in the U.S. Senate. It was not introduced for formal voting, nor was it included in the December 2022 Consolidated Appropriations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 Cannabis Law</w:t>
      </w:r>
    </w:p>
    <w:p>
      <w:pPr>
        <w:spacing w:after="0" w:line="229"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State laws that permit and regulate the production, distribution and use of cannabis for adult-use or medical purposes are in direct conflict with federal law. Although certain states and territories of the U.S. authorize medical and/or adult-use cannabis production and distribution by licensed or registered entities, under U.S. federal law, the possession, use, cultivation and transfer of cannabis and any related drug paraphernalia are criminal acts under the Controlled Substances Act. Although the Company’s activities are believed to be compliant with applicable state and local laws, strict compliance with state and local laws with respect to cannabis may neither absolve the Company of liability under U.S. federal law, nor may it provide a defense to any federal proceeding that may be brought against the Company.</w:t>
      </w:r>
    </w:p>
    <w:p>
      <w:pPr>
        <w:spacing w:after="0" w:line="187"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As of December 31, 2022, 37 states, (and the territories of Guam, Puerto Rico, the U.S. Virgin Islands, the Northern Mariana Islands and the District of Columbia) have legalized the cultivation and sale of cannabis for medical purposes. In 21 of those states, the sale and possession of cannabis is legal for both medical and adult-use, and the District of Columbia has legalized adult-use but not commercial sale. In November 2020, voters in Arizona, Montana and New Jersey voted by referendum to legalize cannabis for adult-use, and voters in Mississippi legalized cannabis for medical use. In February 2021, adult-use cannabis became legal in New Jersey. Adult-use cannabis was legalized in New York one month later in March 2021. Adult-use was legalized in Connecticut in June 2021. Virginia became the first southern state to legalize cannabis for adult-use in July 2021. In May of 2022, Rhode Island’s governor passed its adult-use measure into law. In November 2022, Maryland and Missouri voters passed ballot measures approving adult-use, with both programs expected to begin in 2023.</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Company’s Medical-Only Markets</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All of the medical-only markets in which the Company does business (Florida, Maryland, Minnesota, New York, Ohio, Pennsylvania, and Virginia) have written regulations that impose limitations on the number of cannabis business licenses that can be awarded by the state. In each of these markets, we have a proven track record of: (i) entering the market through state-granted awards based on the merit of our application and business plans; and/or (ii) expanding market reach through accretive mergers, acquisitions, and partnership ventures. Each medical use market that also allows adult-use (including Illinois, California, Colorado, Connecticut, Massachusetts, Nevada, New Jersey and Rhode Island) has regulations specifying which medical conditions qualify a patient for a license to purchase cannabis, and generally require the approval from a physician. Maryland, New York and Virginia have also legalized adult-use cannabis, but have not fully launched their adult-use programs. As of December 31, 2022, there was only one adult-use dispensary in New York. In Virginia, there is currently no date for the start of adult-use retail sales.</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16" w:name="page17"/>
    <w:bookmarkEnd w:id="16"/>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Company’s Adult-Use Markets</w:t>
      </w:r>
    </w:p>
    <w:p>
      <w:pPr>
        <w:spacing w:after="0" w:line="22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Company has adult-use operations in California, Connecticut, Illinois, Massachusetts, Nevada, New Jersey and Rhode Island. The Company also has a licensing and distribution contract with a third party that holds licenses to engage in the sale of cannabis in Colorado for incredibles branded cannabis products. Many of the adult-use markets in which the Company operates have fewer barriers to entry and more closely reflect free market dynamics typically seen in mature retail and manufacturing industries. The growth of these markets poses a risk of increased competition. However, management views the Company’s market share as less at risk than operators without a current operating footprint due to our established brand recognition and supply and distribution chains. Purchasers of adult-use cannabis generally are subject to higher sales taxes than those that apply to purchasers who are authorized for medical purposes. However, anecdotal evidence suggests that some consumers who meet the criteria to apply for medical licenses make adult-use purchases and avoid pursuing a state’s medical registration/qualification process.</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Regulatory Environment in States Where We Operate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risk of federal enforcement and other risks associated with the Company’s business are described in Item 1A—“Risk Factors.”</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Regulation of the Cannabis Market at State and Local Level</w:t>
      </w:r>
    </w:p>
    <w:p>
      <w:pPr>
        <w:spacing w:after="0" w:line="229"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Following the thesis that distributing brands at scale will win, we enter markets where we believe that we can profitably and sustainably operate and command significant market share, and thus maximize consumer and brand awareness.</w:t>
      </w:r>
    </w:p>
    <w:p>
      <w:pPr>
        <w:spacing w:after="0" w:line="162"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Each state in which we operate specifies the types of cannabis licenses that are required for the various activities in which we engage. There are three primary types of licenses: cultivation, processing, and retail/dispensary. Cultivation licenses generally permit the holder to acquire and cultivate cannabis and sell that cannabis to dispensaries or processors. Some states allow cultivation license holders to process cannabis into marijuana-infused products as well, while other states require a separate processing license for this activity. Retail dispensary licenses permit the holder to purchase cannabis from cultivation or processing facilities and sell those products to individuals approved under their state’s medical cannabis program or, where adult-use is permitted, to adults over the age of 21. Some states require a separate license for each activity, while others issue a single vertically integrated license that allows the holder to cultivate, process, and sell cannabis.</w:t>
      </w:r>
    </w:p>
    <w:p>
      <w:pPr>
        <w:spacing w:after="0" w:line="18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Below is a summary overview of the regulatory and competitive frameworks in each of our operating markets. See Appendix A to this Annual Report on Form 10-K for a state-by-state list of the licenses and permits held by us.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California</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California was the first state to legalize medical marijuana through Proposition 215, the Compassionate Use Act of 1996.</w:t>
      </w:r>
    </w:p>
    <w:p>
      <w:pPr>
        <w:spacing w:after="0" w:line="225"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In September 2015, the California legislature passed three bills collectively known as the Medical Cannabis Regulation and Safety Act. In November 2016, voters in California overwhelmingly passed Proposition 64, the Adult-Use of Marijuana Act creating an adult-use marijuana program for adults 21 years of age or older. The Medicinal and Adult-Use Cannabis Regulation and Safety Act, which provides for a single set of regulations to govern a medical and adult-use licensing went into effect on January 1, 2018.</w:t>
      </w:r>
    </w:p>
    <w:p>
      <w:pPr>
        <w:spacing w:after="0" w:line="18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three agencies that regulate cannabis at the state level are: (a) the California Department of Food and Agriculture, via CalCannabis, which issues licenses to cannabis cultivators; (b) the California Department of Public Health, via the Manufactured Cannabis Safety Branch, which issues licenses to cannabis manufacturers; and (c) the California Department of Consumer Affairs, via the Bureau of Cannabis Control, which issues licenses to cannabis distributors, testing laboratories, retailers and micro-businesses.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California License and Regulations</w:t>
      </w:r>
    </w:p>
    <w:p>
      <w:pPr>
        <w:spacing w:after="0" w:line="227"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In order to legally operate a medical or adult-use cannabis business in California, the operator must have both a local and state license. This requires license holders to operate in cities with cannabis licensing programs. Municipalities in California are allowed to determine the number of licenses they will issue to cannabis operators or can choose to ban cannabis businesses outright.</w:t>
      </w:r>
    </w:p>
    <w:p>
      <w:pPr>
        <w:spacing w:after="0" w:line="176"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In 2021, we opened our first California retail operation in Pasadena. We follow all regulatory requirements regarding the reporting of inventory movement and sale, as well as all other data reporting and record retention requirements mandated by California.</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7" w:name="page18"/>
    <w:bookmarkEnd w:id="17"/>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See Appendix A to this Annual Report on Form 10-K for a list of the licenses and conditional licenses issued to us with respect to our operations in California.</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Colorado</w:t>
      </w:r>
    </w:p>
    <w:p>
      <w:pPr>
        <w:spacing w:after="0" w:line="225"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On November 7, 2000, Colorado voters approved Amendment 20, which amended the state constitution to allow the use of marijuana in the state by approved patients with written medical consent.</w:t>
      </w:r>
    </w:p>
    <w:p>
      <w:pPr>
        <w:spacing w:after="0" w:line="162"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Amendment 64 passed on November 6, 2012, which amended the state constitution to establish a cannabis program in Colorado and permit the commercial cultivation, manufacture and sale of marijuana to adults 21 years of age or older. The commercial sale of marijuana for adult-use to the general public began on January 1, 2014.</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Colorado License and Regulations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Colorado, cannabis businesses must comply with local licensing requirements in addition to state licensing requirements in order to operate.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Colorado localities are allowed to limit or prohibit the operation of marijuana cultivation facilities, product manufacturing facilities or retail stores facilities.</w:t>
      </w:r>
    </w:p>
    <w:p>
      <w:pPr>
        <w:spacing w:after="0" w:line="207" w:lineRule="exact"/>
        <w:rPr>
          <w:sz w:val="20"/>
          <w:szCs w:val="20"/>
          <w:color w:val="auto"/>
        </w:rPr>
      </w:pPr>
    </w:p>
    <w:p>
      <w:pPr>
        <w:ind w:right="560" w:firstLine="749"/>
        <w:spacing w:after="0" w:line="282" w:lineRule="auto"/>
        <w:rPr>
          <w:sz w:val="20"/>
          <w:szCs w:val="20"/>
          <w:color w:val="auto"/>
        </w:rPr>
      </w:pPr>
      <w:r>
        <w:rPr>
          <w:rFonts w:ascii="Times New Roman" w:cs="Times New Roman" w:eastAsia="Times New Roman" w:hAnsi="Times New Roman"/>
          <w:sz w:val="18"/>
          <w:szCs w:val="18"/>
          <w:color w:val="auto"/>
        </w:rPr>
        <w:t>There are three principal license categories in Colorado: (1) cultivation, (2) product manufacturer and (3) medical center/retail store. Each facility is authorized to engage only in the type of activity for which it is licensed.</w:t>
      </w:r>
    </w:p>
    <w:p>
      <w:pPr>
        <w:spacing w:after="0" w:line="162" w:lineRule="exact"/>
        <w:rPr>
          <w:sz w:val="20"/>
          <w:szCs w:val="20"/>
          <w:color w:val="auto"/>
        </w:rPr>
      </w:pPr>
    </w:p>
    <w:p>
      <w:pPr>
        <w:ind w:right="400" w:firstLine="749"/>
        <w:spacing w:after="0" w:line="261" w:lineRule="auto"/>
        <w:rPr>
          <w:sz w:val="20"/>
          <w:szCs w:val="20"/>
          <w:color w:val="auto"/>
        </w:rPr>
      </w:pPr>
      <w:r>
        <w:rPr>
          <w:rFonts w:ascii="Times New Roman" w:cs="Times New Roman" w:eastAsia="Times New Roman" w:hAnsi="Times New Roman"/>
          <w:sz w:val="18"/>
          <w:szCs w:val="18"/>
          <w:color w:val="auto"/>
        </w:rPr>
        <w:t>We do not have any licenses in the State of Colorado. We have a licensing and distribution contract with a third party that holds licenses to engage in the sale of cannabis in Colorado for incredibles branded cannabis products. Such third party directly engages in or arranges for the sourcing, manufacturing, laboratory testing, quality assurance, storage, marketing, sales, distribution and delivery of products containing cannabis and remits licensing fees to us. See Item 1—“Intellectual Property Patents and Trademarks” for details on licenses with respect to operations in Colorado.</w:t>
      </w:r>
    </w:p>
    <w:p>
      <w:pPr>
        <w:spacing w:after="0" w:line="180"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Regulations for the production and sale of marijuana in Colorado are published through the Marijuana Enforcement Division of the Department of Revenue.</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Connecticut</w:t>
      </w:r>
    </w:p>
    <w:p>
      <w:pPr>
        <w:spacing w:after="0" w:line="225"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Connecticut’s medical cannabis program was introduced in May 2012 when the General Assembly passed legislation PA 12-55 “An Act Concerning the Palliative Use of Marijuana,” providing for the use of marijuana in the state by approved patients with written consent from a physician or advanced practice nurse. In June 2021, PA 21-1 was signed into law, legalizing adult-use cannabis as of July 1, 2021. The first adult-use sales in the state began in January 2023. On July 1, 2021, PA 21-1 went into effect, allowing for the purchase and use of cannabis by any adult over the age of 21.</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Connecticut Licenses and Regulations</w:t>
      </w:r>
    </w:p>
    <w:p>
      <w:pPr>
        <w:spacing w:after="0" w:line="227" w:lineRule="exact"/>
        <w:rPr>
          <w:sz w:val="20"/>
          <w:szCs w:val="20"/>
          <w:color w:val="auto"/>
        </w:rPr>
      </w:pPr>
    </w:p>
    <w:p>
      <w:pPr>
        <w:ind w:right="600" w:firstLine="749"/>
        <w:spacing w:after="0" w:line="282" w:lineRule="auto"/>
        <w:rPr>
          <w:sz w:val="20"/>
          <w:szCs w:val="20"/>
          <w:color w:val="auto"/>
        </w:rPr>
      </w:pPr>
      <w:r>
        <w:rPr>
          <w:rFonts w:ascii="Times New Roman" w:cs="Times New Roman" w:eastAsia="Times New Roman" w:hAnsi="Times New Roman"/>
          <w:sz w:val="18"/>
          <w:szCs w:val="18"/>
          <w:color w:val="auto"/>
        </w:rPr>
        <w:t>The Connecticut Department of Consumer Protection has issued regulations regarding the Medical Marijuana and Adult-use Programs in Connecticut.</w:t>
      </w:r>
    </w:p>
    <w:p>
      <w:pPr>
        <w:spacing w:after="0" w:line="162" w:lineRule="exact"/>
        <w:rPr>
          <w:sz w:val="20"/>
          <w:szCs w:val="20"/>
          <w:color w:val="auto"/>
        </w:rPr>
      </w:pPr>
    </w:p>
    <w:p>
      <w:pPr>
        <w:ind w:right="300" w:firstLine="749"/>
        <w:spacing w:after="0" w:line="266" w:lineRule="auto"/>
        <w:rPr>
          <w:sz w:val="20"/>
          <w:szCs w:val="20"/>
          <w:color w:val="auto"/>
        </w:rPr>
      </w:pPr>
      <w:r>
        <w:rPr>
          <w:rFonts w:ascii="Times New Roman" w:cs="Times New Roman" w:eastAsia="Times New Roman" w:hAnsi="Times New Roman"/>
          <w:sz w:val="18"/>
          <w:szCs w:val="18"/>
          <w:color w:val="auto"/>
        </w:rPr>
        <w:t>There are two principal medical marijuana license categories in Connecticut: (1) cultivation/processing and (2) dispensary. We are licensed to operate one hybrid adult-use/medical marijuana cultivation/processing facility two medical marijuana dispensaries and one hybrid adult-use/medical marijuana dispensary. All licenses are, as of the date hereof, active with the State of Connecticut. Each facility licensee is independently issued.</w:t>
      </w:r>
    </w:p>
    <w:p>
      <w:pPr>
        <w:spacing w:after="0" w:line="176"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We follow all regulatory requirements regarding the reporting of inventory movement and sale, as well as all other data reporting and record retention requirements mandated by Connecticut.</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Appendix A to this Annual Report on Form 10-K for a list of the licenses issued to us with respect to our operations in Connecticut.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ind w:left="760"/>
        <w:spacing w:after="0"/>
        <w:rPr>
          <w:sz w:val="20"/>
          <w:szCs w:val="20"/>
          <w:color w:val="auto"/>
        </w:rPr>
      </w:pPr>
      <w:r>
        <w:rPr>
          <w:rFonts w:ascii="Times New Roman" w:cs="Times New Roman" w:eastAsia="Times New Roman" w:hAnsi="Times New Roman"/>
          <w:sz w:val="18"/>
          <w:szCs w:val="18"/>
          <w:u w:val="single" w:color="auto"/>
          <w:color w:val="auto"/>
        </w:rPr>
        <w:t>Florida</w:t>
      </w:r>
    </w:p>
    <w:p>
      <w:pPr>
        <w:spacing w:after="0" w:line="225" w:lineRule="exact"/>
        <w:rPr>
          <w:sz w:val="20"/>
          <w:szCs w:val="20"/>
          <w:color w:val="auto"/>
        </w:rPr>
      </w:pPr>
    </w:p>
    <w:p>
      <w:pPr>
        <w:ind w:right="360" w:firstLine="749"/>
        <w:spacing w:after="0" w:line="266" w:lineRule="auto"/>
        <w:rPr>
          <w:sz w:val="20"/>
          <w:szCs w:val="20"/>
          <w:color w:val="auto"/>
        </w:rPr>
      </w:pPr>
      <w:r>
        <w:rPr>
          <w:rFonts w:ascii="Times New Roman" w:cs="Times New Roman" w:eastAsia="Times New Roman" w:hAnsi="Times New Roman"/>
          <w:sz w:val="18"/>
          <w:szCs w:val="18"/>
          <w:color w:val="auto"/>
        </w:rPr>
        <w:t>In 2016, the Florida Medical Marijuana Legalization Initiative was introduced by citizen referendum and passed on November 8, 2016. This language, known as “Amendment 2,” amended the state constitution and mandated an expansion of the state’s medical cannabis program, which was previously limited to patients suffering from a diagnosed terminal condition.</w:t>
      </w:r>
    </w:p>
    <w:p>
      <w:pPr>
        <w:spacing w:after="0" w:line="176"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Amendment 2, and the resulting expansion of qualifying medical conditions, became effective on January 3, 2017. On June 9, 2017, the Florida House of Representatives and Florida Senate passed respective legislation to implement the expanded program, which officially became law on June 23, 2017.</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Florida Licenses and Regulations</w:t>
      </w:r>
    </w:p>
    <w:p>
      <w:pPr>
        <w:spacing w:after="0" w:line="22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There is one principal license category in Florida: the vertically-integrated Medical Marijuana Treatment Centers (“MMTC”) license. Licenses are issued by the Florida Department of Health, Office of Medical Marijuana Use, and license holders can only own one license. There is no limit on the number of facilities that can be operated under an MMTC license. We currently are approved to operate two medical cannabis cultivation/processing facilities and seven medical cannabis dispensaries under our single MMTC license. All operating facilities are, as of the date hereof, active with the State of Florida.</w:t>
      </w:r>
    </w:p>
    <w:p>
      <w:pPr>
        <w:spacing w:after="0" w:line="183" w:lineRule="exact"/>
        <w:rPr>
          <w:sz w:val="20"/>
          <w:szCs w:val="20"/>
          <w:color w:val="auto"/>
        </w:rPr>
      </w:pPr>
    </w:p>
    <w:p>
      <w:pPr>
        <w:ind w:right="600" w:firstLine="749"/>
        <w:spacing w:after="0" w:line="282" w:lineRule="auto"/>
        <w:rPr>
          <w:sz w:val="20"/>
          <w:szCs w:val="20"/>
          <w:color w:val="auto"/>
        </w:rPr>
      </w:pPr>
      <w:r>
        <w:rPr>
          <w:rFonts w:ascii="Times New Roman" w:cs="Times New Roman" w:eastAsia="Times New Roman" w:hAnsi="Times New Roman"/>
          <w:sz w:val="18"/>
          <w:szCs w:val="18"/>
          <w:color w:val="auto"/>
        </w:rPr>
        <w:t>As our operations in Florida are vertically-integrated, we are able to cultivate, harvest, process and sell/dispense/deliver our own medical cannabis products.</w:t>
      </w:r>
    </w:p>
    <w:p>
      <w:pPr>
        <w:spacing w:after="0" w:line="162"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We follow all regulatory requirements regarding the reporting of inventory movement and sale, as well as all other data reporting and record retention requirements mandated by Florida.</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See Appendix A to this Annual Report for a list of the licenses issued to us with respect to our operations in Florida.</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Illinois</w:t>
      </w:r>
    </w:p>
    <w:p>
      <w:pPr>
        <w:spacing w:after="0" w:line="225"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In 2013, the Illinois General Assembly passed the Compassionate Use of Medical Cannabis Pilot Program Act, which went into effect on January 1, 2014, allowing the use of marijuana in the state by approved patients with written medical consent. In June 2019, the Governor signed the Cannabis Regulation and Tax Act, legalizing cannabis for adult-use and the law went into effect on June 25, 2019. Adult-use sales of cannabis began in the state on January 1, 2020.</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Illinois Licenses and Regulations</w:t>
      </w:r>
    </w:p>
    <w:p>
      <w:pPr>
        <w:spacing w:after="0" w:line="227"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There are four principal license categories in Illinois: (1) cultivation (which includes processing); (2) infusing; (3) transportation; and (4) dispensary. Dispensaries are regulated by the Illinois Department of Financial and Professional Regulation; the remainder are regulated by the Department of Agriculture. Licenses are independently issued for each approved activity for use at our facilities in Illinois. We have two cultivation facilities operating under two cultivation licenses. We have 10 operating dispensaries, which is the statutory cap, operating under 15 total licenses (10 adult-use dispensary licenses and 5 medical dispensary licenses). By applicable law, we are not permitted to add medical dispensary licenses to the 5 locations that only have adult-use sales.</w:t>
      </w:r>
    </w:p>
    <w:p>
      <w:pPr>
        <w:spacing w:after="0" w:line="187"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We follow all regulatory requirements regarding the reporting of inventory movement and sale, as well as all other data reporting and record retention requirements mandated by Illinois.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See Appendix A to this Annual Report on Form 10-K for a list of the licenses issued us with respect to our operations in Illinois.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9" w:name="page20"/>
    <w:bookmarkEnd w:id="19"/>
    <w:p>
      <w:pPr>
        <w:ind w:left="760"/>
        <w:spacing w:after="0"/>
        <w:rPr>
          <w:sz w:val="20"/>
          <w:szCs w:val="20"/>
          <w:color w:val="auto"/>
        </w:rPr>
      </w:pPr>
      <w:r>
        <w:rPr>
          <w:rFonts w:ascii="Times New Roman" w:cs="Times New Roman" w:eastAsia="Times New Roman" w:hAnsi="Times New Roman"/>
          <w:sz w:val="18"/>
          <w:szCs w:val="18"/>
          <w:u w:val="single" w:color="auto"/>
          <w:color w:val="auto"/>
        </w:rPr>
        <w:t>Maryland</w:t>
      </w:r>
    </w:p>
    <w:p>
      <w:pPr>
        <w:spacing w:after="0" w:line="225"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In 2014, the Maryland legislature passed HB 881/SB 923, establishing a comprehensive medical cannabis program and the program became operational on December 1, 2017. The Maryland Medical Cannabis Commission regulates the state program, which allows the use of marijuana in the state by approved patients with written medical consent.</w:t>
      </w:r>
    </w:p>
    <w:p>
      <w:pPr>
        <w:spacing w:after="0" w:line="176"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In November 2022, a ballot question passed legalizing possession of up to 1.5 ounces of marijuana and home cultivation of up to two plants beginning July 1, 2023. As of February 20, 2023, no legislation has been passed to establish a licensing and regulatory framework for adult-use marijuana sales.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Maryland Licenses and Regulations</w:t>
      </w:r>
    </w:p>
    <w:p>
      <w:pPr>
        <w:spacing w:after="0" w:line="227" w:lineRule="exact"/>
        <w:rPr>
          <w:sz w:val="20"/>
          <w:szCs w:val="20"/>
          <w:color w:val="auto"/>
        </w:rPr>
      </w:pPr>
    </w:p>
    <w:p>
      <w:pPr>
        <w:ind w:right="480" w:firstLine="749"/>
        <w:spacing w:after="0" w:line="266" w:lineRule="auto"/>
        <w:rPr>
          <w:sz w:val="20"/>
          <w:szCs w:val="20"/>
          <w:color w:val="auto"/>
        </w:rPr>
      </w:pPr>
      <w:r>
        <w:rPr>
          <w:rFonts w:ascii="Times New Roman" w:cs="Times New Roman" w:eastAsia="Times New Roman" w:hAnsi="Times New Roman"/>
          <w:sz w:val="18"/>
          <w:szCs w:val="18"/>
          <w:color w:val="auto"/>
        </w:rPr>
        <w:t>There are three principal medical marijuana license categories in Maryland: (1) cultivation, (2) processing and (3) dispensary. We own one cultivation license, one processing license and four retail dispensaries. All licenses are, as of the date hereof, active with the State of Maryland. The licenses are independently issued for each approved activity.</w:t>
      </w:r>
    </w:p>
    <w:p>
      <w:pPr>
        <w:spacing w:after="0" w:line="176"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We follow all regulatory requirements regarding the reporting of inventory movement and sale, as well as all other data reporting and record retention requirements mandated by Maryland.</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See Appendix A to this Annual Report on Form 10-K for a list of the licenses issued to us with respect to our operations in Maryland.</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Massachusetts</w:t>
      </w:r>
    </w:p>
    <w:p>
      <w:pPr>
        <w:spacing w:after="0" w:line="225" w:lineRule="exact"/>
        <w:rPr>
          <w:sz w:val="20"/>
          <w:szCs w:val="20"/>
          <w:color w:val="auto"/>
        </w:rPr>
      </w:pPr>
    </w:p>
    <w:p>
      <w:pPr>
        <w:ind w:right="340" w:firstLine="749"/>
        <w:spacing w:after="0" w:line="266" w:lineRule="auto"/>
        <w:rPr>
          <w:sz w:val="20"/>
          <w:szCs w:val="20"/>
          <w:color w:val="auto"/>
        </w:rPr>
      </w:pPr>
      <w:r>
        <w:rPr>
          <w:rFonts w:ascii="Times New Roman" w:cs="Times New Roman" w:eastAsia="Times New Roman" w:hAnsi="Times New Roman"/>
          <w:sz w:val="18"/>
          <w:szCs w:val="18"/>
          <w:color w:val="auto"/>
        </w:rPr>
        <w:t>Massachusetts legalized medical marijuana when voters passed a ballot initiative in 2012. The law took effect on January 1, 2013. Adult-use marijuana became legal in Massachusetts as of December 15, 2016, following a ballot initiative in November 2016. In September 2017, the Cannabis Control Commission was established to regulate medical and adult-use of marijuana in the state.</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Massachusetts Licenses and Regulations</w:t>
      </w:r>
    </w:p>
    <w:p>
      <w:pPr>
        <w:spacing w:after="0" w:line="227"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On the medical side, there is one principal license category in Massachusetts: a vertically integrated Medical Marijuana Treatment Center (“MTC”) license. MTCs grow, process and dispense their own marijuana. On the adult-use side, there are many license categories, but the two principal ones are Marijuana Cultivator and Marijuana Establishment (dispensary).</w:t>
      </w:r>
    </w:p>
    <w:p>
      <w:pPr>
        <w:spacing w:after="0" w:line="176"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The Cannabis Control Commission, a regulatory body created in 2018, oversees the medical and adult-use programs, including licensing of cultivation, processing and dispensary facilities. Licensed medical dispensaries are given priority status in adult-use licensing.</w:t>
      </w:r>
    </w:p>
    <w:p>
      <w:pPr>
        <w:spacing w:after="0" w:line="162"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We have two MTCs in Massachusetts, which include two medical cultivation facilities and three medical retail dispensaries. We have three adult-use dispensaries and one adult-use cultivation center.</w:t>
      </w:r>
    </w:p>
    <w:p>
      <w:pPr>
        <w:spacing w:after="0" w:line="162"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We follow all regulatory requirements regarding the reporting of inventory movement and sale, as well as all other data reporting and record retention requirements mandated by Massachusetts.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See Appendix A to this Annual Report on Form 10-K for a list of the licenses issued to us with respect to our operations in Massachusetts.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0" w:name="page21"/>
    <w:bookmarkEnd w:id="20"/>
    <w:p>
      <w:pPr>
        <w:ind w:left="760"/>
        <w:spacing w:after="0"/>
        <w:rPr>
          <w:sz w:val="20"/>
          <w:szCs w:val="20"/>
          <w:color w:val="auto"/>
        </w:rPr>
      </w:pPr>
      <w:r>
        <w:rPr>
          <w:rFonts w:ascii="Times New Roman" w:cs="Times New Roman" w:eastAsia="Times New Roman" w:hAnsi="Times New Roman"/>
          <w:sz w:val="18"/>
          <w:szCs w:val="18"/>
          <w:u w:val="single" w:color="auto"/>
          <w:color w:val="auto"/>
        </w:rPr>
        <w:t>Minnesota</w:t>
      </w:r>
    </w:p>
    <w:p>
      <w:pPr>
        <w:spacing w:after="0" w:line="225"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In 2014, Minnesota created a medical marijuana program for patients with qualifying medical conditions upon physician, physician assistant or nurse practitioner recommendation.</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Minnesota License and Regulations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There is one category of licensure in Minnesota: medical cannabis manufacturer.</w:t>
      </w:r>
    </w:p>
    <w:p>
      <w:pPr>
        <w:spacing w:after="0" w:line="225"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A medical cannabis manufacturer is an entity registered with the Commissioner of Health that can cultivate, acquire, manufacture, possess, prepare, transfer, transport, supply, and dispense medical cannabis.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main regulatory body for marijuana is the Minnesota Department of Health, Office of Medical Cannabis.</w:t>
      </w:r>
    </w:p>
    <w:p>
      <w:pPr>
        <w:spacing w:after="0" w:line="225"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In December 2021, we acquired LeafLine Industries, one of only two licensed medical cannabis manufacturers in Minnesota. At the time of the acquisition, LeafLine operated a cultivation facility and five dispensaries. It also had the right to open three additional dispensaries. As of December 31, 2022, we have six operating dispensaries in Minnesota.</w:t>
      </w:r>
    </w:p>
    <w:p>
      <w:pPr>
        <w:spacing w:after="0" w:line="176"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We follow all regulatory requirements regarding the reporting of inventory movement and sale, as well as all other data reporting and record retention requirements mandated by Minnesota.</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See Appendix A to this Annual Report on Form 10-K for a list of the licenses issued to us with respect to our operations in Minnesota.</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Nevada</w:t>
      </w:r>
    </w:p>
    <w:p>
      <w:pPr>
        <w:spacing w:after="0" w:line="225" w:lineRule="exact"/>
        <w:rPr>
          <w:sz w:val="20"/>
          <w:szCs w:val="20"/>
          <w:color w:val="auto"/>
        </w:rPr>
      </w:pPr>
    </w:p>
    <w:p>
      <w:pPr>
        <w:ind w:right="380" w:firstLine="749"/>
        <w:spacing w:after="0" w:line="261" w:lineRule="auto"/>
        <w:rPr>
          <w:sz w:val="20"/>
          <w:szCs w:val="20"/>
          <w:color w:val="auto"/>
        </w:rPr>
      </w:pPr>
      <w:r>
        <w:rPr>
          <w:rFonts w:ascii="Times New Roman" w:cs="Times New Roman" w:eastAsia="Times New Roman" w:hAnsi="Times New Roman"/>
          <w:sz w:val="18"/>
          <w:szCs w:val="18"/>
          <w:color w:val="auto"/>
        </w:rPr>
        <w:t>Nevada became a medical marijuana state in 2001. In 2013, the Nevada legislature passed SB374, providing for state licensing of medical marijuana establishments. On November 8, 2016, Nevada voters passed NRS 435D by ballot initiative allowing for the sale of marijuana for adult-use starting on July 1, 2017. On June 12, 2019, the laws were revised, creating the Nevada Cannabis Compliance Board to oversee administration of the program. The new laws also provided that each marijuana establishment must obtain a license from its local jurisdiction as well as the state.</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Nevada Licenses and Regulations</w:t>
      </w:r>
    </w:p>
    <w:p>
      <w:pPr>
        <w:spacing w:after="0" w:line="22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There are three principal license categories in Nevada: (1) cultivation, (2) processing and (3) dispensary. We are licensed to operate two medical and adult-use cultivation facilities, three medical and adult-use processing facilities, five medical dispensary licenses and up to thirteen adult-use retail locations. All licenses are, as of the date hereof, active with the State of Nevada. The licenses are independently issued for each approved activity for use at our facilities in Nevada.</w:t>
      </w:r>
    </w:p>
    <w:p>
      <w:pPr>
        <w:spacing w:after="0" w:line="180"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We follow all regulatory requirements regarding the reporting of inventory movement and sale, as well as all other data reporting and record retention requirements mandated by Nevada.</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See Appendix A to this Annual Report on Form 10-K for a list of the licenses issued to us with respect to our operations in Nevada.</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New Jersey</w:t>
      </w:r>
    </w:p>
    <w:p>
      <w:pPr>
        <w:spacing w:after="0" w:line="225" w:lineRule="exact"/>
        <w:rPr>
          <w:sz w:val="20"/>
          <w:szCs w:val="20"/>
          <w:color w:val="auto"/>
        </w:rPr>
      </w:pPr>
    </w:p>
    <w:p>
      <w:pPr>
        <w:ind w:right="720" w:firstLine="749"/>
        <w:spacing w:after="0" w:line="282" w:lineRule="auto"/>
        <w:rPr>
          <w:sz w:val="20"/>
          <w:szCs w:val="20"/>
          <w:color w:val="auto"/>
        </w:rPr>
      </w:pPr>
      <w:r>
        <w:rPr>
          <w:rFonts w:ascii="Times New Roman" w:cs="Times New Roman" w:eastAsia="Times New Roman" w:hAnsi="Times New Roman"/>
          <w:sz w:val="18"/>
          <w:szCs w:val="18"/>
          <w:color w:val="auto"/>
        </w:rPr>
        <w:t>On January 18, 2010, the governor of New Jersey signed into law S.119, the Compassionate Use Medical Marijuana Act, providing for permitting the use of medical cannabis with physician approval.</w:t>
      </w:r>
    </w:p>
    <w:p>
      <w:pPr>
        <w:spacing w:after="0" w:line="162"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On July 2, 2019, the governor of New Jersey signed the Jake Honig Compassionate Use Medical Cannabis Act into law, which amended the Compassionate Use Medical Marijuana Act to allow for more license types.</w:t>
      </w:r>
    </w:p>
    <w:p>
      <w:pPr>
        <w:spacing w:after="0" w:line="162"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After voters approved a ballot measure in November 2019, the governor of New Jersey signed three bills into law in 2021 that establish an adult-use program for adults who are at least 21 years old. New Jersey began adult-use sales in April of 2022.</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1" w:name="page22"/>
    <w:bookmarkEnd w:id="21"/>
    <w:p>
      <w:pPr>
        <w:ind w:left="760"/>
        <w:spacing w:after="0"/>
        <w:rPr>
          <w:sz w:val="20"/>
          <w:szCs w:val="20"/>
          <w:color w:val="auto"/>
        </w:rPr>
      </w:pPr>
      <w:r>
        <w:rPr>
          <w:rFonts w:ascii="Times New Roman" w:cs="Times New Roman" w:eastAsia="Times New Roman" w:hAnsi="Times New Roman"/>
          <w:sz w:val="18"/>
          <w:szCs w:val="18"/>
          <w:i w:val="1"/>
          <w:iCs w:val="1"/>
          <w:color w:val="auto"/>
        </w:rPr>
        <w:t>New Jersey Licenses and Regulations</w:t>
      </w:r>
    </w:p>
    <w:p>
      <w:pPr>
        <w:spacing w:after="0" w:line="227"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The New Jersey Cannabis Regulatory Commission is responsible for regulating cannabis in New Jersey. License types in New Jersey include vertically integrated medical Alternative Treatment Centers and medical or adult-use cultivator, dispensary, and manufacturer licenses.</w:t>
      </w:r>
    </w:p>
    <w:p>
      <w:pPr>
        <w:spacing w:after="0" w:line="162"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We are licensed to operate one adult-use/medical cultivation and processing facility, one retail medical cannabis dispensary and two retail adult-use/medical dispensaries in the state of New Jersey. All licenses are, as of the date hereof, active with the State of New Jersey. The licenses are independently issued for each approved activity for use at our facilities in New Jersey.</w:t>
      </w:r>
    </w:p>
    <w:p>
      <w:pPr>
        <w:spacing w:after="0" w:line="176"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We follow all regulatory requirements regarding the reporting of inventory movement and sale, as well as all other data reporting and record retention requirements mandated by New Jersey.</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See Appendix A to this Annual Report on Form 10-K for a list of the licenses issued to us with respect to our operations in New Jersey.</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New York</w:t>
      </w:r>
    </w:p>
    <w:p>
      <w:pPr>
        <w:spacing w:after="0" w:line="225" w:lineRule="exact"/>
        <w:rPr>
          <w:sz w:val="20"/>
          <w:szCs w:val="20"/>
          <w:color w:val="auto"/>
        </w:rPr>
      </w:pPr>
    </w:p>
    <w:p>
      <w:pPr>
        <w:jc w:val="both"/>
        <w:ind w:right="460" w:firstLine="749"/>
        <w:spacing w:after="0" w:line="266" w:lineRule="auto"/>
        <w:rPr>
          <w:sz w:val="20"/>
          <w:szCs w:val="20"/>
          <w:color w:val="auto"/>
        </w:rPr>
      </w:pPr>
      <w:r>
        <w:rPr>
          <w:rFonts w:ascii="Times New Roman" w:cs="Times New Roman" w:eastAsia="Times New Roman" w:hAnsi="Times New Roman"/>
          <w:sz w:val="18"/>
          <w:szCs w:val="18"/>
          <w:color w:val="auto"/>
        </w:rPr>
        <w:t>In July 2014, the New York Legislature and Governor enacted the Compassionate Care Act to provide a comprehensive, safe and effective medical marijuana program. The Compassionate Care Act provides access to the program for those who suffer from qualifying conditions and have a physician's recommendation.</w:t>
      </w:r>
    </w:p>
    <w:p>
      <w:pPr>
        <w:spacing w:after="0" w:line="176"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In 2021, the Marijuana Regulation and Tax Act (“MRTA”) was signed into law. The MRTA legalized adult-use cannabis and established the New York Office of Cannabis Management, which continues to promulgate rules and regulations. As of December 31, 2022, only one adult-use dispensary had been approved to begin sales.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New York Licenses and Regulations</w:t>
      </w:r>
    </w:p>
    <w:p>
      <w:pPr>
        <w:spacing w:after="0" w:line="227"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The Office of Cannabis Management is the regulatory agency that oversees the adult-use and medical marijuana program in New York. There is currently one principal medical license category in New York: Registered Organization (a vertically integrated license).</w:t>
      </w:r>
    </w:p>
    <w:p>
      <w:pPr>
        <w:spacing w:after="0" w:line="162"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We hold a Registered Organization license, which allows us to operate one medical marijuana cultivation/manufacturing facility and four medical marijuana dispensaries. Under the MRTA we have the right to open an additional four medical dispensaries. We currently operate three medical dispensaries and we have a cultivation/manufacturing facility under construction. All operating facilities are, as of the date hereof, active with the State of New York. Only registered pharmacists can dispense medical marijuana to approved patients and caregivers.</w:t>
      </w:r>
    </w:p>
    <w:p>
      <w:pPr>
        <w:spacing w:after="0" w:line="180" w:lineRule="exact"/>
        <w:rPr>
          <w:sz w:val="20"/>
          <w:szCs w:val="20"/>
          <w:color w:val="auto"/>
        </w:rPr>
      </w:pPr>
    </w:p>
    <w:p>
      <w:pPr>
        <w:ind w:right="680" w:firstLine="749"/>
        <w:spacing w:after="0" w:line="282" w:lineRule="auto"/>
        <w:rPr>
          <w:sz w:val="20"/>
          <w:szCs w:val="20"/>
          <w:color w:val="auto"/>
        </w:rPr>
      </w:pPr>
      <w:r>
        <w:rPr>
          <w:rFonts w:ascii="Times New Roman" w:cs="Times New Roman" w:eastAsia="Times New Roman" w:hAnsi="Times New Roman"/>
          <w:sz w:val="18"/>
          <w:szCs w:val="18"/>
          <w:color w:val="auto"/>
        </w:rPr>
        <w:t>There are nine principal adult-use license types: (1) Cultivator, (2) Processor, (3) Cooperative, (4) Distributor, (5) Retail Dispensary, (6) Microbusiness, (7) Delivery, (8) Nursery, and (9) On-site Consumption.</w:t>
      </w:r>
    </w:p>
    <w:p>
      <w:pPr>
        <w:spacing w:after="0" w:line="162"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There will also be two adult-use licenses available to registered medical marijuana businesses: (1) Registered Organization Adult-use Cultivator Processor Distributor Retail Dispensary and (2) Registered Organization Adult-use Cultivator Processor Distributor.</w:t>
      </w:r>
    </w:p>
    <w:p>
      <w:pPr>
        <w:spacing w:after="0" w:line="162"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Other than a microbusiness licensee and a Registered Organization Adult-use Cultivator Processor Distributor Retail Dispensary licensee, no person may hold an interest in both a cultivation/processing type license and a dispensing or retail sales type of license.</w:t>
      </w:r>
    </w:p>
    <w:p>
      <w:pPr>
        <w:spacing w:after="0" w:line="162"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We follow all regulatory requirements regarding the reporting of inventory movement and sale, as well as all other data reporting and record retention requirements mandated by New York.</w:t>
      </w:r>
    </w:p>
    <w:p>
      <w:pPr>
        <w:spacing w:after="0" w:line="16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See Appendix A to this Annual Report on Form 10-K for a list of the licenses issued to us with respect to our operations in New York.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5" w:right="359" w:bottom="1440" w:gutter="0" w:footer="0" w:header="0"/>
        </w:sectPr>
      </w:pPr>
    </w:p>
    <w:bookmarkStart w:id="22" w:name="page23"/>
    <w:bookmarkEnd w:id="22"/>
    <w:p>
      <w:pPr>
        <w:ind w:left="760"/>
        <w:spacing w:after="0"/>
        <w:rPr>
          <w:sz w:val="20"/>
          <w:szCs w:val="20"/>
          <w:color w:val="auto"/>
        </w:rPr>
      </w:pPr>
      <w:r>
        <w:rPr>
          <w:rFonts w:ascii="Times New Roman" w:cs="Times New Roman" w:eastAsia="Times New Roman" w:hAnsi="Times New Roman"/>
          <w:sz w:val="18"/>
          <w:szCs w:val="18"/>
          <w:u w:val="single" w:color="auto"/>
          <w:color w:val="auto"/>
        </w:rPr>
        <w:t>Ohio</w:t>
      </w:r>
    </w:p>
    <w:p>
      <w:pPr>
        <w:spacing w:after="0" w:line="225"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House Bill 523, effective on September 8, 2016, legalized medical marijuana in Ohio. The Ohio Medical Marijuana Control Program allows people with certain medical conditions, upon the recommendation of an Ohio-licensed physician certified by the State Medical Board, to purchase and use medical marijuana.</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Ohio License and Regulations</w:t>
      </w:r>
    </w:p>
    <w:p>
      <w:pPr>
        <w:spacing w:after="0" w:line="22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There are three principal license categories in Ohio: (1) cultivation, (2) processing and (3) dispensary. We are licensed to operate one medical marijuana cultivation facility, one medical marijuana processing facility and five retail medical marijuana dispensaries in the state of Ohio, which is the statutory limit. All licenses are, as of the date hereof, active with the State of Ohio. The licenses are independently issued for each approved activity for use at our facilities in Ohio.</w:t>
      </w:r>
    </w:p>
    <w:p>
      <w:pPr>
        <w:spacing w:after="0" w:line="180"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The three following state government agencies are responsible for the operation of Ohio’s Medical Marijuana Control Program: (1) the Ohio Department of Commerce oversees medical marijuana cultivators, processors and testing laboratories; (2) the State of Ohio Board of Pharmacy oversees medical marijuana retail dispensaries, the registration of medical marijuana patients and caregivers, the approval of new forms of medical marijuana and coordinating the Medical Marijuana Advisory Committee; and (3) the State Medical Board of Ohio certifies physicians to recommend medical marijuana and may add to the list of qualifying conditions for which medical marijuana can be recommended.</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See Appendix A to this Annual Report on Form 10-K for a list of the licenses issued to us with respect to our operations in Ohio.</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Pennsylvania</w:t>
      </w:r>
    </w:p>
    <w:p>
      <w:pPr>
        <w:spacing w:after="0" w:line="225"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The Pennsylvania medical marijuana program was signed into law on April 17, 2016, under Act 16 and provided access to state residents with qualifying conditions.</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Pennsylvania Licenses and Regulations</w:t>
      </w:r>
    </w:p>
    <w:p>
      <w:pPr>
        <w:spacing w:after="0" w:line="227"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There are two principal license categories in Pennsylvania: (1) cultivation/processing and (2) dispensary. Our subsidiary GTI Pennsylvania, LLC is licensed to operate a medical cultivation/processing facility and is also licensed to operate medical retail locations. Our subsidiary KW Ventures Holdings, LLC is also licensed to operate medical retail locations. All licenses are, as of the date hereof, active with the Commonwealth of Pennsylvania. The licenses are independently issued for each approved activity for use at our facilities in Pennsylvania.</w:t>
      </w:r>
    </w:p>
    <w:p>
      <w:pPr>
        <w:spacing w:after="0" w:line="180"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There are two principal license categories in Pennsylvania: (1) cultivation/processing and (2) dispensary All licenses are, as of the date hereof, active with the Commonwealth of Pennsylvania. Each license is independently issued.</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All cultivation/processing establishments and dispensaries must register with the Pennsylvania Department of Health.</w:t>
      </w:r>
    </w:p>
    <w:p>
      <w:pPr>
        <w:spacing w:after="0" w:line="200" w:lineRule="exact"/>
        <w:rPr>
          <w:sz w:val="20"/>
          <w:szCs w:val="20"/>
          <w:color w:val="auto"/>
        </w:rPr>
      </w:pPr>
    </w:p>
    <w:p>
      <w:pPr>
        <w:spacing w:after="0" w:line="241"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We follow all regulatory requirements regarding the reporting of inventory movement and sale, as well as all other data reporting and record retention requirements mandated by Pennsylvania.</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See Appendix A to this Annual Report on Form 10-K for a list of the licenses issued to us with respect to our operations in Pennsylvania.</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3" w:name="page24"/>
    <w:bookmarkEnd w:id="23"/>
    <w:p>
      <w:pPr>
        <w:ind w:left="760"/>
        <w:spacing w:after="0"/>
        <w:rPr>
          <w:sz w:val="20"/>
          <w:szCs w:val="20"/>
          <w:color w:val="auto"/>
        </w:rPr>
      </w:pPr>
      <w:r>
        <w:rPr>
          <w:rFonts w:ascii="Times New Roman" w:cs="Times New Roman" w:eastAsia="Times New Roman" w:hAnsi="Times New Roman"/>
          <w:sz w:val="18"/>
          <w:szCs w:val="18"/>
          <w:u w:val="single" w:color="auto"/>
          <w:color w:val="auto"/>
        </w:rPr>
        <w:t>Rhode Island</w:t>
      </w:r>
    </w:p>
    <w:p>
      <w:pPr>
        <w:spacing w:after="0" w:line="225"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Rhode Island legalized medical marijuana in 2006. Under this law, Rhode Island offers medical marijuana registration cards for patients with qualifying conditions and physician approval.</w:t>
      </w:r>
    </w:p>
    <w:p>
      <w:pPr>
        <w:spacing w:after="0" w:line="162" w:lineRule="exact"/>
        <w:rPr>
          <w:sz w:val="20"/>
          <w:szCs w:val="20"/>
          <w:color w:val="auto"/>
        </w:rPr>
      </w:pPr>
    </w:p>
    <w:p>
      <w:pPr>
        <w:ind w:right="120" w:firstLine="749"/>
        <w:spacing w:after="0" w:line="289" w:lineRule="auto"/>
        <w:rPr>
          <w:sz w:val="20"/>
          <w:szCs w:val="20"/>
          <w:color w:val="auto"/>
        </w:rPr>
      </w:pPr>
      <w:r>
        <w:rPr>
          <w:rFonts w:ascii="Times New Roman" w:cs="Times New Roman" w:eastAsia="Times New Roman" w:hAnsi="Times New Roman"/>
          <w:sz w:val="17"/>
          <w:szCs w:val="17"/>
          <w:color w:val="auto"/>
        </w:rPr>
        <w:t>After a successful ballot measure, Rhode Island’s governor signed two measures into law in May of 2022 approving sales in the state for adults who are at least 21 years old. Adult-use sales commenced on December 1, 2022 for the five licensed medical marijuana compassion centers which were approved for hybrid retail licenses. These hybrid retail licenses allow the centers to sell both medical and adult-use marijuana products in retail settings.</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Rhode Island Licensure and Regulations</w:t>
      </w:r>
    </w:p>
    <w:p>
      <w:pPr>
        <w:spacing w:after="0" w:line="227"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There are two categories of medical cannabis licensure in Rhode Island: compassion center (which includes cultivation and dispensary) and cultivator. The program is overseen by the Rhode Island Department of Business Regulation, Office of Cannabis Regulation.</w:t>
      </w:r>
    </w:p>
    <w:p>
      <w:pPr>
        <w:spacing w:after="0" w:line="162"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After the passage of Rhode Island’s adult-use law in 2022, existing operators became eligible to receive hybrid licenses, allowing them to cultivate and/or sell cannabis to adults ages 21 and over. The Cannabis Control Commission, which as of December 31, 2022 has not been formed, is to oversee regulations and additional licensing under the adult-use law.</w:t>
      </w:r>
    </w:p>
    <w:p>
      <w:pPr>
        <w:spacing w:after="0" w:line="176" w:lineRule="exact"/>
        <w:rPr>
          <w:sz w:val="20"/>
          <w:szCs w:val="20"/>
          <w:color w:val="auto"/>
        </w:rPr>
      </w:pPr>
    </w:p>
    <w:p>
      <w:pPr>
        <w:jc w:val="both"/>
        <w:ind w:right="260" w:firstLine="749"/>
        <w:spacing w:after="0" w:line="266" w:lineRule="auto"/>
        <w:rPr>
          <w:sz w:val="20"/>
          <w:szCs w:val="20"/>
          <w:color w:val="auto"/>
        </w:rPr>
      </w:pPr>
      <w:r>
        <w:rPr>
          <w:rFonts w:ascii="Times New Roman" w:cs="Times New Roman" w:eastAsia="Times New Roman" w:hAnsi="Times New Roman"/>
          <w:sz w:val="18"/>
          <w:szCs w:val="18"/>
          <w:color w:val="auto"/>
        </w:rPr>
        <w:t>In 2021, we acquired two entities that held management agreements with Summit Medical Compassion Center, Inc., a non-profit corporation with cultivation and retail operations. Both the cultivation and retail operations received hybrid licensure in 2022, allowing them to grow and sell to the adult-use market.</w:t>
      </w:r>
    </w:p>
    <w:p>
      <w:pPr>
        <w:spacing w:after="0" w:line="176"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We follow all regulatory requirements regarding the reporting of inventory movement and sale, as well as all other data reporting and record retention requirements mandated by Rhode Island.</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See Appendix A to this Annual Report on Form 10-K for a list of the licenses issued to us with respect to our operations in Rhode Island.</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Virginia</w:t>
      </w:r>
    </w:p>
    <w:p>
      <w:pPr>
        <w:spacing w:after="0" w:line="225"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2017, Virginia passed a law that allowed patients suffering from intractable epilepsy access to cannabidiol (“CBD”) or THC-A oil. In 2018, this law was significantly expanded, which allowed any medical condition to qualify with state-certified physician, nurse practitioner or physician assistant recommendation. The next year, the law was amended to allow for higher potency THC. In February 2021, cannabis was legalized for adult-use. There is currently no date for the start of adult-use retail sales.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Virginia License and Regulations</w:t>
      </w:r>
    </w:p>
    <w:p>
      <w:pPr>
        <w:spacing w:after="0" w:line="227"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There are currently two principal license categories in Virginia: (1) pharmaceutical processing and (2) dispensing. The primary regulatory body for cannabis is the Virginia Department of Health Professions: Board of Pharmacy. A pharmaceutical processor must obtain a permit from the Board of Pharmacy.</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cannabis dispensing facility is owned, at least in part, by a pharmaceutical processor.</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have one pharmaceutical processor permit and four dispensary permits. We have the right to open two more dispensaries pending regulatory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w:t>
      </w:r>
    </w:p>
    <w:p>
      <w:pPr>
        <w:spacing w:after="0" w:line="207"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We follow all regulatory requirements regarding the reporting of inventory movement and sale, as well as all other data reporting and record retention requirements mandated by Virginia.</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See Appendix A to this Annual Report on Form 10-K for a list of the licenses issued to us with respect to our operations in Virginia.</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24" w:name="page25"/>
    <w:bookmarkEnd w:id="24"/>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State License Renewal Requirements</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For each of our provisional and operational licenses, the states impose strict license renewal requirements that vary state by state. We generally must complete the renewal application process within a prescribed period of time prior to the expiration date and pay an application fee. The state licensing body can deny or revoke licenses and renewals for a variety of reasons, including (a) submission of materially inaccurate, incomplete or fraudulent information, (b) failure of the company or any of its directors or officers to comply, or have a history of non-compliance, with any applicable law or regulation, including laws relating to minimum age of customers, safety and non-diversion of cannabis or cannabis products, taxes, child support, workers compensation and insurance coverage, or failure to otherwise remain in good standing (c) failure to submit or implement a plan of correction for any identified violation, (d) attempting to assign registration to another entity without state approval, (e) insufficient financial resources, (f) committing, permitting, aiding or abetting of any illegal practices in the operation of a facility, (g) failure to cooperate or give information to relevant law enforcement related to any matter arising out of conduct at a licensed facility and (h) lack of responsible operations, as evidenced by negligence, disorderly or unsanitary facilities or permitting a person to use a registration card belonging to another person. Certain jurisdictions also require licensees to attend a public hearing or forum in connection with their license renewal application.</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Newly Established Legal Regime</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Our business activities rely on newly established and/or developing laws and regulations in the states in which we operate. These laws and regulations are rapidly evolving and subject to change with minimal notice. Regulatory changes may adversely affect our profitability or cause us to cease operations entirely. The cannabis industry may come under further scrutiny by the Food and Drug Administration, the SEC, the Department of Justice, the Financial Industry Regulatory Advisory and other regulatory authorities that supervise or regulate the production, distribution, sale and use of cannabis for medical and nonmedical purposes in the United States. It is impossible to determine the extent of the impact of new laws, regulations or initiatives that may be proposed. The regulatory uncertainty surrounding the industry may adversely affect our business and operations, including without limitation, the costs to remain compliant with applicable laws and the impairment of our business or the ability to raise additional capital.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280" w:firstLine="749"/>
        <w:spacing w:after="0" w:line="289" w:lineRule="auto"/>
        <w:rPr>
          <w:sz w:val="20"/>
          <w:szCs w:val="20"/>
          <w:color w:val="auto"/>
        </w:rPr>
      </w:pPr>
      <w:r>
        <w:rPr>
          <w:rFonts w:ascii="Times New Roman" w:cs="Times New Roman" w:eastAsia="Times New Roman" w:hAnsi="Times New Roman"/>
          <w:sz w:val="17"/>
          <w:szCs w:val="17"/>
          <w:color w:val="auto"/>
        </w:rPr>
        <w:t xml:space="preserve">Our website address is </w:t>
      </w:r>
      <w:r>
        <w:rPr>
          <w:rFonts w:ascii="Times New Roman" w:cs="Times New Roman" w:eastAsia="Times New Roman" w:hAnsi="Times New Roman"/>
          <w:sz w:val="17"/>
          <w:szCs w:val="17"/>
          <w:u w:val="single" w:color="auto"/>
          <w:color w:val="auto"/>
        </w:rPr>
        <w:t>www.gtigrows.com</w:t>
      </w:r>
      <w:r>
        <w:rPr>
          <w:rFonts w:ascii="Times New Roman" w:cs="Times New Roman" w:eastAsia="Times New Roman" w:hAnsi="Times New Roman"/>
          <w:sz w:val="17"/>
          <w:szCs w:val="17"/>
          <w:color w:val="auto"/>
        </w:rPr>
        <w:t>. Through this website, our filings with the SEC, including annual reports on Form 10-K, quarterly reports on Form 10-Q, current reports on Form 8-K, and all amendments to those reports, will be accessible (free of charge) as soon as reasonably practicable after materials are electronically filed with or furnished to the SEC. The information provided on our website is not part of this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Risk Factors</w:t>
      </w:r>
    </w:p>
    <w:p>
      <w:pPr>
        <w:spacing w:after="0" w:line="22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Our business is subject to a number of risks and uncertainties of which you should be aware before making a decision to invest in our Subordinate Voting Shares. This summary does not address all of the risks that we face. Additional discussion of the risks summarized in this risk factor summary; and other risks we face, can be found below under the heading “Risk Factors” and should be carefully considered, together with other information in this Annual Report on Form 10-K and our other filings with the SEC, before making a decision to invest in our Subordinate Voting Shares. These risks include, among others, the following:</w:t>
      </w:r>
    </w:p>
    <w:p>
      <w:pPr>
        <w:spacing w:after="0" w:line="293"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Cannabis remains illegal under U.S. federal law, and enforcement of cannabis laws could change.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action by the U.S. federal government.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regulation of cannabis is uncertain.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or maintain necessary permits and authorizations.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heightened scrutiny by Canadian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limitations on ownership of cannabis licenses.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subject to U.S. Food and Drug Administration or Bureau of Alcohol, Tobacco, Firearms and Explosives regulation.</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Cannabis businesses are subject to applicable anti-money laundering laws and regulations and have restricted access to banking and other financial services.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difficulties acquiring additional financing.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from unregulated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the popularity and of consumer acceptance of our brand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lack access to U.S. bankruptcy protections.</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regulated sector and may not always succeed in complying fully with applicable regulatory requirements in all jurisdictions where we carry on business.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difficulties in enforcing our contracts.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trademark protection.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Cannabis businesses are subject to unfavorable U.S. tax treatment.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Cannabis businesses may be subject to civil asset forfeiture.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proceeds of crime statutes.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exposure to fraudulent or illegal activity.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joint ventures, strategic partnerships and alliances may expose us to risks associated with jointly owned investments.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due to industry immaturity or limited comparable, competitive or established industry best practices.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the risks inherent in agricultural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impacted by rising or volatile energy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our information technology systems and potential cyber-attacks and security breaches.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software providers for numerous capabilities we depend upon to operate, and a disruption of one or more or more of these systems could adversely affect our business.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an inherent risk of product liability and similar claims.</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33" w:right="519" w:bottom="1440" w:gutter="0" w:footer="0" w:header="0"/>
        </w:sectPr>
      </w:pPr>
    </w:p>
    <w:bookmarkStart w:id="26" w:name="page27"/>
    <w:bookmarkEnd w:id="26"/>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be subject to product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unfavorable publicity or consumer perception.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voting control is concentrated.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structure and voting control may cause unpredictability.</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Subordinate Voting Shares by our existing shareholders in the public market may have an adverse effect on the market price of our Subordinate Voting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w:t>
      </w:r>
    </w:p>
    <w:p>
      <w:pPr>
        <w:spacing w:after="0" w:line="227"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i w:val="1"/>
          <w:iCs w:val="1"/>
          <w:color w:val="auto"/>
        </w:rPr>
        <w:t>Certain factors may have a material adverse effect on our business, financial condition, and results of operations. Investing in our shares involves a high degree of risk. You should carefully consider the following risks, together with all of the other information contained in this Annual Report on Form 10-K, including the sections titled “Disclosure Regarding Forward-Looking Statements” and “Management’s Discussion and Analysis of Financial Condition and Results of Operations” and our financial statements and the related notes included elsewhere in this Annual Report on Form 10-K. Any of the following risks could have an adverse effect on our business, financial condition, operating results, or prospects and could cause the trading price of our common stock to decline, which would cause you to lose all or part of your investment. Our business, financial condition, operating results, or prospects could also be harmed by risks and uncertainties not currently known to us or that we currently do not believe are material.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Cannabis remains illegal under U.S. federal law, and enforcement of cannabis laws could change.</w:t>
      </w:r>
    </w:p>
    <w:p>
      <w:pPr>
        <w:spacing w:after="0" w:line="225"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b w:val="1"/>
          <w:bCs w:val="1"/>
          <w:color w:val="auto"/>
        </w:rPr>
        <w:t>Cannabis is illegal under U.S. federal law</w:t>
      </w:r>
      <w:r>
        <w:rPr>
          <w:rFonts w:ascii="Times New Roman" w:cs="Times New Roman" w:eastAsia="Times New Roman" w:hAnsi="Times New Roman"/>
          <w:sz w:val="18"/>
          <w:szCs w:val="18"/>
          <w:color w:val="auto"/>
        </w:rPr>
        <w:t>. In those states in which the use of cannabis has been legalized, its use remains a violation of federal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law pursuant to the Controlled Substances Act (21 U.S.C. § 811). The Controlled Substances Act classifies cannabis as a Schedule I controlled substance, and as such, medical and adult-use cannabis use is illegal under U.S. federal law. Unless and until Congress amends the Controlled Substances Act with respect to cannabis (and the President approves such amendment), there is a risk that federal authorities may enforce current federal law. If that occurs, we may be deemed to be producing, cultivating or dispensing cannabis and drug paraphernalia in violation of federal law. Since federal law criminalizing the use of cannabis pre-empts state laws that legalize its use, </w:t>
      </w:r>
      <w:r>
        <w:rPr>
          <w:rFonts w:ascii="Times New Roman" w:cs="Times New Roman" w:eastAsia="Times New Roman" w:hAnsi="Times New Roman"/>
          <w:sz w:val="18"/>
          <w:szCs w:val="18"/>
          <w:b w:val="1"/>
          <w:bCs w:val="1"/>
          <w:color w:val="auto"/>
        </w:rPr>
        <w:t>enforcement of federal law regarding cannabis is a significant risk</w:t>
      </w:r>
      <w:r>
        <w:rPr>
          <w:rFonts w:ascii="Times New Roman" w:cs="Times New Roman" w:eastAsia="Times New Roman" w:hAnsi="Times New Roman"/>
          <w:sz w:val="18"/>
          <w:szCs w:val="18"/>
          <w:color w:val="auto"/>
        </w:rPr>
        <w:t xml:space="preserve"> and would greatly harm our business, prospects, revenue, results of operation and financial condition.</w:t>
      </w:r>
    </w:p>
    <w:p>
      <w:pPr>
        <w:spacing w:after="0" w:line="18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Our activities are, and will continue to be, subject to evolving regulation by governmental authorities. We are directly or indirectly engaged in the medical and adult-use cannabis industry in the United States where local and state law permits such activities. The legality of the production, cultivation, extraction, distribution, retail sales, transportation and use of cannabis differs among states in the United States. Due to the current regulatory environment in the United States, new risks may emerge, and management may not be able to predict all such risks.</w:t>
      </w:r>
    </w:p>
    <w:p>
      <w:pPr>
        <w:spacing w:after="0" w:line="180"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As of December 31, 2022, 37 states (and the territories of Guam, Puerto Rico, the U.S. Virgin Islands, the Northern Mariana Islands, and the District of Columbia) have legalized the cultivation and sale of cannabis for medical purposes. In 21 of those states, the sale and possession of cannabis is legal for both medical and adult-use, and the District of Columbia has legalized adult-use but not commercial sale. In November 2020, voters in Arizona, Montana and New Jersey voted by referendum to legalize cannabis for adult-use, and voters in Mississippi legalized cannabis for medical use. In February 2021, adult-use cannabis became legal in New Jersey. Adult-use cannabis was legalized in New York in March 2021. Adult-use was legalized in Connecticut in June 2021. Virginia became the first southern state to legalize cannabis for adult-use in July 2021. In May of 2022, Rhode Island’s governor passed its adult-use measure into law. In November 2022, Maryland and Missouri voters passed ballot measures approving adult-use, with both programs expected to begin in 2023.</w:t>
      </w:r>
    </w:p>
    <w:p>
      <w:pPr>
        <w:spacing w:after="0" w:line="192"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Despite this, our activities in the medical and adult-use cannabis industry are illegal under the applicable federal laws of the United States. There can be no assurances that the federal government of the United States will not seek to enforce the applicable laws against us. The consequences of such enforcement would be materially adverse to us and our business, including our reputation, profitability and the market price of our publicly traded shares, and could result in the forfeiture or seizure of all or substantially all of our assets.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7" w:name="page28"/>
    <w:bookmarkEnd w:id="27"/>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Due to the conflicting views between state legislatures and the federal government regarding cannabis, cannabis businesses are subject to inconsistent laws and regulations. The Obama Administration attempted to address the inconsistent treatment of cannabis under state and federal law in the Cole Memorandum that Deputy Attorney General James Cole sent to all U.S. Attorneys in August 2013, which outlined certain priorities for the Department of Justice relating to the prosecution of cannabis offenses. The Cole Memorandum noted that, in jurisdictions that have enacted laws legalizing cannabis in some form and that have also implemented strong and effective regulatory and enforcement systems to control the cultivation, processing, distribution, sale and possession of cannabis, conduct in compliance with such laws and regulations was not a prosecution or enforcement priority for the Department of Justice. However, the Department of Justice did not provide (and has not provided since) specific guidelines for what regulatory and enforcement systems would be deemed sufficient under the Cole Memorandum.</w:t>
      </w:r>
    </w:p>
    <w:p>
      <w:pPr>
        <w:spacing w:after="0" w:line="192"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On January 4, 2018, then U.S. Attorney General Jeff Sessions rescinded the Cole Memorandum. Despite its rescission, as of December 31, 2022, federal prosecutors appear to continue to use the Cole Memorandum’s priorities as an enforcement guide. Attorney General Merrick Garland stated during his congressional testimony in February 2021 that the Justice Department would not pursue cases against Americans complying with laws of the states that have legalized and are regulating marijuana. In October 2022, President Joseph R. Biden announced that marijuana scheduling under federal law would be reviewed, noting that marijuana is scheduled as more dangerous than fentanyl and methamphetamine, two substances that are driving an overdose epidemic in the country. President Biden also announced a mass pardon of persons who had been convicted of marijuana possession under federal law. In December 2022, President Biden signed the Medical Marijuana and Cannabidiol Research Expansion Act into law, which provides for significantly broader opportunities to study cannabis.</w:t>
      </w:r>
    </w:p>
    <w:p>
      <w:pPr>
        <w:spacing w:after="0" w:line="192"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There have been efforts at reforming federal cannabis law. As of December 31, 2022, there were more than a dozen proposed congressional bills addressing myriad issues regarding the cannabis industry, from banking and tax reform to full legalization. However, none have passed into law.</w:t>
      </w:r>
    </w:p>
    <w:p>
      <w:pPr>
        <w:spacing w:after="0" w:line="16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There does exist a legislative safeguard for the medical cannabis industry, appended to the federal budget bill. For each year since 2015, Congress has adopted a so-called “rider” provision to the Consolidated Appropriations Acts (formerly referred to as the Rohrabacher-Farr Amendment and currently referred to as the Rohrabacher-Blumenauer Amendment) to prevent the federal government from using congressionally appropriated funds to enforce federal law against regulated medical cannabis actors operating in compliance with state and local law. On December 29, 2022, the amendment was renewed as part of the Consolidated Appropriations Acts of 2023, H.R. 2617, which is effective through September 30, 2023.</w:t>
      </w:r>
    </w:p>
    <w:p>
      <w:pPr>
        <w:spacing w:after="0" w:line="183"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The uncertainty of U.S. federal enforcement practices going forward and the inconsistency between U.S. federal and state laws and regulations present major risks for us.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action by the U.S. federal government.</w:t>
      </w:r>
    </w:p>
    <w:p>
      <w:pPr>
        <w:spacing w:after="0" w:line="22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Since the cultivation, processing, production, distribution and sale of cannabis for any purpose, medical, adult-use or otherwise, remain illegal under U.S. federal law, it is possible that we may be forced to cease activities. The U.S. federal government, through, among others, the Department of Justice, its sub-agency the Drug Enforcement Administration and the U.S. Internal Revenue Service, has the right to actively investigate, audit and shut down cannabis growing facilities, processors and retailers. The U.S. federal government may also attempt to seize the property of the Company. Any action taken by the Department of Justice, the Drug Enforcement Administration and/or the Internal Revenue Service to interfere with, seize or shut down our operations will have an adverse effect on our business, prospects, revenue, results of operation and financial condition.</w:t>
      </w:r>
    </w:p>
    <w:p>
      <w:pPr>
        <w:spacing w:after="0" w:line="187"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Since federal law criminalizing the use of cannabis pre-empts state laws that legalize its use, the federal government can assert criminal violations of federal law despite state laws permitting the use of cannabis. While it does not appear that federal law enforcement and regulatory agencies are focusing resources on licensed cannabis related businesses that are operating in compliance with state law, the Department of Justice may at any time issue additional guidance that directs federal prosecutors to devote more resources to prosecuting cannabis related businesses. If the Department of Justice under U.S. Attorney General Garland, aggressively pursues financiers or equity owners of cannabis-related businesses, and U.S. Attorneys follow the Department of Justice policies through pursuing prosecutions, then we could face:</w:t>
      </w:r>
    </w:p>
    <w:p>
      <w:pPr>
        <w:spacing w:after="0" w:line="79" w:lineRule="exact"/>
        <w:rPr>
          <w:sz w:val="20"/>
          <w:szCs w:val="20"/>
          <w:color w:val="auto"/>
        </w:rPr>
      </w:pPr>
    </w:p>
    <w:p>
      <w:pPr>
        <w:ind w:left="1140" w:hanging="758"/>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seizure of our cash and other assets used to support or derived from our cannabis subsidiaries;</w:t>
      </w:r>
    </w:p>
    <w:p>
      <w:pPr>
        <w:spacing w:after="0" w:line="117" w:lineRule="exact"/>
        <w:rPr>
          <w:rFonts w:ascii="Times New Roman" w:cs="Times New Roman" w:eastAsia="Times New Roman" w:hAnsi="Times New Roman"/>
          <w:sz w:val="18"/>
          <w:szCs w:val="18"/>
          <w:color w:val="auto"/>
        </w:rPr>
      </w:pPr>
    </w:p>
    <w:p>
      <w:pPr>
        <w:ind w:left="1140" w:hanging="758"/>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arrest of our employees, directors, officers, managers and investors; and</w:t>
      </w:r>
    </w:p>
    <w:p>
      <w:pPr>
        <w:spacing w:after="0" w:line="117" w:lineRule="exact"/>
        <w:rPr>
          <w:rFonts w:ascii="Times New Roman" w:cs="Times New Roman" w:eastAsia="Times New Roman" w:hAnsi="Times New Roman"/>
          <w:sz w:val="18"/>
          <w:szCs w:val="18"/>
          <w:color w:val="auto"/>
        </w:rPr>
      </w:pPr>
    </w:p>
    <w:p>
      <w:pPr>
        <w:ind w:left="1140" w:right="160" w:hanging="758"/>
        <w:spacing w:after="0" w:line="266"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ancillary criminal violations of the Controlled Substances Act for aiding and abetting, and conspiracy to violate the Controlled Substances Act by providing financial support to cannabis companies that service or provide goods to state-licensed or permitted cultivators, processors, distributors and/or retailers of cannabis.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It is further possible that Department of Justice or an aggressive federal prosecutor could allege that Green Thumb Industries Inc., and our Board, our executive officers and, potentially, our shareholders, “aided and abetted” violations of federal law by providing finances and services to our portfolio cannabis companies. Under these circumstances, federal prosecutors could seek to seize our assets, and to recover the “illicit profits” previously distributed to shareholders resulting from any of our financing or services. In these circumstances, the Company’s operations would cease, shareholders may lose their entire investments and directors, officers and/or shareholders may be left to defend any criminal charges against them at their own expense and, if convicted, be sent to federal prison.</w:t>
      </w:r>
    </w:p>
    <w:p>
      <w:pPr>
        <w:spacing w:after="0" w:line="187"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Additionally, there can be no assurance as to the position the Biden administration or any future administration may take on cannabis, and a new administration could decide to enforce federal laws against state-regulated cannabis companies. Any enforcement of current federal cannabis laws could cause significant financial damage to us and our shareholders.</w:t>
      </w:r>
    </w:p>
    <w:p>
      <w:pPr>
        <w:spacing w:after="0" w:line="17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Violations of any federal laws and regulations could result in significant fines, penalties, administrative sanctions, convictions or settlements arising from civil proceedings conducted by either the federal government or private citizens, or criminal charges, including, but not limited to, disgorgement of profits, cessation of business activities or divestiture. These results could have a material adverse effect on us, including, but not limited to, our reputation and ability to conduct business, our holding (directly or indirectly) of cannabis licenses in the United States, the listing of our securities on various stock exchanges, our financial position, operating results, profitability or liquidity or the market price of our Subordinate Voting Shares. In addition, it is difficult to estimate the time or resources that would be needed for the investigation or final resolution of any such matters because: (i) the time and resources that may be needed depend on the nature and extent of any information requested by the authorities involved, and (ii) such time or resources could be substantial.</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State regulation of cannabis is uncertain.</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There is no assurance that state laws legalizing and regulating the sale and use of cannabis will not be repealed or overturned, or that local governmental authorities will not limit the applicability of state laws within their respective jurisdictions. If the U.S. federal government begins to enforce U.S. federal laws relating to cannabis in states where the sale and use of cannabis is currently legal, or if existing state laws are repealed or curtailed, the Company’s business or operations in those states or under those laws would be materially and adversely affected. As they amend or develop legislation and regulations, state and local regulators and legislatures may use the regulatory process to slow the growth of multistate operators like the Company, with the intent of creating increased opportunities for resident farmers and entrepreneurs, which could severely restrict our ability to operate in those jurisdictions. Federal actions against any individual or entity engaged in the cannabis industry or a substantial repeal of cannabis related legislation could adversely affect the Company, our business and our assets or investments. Maintaining compliance with complex and ever-changing regulations and laws, including sometimes unclear regulations and laws, can be a difficult task, and a materially compliant business can be found in violation of one or more laws, rules or regulations while remaining materially or substantially compliant with applicable state cannabis laws.</w:t>
      </w:r>
    </w:p>
    <w:p>
      <w:pPr>
        <w:spacing w:after="0" w:line="194" w:lineRule="exact"/>
        <w:rPr>
          <w:sz w:val="20"/>
          <w:szCs w:val="20"/>
          <w:color w:val="auto"/>
        </w:rPr>
      </w:pPr>
    </w:p>
    <w:p>
      <w:pPr>
        <w:ind w:right="200" w:firstLine="749"/>
        <w:spacing w:after="0" w:line="256" w:lineRule="auto"/>
        <w:rPr>
          <w:sz w:val="20"/>
          <w:szCs w:val="20"/>
          <w:color w:val="auto"/>
        </w:rPr>
      </w:pPr>
      <w:r>
        <w:rPr>
          <w:rFonts w:ascii="Times New Roman" w:cs="Times New Roman" w:eastAsia="Times New Roman" w:hAnsi="Times New Roman"/>
          <w:sz w:val="18"/>
          <w:szCs w:val="18"/>
          <w:color w:val="auto"/>
        </w:rPr>
        <w:t>The rulemaking process at the state level that applies to cannabis operators in any state will be ongoing and result in frequent changes. As a result, a compliance program is essential to manage regulatory risk. All operating policies and procedures implemented by the Company are compliance-based and are derived from the state regulatory structure governing ancillary cannabis businesses and their relationships to state-licensed or permitted cannabis operators, if any. Notwithstanding the Company’s efforts and diligence, regulatory compliance and the process of obtaining and maintaining regulatory approvals can be costly and time-consuming. No assurance can be given that the Company will receive or be able to maintain the requisite licenses, permits or cards to continue operating our businesses.</w:t>
      </w:r>
    </w:p>
    <w:p>
      <w:pPr>
        <w:spacing w:after="0" w:line="187"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In addition, local laws and ordinances could restrict the Company’s business activity. Although the Company’s operations are legal under the laws of the states in which the Company’s business operate, local governments have the ability to limit, restrict and ban cannabis businesses from operating within their jurisdiction. Land use, zoning, local ordinances and similar laws could be adopted or changed and have a material adverse effect on the Company’s business.</w:t>
      </w:r>
    </w:p>
    <w:p>
      <w:pPr>
        <w:spacing w:after="0" w:line="180"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Multiple states where medical and/or adult-use cannabis is legal have or are considering special taxes or fees on businesses in the marijuana industry. It is uncertain at this time whether other states are in the process of reviewing such additional taxes and fees. The implementation of special taxes or fees could have a material adverse effect upon the Company’s business, prospects, revenue, results of operation and financial condition.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State regulatory agencies may require the Company to post bonds or significant fees.</w:t>
      </w:r>
    </w:p>
    <w:p>
      <w:pPr>
        <w:spacing w:after="0" w:line="22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There is a risk that a greater number of state regulatory agencies will begin requiring entities engaged in certain aspects of the business or industry of legal marijuana to post a bond or significant fees when applying, for example, for a dispensary license or renewal as a guarantee of payment of sales and franchise taxes. The Company is not able to quantify at this time the potential scope of such bonds or fees in the states in which it currently operates or may in the future operate. Any bonds or fees of material amounts could have a negative impact on the ultimate success of the Company’s business.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necessary permits and authorizations</w:t>
      </w:r>
    </w:p>
    <w:p>
      <w:pPr>
        <w:spacing w:after="0" w:line="22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Our subsidiaries may not be able to obtain or maintain the necessary licenses, permits, certificates, authorizations or accreditations to operate their respective businesses, or may only be able to do so at great cost. In addition, our subsidiaries may not be able to comply fully with the wide variety of laws and regulations applicable to the cannabis industry. Failure to comply with or to obtain the necessary licenses, permits, certificates, authorizations or accreditations could result in restrictions on a subsidiary’s ability to operate in the cannabis industry, which could have a material adverse effect on our business, financial condition or results of operations.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heightened scrutiny by Canadian regulatory authorities.</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Currently, the Company is traded on the CSE and on over-the-counter markets in the United States. The business, operations and investments of the Company in the United States, and any future business, operations or investments, may become the subject of heightened scrutiny by regulators, stock exchanges and other authorities in Canada and the United States. As a result, the Company may be subject to significant direct and indirect interaction with public officials. There can be no assurance that this heightened scrutiny will not in turn lead to the imposition of certain restrictions on the Company’s ability to operate or invest in the United States or any other jurisdiction, in addition to those described herein.</w:t>
      </w:r>
    </w:p>
    <w:p>
      <w:pPr>
        <w:spacing w:after="0" w:line="183"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In 2017, there were concerns that the Canadian Depository for Securities Limited, through its subsidiary CDS Clearing and Depository Services Inc. (“CDS”), Canada’s central securities depository (clearing and settling trades in the Canadian equity, fixed income and money markets), would refuse to settle trades for cannabis issuers that have investments in the United States. However, CDS has not implemented this policy.</w:t>
      </w:r>
    </w:p>
    <w:p>
      <w:pPr>
        <w:spacing w:after="0" w:line="176"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On February 8, 2018, the Canadian Securities Administrators published Staff Notice 51-352 describing the Canadian Securities Administrators’ disclosure expectations for specific risks facing issuers with cannabis-related activities in the U.S. Staff Notice 51-352 confirms that a disclosure-based approach remains appropriate for issuers with U.S. cannabis-related activities. Staff Notice 51-352 includes additional disclosure expectations that apply to all issuers with U.S. cannabis-related activities, including those with direct and indirect involvement in the cultivation and distribution of cannabis, as well as issuers that provide goods and services to third parties involved in the U.S. cannabis industry.</w:t>
      </w:r>
    </w:p>
    <w:p>
      <w:pPr>
        <w:spacing w:after="0" w:line="183"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On February 8, 2018, following discussions with the Canadian Securities Administrators and recognized Canadian securities exchanges, the TMX Group, which is the owner and operator of CDS, announced the signing of a Memorandum of Understanding (“MOU”) with Aequitas NEO Exchange Inc., the CSE, the Toronto Stock Exchange and the TSX Venture Exchange (“TSXV”). The MOU outlines the parties’ understanding of Canada’s regulatory framework applicable to the rules, procedures and regulatory oversight of the exchanges and CDS as it relates to issuers with cannabis-related activities in the United States. The MOU confirms, with respect to the clearing of listed securities, that CDS relies on the Canadian securities exchanges to review the conduct of listed issuers. The MOU notes that securities regulation requires that the rules of each of the exchanges must not be contrary to the public interest and that the rules of each of the exchanges have been approved by the securities regulators. Pursuant to the MOU, CDS will not ban accepting deposits of or transactions for clearing and settlement of securities of issuers with cannabis-related activities in the United States. Even though the MOU indicated that there are no plans to ban the settlement of securities through CDS, there can be no guarantee that this approach to regulation will continue in the future. If such a ban were implemented at a time when Subordinate Voting Shares are listed on a Canadian stock exchange, it would have a material adverse effect on the ability of holders of Subordinate Voting Shares to make and settle trades. In particular, the Subordinate Voting Shares would become highly illiquid until an alternative (if available) was implemented, and investors would have no ability to effect a trade of Subordinate Voting Shares through the facilities of the applicable Canadian stock exchange.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0" w:name="page31"/>
    <w:bookmarkEnd w:id="30"/>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face limitations on ownership of cannabis licenses.</w:t>
      </w:r>
    </w:p>
    <w:p>
      <w:pPr>
        <w:spacing w:after="0" w:line="229"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In certain states, the cannabis laws and regulations limit not only the number of cannabis licenses issued, but also the number of cannabis licenses that one person or entity may own. Such limitations on the ownership of additional licenses within certain states may limit the Company’s ability to grow in such states. The Company employs joint ventures from time to time to help ensure continued compliance with the applicable regulatory guidelines.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U.S. Food and Drug Administration or Bureau of Alcohol, Tobacco, Firearms and Explosives regulation.</w:t>
      </w:r>
    </w:p>
    <w:p>
      <w:pPr>
        <w:spacing w:after="0" w:line="229"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Cannabis remains a Schedule I controlled substance under U.S. federal law. If the federal government reclassifies cannabis to a Schedule II controlled substance, it is possible that the FDA would seek to regulate cannabis under the Food, Drug and Cosmetics Act of 1938. Additionally, the FDA may issue rules and regulations, including good manufacturing practices, related to the growth, cultivation, harvesting and processing of medical cannabis. Clinical trials may be needed to verify the efficacy and safety of cannabis. It is also possible that the FDA would require facilities where medical use cannabis is grown to register with the FDA and comply with certain federally prescribed regulations. In the event that some or all of these regulations are imposed, the impact they would have on the cannabis industry is unknown, including the costs, requirements and possible prohibitions that may be enforced. If the Company is unable to comply with the potential regulations or registration requirements prescribed by the FDA, it may have an adverse effect on the Company’s business, prospects, revenue, results of operation and financial condition.</w:t>
      </w:r>
    </w:p>
    <w:p>
      <w:pPr>
        <w:spacing w:after="0" w:line="192"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It is also possible that the federal government could seek to regulate cannabis under the U.S. Bureau of Alcohol, Tobacco, Firearms and Explosives. The Bureau of Alcohol, Tobacco, Firearms and Explosives may issue rules and regulations related to the use, transporting, sale and advertising of cannabis or cannabis products, including smokeless cannabis products.</w:t>
      </w:r>
    </w:p>
    <w:p>
      <w:pPr>
        <w:spacing w:after="0" w:line="172" w:lineRule="exact"/>
        <w:rPr>
          <w:sz w:val="20"/>
          <w:szCs w:val="20"/>
          <w:color w:val="auto"/>
        </w:rPr>
      </w:pPr>
    </w:p>
    <w:p>
      <w:pPr>
        <w:ind w:right="18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Cannabis businesses are subject to applicable anti-money laundering laws and regulations and have restricted access to banking and other financial services.</w:t>
      </w:r>
    </w:p>
    <w:p>
      <w:pPr>
        <w:spacing w:after="0" w:line="159" w:lineRule="exact"/>
        <w:rPr>
          <w:sz w:val="20"/>
          <w:szCs w:val="20"/>
          <w:color w:val="auto"/>
        </w:rPr>
      </w:pPr>
    </w:p>
    <w:p>
      <w:pPr>
        <w:jc w:val="both"/>
        <w:ind w:right="20" w:firstLine="749"/>
        <w:spacing w:after="0" w:line="256" w:lineRule="auto"/>
        <w:rPr>
          <w:sz w:val="20"/>
          <w:szCs w:val="20"/>
          <w:color w:val="auto"/>
        </w:rPr>
      </w:pPr>
      <w:r>
        <w:rPr>
          <w:rFonts w:ascii="Times New Roman" w:cs="Times New Roman" w:eastAsia="Times New Roman" w:hAnsi="Times New Roman"/>
          <w:sz w:val="18"/>
          <w:szCs w:val="18"/>
          <w:color w:val="auto"/>
        </w:rPr>
        <w:t>We are subject to a variety of laws and regulations in the United States that involve money laundering, financial record-keeping and proceeds of crime, including the U.S. Currency and Foreign Transactions Reporting Act of 1970, (which we refer to as the Bank Secrecy Act), as amended by Title III of the Uniting and Strengthening America by Providing Appropriate Tools Required to Intercept and Obstruct Terrorism Act of 2001 (which we refer to as the USA Patriot Act), and any related or similar rules, regulations or guidelines, issued, administered or enforced by governmental authorities in the United States. Accordingly, pursuant to the Bank Secrecy Act, banks or other financial institutions that provide a cannabis business with a checking account, debit or credit card, small business loan or any other service could be found guilty of money laundering, aiding and abetting, or conspiracy.</w:t>
      </w:r>
    </w:p>
    <w:p>
      <w:pPr>
        <w:spacing w:after="0" w:line="18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United States Department of the Treasury’s Financial Crimes Enforcement Network, which we refer to as FinCEN, issued a memorandum on February 14, 2014, which we refer to as the FinCEN Memorandum, outlining the pathways for financial institutions to bank cannabis businesses in compliance with federal enforcement priorities. The FinCEN Memorandum states that in some circumstances, it is permissible for banks to provide services to cannabis-related businesses without risking prosecution for violation of federal money laundering laws. The FinCEN Memorandum refers to the Cole Memorandum’s enforcement priorities.</w:t>
      </w:r>
    </w:p>
    <w:p>
      <w:pPr>
        <w:spacing w:after="0" w:line="183"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 Department of Justice continues to have the right and power to prosecute crimes committed by banks and financial institutions, such as money laundering and violations of the Bank Secrecy Act, that occur in any state including states that have in some form legalized the sale of cannabis. Further, the conduct of the Department of Justice’s enforcement priorities could change for any number of reasons. A change in the Department of Justice’s priorities could result in the prosecution of banks and financial institutions for crimes that were not previously prosecuted.</w:t>
      </w:r>
    </w:p>
    <w:p>
      <w:pPr>
        <w:spacing w:after="0" w:line="180"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If our operations, or proceeds thereof, dividend distributions or profits or revenues derived from our operations were found to be in violation of money laundering legislation or otherwise, such transactions may be viewed as proceeds from a crime (the sale of a Schedule I drug) under the Bank Secrecy Act’s money laundering provisions. This may restrict our ability to declare or pay dividends or effect other distributions.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1" w:name="page32"/>
    <w:bookmarkEnd w:id="31"/>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FinCEN Memorandum does not provide any safe harbors or legal defenses from examination or regulatory or criminal enforcement actions by the Department of Justice, FinCEN or other federal regulators. Thus, most banks and other financial institutions in the United States do not appear comfortable providing banking services to cannabis-related businesses or relying on this guidance given that it has the potential to be amended or revoked by the current administration. In addition to the foregoing, banks may refuse to process debit card payments and credit card companies generally refuse to process credit card payments for cannabis-related businesses. As a result, we may have limited or no access to banking or other financial services in the United States. In addition, federal money laundering statutes and Bank Secrecy Act regulations discourage financial institutions from working with any organization that sells a controlled substance, regardless of whether the state it operates in permits cannabis sales. Our inability or limitation of our ability to open or maintain bank accounts, obtain other banking services and/or accept credit card and debit card payments may make it difficult for us to operate and conduct our business as planned or to operate efficiently.</w:t>
      </w:r>
    </w:p>
    <w:p>
      <w:pPr>
        <w:spacing w:after="0" w:line="188" w:lineRule="exact"/>
        <w:rPr>
          <w:sz w:val="20"/>
          <w:szCs w:val="20"/>
          <w:color w:val="auto"/>
        </w:rPr>
      </w:pPr>
    </w:p>
    <w:p>
      <w:pPr>
        <w:jc w:val="both"/>
        <w:ind w:right="60" w:firstLine="749"/>
        <w:spacing w:after="0" w:line="261" w:lineRule="auto"/>
        <w:rPr>
          <w:sz w:val="20"/>
          <w:szCs w:val="20"/>
          <w:color w:val="auto"/>
        </w:rPr>
      </w:pPr>
      <w:r>
        <w:rPr>
          <w:rFonts w:ascii="Times New Roman" w:cs="Times New Roman" w:eastAsia="Times New Roman" w:hAnsi="Times New Roman"/>
          <w:sz w:val="18"/>
          <w:szCs w:val="18"/>
          <w:color w:val="auto"/>
        </w:rPr>
        <w:t>In the United States, the “SAFE Banking Act” was adopted by the U.S. House of Representatives, which would grant banks and other financial institutions immunity from federal criminal prosecution for servicing marijuana-related businesses if the underlying marijuana business follows state law. However, the U.S. Senate has yet to take up the SAFE Banking Act for a vote and it was not included in the December 2022 Consolidated Appropriations Act. There can be no assurance that it will be passed as presently proposed or at all.</w:t>
      </w:r>
    </w:p>
    <w:p>
      <w:pPr>
        <w:spacing w:after="0" w:line="180"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In both Canada and the United States, transactions involving banks and other financial institutions are both difficult and unpredictable under the current legal and regulatory landscape. Legislative changes could help to reduce or eliminate these challenges for companies in the cannabis space and would improve the efficiency of both significant and minor financial transactions.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face difficulties acquiring additional financing.</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We may require equity and/or debt financing to support on-going operations, to undertake capital expenditures or to undertake acquisitions and/or other business combination transactions. There can be no assurance that additional financing will be available to us when needed or on terms which are acceptable. Our inability to raise financing through traditional banking to fund on-going operations, capital expenditures or acquisitions could limit its growth and may have a material adverse effect upon the Company’s business, prospects, revenue, results of operation and financial condition.</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lack access to U.S. bankruptcy protections.</w:t>
      </w:r>
    </w:p>
    <w:p>
      <w:pPr>
        <w:spacing w:after="0" w:line="229"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Many courts have denied cannabis businesses bankruptcy protections because the use of cannabis is illegal under federal law. In the event of a bankruptcy, it would be very difficult for lenders to recoup their investments in the cannabis industry. If the Company were to experience a bankruptcy, there is no guarantee that U.S. federal bankruptcy protections would be available to us, which would have a material adverse effect on us.</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32" w:name="page33"/>
    <w:bookmarkEnd w:id="32"/>
    <w:p>
      <w:pPr>
        <w:ind w:right="62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highly regulated sector and may not always succeed in complying fully with applicable regulatory requirements in all jurisdictions where we carry on business.</w:t>
      </w:r>
    </w:p>
    <w:p>
      <w:pPr>
        <w:spacing w:after="0" w:line="15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Our business and activities are heavily regulated in all jurisdictions where we conduct business. Our operations are subject to various laws, regulations and guidelines by state and local governmental authorities relating to the manufacture, marketing, management, transportation, storage, sale, pricing and disposal of cannabis and cannabis oil, and also including laws and regulations relating to health and safety, insurance coverage, the conduct of operations and the protection of the environment. Laws and regulations, applied generally, grant government agencies and self-regulatory bodies broad administrative discretion over our activities, including the power to limit or restrict business activities as well as impose additional disclosure requirements on our products and services. Achievement of our business objectives is contingent, in part, upon compliance with regulatory requirements enacted by these governmental authorities and obtaining all necessary regulatory approvals for the manufacture, production, storage, transportation, sale, import and export, as applicable, of our products. The commercial cannabis industry is still a new industry at the state and local level. The effect of relevant governmental authorities’ administration, application and enforcement of their respective regulatory regimes and delays in obtaining, or failure to obtain, applicable regulatory approvals which may be required may significantly delay or impact the development of markets, products and sales initiatives and could have a material adverse effect on our business, prospects, revenue, results of operation and financial condition. Any failure to comply with the regulatory requirements applicable to our operations may lead to possible sanctions including the revocation or imposition of additional conditions on licenses to operate our business; the suspension or expulsion from a particular market or jurisdiction or of our key personnel; the imposition of additional or more stringent inspection, testing and reporting requirements; and the imposition of fines and censures. In addition, changes in regulations, more vigorous enforcement thereof or other unanticipated events could require extensive changes to our operations, increase compliance costs or give rise to material liabilities and/or revocation of our licenses and other permits, which could have a material adverse effect on our business, results of operations and financial condition. Furthermore, governmental authorities may change their administration, application or enforcement procedures at any time, which may adversely impact our ongoing costs relating to regulatory compliance. Maintaining compliance with complex and ever-changing regulations, including sometimes unclear regulations and laws, can be a difficult task, and a materially compliant business can be found in violation of one or more laws, rules or regulations while remaining materially or substantially compliant with applicable state cannabis laws.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face difficulties in enforcing our contracts.</w:t>
      </w:r>
    </w:p>
    <w:p>
      <w:pPr>
        <w:spacing w:after="0" w:line="229" w:lineRule="exact"/>
        <w:rPr>
          <w:sz w:val="20"/>
          <w:szCs w:val="20"/>
          <w:color w:val="auto"/>
        </w:rPr>
      </w:pPr>
    </w:p>
    <w:p>
      <w:pPr>
        <w:ind w:right="360" w:firstLine="749"/>
        <w:spacing w:after="0" w:line="266" w:lineRule="auto"/>
        <w:rPr>
          <w:sz w:val="20"/>
          <w:szCs w:val="20"/>
          <w:color w:val="auto"/>
        </w:rPr>
      </w:pPr>
      <w:r>
        <w:rPr>
          <w:rFonts w:ascii="Times New Roman" w:cs="Times New Roman" w:eastAsia="Times New Roman" w:hAnsi="Times New Roman"/>
          <w:sz w:val="18"/>
          <w:szCs w:val="18"/>
          <w:color w:val="auto"/>
        </w:rPr>
        <w:t>Because our contracts involve cannabis and other activities that are not legal under federal law and in some state jurisdictions, we may face difficulties in enforcing our contracts in federal courts and certain state courts. We cannot be assured that we will have a remedy for breach of contract, which could have a material adverse effect on us.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trademark protection.</w:t>
      </w:r>
    </w:p>
    <w:p>
      <w:pPr>
        <w:spacing w:after="0" w:line="229"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We are not able to register any federal trademarks for our cannabis products. Because producing, manufacturing, processing, possessing, distributing, selling and using cannabis is a crime under the Controlled Substances Act, the Patent and Trademark Office will not permit the registration of any trademark that identifies cannabis products. As a result, we likely will be unable to protect our cannabis product trademarks beyond the geographic areas in which we conduct business. The use of our trademarks outside the states in which we operate by one or more other persons could have a material adverse effect on the value of such trademarks.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are and may continue to be subject to constraints on marketing our products.</w:t>
      </w:r>
    </w:p>
    <w:p>
      <w:pPr>
        <w:spacing w:after="0" w:line="229"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Certain of the states in which we operate have enacted strict regulations regarding marketing and sales activities on cannabis products. There may be restrictions on sales and marketing activities imposed by government regulatory bodies that can hinder the development of the Company’s business and operating results. Restrictions may include regulations that specify what, where and to whom product information and descriptions may appear and/or be advertised. Marketing, advertising, packaging and labeling regulations also vary from state to state, potentially limiting the consistency and scale of consumer branding communication and product education efforts. The regulatory environment in the U.S. limits our ability to compete for market share in a manner similar to other industries. If we are unable to effectively market our products and compete for market share, or if the costs of compliance with government legislation and regulation cannot be absorbed through increased selling prices for our products, our sales and operating results could be adversely affected.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3" w:name="page34"/>
    <w:bookmarkEnd w:id="33"/>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the results of future clinical research.</w:t>
      </w:r>
    </w:p>
    <w:p>
      <w:pPr>
        <w:spacing w:after="0" w:line="229" w:lineRule="exact"/>
        <w:rPr>
          <w:sz w:val="20"/>
          <w:szCs w:val="20"/>
          <w:color w:val="auto"/>
        </w:rPr>
      </w:pPr>
    </w:p>
    <w:p>
      <w:pPr>
        <w:ind w:right="140" w:firstLine="749"/>
        <w:spacing w:after="0" w:line="271" w:lineRule="auto"/>
        <w:rPr>
          <w:sz w:val="20"/>
          <w:szCs w:val="20"/>
          <w:color w:val="auto"/>
        </w:rPr>
      </w:pPr>
      <w:r>
        <w:rPr>
          <w:rFonts w:ascii="Times New Roman" w:cs="Times New Roman" w:eastAsia="Times New Roman" w:hAnsi="Times New Roman"/>
          <w:sz w:val="17"/>
          <w:szCs w:val="17"/>
          <w:color w:val="auto"/>
        </w:rPr>
        <w:t>Research regarding the medical benefits, viability, safety, efficacy, dosing and social acceptance of cannabis or isolated cannabinoids (such as cannabidiol, commonly referred to as CBD and tetrahydrocannabinol, commonly referred to as THC) remains in early stages. There have been relatively few clinical trials on the benefits of cannabis or isolated cannabinoids (such as CBD and THC). Although we believe that various articles, reports and studies support our beliefs regarding the medical benefits, viability, safety, efficacy, dosing and social acceptance of cannabis, future research and clinical trials may prove such statements to be incorrect, or could raise concerns regarding, and perceptions relating to, cannabis. Further, the federal illegality of cannabis and associated limits on our ability to properly fund and conduct research on cannabis and the lack of formal Food and Drug Administration oversight of cannabis, there is limited information about the long-term safety and efficacy of cannabis in it various forms, when combusted or combined with various cannabis and/or non-cannabis derived ingredients and materials or when ingested, inhaled or topically applied. Future research or oversight may reveal negative health and safety effects, which may significantly impact our reputation, operations and financial performance.</w:t>
      </w:r>
    </w:p>
    <w:p>
      <w:pPr>
        <w:spacing w:after="0" w:line="173" w:lineRule="exact"/>
        <w:rPr>
          <w:sz w:val="20"/>
          <w:szCs w:val="20"/>
          <w:color w:val="auto"/>
        </w:rPr>
      </w:pPr>
    </w:p>
    <w:p>
      <w:pPr>
        <w:jc w:val="both"/>
        <w:ind w:right="60" w:firstLine="749"/>
        <w:spacing w:after="0" w:line="258" w:lineRule="auto"/>
        <w:rPr>
          <w:sz w:val="20"/>
          <w:szCs w:val="20"/>
          <w:color w:val="auto"/>
        </w:rPr>
      </w:pPr>
      <w:r>
        <w:rPr>
          <w:rFonts w:ascii="Times New Roman" w:cs="Times New Roman" w:eastAsia="Times New Roman" w:hAnsi="Times New Roman"/>
          <w:sz w:val="18"/>
          <w:szCs w:val="18"/>
          <w:color w:val="auto"/>
        </w:rPr>
        <w:t>Given these risks, uncertainties and assumptions, prospective purchasers of Subordinate Voting Shares should not place undue reliance on such articles and reports. Future research studies and clinical trials may draw opposing conclusions to those stated in this Annual Report on Form 10-K or reach negative conclusions regarding the medical benefits, viability, safety, efficacy, dosing, social acceptance or other facts and perceptions related to cannabis, which could have a material adverse effect on the demand for our products, with the potential to have a material adverse effect on our business, prospects, revenue, results of operation and financial condition.</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taxation in Canada and the United States.</w:t>
      </w:r>
    </w:p>
    <w:p>
      <w:pPr>
        <w:spacing w:after="0" w:line="229"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We are and will continue to be a Canadian corporation as of the date of this Annual Report on Form 10-K. We are treated as a Canadian resident company (as defined in the Income Tax Act (Canada)) subject to Canadian income taxes. We are also treated as a U.S. corporation subject to U.S. federal income tax pursuant to Section 7874 of the Internal Revenue Code of 1986, as amended, (which we refer to as the “IRC”) and are subject to U.S. federal income tax on our income. As a result, we are subject to taxation both in Canada and the United States, which could have a material adverse effect on our financial condition and results of operations.</w:t>
      </w:r>
    </w:p>
    <w:p>
      <w:pPr>
        <w:spacing w:after="0" w:line="183"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It is unlikely that we will pay any dividends on the Subordinate Voting Shares in the foreseeable future. However, dividends received by shareholders who are residents of Canada for purposes of the Income Tax Act (Canada) will be subject to U.S. withholding tax. Any such dividends may not qualify for a reduced rate of withholding tax under the Canada-United States tax treaty. In addition, a foreign tax credit or a deduction in respect of foreign taxes may not be available.</w:t>
      </w:r>
    </w:p>
    <w:p>
      <w:pPr>
        <w:spacing w:after="0" w:line="180"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Dividends received by U.S. shareholders will not be subject to U.S. withholding tax but will be subject to Canadian withholding tax. Dividends paid by us will be characterized as U.S. source income for purposes of the foreign tax credit rules under the IRC. Accordingly, U.S. shareholders generally will not be able to claim a credit for any Canadian tax withheld unless, depending on the circumstances, they have an excess foreign tax credit limitation due to other foreign source income that is subject to a low or zero rate of foreign tax.</w:t>
      </w:r>
    </w:p>
    <w:p>
      <w:pPr>
        <w:spacing w:after="0" w:line="18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Dividends received by shareholders that are neither Canadian nor U.S. shareholders will be subject to U.S. withholding tax and will also be subject to Canadian withholding tax. These dividends may not qualify for a reduced rate of U.S. withholding tax under any income tax treaty otherwise applicable to our shareholders, subject to examination of the relevant treaty. Because the Subordinate Voting Shares are treated as shares of a U.S. domestic corporation, the U.S. gift, estate and generation-skipping transfer tax rules generally apply to a non-U.S. shareholder of Subordinate Voting Shares. Each shareholder should seek tax advice, based on such shareholder’s particular circumstances, from an independent tax advisor.</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Cannabis businesses are subject to unfavorable U.S. tax treatment.</w:t>
      </w:r>
    </w:p>
    <w:p>
      <w:pPr>
        <w:spacing w:after="0" w:line="22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Under Section 280E of the U.S. Internal Revenue Code, as amended (“Section 280E”), no deduction or credit is allowed for any amount paid or incurred during the taxable year in carrying on business if the business (or the activities which comprise the trade or business) consists of trafficking in controlled substances (within the meaning of Schedules I and II of the Controlled Substances Act). The U.S. Internal Revenue Service has applied this provision to cannabis operations, prohibiting them from deducting certain expenses associated with cannabis businesses. Section 280E may have a lesser impact on cannabis cultivation and manufacturing operations. Accordingly, Section 280E has a significant impact on the operations of cannabis companies and an otherwise profitable business may operate at a loss, after taking into account its U.S. income tax expenses.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34" w:name="page35"/>
    <w:bookmarkEnd w:id="34"/>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Cannabis businesses may be subject to civil asset forfeiture.</w:t>
      </w:r>
    </w:p>
    <w:p>
      <w:pPr>
        <w:spacing w:after="0" w:line="229"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Any property owned by participants in the cannabis industry used in the course of conducting such business, or that is the proceeds of such business, could be subject to seizure by law enforcement and subsequent civil asset forfeiture because of the illegality of the cannabis industry under federal law. Even if the owner of the property is never charged with a crime, the property in question could still be seized and subject to an administrative proceeding by which, with minimal due process, it could be subject to forfeiture.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proceeds of crime statutes.</w:t>
      </w:r>
    </w:p>
    <w:p>
      <w:pPr>
        <w:spacing w:after="0" w:line="229"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We are subject to a variety of laws that concern money laundering, financial recordkeeping and proceeds of crime. These include: the Bank Secrecy Act, as amended by Title III of the USA Patriot Act, the Proceeds of Crime (Money Laundering) and Terrorist Financing Act (Canada), the rules and regulations under the Criminal Code of Canada and any related or similar rules, regulations or guidelines, issued, administered or enforced by governmental authorities in the United States and Canada.</w:t>
      </w:r>
    </w:p>
    <w:p>
      <w:pPr>
        <w:spacing w:after="0" w:line="180"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In the event that any of our license agreements, or any proceeds thereof, in the United States were found to be in violation of money laundering legislation or otherwise, such transactions may be viewed as proceeds of crime under one or more of the statutes noted above, or any other applicable legislation. This could have a material adverse effect on us, among other things, could restrict or otherwise jeopardize our ability to declare or pay dividends, effect other distributions or subsequently repatriate such funds back to Canada.</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face exposure to fraudulent or illegal activity.</w:t>
      </w:r>
    </w:p>
    <w:p>
      <w:pPr>
        <w:spacing w:after="0" w:line="22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We face exposure to the risk that employees, independent contractors or consultants may engage in fraudulent or other illegal activities. Misconduct by these parties could be intentional, reckless and/or negligent conduct. There may be disclosure of unauthorized activities that violate government regulations, manufacturing standards, healthcare laws, abuse laws and other financial reporting laws. Further, it may not always be possible for us to identify and deter misconduct by our employees and other third parties, and the precautions taken by us to detect and prevent these activities may not always be effective. As a result, we could face potential penalties and litigation.</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are a holding company.</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are a holding company and essentially all of our assets are the capital stock of our subsidiaries in our 15 markets, including California, Colorado, Connecticut, Florida, Illinois, Maryland, Massachusetts, Minnesota, Nevada, New Jersey, New York, Ohio, Pennsylvania, Rhode Island and Virginia. As a result, investors in the Company are subject to the risks attributable to our subsidiaries. As a holding company, we conduct substantially all of our business through our subsidiaries, which generate substantially all of our revenues. Consequently, our cash flows and ability to complete current or desirable future enhancement opportunities are dependent on the earnings of our subsidiaries and the distribution of those earnings to us. The ability of these entities to pay dividends and other distributions depends on their operating results and is subject to applicable laws and regulations, which require that solvency and capital standards be maintained by the subsidiaries and contractual restrictions are contained in the instruments governing their debt. In the event of a bankruptcy, liquidation or reorganization of any of our material subsidiaries, holders of indebtedness and trade creditors may be entitled to payment of their claims from the assets of those subsidiaries before us.</w:t>
      </w:r>
    </w:p>
    <w:p>
      <w:pPr>
        <w:spacing w:after="0" w:line="184" w:lineRule="exact"/>
        <w:rPr>
          <w:sz w:val="20"/>
          <w:szCs w:val="20"/>
          <w:color w:val="auto"/>
        </w:rPr>
      </w:pPr>
    </w:p>
    <w:p>
      <w:pPr>
        <w:ind w:right="60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controls over financial reporting may not be effective, and our independent auditors may not be able to certify as to their effectiveness, which could have a significant and adverse effect on our business.</w:t>
      </w:r>
    </w:p>
    <w:p>
      <w:pPr>
        <w:spacing w:after="0" w:line="15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are subject to various SEC reporting and other regulatory requirements. We have incurred and will continue to incur expenses and, to a lesser extent, diversion of our management’s time in our efforts to comply with Section 404 of the Sarbanes-Oxley Act regarding internal controls over financial reporting. 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the subsequent testing by our independent registered public accounting firm, may reveal deficiencies in our internal controls over financial reporting that are deemed to be material weaknesses or that may require prospective or retrospective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Subordinate Voting Shares.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5" w:name="page36"/>
    <w:bookmarkEnd w:id="35"/>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Material acquisitions, dispositions and other strategic transactions involve a number of risks for us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Material acquisitions, dispositions and other strategic transactions involve a number of risks for us, including: (i) potential disruption of our ongoing business; (ii) distraction of management; (iii) increased financial leverage; (iv) the anticipated benefits and cost savings of those transactions may not be realized or may take longer to realize than anticipated; (v) increased scope and complexity of our operations; and (vi) loss or reduction of control over certain of our assets. Multiple non-material acquisitions, dispositions or strategic transactions that occur on or about the same time, even though not individually material, may present similar risks to the Company.</w:t>
      </w:r>
    </w:p>
    <w:p>
      <w:pPr>
        <w:spacing w:after="0" w:line="183" w:lineRule="exact"/>
        <w:rPr>
          <w:sz w:val="20"/>
          <w:szCs w:val="20"/>
          <w:color w:val="auto"/>
        </w:rPr>
      </w:pPr>
    </w:p>
    <w:p>
      <w:pPr>
        <w:ind w:right="480" w:firstLine="749"/>
        <w:spacing w:after="0" w:line="282" w:lineRule="auto"/>
        <w:rPr>
          <w:sz w:val="20"/>
          <w:szCs w:val="20"/>
          <w:color w:val="auto"/>
        </w:rPr>
      </w:pPr>
      <w:r>
        <w:rPr>
          <w:rFonts w:ascii="Times New Roman" w:cs="Times New Roman" w:eastAsia="Times New Roman" w:hAnsi="Times New Roman"/>
          <w:sz w:val="18"/>
          <w:szCs w:val="18"/>
          <w:color w:val="auto"/>
        </w:rPr>
        <w:t>Additionally, we may issue additional Subordinate Voting Shares in connection with such transactions, which would dilute a shareholder’s holdings in the Company.</w:t>
      </w:r>
    </w:p>
    <w:p>
      <w:pPr>
        <w:spacing w:after="0" w:line="162"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The presence of one or more material liabilities of an acquired company that are known, but believed to be immaterial, or unknown to us at the time of acquisition could have a material adverse effect on our business, prospects, revenue, results of operation and financial condition. A strategic transaction may result in a significant change in the nature of our business, operations and strategy. In addition, we may encounter unforeseen obstacles or costs in implementing a strategic transaction or integrating any acquired business into our operations.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invest in companies which may not be able to meet anticipated development targets or be successful in the future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280" w:firstLine="749"/>
        <w:spacing w:after="0" w:line="258" w:lineRule="auto"/>
        <w:rPr>
          <w:sz w:val="20"/>
          <w:szCs w:val="20"/>
          <w:color w:val="auto"/>
        </w:rPr>
      </w:pPr>
      <w:r>
        <w:rPr>
          <w:rFonts w:ascii="Times New Roman" w:cs="Times New Roman" w:eastAsia="Times New Roman" w:hAnsi="Times New Roman"/>
          <w:sz w:val="18"/>
          <w:szCs w:val="18"/>
          <w:color w:val="auto"/>
        </w:rPr>
        <w:t>We may make investments in companies with no significant sources of operating cash flow and no revenue from operations, that are in early stages of development, or that have high-risk profiles. Our investments in such companies will be subject to risks and uncertainties that new companies with no or limited operating history may face. In particular, there is a risk that our investment in these companies will not be able to meet anticipated development targets or will not generate revenue at all. If these companies underperform or fail to continue to develop, their businesses may fail, which could have a material adverse effect on our business, prospects, revenue, results of operation and financial condition.</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Our use of joint ventures, strategic partnerships and alliances may expose us to risks associated with jointly owned investments.</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currently operate parts of our business through joint ventures with other companies, and we may enter into additional joint ventures and strategic alliances in the future. Joint venture investments may involve risks not otherwise present in investments made solely by us, including: (i) we may not control the joint ventures; (ii) our joint venture partners may not agree to distributions that we believe are appropriate; (iii) where we do not have substantial decision-making authority, we may experience impasses or disputes with our joint venture partners on certain decisions, which could require us to expend additional resources to resolve such impasses or disputes, including litigation or arbitration; (iv) our joint venture partners may become insolvent or bankrupt, fail to fund their share of required capital contributions or fail to fulfill their obligations as a joint venture partner; (v) the arrangements governing our joint ventures may contain certain conditions or milestone events that may never be satisfied or achieved; (vi) our joint venture partners may have business or economic interests that are inconsistent with ours and may take actions contrary to our interests; (vii) we may suffer losses as a result of actions taken by our joint venture partners with respect to our joint venture investments; and (viii) it may be difficult for us to exit a joint venture if an impasse arises or if we desire to sell our interest for any reason. Any of the foregoing risks could have a material adverse effect on our business, financial condition and results of operations. In addition, we may, in certain circumstances, be liable for the actions of our joint venture partners.</w:t>
      </w:r>
    </w:p>
    <w:p>
      <w:pPr>
        <w:spacing w:after="0" w:line="188" w:lineRule="exact"/>
        <w:rPr>
          <w:sz w:val="20"/>
          <w:szCs w:val="20"/>
          <w:color w:val="auto"/>
        </w:rPr>
      </w:pPr>
    </w:p>
    <w:p>
      <w:pPr>
        <w:ind w:right="60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our current and future strategic alliances or expansions of scope of existing relationships will have a beneficial impact on our business, financial condition and results of operations.</w:t>
      </w:r>
    </w:p>
    <w:p>
      <w:pPr>
        <w:spacing w:after="0" w:line="159"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We currently have, and may in the future enter into, additional strategic alliances with third parties that we believe will complement or augment our existing business. Our ability to complete strategic alliances is dependent upon, and may be limited by, the availability of suitable candidates and capital. In addition, strategic alliances could present unforeseen integration obstacles or costs, may not enhance our business and may involve risks that could adversely affect us, including significant amounts of management time that may be diverted from operations in order to pursue and complete such transactions or maintain such strategic alliances. Future strategic alliances could result in the incurrence of additional debt, costs and contingent liabilities, and there can be no assurance that future strategic alliances will achieve, or that our existing strategic alliances will continue to achieve, the expected benefits to our business or that we will be able to consummate future strategic alliances on satisfactory terms, if at all. Any of the foregoing could have a material adverse effect on our business,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36" w:name="page37"/>
    <w:bookmarkEnd w:id="36"/>
    <w:p>
      <w:pPr>
        <w:jc w:val="both"/>
        <w:ind w:right="120" w:firstLine="7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Competition for the acquisition and leasing of properties suitable for the cultivation, production and sale of medical and adult-use cannabis may impede our ability to make acquisitions or increase the cost of these acquisitions, which could adversely affect our operating results and financial condition.</w:t>
      </w:r>
    </w:p>
    <w:p>
      <w:pPr>
        <w:spacing w:after="0" w:line="175" w:lineRule="exact"/>
        <w:rPr>
          <w:sz w:val="20"/>
          <w:szCs w:val="20"/>
          <w:color w:val="auto"/>
        </w:rPr>
      </w:pPr>
    </w:p>
    <w:p>
      <w:pPr>
        <w:ind w:right="320" w:firstLine="749"/>
        <w:spacing w:after="0" w:line="261" w:lineRule="auto"/>
        <w:rPr>
          <w:sz w:val="20"/>
          <w:szCs w:val="20"/>
          <w:color w:val="auto"/>
        </w:rPr>
      </w:pPr>
      <w:r>
        <w:rPr>
          <w:rFonts w:ascii="Times New Roman" w:cs="Times New Roman" w:eastAsia="Times New Roman" w:hAnsi="Times New Roman"/>
          <w:sz w:val="18"/>
          <w:szCs w:val="18"/>
          <w:color w:val="auto"/>
        </w:rPr>
        <w:t>We compete for the acquisition of properties suitable for the cultivation, production and sale of medical and adult-use cannabis with entities engaged in agriculture and real estate investment activities, including corporate agriculture companies, cultivators, producers and sellers of cannabis. In</w:t>
      </w:r>
    </w:p>
    <w:p>
      <w:pPr>
        <w:ind w:right="220"/>
        <w:spacing w:after="0" w:line="250" w:lineRule="auto"/>
        <w:rPr>
          <w:sz w:val="20"/>
          <w:szCs w:val="20"/>
          <w:color w:val="auto"/>
        </w:rPr>
      </w:pPr>
      <w:r>
        <w:rPr>
          <w:rFonts w:ascii="Times New Roman" w:cs="Times New Roman" w:eastAsia="Times New Roman" w:hAnsi="Times New Roman"/>
          <w:sz w:val="18"/>
          <w:szCs w:val="18"/>
          <w:color w:val="auto"/>
        </w:rPr>
        <w:t>addition, in certain markets the local governments have authority to choose where any cannabis establishment‎ will be located. These authorized areas are frequently removed from other retail operations. Because ‎thecannabis industry remains illegal under U.S. federal law, the disadvantaged tax status of</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businesses deriving‎ their income from cannabis, and the reluctance of the banking industry to support cannabis businesses, it may‎ be difficult for us to locate and obtain the rights to operate at various preferred locations. Property ‎owners may violate their mortgages by leasing to us, and those property owners that are willing to allow ‎use of their facilities may require payment of above fair market value rents to reflect the scarcity of such locations ‎and the risks and costs of providing such facilities. All of these factors may prevent us from acquiring and leasing desirable properties, may cause an increase in the price we must pay for properties or may result in us having to lease our properties on less favorable terms than we expect.</w:t>
      </w:r>
    </w:p>
    <w:p>
      <w:pPr>
        <w:spacing w:after="0" w:line="187" w:lineRule="exact"/>
        <w:rPr>
          <w:sz w:val="20"/>
          <w:szCs w:val="20"/>
          <w:color w:val="auto"/>
        </w:rPr>
      </w:pPr>
    </w:p>
    <w:p>
      <w:pPr>
        <w:jc w:val="both"/>
        <w:ind w:right="240" w:firstLine="794"/>
        <w:spacing w:after="0" w:line="266" w:lineRule="auto"/>
        <w:rPr>
          <w:sz w:val="20"/>
          <w:szCs w:val="20"/>
          <w:color w:val="auto"/>
        </w:rPr>
      </w:pPr>
      <w:r>
        <w:rPr>
          <w:rFonts w:ascii="Times New Roman" w:cs="Times New Roman" w:eastAsia="Times New Roman" w:hAnsi="Times New Roman"/>
          <w:sz w:val="18"/>
          <w:szCs w:val="18"/>
          <w:color w:val="auto"/>
        </w:rPr>
        <w:t>Our competitors may have greater financial and operational resources than we do and may be willing to pay more for certain assets or may be willing to accept more risk than we believe can be prudently managed. In particular, larger companies may enjoy significant competitive advantages that result from, among other things, a lower cost of capital and enhanced operating efficiencies.</w:t>
      </w:r>
    </w:p>
    <w:p>
      <w:pPr>
        <w:spacing w:after="0" w:line="176" w:lineRule="exact"/>
        <w:rPr>
          <w:sz w:val="20"/>
          <w:szCs w:val="20"/>
          <w:color w:val="auto"/>
        </w:rPr>
      </w:pPr>
    </w:p>
    <w:p>
      <w:pPr>
        <w:ind w:right="200" w:firstLine="749"/>
        <w:spacing w:after="0" w:line="256" w:lineRule="auto"/>
        <w:rPr>
          <w:sz w:val="20"/>
          <w:szCs w:val="20"/>
          <w:color w:val="auto"/>
        </w:rPr>
      </w:pPr>
      <w:r>
        <w:rPr>
          <w:rFonts w:ascii="Times New Roman" w:cs="Times New Roman" w:eastAsia="Times New Roman" w:hAnsi="Times New Roman"/>
          <w:sz w:val="18"/>
          <w:szCs w:val="18"/>
          <w:color w:val="auto"/>
        </w:rPr>
        <w:t>Our competitors may also adopt transaction structures similar to ours, which would decrease our competitive advantage in offering flexible transaction terms. In addition, due to a number of factors, including but not limited to potential greater clarity of the laws and regulations governing medical use cannabis by state and federal governments, the number of entities and the amount of funds competing for suitable investment properties may increase, resulting in increased demand and increased prices paid for these properties. If we pay higher prices for properties or enter into leases for such properties on less favorable terms than we expect, our profitability and ability to generate cash flow and make distributions to our stockholders may decrease. Increased competition for properties may also preclude us from acquiring those properties that would generate attractive returns to us.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Our reputation and ability to do business may be negatively impacted by the improper conduct by our business partners, employees or agents.</w:t>
      </w:r>
    </w:p>
    <w:p>
      <w:pPr>
        <w:spacing w:after="0" w:line="229" w:lineRule="exact"/>
        <w:rPr>
          <w:sz w:val="20"/>
          <w:szCs w:val="20"/>
          <w:color w:val="auto"/>
        </w:rPr>
      </w:pPr>
    </w:p>
    <w:p>
      <w:pPr>
        <w:jc w:val="both"/>
        <w:ind w:right="240" w:firstLine="749"/>
        <w:spacing w:after="0" w:line="289" w:lineRule="auto"/>
        <w:rPr>
          <w:sz w:val="20"/>
          <w:szCs w:val="20"/>
          <w:color w:val="auto"/>
        </w:rPr>
      </w:pPr>
      <w:r>
        <w:rPr>
          <w:rFonts w:ascii="Times New Roman" w:cs="Times New Roman" w:eastAsia="Times New Roman" w:hAnsi="Times New Roman"/>
          <w:sz w:val="17"/>
          <w:szCs w:val="17"/>
          <w:color w:val="auto"/>
        </w:rPr>
        <w:t>We depend on third-party suppliers to produce and timely ship our orders. Products purchased from our suppliers are resold to our customers. These suppliers could fail to produce products to our specifications or quality standards and may not deliver units on a timely basis. Any changes in our suppliers to resolve production issues could impact our ability to fulfill orders and could also disrupt our business due to delays in finding new suppliers.</w:t>
      </w:r>
    </w:p>
    <w:p>
      <w:pPr>
        <w:spacing w:after="0" w:line="158"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Furthermore, we cannot provide assurance that our internal controls and compliance systems will protect us from acts committed by our employees, agents or business partners in violation of U.S. federal or state or local laws. Any improper acts or allegations could damage our reputation and subject us to civil or criminal investigations and related shareholder lawsuits, could lead to substantial civic and criminal monetary and non-monetary penalties and could cause us to incur significant legal and investigatory fees.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face risks due to industry immaturity or limited comparable, competitive or established industry best practices.</w:t>
      </w:r>
    </w:p>
    <w:p>
      <w:pPr>
        <w:spacing w:after="0" w:line="22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As a relatively new industry, there are not many established operators in the medical and adult-use cannabis industries whose business models we can follow or build upon. Similarly, there is no or limited information about comparable companies available for potential investors to review in making a decision about whether to invest in us.</w:t>
      </w:r>
    </w:p>
    <w:p>
      <w:pPr>
        <w:spacing w:after="0" w:line="176"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Shareholders and investors should consider, among other factors, our prospects for success in light of the risks and uncertainties encountered by companies, like us, that are in their early stages. For example, unanticipated expenses and problems or technical difficulties may occur, which may result in material delays in the operation of our business. We may fail to successfully address these risks and uncertainties or successfully implement our operating strategies. If we fail to do so, it could materially harm our business to the point of having to cease operations and could impair the value of the Subordinate Voting Shares to the extent that investors may lose their entire investment.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our products.</w:t>
      </w:r>
    </w:p>
    <w:p>
      <w:pPr>
        <w:spacing w:after="0" w:line="229" w:lineRule="exact"/>
        <w:rPr>
          <w:sz w:val="20"/>
          <w:szCs w:val="20"/>
          <w:color w:val="auto"/>
        </w:rPr>
      </w:pPr>
    </w:p>
    <w:p>
      <w:pPr>
        <w:ind w:right="160" w:firstLine="749"/>
        <w:spacing w:after="0" w:line="254" w:lineRule="auto"/>
        <w:rPr>
          <w:sz w:val="20"/>
          <w:szCs w:val="20"/>
          <w:color w:val="auto"/>
        </w:rPr>
      </w:pPr>
      <w:r>
        <w:rPr>
          <w:rFonts w:ascii="Times New Roman" w:cs="Times New Roman" w:eastAsia="Times New Roman" w:hAnsi="Times New Roman"/>
          <w:sz w:val="18"/>
          <w:szCs w:val="18"/>
          <w:color w:val="auto"/>
        </w:rPr>
        <w:t>We have committed and expect to continue committing significant resources and capital to develop and market existing products and new products and services. These products are relatively untested in the marketplace, and we cannot assure shareholders and investors that we will achieve market acceptance for these products, or other new products and services that we may offer in the future, or that our products that achieve market acceptance will be able to maintain that acceptance over time. Moreover, these and other new products and services may be subject to significant competition with offerings by new and existing competitors in the business. In addition, new products and services may pose a variety of challenges and require us to attract additional qualified employees. The failure to successfully develop and market these new products and services could seriously harm our business, prospects, revenue, results of operation and financial condition. As discussed above under Item 1—“Business - Competitive Conditions and the Company’s Position in the Industry - Competition”, the Company also faces competition from products that are not subject to testing or regulation by state agencies, not subject to the same taxes, and otherwise able to be priced significantly lower than the Company’s products.</w:t>
      </w:r>
    </w:p>
    <w:p>
      <w:pPr>
        <w:spacing w:after="0" w:line="3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the popularity of consumer acceptance of our brand portfolio.</w:t>
      </w:r>
    </w:p>
    <w:p>
      <w:pPr>
        <w:spacing w:after="0" w:line="229" w:lineRule="exact"/>
        <w:rPr>
          <w:sz w:val="20"/>
          <w:szCs w:val="20"/>
          <w:color w:val="auto"/>
        </w:rPr>
      </w:pPr>
    </w:p>
    <w:p>
      <w:pPr>
        <w:ind w:right="180" w:firstLine="749"/>
        <w:spacing w:after="0" w:line="255" w:lineRule="auto"/>
        <w:rPr>
          <w:sz w:val="20"/>
          <w:szCs w:val="20"/>
          <w:color w:val="auto"/>
        </w:rPr>
      </w:pPr>
      <w:r>
        <w:rPr>
          <w:rFonts w:ascii="Times New Roman" w:cs="Times New Roman" w:eastAsia="Times New Roman" w:hAnsi="Times New Roman"/>
          <w:sz w:val="18"/>
          <w:szCs w:val="18"/>
          <w:color w:val="auto"/>
        </w:rPr>
        <w:t>Our ability to generate revenue and be successful in the implementation of our business plan is dependent on consumer acceptance of and demand for our products. Acceptance of our products depends on several factors, including availability, cost, ease of use, familiarity of use, convenience, effectiveness, safety and reliability. If these customers do not accept our products, or if such products fail to adequately meet customers’ needs and expectations, our ability to continue generating revenues could be reduced. As the number of available licenses increase in the markets in which we operate, and the illicit market and psychoactive hemp-based products proliferate, additional competition and increased product availability may result in competitors undercutting our prices. From time to time, we may need to reduce our prices in response to competitive and customer pressures and to maintain our market share, which could materially reduce our revenues.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inherent in agricultural operations.</w:t>
      </w:r>
    </w:p>
    <w:p>
      <w:pPr>
        <w:spacing w:after="0" w:line="22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Company’s business involves the growing of cannabis, an agricultural product. The Company’s business is subject to the risks inherent in the agricultural business, such as insects, plant diseases and similar agricultural risks. Although the Company’s cultivation is substantially completed indoors under climate control, some cultivation is completed outdoors, and there can be no assurance that natural elements will not have a material adverse effect on any future production.</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impacted by rising or volatile energy costs.</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Company’s cannabis growing operations consume considerable energy, which makes it vulnerable to rising energy costs. Accordingly, rising or volatile energy costs may adversely affect the business of the Company and our ability to operate profitably.</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unknown environmental risks.</w:t>
      </w:r>
    </w:p>
    <w:p>
      <w:pPr>
        <w:spacing w:after="0" w:line="229"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There can be no assurance that the Company will not encounter hazardous conditions, such as asbestos or lead, at the sites of the real estate used to operate our businesses, which may delay the development of our businesses. Climate change or significant weather events may accelerate or exacerbate environmental conditions in ways that adversely affect the business due to potential negative effects on agricultural conditions, increased difficulty in construction projects to support our operations, and ownership or leasing of real property generally. Upon encountering a hazardous condition, work at the facilities of the Company may be suspended. If the Company receives notice of a hazardous condition, it may be required to correct the condition prior to continuing construction. If additional hazardous conditions were present, it would likely delay construction and may require significant expenditure of the Company’s resources to correct the conditions. Such conditions could have a material impact on the investment returns of the Company.</w:t>
      </w:r>
    </w:p>
    <w:p>
      <w:pPr>
        <w:spacing w:after="0" w:line="189"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373739"/>
        </w:rPr>
        <w:t xml:space="preserve">In addition, the operations of the Company </w:t>
      </w:r>
      <w:r>
        <w:rPr>
          <w:rFonts w:ascii="Times New Roman" w:cs="Times New Roman" w:eastAsia="Times New Roman" w:hAnsi="Times New Roman"/>
          <w:sz w:val="18"/>
          <w:szCs w:val="18"/>
          <w:color w:val="000000"/>
        </w:rPr>
        <w:t>are subject to environmental regulation in the various jurisdictions in which we operate. These</w:t>
      </w:r>
      <w:r>
        <w:rPr>
          <w:rFonts w:ascii="Times New Roman" w:cs="Times New Roman" w:eastAsia="Times New Roman" w:hAnsi="Times New Roman"/>
          <w:sz w:val="18"/>
          <w:szCs w:val="18"/>
          <w:color w:val="373739"/>
        </w:rPr>
        <w:t xml:space="preserve"> </w:t>
      </w:r>
      <w:r>
        <w:rPr>
          <w:rFonts w:ascii="Times New Roman" w:cs="Times New Roman" w:eastAsia="Times New Roman" w:hAnsi="Times New Roman"/>
          <w:sz w:val="18"/>
          <w:szCs w:val="18"/>
          <w:color w:val="000000"/>
        </w:rPr>
        <w:t>regulations mandate, among other things, the maintenance of air and water quality standards and land reclamation. They also set forth limitations on the generation, transportation, storage and disposal of solid and hazardous waste. Environmental legislation is evolving in a manner which will require stricter standards and enforcement, increased fines and penalties for non-compliance, more stringent environmental assessments of proposed projects and a heightened degree of responsibility for companies and their officers, directors (or the equivalent thereof) and employees. There is no assurance that future changes in environmental regulation, if any, will not adversely affect the operations of the Company.</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8" w:name="page39"/>
    <w:bookmarkEnd w:id="38"/>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our information technology systems, and potential cyber-attacks and security breaches.</w:t>
      </w:r>
    </w:p>
    <w:p>
      <w:pPr>
        <w:spacing w:after="0" w:line="22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Our operations depend, in part, on how well we and our suppliers protect networks, equipment, information technology, which we refer to as IT, systems and software against damage and threats, including, but not limited to, cable cuts, damage to physical plants, natural disasters, intentional damage and destruction, fire, power loss, hacking, computer viruses, vandalism, fraud and theft. Our operations also depend on the timely maintenance and replacement of network equipment, IT systems and software, as well as pre-emptive expenses to mitigate associated risks. Given the nature of our products and the lack of legal availability outside of channels approved by the federal government, as well as the concentration of inventory in our facilities, there remains a risk of shrinkages, as well as theft. If there was a breach in security and we fell victim to theft, fraud, cyber-attack or robbery, the loss of cannabis plants, cannabis oils, cannabis flowers and cultivation and processing equipment, or if there was a failure or breach in information systems, it could adversely affect our reputation and business continuity. Breaches or other unauthorized access, theft, modification or destruction of confidential patient, customer, employee or other confidential information that is stored in our systems could adversely affect our business.</w:t>
      </w:r>
    </w:p>
    <w:p>
      <w:pPr>
        <w:spacing w:after="0" w:line="188"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Additionally, we may store and collect personal information about patients and customers and are responsible for protecting that information from privacy breaches that may occur through procedural or process failure, IT malfunction or deliberate unauthorized intrusions. Any such theft or privacy breach, or one that involved competitively sensitive or other protected information, would have a material adverse effect on our business, prospects, revenue, results of operation and financial condition.</w:t>
      </w:r>
    </w:p>
    <w:p>
      <w:pPr>
        <w:spacing w:after="0" w:line="180"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We could experience a cyber incident, which generally refers to any intentional attack or an unintentional event that results in unauthorized access to systems to disrupt operations, corrupt data or steal or expose confidential information or intellectual property, or a ransomware attack, which is a type of malicious software that infects a computer and restricts users' access to it until a ransom is paid to unlock it. Any such incident that compromises the information stored on our systems could result in widespread negative publicity, damage to our reputation, a loss of patients and customers, disruption of our business and legal liabilities. If any of our critical suppliers is the subject of a cyber or ransomware attack, we could experience a significant disruption in our supply chain and possibly shortages of key resources.</w:t>
      </w:r>
    </w:p>
    <w:p>
      <w:pPr>
        <w:spacing w:after="0" w:line="187"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We are subject to laws, rules and regulations in the United States (such as the California Consumer Privacy Act (which became effective on January 1, 2020) and other jurisdictions relating to the collection, processing, storage, transfer and use of personal data. Our ability to execute transactions and to possess and use personal information and data in conducting our business subjects us to legislative and regulatory burdens that may require us to notify regulators and customers, employees and other individuals of a data security breach. Evolving compliance and operational requirements under the California Consumer Privacy Act and the privacy laws, rules and regulations of other jurisdictions in which we operate impose significant costs that are likely to increase over time. In addition, non-compliance could result in proceedings against us by governmental entities and/or significant fines, could negatively impact our reputation and may otherwise adversely impact our business, financial condition and operating results.</w:t>
      </w:r>
    </w:p>
    <w:p>
      <w:pPr>
        <w:spacing w:after="0" w:line="185" w:lineRule="exact"/>
        <w:rPr>
          <w:sz w:val="20"/>
          <w:szCs w:val="20"/>
          <w:color w:val="auto"/>
        </w:rPr>
      </w:pPr>
    </w:p>
    <w:p>
      <w:pPr>
        <w:ind w:right="68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third-parties to provide numerous capabilities that we depend upon on to operate, and a disruption of these systems could adversely affect our business.</w:t>
      </w:r>
    </w:p>
    <w:p>
      <w:pPr>
        <w:spacing w:after="0" w:line="186"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We are dependent on vendors and third-party software providers, such as our seed-to-sale tracking software providers and point of sale transaction processing providers to operate our business. A serious disruption to any of these could significantly limit our ability to serve our customers and operate profitably. The failure of one or more such providers to provide the expected services, provide them on a timely basis or provide them at the prices we expect, or otherwise meet our performance standards and expectations (including with respect to data security, compliance and data privacy and protection laws) may adversely affect our business. Further, if we found it necessary to replace any such service provider, disruptions arising from the transition of functions to an alternative provider, or the costs developing our own software if we were unable to find an alternate provider, may have a material adverse effect on our results of operations or financial condition. Any disruption could cause our business and competitive position to suffer and cause our operating results to be reduced.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9" w:name="page40"/>
    <w:bookmarkEnd w:id="39"/>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our insurance coverage and uninsurable risks.</w:t>
      </w:r>
    </w:p>
    <w:p>
      <w:pPr>
        <w:spacing w:after="0" w:line="229" w:lineRule="exact"/>
        <w:rPr>
          <w:sz w:val="20"/>
          <w:szCs w:val="20"/>
          <w:color w:val="auto"/>
        </w:rPr>
      </w:pPr>
    </w:p>
    <w:p>
      <w:pPr>
        <w:jc w:val="both"/>
        <w:ind w:right="540" w:firstLine="749"/>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and hazards generally, including adverse environmental conditions, accidents, labor disputes, destruction from civil unrest and changes in the regulatory environment. Such occurrences could result in damage to assets, personal injury or death, environmental damage, delays in operations, monetary losses and possible legal liability.</w:t>
      </w:r>
    </w:p>
    <w:p>
      <w:pPr>
        <w:spacing w:after="0" w:line="176" w:lineRule="exact"/>
        <w:rPr>
          <w:sz w:val="20"/>
          <w:szCs w:val="20"/>
          <w:color w:val="auto"/>
        </w:rPr>
      </w:pPr>
    </w:p>
    <w:p>
      <w:pPr>
        <w:ind w:right="220" w:firstLine="749"/>
        <w:spacing w:after="0" w:line="255" w:lineRule="auto"/>
        <w:rPr>
          <w:sz w:val="20"/>
          <w:szCs w:val="20"/>
          <w:color w:val="auto"/>
        </w:rPr>
      </w:pPr>
      <w:r>
        <w:rPr>
          <w:rFonts w:ascii="Times New Roman" w:cs="Times New Roman" w:eastAsia="Times New Roman" w:hAnsi="Times New Roman"/>
          <w:sz w:val="18"/>
          <w:szCs w:val="18"/>
          <w:color w:val="auto"/>
        </w:rPr>
        <w:t>Although we intend to continue to maintain insurance to protect against certain risks in such amounts as we consider to be reasonable, our insurance will not cover all the potential risks associated with our operations. We may also be unable to maintain insurance to cover these risks at economically feasible premiums. Insurance coverage may not continue to be available or may not be adequate to cover any resulting liability. Moreover, insurance against risks such as environmental pollution or other hazards encountered in our operations is not generally available on acceptable terms. We might also become subject to liability for pollution or other hazards which the Company may not be insured against or which we may elect not to insure against because of premium costs or other reasons. Losses from these events may cause us to incur significant costs that could have a material adverse effect upon our financial performance and results of operations.</w:t>
      </w:r>
    </w:p>
    <w:p>
      <w:pPr>
        <w:spacing w:after="0" w:line="185" w:lineRule="exact"/>
        <w:rPr>
          <w:sz w:val="20"/>
          <w:szCs w:val="20"/>
          <w:color w:val="auto"/>
        </w:rPr>
      </w:pPr>
    </w:p>
    <w:p>
      <w:pPr>
        <w:ind w:right="24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key inputs, suppliers and skilled labor; and fluctuations in the cost or availability of materials we use in our products and supply chain could negatively affect our results.</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marijuana business is dependent on a number of key inputs and their related costs, including raw materials and supplies related to growing operations, as well as electricity, water and other local utilities. Any significant interruption or negative change in the availability or economics of the supply chain for key inputs, such as the raw material cost of cannabis, materials we use in our products and for the construction and development of our facilities, or natural or other disruptions to power or other utility systems, could materially impact our business, financial condition, results of operations or prospects. Some of these inputs may only be available from a single supplier or a limited group of suppliers, or be sourced abroad. If a sole source supplier was to go out of business, we might be unable to find a replacement for such source in a timely manner, or at all. If a sole source supplier were to be acquired by a competitor, that competitor may elect not to sell to us in the future. Manufacturing delays or unexpected transportation delays, particularly from materials we source abroad, can also cause us to incur significantly increased costs. Any of these fluctuations may increase our cost of products and have an adverse effect on our profit margins, results of operations and financial condition. Any inability to secure required supplies and services, or to do so on appropriate terms, could have a materially adverse impact on our business, prospects, revenue, results of operations and financial condition.</w:t>
      </w:r>
    </w:p>
    <w:p>
      <w:pPr>
        <w:spacing w:after="0" w:line="194"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Our ability to compete and grow will be dependent on us having access, at a reasonable cost and in a timely manner, to skilled labor, equipment, parts and components. No assurances can be given that we will be successful in maintaining our required supply of skilled labor, equipment, parts and components.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must attract and maintain key personnel or our business will fail.</w:t>
      </w:r>
    </w:p>
    <w:p>
      <w:pPr>
        <w:spacing w:after="0" w:line="229" w:lineRule="exact"/>
        <w:rPr>
          <w:sz w:val="20"/>
          <w:szCs w:val="20"/>
          <w:color w:val="auto"/>
        </w:rPr>
      </w:pPr>
    </w:p>
    <w:p>
      <w:pPr>
        <w:ind w:right="300" w:firstLine="749"/>
        <w:spacing w:after="0" w:line="266" w:lineRule="auto"/>
        <w:rPr>
          <w:sz w:val="20"/>
          <w:szCs w:val="20"/>
          <w:color w:val="auto"/>
        </w:rPr>
      </w:pPr>
      <w:r>
        <w:rPr>
          <w:rFonts w:ascii="Times New Roman" w:cs="Times New Roman" w:eastAsia="Times New Roman" w:hAnsi="Times New Roman"/>
          <w:sz w:val="18"/>
          <w:szCs w:val="18"/>
          <w:color w:val="auto"/>
        </w:rPr>
        <w:t>Our success is dependent upon the ability, expertise, judgment, discretion and good faith of our senior management and key personnel. We compete with other companies both within and outside the cannabis industry to recruit and retain competent employees. If we cannot maintain qualified employees to meet the needs of our anticipated growth, our business and financial condition could be materially adversely affected.</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Our sales are difficult to forecast.</w:t>
      </w:r>
    </w:p>
    <w:p>
      <w:pPr>
        <w:spacing w:after="0" w:line="22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As a result of recent and ongoing regulatory and policy changes in the medical and adult-use cannabis industries, laws that prevent widespread participation in and otherwise hinder market research in the medical and adult-use cannabis industry, and unreliable levels of market supply, the market data available is limited and unreliable. We must rely largely on our own market research to forecast sales, as detailed forecasts are not generally obtainable from other sources in the states in which our business operates. Additionally, any market research and our projections of estimated total retail sales, demographics, demand and similar consumer research, are based on assumptions from limited and unreliable market data. A failure in the demand for our products to materialize as a result of competition, technological change, failure of states to enforce cannabis regulations, the use of psychoactive hemp-based products or other factors could have a material adverse effect on our business, results of operations and financial condition.</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0" w:name="page41"/>
    <w:bookmarkEnd w:id="40"/>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growth-related risks.</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We may be subject to growth-related risks, including capacity constraints and pressure on our internal systems and controls. Our ability to manage growth effectively will require us to continue to implement and improve our operational and financial systems and to expand, train and manage our employee base. Our inability to deal with this growth may have a material adverse effect on our business, prospects, revenue, results of operation and financial condition.</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litigation.</w:t>
      </w:r>
    </w:p>
    <w:p>
      <w:pPr>
        <w:spacing w:after="0" w:line="22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We may become party to litigation from time to time in the ordinary course of business, which could adversely affect our business. Should any litigation in which we become involved be determined against us, such a decision could adversely affect our ability to continue operating and the market price for the Subordinate Voting Shares and could potentially use significant resources. Even if we are involved in litigation and win, litigation can redirect significant resources of Green Thumb Industries Inc. and/or its subsidiaries.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face an inherent risk of product liability and similar claims.</w:t>
      </w:r>
    </w:p>
    <w:p>
      <w:pPr>
        <w:spacing w:after="0" w:line="22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As a distributor of products designed to be ingested by humans, we face an inherent risk of exposure to product liability claims, regulatory action and litigation if our products are alleged to have failed to meet expected standards or to have caused significant loss or injury. In addition, the sale of our products involves the risk of injury to consumers due to tampering by unauthorized third parties or product contamination. Previously unknown adverse reactions resulting from human consumption of our products alone or in combination with other medications or substances could occur. We may be subject to various product liability claims, including, among others, that our products caused injury, illness or death, include inadequate instructions for use or include inadequate warnings concerning possible side effects or interactions with other substances. As an agricultural product, the quality of cannabis is inherently variable, and consumers may raise claims that our quality control or labeling processes have not sufficiently ensured that our grown and manufactured processes are sufficient to meet expected standards. A product liability claim or regulatory action against us could result in increased costs, could adversely affect our reputation with our clients and consumers generally and could have a material adverse effect on our business, results of operations and financial condition. There can be no assurances that we will be able to obtain or maintain product liability insurance on acceptable terms or with adequate coverage against potential liabilities. Such insurance is expensive and may not be available in the future on acceptable terms, or at all. The inability to obtain sufficient insurance coverage on reasonable terms or to otherwise protect against potential product liability claims could prevent or inhibit the commercialization of our potential products.</w:t>
      </w:r>
    </w:p>
    <w:p>
      <w:pPr>
        <w:spacing w:after="0" w:line="183" w:lineRule="exact"/>
        <w:rPr>
          <w:sz w:val="20"/>
          <w:szCs w:val="20"/>
          <w:color w:val="auto"/>
        </w:rPr>
      </w:pPr>
    </w:p>
    <w:p>
      <w:pPr>
        <w:ind w:right="40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exposed to infringement or misappropriation claims by third parties, which, if determined adversely to us, could subject us to significant liabilities and other costs.</w:t>
      </w:r>
    </w:p>
    <w:p>
      <w:pPr>
        <w:spacing w:after="0" w:line="15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Our success may depend on our ability to use and develop new extraction technologies, recipes, know-how and new strains of marijuana without infringing the intellectual property rights of third parties. We cannot assure that third parties will not assert intellectual property claims against us. We are subject to additional risks if entities licensing intellectual property to us do not have adequate rights to the licensed materials. If third parties assert copyright or patent infringement or violation of other intellectual property rights against us, we will be required to defend ourselves in litigation or administrative proceedings, which can be both costly and time consuming and may significantly divert the efforts and resources of management personnel. An adverse determination in any such litigation or proceedings to which we may become a party could subject us to significant liability to third parties, require us to seek licenses from third parties, require us to pay ongoing royalties or subject us to injunctions that may prohibit the development and operation of our applications.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1" w:name="page42"/>
    <w:bookmarkEnd w:id="41"/>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Our products may be subject to product recalls.</w:t>
      </w:r>
    </w:p>
    <w:p>
      <w:pPr>
        <w:spacing w:after="0" w:line="22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Manufacturers, distributors and retailers of products are sometimes subject to the recall or return of their products for a variety of reasons, including product defects, such as contamination, unintended harmful side effects or interactions with other substances, packaging safety and inadequate or inaccurate labeling disclosure. If any of our products or products sold at our retail stores are recalled due to an alleged product defect or for any other reason, we could be required to incur the unexpected expense of the recall and any legal proceedings that might arise in connection with the recall. We may lose a significant amount of sales and may not be able to replace those sales at an acceptable margin, if at all. In addition, a product recall may require significant management attention. Although we have detailed procedures in place for testing our products and requiring compliant labeling of third-party products we sell, there can be no assurance that any quality, potency or contamination problems will be detected in time to avoid unforeseen product recalls, regulatory action or lawsuits. Additionally, if any of our brands were subject to recall, our image and the image of that brand could be harmed. A recall for any of the foregoing reasons could lead to decreased demand for our products and could have a material adverse effect on the results of our operations and financial condition. Additionally, product recalls may lead to increased scrutiny of our operations by the Food and Drug Administration, or other regulatory agencies, requiring further management attention and potential legal fees and other expenses.</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face unfavorable publicity or consumer perception.</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Management believes the medical and adult-use cannabis industry is highly dependent upon consumer perception regarding the safety, efficacy and quality of the cannabis produced. Consumer perception of our products may be significantly influenced by scientific research or findings, regulatory investigations, litigation, media attention and other publicity regarding the consumption of cannabis products. There can be no assurance that future scientific research, findings, regulatory proceedings, litigation, media attention or other research findings or publicity will be favorable to the cannabis market or any particular product, or consistent with earlier publicity. Future research reports, findings, regulatory proceedings, litigation, media attention or other publicity that is perceived as less favorable than, or questions earlier research reports, findings or publicity could have a material adverse effect on the demand for our products. Our dependence upon consumer perceptions means that such adverse reports, whether or not accurate or with merit, could ultimately have a material adverse effect on our business, results of operations, financial condition and cash flows. Further, adverse publicity reports or other media attention regarding the safety, efficacy and quality of cannabis in general, or our products specifically, or associating the consumption of cannabis with illness or other negative effects or events, could have such a material adverse effect. Although the Company uses quality control processes and procedures to ensure our consumer packaged goods meet our standards, a failure or alleged failure of such processes and procedures could result in negative consumer perception of our products or legal claims against us. Adverse publicity reports or other media attention could arise even if the adverse effects associated with such products resulted from consumers’ failure to consume such products appropriately or as directed.</w:t>
      </w:r>
    </w:p>
    <w:p>
      <w:pPr>
        <w:spacing w:after="0" w:line="187"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Certain of our products are e-vapor or “vape” products. The use of vape products and vaping may pose health risks. According to the Centers for Disease Control, vape products may contain ingredients that are known to be toxic to humans and may contain other ingredients that may not be safe. Because clinical studies about the safety and efficacy of vape products have not been submitted to the Food and Drug Administration, consumers currently have no way of knowing whether they are safe for their intended use or what types or concentrations of potentially harmful chemicals or by-products are found in these products. It is also uncertain what implications the use of vape or other inhaled products, such as flower that is smoked, may have on respiratory illnesses such as that caused by the Coronavirus Disease 2019, which we refer to as COVID-19. Adverse findings, regulatory investigations, litigation, media attention and other publicity regarding the consumption of vape or other inhaled products, including adverse publicity regarding underage use of vape or other inhaled products, may adversely affect the Company.</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2" w:name="page43"/>
    <w:bookmarkEnd w:id="42"/>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w:t>
      </w:r>
    </w:p>
    <w:p>
      <w:pPr>
        <w:spacing w:after="0" w:line="229" w:lineRule="exact"/>
        <w:rPr>
          <w:sz w:val="20"/>
          <w:szCs w:val="20"/>
          <w:color w:val="auto"/>
        </w:rPr>
      </w:pPr>
    </w:p>
    <w:p>
      <w:pPr>
        <w:ind w:right="300" w:firstLine="749"/>
        <w:spacing w:after="0" w:line="266" w:lineRule="auto"/>
        <w:rPr>
          <w:sz w:val="20"/>
          <w:szCs w:val="20"/>
          <w:color w:val="auto"/>
        </w:rPr>
      </w:pPr>
      <w:r>
        <w:rPr>
          <w:rFonts w:ascii="Times New Roman" w:cs="Times New Roman" w:eastAsia="Times New Roman" w:hAnsi="Times New Roman"/>
          <w:sz w:val="18"/>
          <w:szCs w:val="18"/>
          <w:color w:val="auto"/>
        </w:rPr>
        <w:t>We face intense competition from other companies, some of which have longer operating histories and more financial resources and manufacturing, retail and marketing experience than us. Increased competition by larger and better financed competitors could materially and adversely affect our business, financial condition and results of operations.</w:t>
      </w:r>
    </w:p>
    <w:p>
      <w:pPr>
        <w:spacing w:after="0" w:line="176"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Because of the early stage of the industry in which we operate, we face additional competition from new entrants, participants in the illicit market that face significantly lower costs to operate, and sellers of unregulated psychoactive hemp-based products. If the number of consumers of cannabis in the states in which we operate our business increases, the demand for products and qualified talent will increase and we expect that competition will become more intense, as current and future competitors begin to offer an increasing number of diversified products. To remain competitive, we will require a continued high level of investment in research and development, marketing, sales, talent retention and client support. We may not have sufficient resources to maintain research and development, marketing, sales and client support efforts on a competitive basis, which could materially and adversely affect our business, financial condition and results of operations. Additionally, as the number of available licenses increase in the markets in which we operate, additional competition and increased product availability may result in competitors undercutting our prices. From time to time, we may need to reduce our prices in response to competitive and customer pressures and to maintain our market share, which could materially reduce our revenues. A decline in the price of the Subordinate Voting Shares could affect our ability to raise further working capital and adversely impact our ability to continue operations.</w:t>
      </w:r>
    </w:p>
    <w:p>
      <w:pPr>
        <w:spacing w:after="0" w:line="192" w:lineRule="exact"/>
        <w:rPr>
          <w:sz w:val="20"/>
          <w:szCs w:val="20"/>
          <w:color w:val="auto"/>
        </w:rPr>
      </w:pPr>
    </w:p>
    <w:p>
      <w:pPr>
        <w:ind w:right="160" w:firstLine="749"/>
        <w:spacing w:after="0" w:line="255" w:lineRule="auto"/>
        <w:rPr>
          <w:sz w:val="20"/>
          <w:szCs w:val="20"/>
          <w:color w:val="auto"/>
        </w:rPr>
      </w:pPr>
      <w:r>
        <w:rPr>
          <w:rFonts w:ascii="Times New Roman" w:cs="Times New Roman" w:eastAsia="Times New Roman" w:hAnsi="Times New Roman"/>
          <w:sz w:val="18"/>
          <w:szCs w:val="18"/>
          <w:color w:val="auto"/>
        </w:rPr>
        <w:t>A prolonged decline in the price of the Subordinate Voting Shares could result in a reduction in the liquidity of the Subordinate Voting Shares and a reduction in our ability to raise capital. Because a significant portion of our operations have been and will be financed through the sale of equity securities, a decline in the price of our common stock could be especially detrimental to our liquidity and our operations. Such reductions may force us to reallocate funds from other planned uses and may have a significant negative effect on our business plan and operations, including our ability to develop new products and continue our current operations. If our stock price declines, there can be no assurance that we will be able to raise additional capital or generate funds from operations sufficient to meet our obligations. If we are unable to raise sufficient capital in the future, we may not be able to have the resources to continue our normal operations.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have increased labor costs based on union activity.</w:t>
      </w:r>
    </w:p>
    <w:p>
      <w:pPr>
        <w:spacing w:after="0" w:line="229"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Labor unions are working to organize workforces in the cannabis industry in general. Currently, under 10% of our workforce has elected to be represented by a labor organization for purposes of collective bargaining. However, it is possible that greater portions of our workforce at retail and/or manufacturing locations will be organized in the future, which could lead to work stoppages or increased labor costs and adversely affect our business, profitability and our ability to reinvest into the growth of our business. We cannot predict how stable our relationships with U.S. labor organizations will remain or whether we can meet any unions’ requirements without impacting our financial condition. Labor unions may also limit our flexibility in dealing with our workforce. Work stoppages and instability in our union relationships could delay the production and sale of our products, which could strain relationships with customers and cause a loss of revenues which would adversely affect our operations.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general economic risks and risks of continued inflation.</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Our operations could be affected by the economic context should the unemployment level, interest rates or inflation reach levels that influence consumer trends and spending and, consequently, impact our sales and profitability. A continued upward rate of inflation could influence the profits that we generate from our business. When the rate of inflation rises, the operational costs of running our company also increases, such as labor costs, raw materials and public utilities, thus affecting our ability to provide our products at competitive prices. An increase in the rate of inflation could force our customers to search for other products, causing us to lose business and revenue. As the number of available licenses increase in the markets in which we operate, additional competition and increased product availability may result in competitors undercutting our prices. From time to time, we may need to reduce our prices in response to competitive and customer pressures and to maintain our market share, which could materially reduce our revenues.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3" w:name="page44"/>
    <w:bookmarkEnd w:id="43"/>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be negatively impacted by challenging global economic conditions.</w:t>
      </w:r>
    </w:p>
    <w:p>
      <w:pPr>
        <w:spacing w:after="0" w:line="229"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Our business, financial condition, results of operations and cash flow may be negatively impacted by challenging global economic conditions. For example and as discussed in more detail below, since early 2020, the U.S and other world economies have experienced turmoil due to outbreaks of COVID-19 and its variants, which has resulted in global economic uncertainty, supply chain disruptions and other issues.</w:t>
      </w:r>
    </w:p>
    <w:p>
      <w:pPr>
        <w:spacing w:after="0" w:line="176"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A global economic slowdown would cause disruptions and extreme volatility in global financial markets, increased rates of default and bankruptcy and declining consumer and business confidence, which can lead to decreased levels of consumer spending. These macroeconomic developments could negatively impact our business, which depends on the general economic environment and levels of consumer spending. As a result, we may not be able to maintain our existing customers or attract new customers, or we may be forced to reduce the price of our products. We are unable to predict the likelihood of the occurrence, duration or severity of such disruptions in the credit and financial markets or adverse global economic conditions. Any general or market-specific economic downturn could have a material adverse effect on our business, financial condition, results of operations and cash flow.</w:t>
      </w:r>
    </w:p>
    <w:p>
      <w:pPr>
        <w:spacing w:after="0" w:line="18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Additionally, the U.S. has imposed and may impose additional quotas, duties, tariffs, retaliatory or trade protection measures or other restrictions or regulations and may adversely adjust prevailing quota, duty or tariff levels, which can affect both the materials that we use to package our products and the sale of finished products. For example, the tariffs imposed by the U.S. on materials from China are impacting materials that we import for use in packaging in the U.S. Measures to reduce the impact of tariff increases or trade restrictions, including geographical diversification of our sources of supply, adjustments in packaging design and fabrication or increased prices, could increase our costs, delay our time to market and/or decrease sales. Other governmental action related to tariffs or international trade agreements has the potential to adversely impact demand for our products and our costs, customers, suppliers and global economic conditions and cause higher volatility in financial markets. While we actively review existing and proposed measures to seek to assess the impact of them on our business, changes in tariff rates, import duties and other new or augmented trade restrictions could have a number of negative impacts on our business, including higher consumer prices and reduced demand for our products and higher input costs.</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arising from epidemic diseases, such as the recent outbreak of the COVID-19 illness.</w:t>
      </w:r>
    </w:p>
    <w:p>
      <w:pPr>
        <w:spacing w:after="0" w:line="229"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The COVID-19 illness and its variants, which has been declared by the World Health Organization to be a “pandemic” has spread across the globe and is impacting worldwide economic activity. A public health epidemic, including COVID-19, or the fear of a potential pandemic, poses the risk that we or our employees, contractors, suppliers, and other partners may be prevented from conducting business activities for an indefinite period of time, including due to shutdowns or other preventative measures taken to limit the potential impact from a public health epidemic that may be requested or mandated by governmental authorities.</w:t>
      </w:r>
    </w:p>
    <w:p>
      <w:pPr>
        <w:spacing w:after="0" w:line="183"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Our priorities during the COVID-19 pandemic are protecting the health and safety of our employees and our customers, following the recommended actions of government and health authorities. In the future, the pandemic may cause reduced demand for our products and services if, for example, it results in a recessionary economic environment. Our operations continued during the COVID-19 pandemic, as the cultivation, processing and sale of cannabis products was considered an essential business by all states in which we operate with respect to all customers when shutdowns were imposed. Our ability to continue to operate without any significant negative operational impact from the COVID-19 pandemic or any future public health crisis will in part depend on our ability to protect our employees, customers and supply chain.</w:t>
      </w:r>
    </w:p>
    <w:p>
      <w:pPr>
        <w:spacing w:after="0" w:line="18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While it is not possible at this time to estimate the impact that COVID-19 or any other actual or potential pandemic could have on our business, the continued spread of COVID-19 or any other actual or potential pandemic and the measures taken by the governments of countries affected could further disrupt the supply chain and the manufacture or shipment or sale of our products and adversely impact our business, financial condition or results of operations. It could also affect the health and availability of our workforce at our facilities, as well as those of our suppliers, particularly those in China and India. The COVID-19 outbreak, or any of its variants, and mitigation measures may also have an adverse impact on global economic conditions which could have an adverse effect on our business and financial condition. The extent to which the COVID-19 outbreak impacts our results will depend on future developments that are highly uncertain and cannot be predicted, including new information that may emerge concerning the severity of the virus and the actions to contain its impact. Because cannabis remains federally illegal, it is possible that we would not be eligible to participate in any government relief programs (such as federal loans or access to capital) resulting from COVID-19 or any other actual or potential pandemic.</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4" w:name="page45"/>
    <w:bookmarkEnd w:id="44"/>
    <w:p>
      <w:pPr>
        <w:ind w:left="760"/>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A return on our securities is not guaranteed.</w:t>
      </w:r>
    </w:p>
    <w:p>
      <w:pPr>
        <w:spacing w:after="0" w:line="22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There is no guarantee that our Subordinate Voting Shares will earn any positive return in the short term or long term. A holding of Subordinate Voting Shares is speculative and involves a high degree of risk and should be undertaken only by holders whose financial resources are sufficient to enable them to assume such risks and who have no need for immediate liquidity in their investment. A holding of Subordinate Voting Shares is appropriate only for holders who have the capacity to absorb a loss of some or all of their holdings.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may be affected by currency fluctuations.</w:t>
      </w:r>
    </w:p>
    <w:p>
      <w:pPr>
        <w:spacing w:after="0" w:line="22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We face exposure to significant currency fluctuations because of our present operations in the U.S. Recent events in the global financial markets have been coupled with increased volatility in the currency markets. All or substantially all of our revenue is earned in U.S. dollars, but our shares, employee options and some of our warrants issued to holders of our notes are denominated in Canadian dollars which can provide variability for results of operations. We do not have currency hedging arrangements in place and there is no expectation that we will put any currency hedging arrangements in place in the future. Fluctuations in the exchange rate between the U.S. dollar and the Canadian dollar may have a material adverse effect on our business, financial position or results of operations.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Our voting control is concentrated.</w:t>
      </w:r>
    </w:p>
    <w:p>
      <w:pPr>
        <w:spacing w:after="0" w:line="229"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Our senior executives exercise a significant majority of the voting power with respect to our outstanding shares because of the Super Voting Shares that they hold. These officials include Benjamin Kovler, our Founder, Chairman and Chief Executive Officer, Andrew Grossman, our Head of Capital Markets, and Anthony Georgiadis, our President. Subordinate Voting Shares are entitled to one vote per share, Multiple Voting Shares are entitled to 100 votes per share, and Super Voting Shares are entitled to 1,000 votes per share. As a result, Mr. Kovler, Mr. Grossman and Mr. Georgiadis potentially have the ability to control the outcome of matters submitted to our shareholders for approval, including the election and removal of directors and any arrangement or sale of all or substantially all of our assets.</w:t>
      </w:r>
    </w:p>
    <w:p>
      <w:pPr>
        <w:spacing w:after="0" w:line="187"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This concentrated control could delay, defer or prevent a change of control, arrangement or merger involving sale of all or substantially all of our assets that our other shareholders may support. Conversely, this concentrated control could allow the holders of the Super Voting Shares to consummate such a transaction our other shareholders do not support. In addition, the holders of the Super Voting Shares may make long-term strategic investment decisions and take risks that may not be successful and/or may seriously harm our business.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Our capital structure and voting control may cause unpredictability.</w:t>
      </w:r>
    </w:p>
    <w:p>
      <w:pPr>
        <w:spacing w:after="0" w:line="229"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Although other Canadian-based companies have dual class or multiple voting share structures, given our unique capital structure and the concentration of voting control that is held by the holders of the Super Voting Shares, this structure and control could result in greater fluctuations in the trading price of our Subordinate Voting Shares, adverse publicity to us or other adverse consequences.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Additional issuances of Super Voting Shares, Multiple Voting Shares or Subordinate Voting Shares may result in dilution.</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may issue additional equity or convertible debt securities in the future, which may dilute an existing shareholder’s holdings. Our articles permit the issuance of an unlimited number of Super Voting Shares, Multiple Voting Shares and Subordinate Voting Shares, and existing shareholders will have no pre-emptive rights in connection with such further issuances. Our board of directors has discretion to determine the price and the terms of further issuances, and such terms could include rights, preferences and privileges superior to those existing holders of Subordinate Voting Shares. Moreover, additional Subordinate Voting Shares will be issued by us on the conversion of the Multiple Voting Shares and Super Voting Shares in accordance with their terms. To the extent holders of our options or other convertible securities convert or exercise their securities and sell Subordinate Voting Shares they receive, the trading price of the Subordinate Voting Shares may decrease due to the additional amount of Subordinate Voting Shares available in the market. We cannot predict the size or nature of future issuances or the effect that future issuances and sales of Subordinate Voting Shares will have on the market price of the Subordinate Voting Shares. Issuances of a substantial number of additional Subordinate Voting Shares, or the perception that such issuances could occur, may adversely affect prevailing market prices for the Subordinate Voting Shares. With any additional issuance of Subordinate Voting Shares, investors will suffer dilution to their voting power and economic interest in us.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5" w:name="page46"/>
    <w:bookmarkEnd w:id="45"/>
    <w:p>
      <w:pPr>
        <w:ind w:right="14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Subordinate Voting Shares by our existing shareholders in the public market may have an adverse effect on the market price of the Subordinate Voting Shares.</w:t>
      </w:r>
    </w:p>
    <w:p>
      <w:pPr>
        <w:spacing w:after="0" w:line="15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Sales of substantial amounts of Subordinate Voting Shares, or the availability of such securities for sale, could adversely affect the prevailing market prices for the Subordinate Voting Shares. A decline in the market prices of the Subordinate Voting Shares could impair our ability to raise additional capital through the sale of securities should we desire to do so.</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for the Subordinate Voting Shares may be volatile.</w:t>
      </w:r>
    </w:p>
    <w:p>
      <w:pPr>
        <w:spacing w:after="0" w:line="229"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The market price for securities of cannabis companies generally are likely to be volatile. In addition, the market price for the Subordinate Voting Shares has been and may be subject to wide fluctuations in response to numerous factors beyond our control, including, but not limited to:</w:t>
      </w:r>
    </w:p>
    <w:p>
      <w:pPr>
        <w:spacing w:after="0" w:line="54"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recommendations by securities research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companies in the industry in which we operate;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or departure of our executive officers and other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or expiration of transfer restrictions on outstanding Subordinate Voting Shares;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sales of additional Subordinate Voting Shares;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financial performance that varies from the expectations of management, securities analysts and investors;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affecting our industry generally and our business and operations both domestically and abroad;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developments and other material events by us or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costs of vital production materials and services;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global financial markets, global economies and general market conditions, such as interest rates and pharmaceutical product price volatility;</w:t>
      </w:r>
    </w:p>
    <w:p>
      <w:pPr>
        <w:spacing w:after="0" w:line="53"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acquisitions or business combinations, strategic partnerships, joint ventures or capital commitments by or involving us or our competitors;</w:t>
      </w:r>
    </w:p>
    <w:p>
      <w:pPr>
        <w:spacing w:after="0" w:line="53"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share price performance of other companies that investors deem comparable to us or from a lack of market comparable companies;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reports relating to trends, concerns, technological or competitive developments, regulatory changes and other related issues in our industry or target markets.</w:t>
      </w:r>
    </w:p>
    <w:p>
      <w:pPr>
        <w:spacing w:after="0" w:line="162" w:lineRule="exact"/>
        <w:rPr>
          <w:sz w:val="20"/>
          <w:szCs w:val="20"/>
          <w:color w:val="auto"/>
        </w:rPr>
      </w:pPr>
    </w:p>
    <w:p>
      <w:pPr>
        <w:ind w:right="160" w:firstLine="749"/>
        <w:spacing w:after="0" w:line="255" w:lineRule="auto"/>
        <w:rPr>
          <w:sz w:val="20"/>
          <w:szCs w:val="20"/>
          <w:color w:val="auto"/>
        </w:rPr>
      </w:pPr>
      <w:r>
        <w:rPr>
          <w:rFonts w:ascii="Times New Roman" w:cs="Times New Roman" w:eastAsia="Times New Roman" w:hAnsi="Times New Roman"/>
          <w:sz w:val="18"/>
          <w:szCs w:val="18"/>
          <w:color w:val="auto"/>
        </w:rPr>
        <w:t>Financial markets have at times historically experienced significant price and volume fluctuations that: (i) have particularly affected the market prices of equity securities of companies and (ii) have often been unrelated to the operating performance, underlying asset values or prospects of such companies. Accordingly, the market price of the Subordinate Voting Shares from time to time may decline even if our operating results, underlying asset values or prospects have not changed. Additionally, these factors, as well as other related factors, may cause decreases in asset values that may result in impairment losses to us. There can be no assurance that further fluctuations in price and volume of equity securities will not occur. If increased levels of volatility and market turmoil continue, our operations could be adversely impacted, and the trading price of the Subordinate Voting Shares may be materially adversely affected.</w:t>
      </w:r>
    </w:p>
    <w:p>
      <w:pPr>
        <w:spacing w:after="0" w:line="185" w:lineRule="exact"/>
        <w:rPr>
          <w:sz w:val="20"/>
          <w:szCs w:val="20"/>
          <w:color w:val="auto"/>
        </w:rPr>
      </w:pPr>
    </w:p>
    <w:p>
      <w:pPr>
        <w:ind w:right="36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or publish misleading, inaccurate or unfavorable research about us, our business or our market, our stock price and trading volume could decline.</w:t>
      </w:r>
    </w:p>
    <w:p>
      <w:pPr>
        <w:spacing w:after="0" w:line="15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 trading market for our Subordinate Voting Shares will be influenced by the research and reports that securities or industry analysts publish about us, our business, our market or our competitors. If no or few securities or industry analysts cover our Corporation, the trading price and volume of our shares would likely be negatively impacted. If one or more of the analysts who covers us downgrades our shares or publishes inaccurate or unfavorable research about our business, or provides more favorable relative recommendations about our competitors, our stock price would likely decline. If one or more of these analysts ceases coverage of us or fails to publish reports on us regularly, demand for our shares could decrease, which could cause our stock price or trading volume to decline.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6" w:name="page47"/>
    <w:bookmarkEnd w:id="46"/>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face liquidity risks.</w:t>
      </w:r>
    </w:p>
    <w:p>
      <w:pPr>
        <w:spacing w:after="0" w:line="229"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Our Subordinate Voting Shares currently trade on the CSE and on over-the-counter markets in the U.S. We cannot predict at what prices the Subordinate Voting Shares will continue to trade, and there is no assurance that an active trading market will be sustained.</w:t>
      </w:r>
    </w:p>
    <w:p>
      <w:pPr>
        <w:spacing w:after="0" w:line="162"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Our Subordinate Voting Shares do not currently trade on any U.S. securities exchange. In the event our Subordinate Voting Shares do trade on any U.S. securities exchange, we cannot predict at what prices the Subordinate Voting Shares will trade and there is no assurance that an active trading market will develop or be sustained. There is a significant liquidity risk associated with an investment in us.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increased costs as a result of being a public company in Canada and the United States.</w:t>
      </w:r>
    </w:p>
    <w:p>
      <w:pPr>
        <w:spacing w:after="0" w:line="229"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As a public company in Canada and the United States, we are subject to the reporting requirements, rules and regulations under the applicable Canadian and American securities laws and rules of stock exchanges on which the Company’s securities may be listed. The requirements of existing and potential future rules and regulations will increase our legal, accounting and financial compliance costs, make some activities more difficult, time-consuming or costly and may place undue strain on our personnel, systems and resources, which could adversely affect our business, financial condition and results of operations.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face costs of maintaining a public listing.</w:t>
      </w:r>
    </w:p>
    <w:p>
      <w:pPr>
        <w:spacing w:after="0" w:line="22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As a public company, there are costs associated with legal, accounting and other expenses related to regulatory compliance. Securities legislation and the rules and policies of the CSE require listed companies to, among other things, adopt corporate governance and related practices, and to continuously prepare and disclose material information, all of which add to a company’s legal and financial compliance costs. We may also elect to devote greater resources than it otherwise would have on communication and other activities typically considered important by publicly traded companies.</w:t>
      </w:r>
    </w:p>
    <w:p>
      <w:pPr>
        <w:spacing w:after="0" w:line="176" w:lineRule="exact"/>
        <w:rPr>
          <w:sz w:val="20"/>
          <w:szCs w:val="20"/>
          <w:color w:val="auto"/>
        </w:rPr>
      </w:pPr>
    </w:p>
    <w:p>
      <w:pPr>
        <w:ind w:right="18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Subordinate Voting Shares and, consequently, your ability to achieve a return on your investment will depend on appreciation in the price of our Subordinate Voting Shares.</w:t>
      </w:r>
    </w:p>
    <w:p>
      <w:pPr>
        <w:spacing w:after="0" w:line="15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 on our Subordinate Voting Shares and do not currently intend to do so in the foreseeable future. We currently anticipate that we will retain future earnings, if materialized, for the development, operation and expansion of our business and do not anticipate declaring or paying any cash dividends in the foreseeable future. Therefore, the success of an investment in our Subordinate Voting Shares will depend upon any future appreciation in their value. There is no guarantee that our Subordinate Voting Shares will appreciate in value or even maintain the price at which you purchased them.</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The market for the Subordinate Voting Shares may be limited for holders of our securities who live in the United States.</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Given the heightened risk profile associated with cannabis in the United States, capital markets participants may be unwilling to assist with the settlement of trades for U.S. resident securityholders of companies with operations in the U.S. cannabis industry, which may prohibit or significantly impair the ability of securityholders in the United States to trade our securities. In the event residents of the United States are unable to settle trades of our securities, this may affect the pricing of such securities in the secondary market, the transparency and availability of trading prices and the liquidity of these securities.</w:t>
      </w:r>
    </w:p>
    <w:p>
      <w:pPr>
        <w:spacing w:after="0" w:line="395"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7" w:name="page48"/>
    <w:bookmarkEnd w:id="47"/>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229" w:lineRule="exact"/>
        <w:rPr>
          <w:sz w:val="20"/>
          <w:szCs w:val="20"/>
          <w:color w:val="auto"/>
        </w:rPr>
      </w:pPr>
    </w:p>
    <w:p>
      <w:pPr>
        <w:jc w:val="center"/>
        <w:ind w:left="440" w:right="640"/>
        <w:spacing w:after="0" w:line="303" w:lineRule="auto"/>
        <w:rPr>
          <w:sz w:val="20"/>
          <w:szCs w:val="20"/>
          <w:color w:val="auto"/>
        </w:rPr>
      </w:pPr>
      <w:r>
        <w:rPr>
          <w:rFonts w:ascii="Times New Roman" w:cs="Times New Roman" w:eastAsia="Times New Roman" w:hAnsi="Times New Roman"/>
          <w:sz w:val="18"/>
          <w:szCs w:val="18"/>
          <w:color w:val="auto"/>
        </w:rPr>
        <w:t>Our headquarters is located in Chicago, IL. The following table sets forth the Company’s principal cultivation and processing properties. Production Properties</w:t>
      </w:r>
    </w:p>
    <w:tbl>
      <w:tblPr>
        <w:tblLayout w:type="fixed"/>
        <w:tblInd w:w="0" w:type="dxa"/>
        <w:tblCellMar>
          <w:top w:w="0" w:type="dxa"/>
          <w:left w:w="0" w:type="dxa"/>
          <w:bottom w:w="0" w:type="dxa"/>
          <w:right w:w="0" w:type="dxa"/>
        </w:tblCellMar>
      </w:tblPr>
      <w:tr>
        <w:trPr>
          <w:trHeight w:val="178"/>
        </w:trPr>
        <w:tc>
          <w:tcPr>
            <w:tcW w:w="3640" w:type="dxa"/>
            <w:vAlign w:val="bottom"/>
            <w:tcBorders>
              <w:top w:val="single" w:sz="8" w:color="auto"/>
            </w:tcBorders>
            <w:gridSpan w:val="3"/>
          </w:tcPr>
          <w:p>
            <w:pPr>
              <w:jc w:val="center"/>
              <w:ind w:right="100"/>
              <w:spacing w:after="0" w:line="178" w:lineRule="exact"/>
              <w:rPr>
                <w:sz w:val="20"/>
                <w:szCs w:val="20"/>
                <w:color w:val="auto"/>
              </w:rPr>
            </w:pPr>
            <w:r>
              <w:rPr>
                <w:rFonts w:ascii="Times New Roman" w:cs="Times New Roman" w:eastAsia="Times New Roman" w:hAnsi="Times New Roman"/>
                <w:sz w:val="18"/>
                <w:szCs w:val="18"/>
                <w:color w:val="auto"/>
                <w:w w:val="91"/>
              </w:rPr>
              <w:t>Type</w:t>
            </w:r>
          </w:p>
        </w:tc>
        <w:tc>
          <w:tcPr>
            <w:tcW w:w="1440" w:type="dxa"/>
            <w:vAlign w:val="bottom"/>
            <w:tcBorders>
              <w:top w:val="single" w:sz="8" w:color="auto"/>
            </w:tcBorders>
          </w:tcPr>
          <w:p>
            <w:pPr>
              <w:spacing w:after="0"/>
              <w:rPr>
                <w:sz w:val="15"/>
                <w:szCs w:val="15"/>
                <w:color w:val="auto"/>
              </w:rPr>
            </w:pPr>
          </w:p>
        </w:tc>
        <w:tc>
          <w:tcPr>
            <w:tcW w:w="2300" w:type="dxa"/>
            <w:vAlign w:val="bottom"/>
            <w:tcBorders>
              <w:top w:val="single" w:sz="8" w:color="auto"/>
            </w:tcBorders>
            <w:gridSpan w:val="2"/>
          </w:tcPr>
          <w:p>
            <w:pPr>
              <w:jc w:val="center"/>
              <w:ind w:right="1660"/>
              <w:spacing w:after="0" w:line="178" w:lineRule="exact"/>
              <w:rPr>
                <w:sz w:val="20"/>
                <w:szCs w:val="20"/>
                <w:color w:val="auto"/>
              </w:rPr>
            </w:pPr>
            <w:r>
              <w:rPr>
                <w:rFonts w:ascii="Times New Roman" w:cs="Times New Roman" w:eastAsia="Times New Roman" w:hAnsi="Times New Roman"/>
                <w:sz w:val="18"/>
                <w:szCs w:val="18"/>
                <w:color w:val="auto"/>
                <w:w w:val="99"/>
              </w:rPr>
              <w:t>Location</w:t>
            </w:r>
          </w:p>
        </w:tc>
        <w:tc>
          <w:tcPr>
            <w:tcW w:w="3860" w:type="dxa"/>
            <w:vAlign w:val="bottom"/>
            <w:tcBorders>
              <w:top w:val="single" w:sz="8" w:color="auto"/>
            </w:tcBorders>
            <w:gridSpan w:val="3"/>
          </w:tcPr>
          <w:p>
            <w:pPr>
              <w:jc w:val="center"/>
              <w:ind w:right="120"/>
              <w:spacing w:after="0" w:line="178" w:lineRule="exact"/>
              <w:rPr>
                <w:sz w:val="20"/>
                <w:szCs w:val="20"/>
                <w:color w:val="auto"/>
              </w:rPr>
            </w:pPr>
            <w:r>
              <w:rPr>
                <w:rFonts w:ascii="Times New Roman" w:cs="Times New Roman" w:eastAsia="Times New Roman" w:hAnsi="Times New Roman"/>
                <w:sz w:val="18"/>
                <w:szCs w:val="18"/>
                <w:color w:val="auto"/>
              </w:rPr>
              <w:t>Leased / Owned</w:t>
            </w:r>
          </w:p>
        </w:tc>
      </w:tr>
      <w:tr>
        <w:trPr>
          <w:trHeight w:val="34"/>
        </w:trPr>
        <w:tc>
          <w:tcPr>
            <w:tcW w:w="16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3640" w:type="dxa"/>
            <w:vAlign w:val="bottom"/>
            <w:gridSpan w:val="3"/>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8"/>
              </w:rPr>
              <w:t>West Haven Facility</w:t>
            </w:r>
          </w:p>
        </w:tc>
        <w:tc>
          <w:tcPr>
            <w:tcW w:w="3740" w:type="dxa"/>
            <w:vAlign w:val="bottom"/>
            <w:gridSpan w:val="3"/>
            <w:shd w:val="clear" w:color="auto" w:fill="CFF0FC"/>
          </w:tcPr>
          <w:p>
            <w:pPr>
              <w:jc w:val="center"/>
              <w:ind w:right="240"/>
              <w:spacing w:after="0"/>
              <w:rPr>
                <w:sz w:val="20"/>
                <w:szCs w:val="20"/>
                <w:color w:val="auto"/>
              </w:rPr>
            </w:pPr>
            <w:r>
              <w:rPr>
                <w:rFonts w:ascii="Times New Roman" w:cs="Times New Roman" w:eastAsia="Times New Roman" w:hAnsi="Times New Roman"/>
                <w:sz w:val="18"/>
                <w:szCs w:val="18"/>
                <w:color w:val="auto"/>
                <w:w w:val="97"/>
              </w:rPr>
              <w:t>West Haven, CT</w:t>
            </w:r>
          </w:p>
        </w:tc>
        <w:tc>
          <w:tcPr>
            <w:tcW w:w="1280" w:type="dxa"/>
            <w:vAlign w:val="bottom"/>
            <w:shd w:val="clear" w:color="auto" w:fill="CFF0FC"/>
          </w:tcPr>
          <w:p>
            <w:pPr>
              <w:spacing w:after="0"/>
              <w:rPr>
                <w:sz w:val="21"/>
                <w:szCs w:val="21"/>
                <w:color w:val="auto"/>
              </w:rPr>
            </w:pPr>
          </w:p>
        </w:tc>
        <w:tc>
          <w:tcPr>
            <w:tcW w:w="2580" w:type="dxa"/>
            <w:vAlign w:val="bottom"/>
            <w:gridSpan w:val="2"/>
            <w:shd w:val="clear" w:color="auto" w:fill="CFF0FC"/>
          </w:tcPr>
          <w:p>
            <w:pPr>
              <w:jc w:val="center"/>
              <w:ind w:right="1400"/>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39"/>
        </w:trPr>
        <w:tc>
          <w:tcPr>
            <w:tcW w:w="36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Homestead Facility</w:t>
            </w:r>
          </w:p>
        </w:tc>
        <w:tc>
          <w:tcPr>
            <w:tcW w:w="37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Homestead, FL</w:t>
            </w:r>
          </w:p>
        </w:tc>
        <w:tc>
          <w:tcPr>
            <w:tcW w:w="1280" w:type="dxa"/>
            <w:vAlign w:val="bottom"/>
          </w:tcPr>
          <w:p>
            <w:pPr>
              <w:spacing w:after="0"/>
              <w:rPr>
                <w:sz w:val="20"/>
                <w:szCs w:val="20"/>
                <w:color w:val="auto"/>
              </w:rPr>
            </w:pPr>
          </w:p>
        </w:tc>
        <w:tc>
          <w:tcPr>
            <w:tcW w:w="258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47"/>
        </w:trPr>
        <w:tc>
          <w:tcPr>
            <w:tcW w:w="3640" w:type="dxa"/>
            <w:vAlign w:val="bottom"/>
            <w:gridSpan w:val="3"/>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Ocala Facility</w:t>
            </w:r>
          </w:p>
        </w:tc>
        <w:tc>
          <w:tcPr>
            <w:tcW w:w="3740" w:type="dxa"/>
            <w:vAlign w:val="bottom"/>
            <w:gridSpan w:val="3"/>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w w:val="99"/>
              </w:rPr>
              <w:t>Ocala, FL</w:t>
            </w:r>
          </w:p>
        </w:tc>
        <w:tc>
          <w:tcPr>
            <w:tcW w:w="1280" w:type="dxa"/>
            <w:vAlign w:val="bottom"/>
            <w:shd w:val="clear" w:color="auto" w:fill="CFF0FC"/>
          </w:tcPr>
          <w:p>
            <w:pPr>
              <w:spacing w:after="0"/>
              <w:rPr>
                <w:sz w:val="21"/>
                <w:szCs w:val="21"/>
                <w:color w:val="auto"/>
              </w:rPr>
            </w:pPr>
          </w:p>
        </w:tc>
        <w:tc>
          <w:tcPr>
            <w:tcW w:w="2580" w:type="dxa"/>
            <w:vAlign w:val="bottom"/>
            <w:gridSpan w:val="2"/>
            <w:shd w:val="clear" w:color="auto" w:fill="CFF0FC"/>
          </w:tcPr>
          <w:p>
            <w:pPr>
              <w:jc w:val="center"/>
              <w:ind w:right="1420"/>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39"/>
        </w:trPr>
        <w:tc>
          <w:tcPr>
            <w:tcW w:w="36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Oglesby Facility</w:t>
            </w:r>
          </w:p>
        </w:tc>
        <w:tc>
          <w:tcPr>
            <w:tcW w:w="37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7"/>
              </w:rPr>
              <w:t>Oglesby, IL</w:t>
            </w:r>
          </w:p>
        </w:tc>
        <w:tc>
          <w:tcPr>
            <w:tcW w:w="1280" w:type="dxa"/>
            <w:vAlign w:val="bottom"/>
          </w:tcPr>
          <w:p>
            <w:pPr>
              <w:spacing w:after="0"/>
              <w:rPr>
                <w:sz w:val="20"/>
                <w:szCs w:val="20"/>
                <w:color w:val="auto"/>
              </w:rPr>
            </w:pPr>
          </w:p>
        </w:tc>
        <w:tc>
          <w:tcPr>
            <w:tcW w:w="2580" w:type="dxa"/>
            <w:vAlign w:val="bottom"/>
            <w:gridSpan w:val="2"/>
          </w:tcPr>
          <w:p>
            <w:pPr>
              <w:jc w:val="center"/>
              <w:ind w:right="1400"/>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47"/>
        </w:trPr>
        <w:tc>
          <w:tcPr>
            <w:tcW w:w="3640" w:type="dxa"/>
            <w:vAlign w:val="bottom"/>
            <w:gridSpan w:val="3"/>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9"/>
              </w:rPr>
              <w:t>Rock Island Facility</w:t>
            </w:r>
          </w:p>
        </w:tc>
        <w:tc>
          <w:tcPr>
            <w:tcW w:w="3740" w:type="dxa"/>
            <w:vAlign w:val="bottom"/>
            <w:gridSpan w:val="3"/>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w w:val="99"/>
              </w:rPr>
              <w:t>Rock Island, IL</w:t>
            </w:r>
          </w:p>
        </w:tc>
        <w:tc>
          <w:tcPr>
            <w:tcW w:w="1280" w:type="dxa"/>
            <w:vAlign w:val="bottom"/>
            <w:shd w:val="clear" w:color="auto" w:fill="CFF0FC"/>
          </w:tcPr>
          <w:p>
            <w:pPr>
              <w:spacing w:after="0"/>
              <w:rPr>
                <w:sz w:val="21"/>
                <w:szCs w:val="21"/>
                <w:color w:val="auto"/>
              </w:rPr>
            </w:pPr>
          </w:p>
        </w:tc>
        <w:tc>
          <w:tcPr>
            <w:tcW w:w="2580" w:type="dxa"/>
            <w:vAlign w:val="bottom"/>
            <w:gridSpan w:val="2"/>
            <w:shd w:val="clear" w:color="auto" w:fill="CFF0FC"/>
          </w:tcPr>
          <w:p>
            <w:pPr>
              <w:jc w:val="center"/>
              <w:ind w:right="1420"/>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39"/>
        </w:trPr>
        <w:tc>
          <w:tcPr>
            <w:tcW w:w="36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Centreville Facility</w:t>
            </w:r>
          </w:p>
        </w:tc>
        <w:tc>
          <w:tcPr>
            <w:tcW w:w="37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Centreville, MD</w:t>
            </w:r>
          </w:p>
        </w:tc>
        <w:tc>
          <w:tcPr>
            <w:tcW w:w="1280" w:type="dxa"/>
            <w:vAlign w:val="bottom"/>
          </w:tcPr>
          <w:p>
            <w:pPr>
              <w:spacing w:after="0"/>
              <w:rPr>
                <w:sz w:val="20"/>
                <w:szCs w:val="20"/>
                <w:color w:val="auto"/>
              </w:rPr>
            </w:pPr>
          </w:p>
        </w:tc>
        <w:tc>
          <w:tcPr>
            <w:tcW w:w="258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47"/>
        </w:trPr>
        <w:tc>
          <w:tcPr>
            <w:tcW w:w="3640" w:type="dxa"/>
            <w:vAlign w:val="bottom"/>
            <w:gridSpan w:val="3"/>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Clinton Facility</w:t>
            </w:r>
          </w:p>
        </w:tc>
        <w:tc>
          <w:tcPr>
            <w:tcW w:w="3740" w:type="dxa"/>
            <w:vAlign w:val="bottom"/>
            <w:gridSpan w:val="3"/>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w w:val="99"/>
              </w:rPr>
              <w:t>Clinton, MA</w:t>
            </w:r>
          </w:p>
        </w:tc>
        <w:tc>
          <w:tcPr>
            <w:tcW w:w="1280" w:type="dxa"/>
            <w:vAlign w:val="bottom"/>
            <w:shd w:val="clear" w:color="auto" w:fill="CFF0FC"/>
          </w:tcPr>
          <w:p>
            <w:pPr>
              <w:spacing w:after="0"/>
              <w:rPr>
                <w:sz w:val="21"/>
                <w:szCs w:val="21"/>
                <w:color w:val="auto"/>
              </w:rPr>
            </w:pPr>
          </w:p>
        </w:tc>
        <w:tc>
          <w:tcPr>
            <w:tcW w:w="2580" w:type="dxa"/>
            <w:vAlign w:val="bottom"/>
            <w:gridSpan w:val="2"/>
            <w:shd w:val="clear" w:color="auto" w:fill="CFF0FC"/>
          </w:tcPr>
          <w:p>
            <w:pPr>
              <w:jc w:val="center"/>
              <w:ind w:right="1400"/>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39"/>
        </w:trPr>
        <w:tc>
          <w:tcPr>
            <w:tcW w:w="36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Holyoke Facility</w:t>
            </w:r>
          </w:p>
        </w:tc>
        <w:tc>
          <w:tcPr>
            <w:tcW w:w="37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Holyoke, MA</w:t>
            </w:r>
          </w:p>
        </w:tc>
        <w:tc>
          <w:tcPr>
            <w:tcW w:w="1280" w:type="dxa"/>
            <w:vAlign w:val="bottom"/>
          </w:tcPr>
          <w:p>
            <w:pPr>
              <w:spacing w:after="0"/>
              <w:rPr>
                <w:sz w:val="20"/>
                <w:szCs w:val="20"/>
                <w:color w:val="auto"/>
              </w:rPr>
            </w:pPr>
          </w:p>
        </w:tc>
        <w:tc>
          <w:tcPr>
            <w:tcW w:w="2580" w:type="dxa"/>
            <w:vAlign w:val="bottom"/>
            <w:gridSpan w:val="2"/>
          </w:tcPr>
          <w:p>
            <w:pPr>
              <w:jc w:val="center"/>
              <w:ind w:right="1400"/>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47"/>
        </w:trPr>
        <w:tc>
          <w:tcPr>
            <w:tcW w:w="3640" w:type="dxa"/>
            <w:vAlign w:val="bottom"/>
            <w:gridSpan w:val="3"/>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Cottage Grove Facility</w:t>
            </w:r>
          </w:p>
        </w:tc>
        <w:tc>
          <w:tcPr>
            <w:tcW w:w="3740" w:type="dxa"/>
            <w:vAlign w:val="bottom"/>
            <w:gridSpan w:val="3"/>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rPr>
              <w:t>Cottage Grove, MN</w:t>
            </w:r>
          </w:p>
        </w:tc>
        <w:tc>
          <w:tcPr>
            <w:tcW w:w="1280" w:type="dxa"/>
            <w:vAlign w:val="bottom"/>
            <w:shd w:val="clear" w:color="auto" w:fill="CFF0FC"/>
          </w:tcPr>
          <w:p>
            <w:pPr>
              <w:spacing w:after="0"/>
              <w:rPr>
                <w:sz w:val="21"/>
                <w:szCs w:val="21"/>
                <w:color w:val="auto"/>
              </w:rPr>
            </w:pPr>
          </w:p>
        </w:tc>
        <w:tc>
          <w:tcPr>
            <w:tcW w:w="2580" w:type="dxa"/>
            <w:vAlign w:val="bottom"/>
            <w:gridSpan w:val="2"/>
            <w:shd w:val="clear" w:color="auto" w:fill="CFF0FC"/>
          </w:tcPr>
          <w:p>
            <w:pPr>
              <w:jc w:val="center"/>
              <w:ind w:right="1420"/>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39"/>
        </w:trPr>
        <w:tc>
          <w:tcPr>
            <w:tcW w:w="36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Carson City Facility</w:t>
            </w:r>
          </w:p>
        </w:tc>
        <w:tc>
          <w:tcPr>
            <w:tcW w:w="37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Carson City, NV</w:t>
            </w:r>
          </w:p>
        </w:tc>
        <w:tc>
          <w:tcPr>
            <w:tcW w:w="1280" w:type="dxa"/>
            <w:vAlign w:val="bottom"/>
          </w:tcPr>
          <w:p>
            <w:pPr>
              <w:spacing w:after="0"/>
              <w:rPr>
                <w:sz w:val="20"/>
                <w:szCs w:val="20"/>
                <w:color w:val="auto"/>
              </w:rPr>
            </w:pPr>
          </w:p>
        </w:tc>
        <w:tc>
          <w:tcPr>
            <w:tcW w:w="2580" w:type="dxa"/>
            <w:vAlign w:val="bottom"/>
            <w:gridSpan w:val="2"/>
          </w:tcPr>
          <w:p>
            <w:pPr>
              <w:jc w:val="center"/>
              <w:ind w:right="1400"/>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47"/>
        </w:trPr>
        <w:tc>
          <w:tcPr>
            <w:tcW w:w="3640" w:type="dxa"/>
            <w:vAlign w:val="bottom"/>
            <w:gridSpan w:val="3"/>
            <w:shd w:val="clear" w:color="auto" w:fill="CFF0FC"/>
          </w:tcPr>
          <w:p>
            <w:pPr>
              <w:jc w:val="center"/>
              <w:ind w:right="100"/>
              <w:spacing w:after="0" w:line="248" w:lineRule="exact"/>
              <w:rPr>
                <w:sz w:val="20"/>
                <w:szCs w:val="20"/>
                <w:color w:val="auto"/>
              </w:rPr>
            </w:pPr>
            <w:r>
              <w:rPr>
                <w:rFonts w:ascii="Times New Roman" w:cs="Times New Roman" w:eastAsia="Times New Roman" w:hAnsi="Times New Roman"/>
                <w:sz w:val="18"/>
                <w:szCs w:val="18"/>
                <w:color w:val="auto"/>
                <w:w w:val="99"/>
              </w:rPr>
              <w:t>Hackettstown Facility</w:t>
            </w:r>
            <w:r>
              <w:rPr>
                <w:rFonts w:ascii="Times New Roman" w:cs="Times New Roman" w:eastAsia="Times New Roman" w:hAnsi="Times New Roman"/>
                <w:sz w:val="24"/>
                <w:szCs w:val="24"/>
                <w:color w:val="auto"/>
                <w:w w:val="99"/>
                <w:vertAlign w:val="superscript"/>
              </w:rPr>
              <w:t>*</w:t>
            </w:r>
          </w:p>
        </w:tc>
        <w:tc>
          <w:tcPr>
            <w:tcW w:w="3740" w:type="dxa"/>
            <w:vAlign w:val="bottom"/>
            <w:gridSpan w:val="3"/>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w w:val="99"/>
              </w:rPr>
              <w:t>Hackettstown, NJ</w:t>
            </w:r>
          </w:p>
        </w:tc>
        <w:tc>
          <w:tcPr>
            <w:tcW w:w="1280" w:type="dxa"/>
            <w:vAlign w:val="bottom"/>
            <w:shd w:val="clear" w:color="auto" w:fill="CFF0FC"/>
          </w:tcPr>
          <w:p>
            <w:pPr>
              <w:spacing w:after="0"/>
              <w:rPr>
                <w:sz w:val="21"/>
                <w:szCs w:val="21"/>
                <w:color w:val="auto"/>
              </w:rPr>
            </w:pPr>
          </w:p>
        </w:tc>
        <w:tc>
          <w:tcPr>
            <w:tcW w:w="2580" w:type="dxa"/>
            <w:vAlign w:val="bottom"/>
            <w:gridSpan w:val="2"/>
            <w:shd w:val="clear" w:color="auto" w:fill="CFF0FC"/>
          </w:tcPr>
          <w:p>
            <w:pPr>
              <w:jc w:val="center"/>
              <w:ind w:right="1400"/>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39"/>
        </w:trPr>
        <w:tc>
          <w:tcPr>
            <w:tcW w:w="36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Las Vegas Facility 1</w:t>
            </w:r>
          </w:p>
        </w:tc>
        <w:tc>
          <w:tcPr>
            <w:tcW w:w="37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7"/>
              </w:rPr>
              <w:t>Las Vegas, NV</w:t>
            </w:r>
          </w:p>
        </w:tc>
        <w:tc>
          <w:tcPr>
            <w:tcW w:w="1280" w:type="dxa"/>
            <w:vAlign w:val="bottom"/>
          </w:tcPr>
          <w:p>
            <w:pPr>
              <w:spacing w:after="0"/>
              <w:rPr>
                <w:sz w:val="20"/>
                <w:szCs w:val="20"/>
                <w:color w:val="auto"/>
              </w:rPr>
            </w:pPr>
          </w:p>
        </w:tc>
        <w:tc>
          <w:tcPr>
            <w:tcW w:w="258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47"/>
        </w:trPr>
        <w:tc>
          <w:tcPr>
            <w:tcW w:w="3640" w:type="dxa"/>
            <w:vAlign w:val="bottom"/>
            <w:gridSpan w:val="3"/>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8"/>
              </w:rPr>
              <w:t>Las Vegas Facility 2</w:t>
            </w:r>
          </w:p>
        </w:tc>
        <w:tc>
          <w:tcPr>
            <w:tcW w:w="3740" w:type="dxa"/>
            <w:vAlign w:val="bottom"/>
            <w:gridSpan w:val="3"/>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w w:val="97"/>
              </w:rPr>
              <w:t>Las Vegas, NV</w:t>
            </w:r>
          </w:p>
        </w:tc>
        <w:tc>
          <w:tcPr>
            <w:tcW w:w="1280" w:type="dxa"/>
            <w:vAlign w:val="bottom"/>
            <w:shd w:val="clear" w:color="auto" w:fill="CFF0FC"/>
          </w:tcPr>
          <w:p>
            <w:pPr>
              <w:spacing w:after="0"/>
              <w:rPr>
                <w:sz w:val="21"/>
                <w:szCs w:val="21"/>
                <w:color w:val="auto"/>
              </w:rPr>
            </w:pPr>
          </w:p>
        </w:tc>
        <w:tc>
          <w:tcPr>
            <w:tcW w:w="2580" w:type="dxa"/>
            <w:vAlign w:val="bottom"/>
            <w:gridSpan w:val="2"/>
            <w:shd w:val="clear" w:color="auto" w:fill="CFF0FC"/>
          </w:tcPr>
          <w:p>
            <w:pPr>
              <w:jc w:val="center"/>
              <w:ind w:right="1400"/>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39"/>
        </w:trPr>
        <w:tc>
          <w:tcPr>
            <w:tcW w:w="36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Paterson Facility</w:t>
            </w:r>
          </w:p>
        </w:tc>
        <w:tc>
          <w:tcPr>
            <w:tcW w:w="37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8"/>
              </w:rPr>
              <w:t>Paterson, NJ</w:t>
            </w:r>
          </w:p>
        </w:tc>
        <w:tc>
          <w:tcPr>
            <w:tcW w:w="1280" w:type="dxa"/>
            <w:vAlign w:val="bottom"/>
          </w:tcPr>
          <w:p>
            <w:pPr>
              <w:spacing w:after="0"/>
              <w:rPr>
                <w:sz w:val="20"/>
                <w:szCs w:val="20"/>
                <w:color w:val="auto"/>
              </w:rPr>
            </w:pPr>
          </w:p>
        </w:tc>
        <w:tc>
          <w:tcPr>
            <w:tcW w:w="2580" w:type="dxa"/>
            <w:vAlign w:val="bottom"/>
            <w:gridSpan w:val="2"/>
          </w:tcPr>
          <w:p>
            <w:pPr>
              <w:jc w:val="center"/>
              <w:ind w:right="1400"/>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47"/>
        </w:trPr>
        <w:tc>
          <w:tcPr>
            <w:tcW w:w="3640" w:type="dxa"/>
            <w:vAlign w:val="bottom"/>
            <w:gridSpan w:val="3"/>
            <w:shd w:val="clear" w:color="auto" w:fill="CFF0FC"/>
          </w:tcPr>
          <w:p>
            <w:pPr>
              <w:jc w:val="center"/>
              <w:ind w:right="100"/>
              <w:spacing w:after="0" w:line="248" w:lineRule="exact"/>
              <w:rPr>
                <w:sz w:val="20"/>
                <w:szCs w:val="20"/>
                <w:color w:val="auto"/>
              </w:rPr>
            </w:pPr>
            <w:r>
              <w:rPr>
                <w:rFonts w:ascii="Times New Roman" w:cs="Times New Roman" w:eastAsia="Times New Roman" w:hAnsi="Times New Roman"/>
                <w:sz w:val="18"/>
                <w:szCs w:val="18"/>
                <w:color w:val="auto"/>
                <w:w w:val="99"/>
              </w:rPr>
              <w:t>Schenectady Facility</w:t>
            </w:r>
            <w:r>
              <w:rPr>
                <w:rFonts w:ascii="Times New Roman" w:cs="Times New Roman" w:eastAsia="Times New Roman" w:hAnsi="Times New Roman"/>
                <w:sz w:val="24"/>
                <w:szCs w:val="24"/>
                <w:color w:val="auto"/>
                <w:w w:val="99"/>
                <w:vertAlign w:val="superscript"/>
              </w:rPr>
              <w:t>*</w:t>
            </w:r>
          </w:p>
        </w:tc>
        <w:tc>
          <w:tcPr>
            <w:tcW w:w="3740" w:type="dxa"/>
            <w:vAlign w:val="bottom"/>
            <w:gridSpan w:val="3"/>
            <w:shd w:val="clear" w:color="auto" w:fill="CFF0FC"/>
          </w:tcPr>
          <w:p>
            <w:pPr>
              <w:jc w:val="center"/>
              <w:ind w:right="240"/>
              <w:spacing w:after="0"/>
              <w:rPr>
                <w:sz w:val="20"/>
                <w:szCs w:val="20"/>
                <w:color w:val="auto"/>
              </w:rPr>
            </w:pPr>
            <w:r>
              <w:rPr>
                <w:rFonts w:ascii="Times New Roman" w:cs="Times New Roman" w:eastAsia="Times New Roman" w:hAnsi="Times New Roman"/>
                <w:sz w:val="18"/>
                <w:szCs w:val="18"/>
                <w:color w:val="auto"/>
                <w:w w:val="99"/>
              </w:rPr>
              <w:t>Glenville, NY</w:t>
            </w:r>
          </w:p>
        </w:tc>
        <w:tc>
          <w:tcPr>
            <w:tcW w:w="1280" w:type="dxa"/>
            <w:vAlign w:val="bottom"/>
            <w:shd w:val="clear" w:color="auto" w:fill="CFF0FC"/>
          </w:tcPr>
          <w:p>
            <w:pPr>
              <w:spacing w:after="0"/>
              <w:rPr>
                <w:sz w:val="21"/>
                <w:szCs w:val="21"/>
                <w:color w:val="auto"/>
              </w:rPr>
            </w:pPr>
          </w:p>
        </w:tc>
        <w:tc>
          <w:tcPr>
            <w:tcW w:w="2580" w:type="dxa"/>
            <w:vAlign w:val="bottom"/>
            <w:gridSpan w:val="2"/>
            <w:shd w:val="clear" w:color="auto" w:fill="CFF0FC"/>
          </w:tcPr>
          <w:p>
            <w:pPr>
              <w:jc w:val="center"/>
              <w:ind w:right="1400"/>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43"/>
        </w:trPr>
        <w:tc>
          <w:tcPr>
            <w:tcW w:w="3640" w:type="dxa"/>
            <w:vAlign w:val="bottom"/>
            <w:gridSpan w:val="3"/>
          </w:tcPr>
          <w:p>
            <w:pPr>
              <w:jc w:val="center"/>
              <w:ind w:right="100"/>
              <w:spacing w:after="0" w:line="243" w:lineRule="exact"/>
              <w:rPr>
                <w:sz w:val="20"/>
                <w:szCs w:val="20"/>
                <w:color w:val="auto"/>
              </w:rPr>
            </w:pPr>
            <w:r>
              <w:rPr>
                <w:rFonts w:ascii="Times New Roman" w:cs="Times New Roman" w:eastAsia="Times New Roman" w:hAnsi="Times New Roman"/>
                <w:sz w:val="18"/>
                <w:szCs w:val="18"/>
                <w:color w:val="auto"/>
                <w:w w:val="97"/>
              </w:rPr>
              <w:t xml:space="preserve">Warwick Facility </w:t>
            </w:r>
            <w:r>
              <w:rPr>
                <w:rFonts w:ascii="Times New Roman" w:cs="Times New Roman" w:eastAsia="Times New Roman" w:hAnsi="Times New Roman"/>
                <w:sz w:val="24"/>
                <w:szCs w:val="24"/>
                <w:color w:val="auto"/>
                <w:w w:val="97"/>
                <w:vertAlign w:val="superscript"/>
              </w:rPr>
              <w:t>*</w:t>
            </w:r>
          </w:p>
        </w:tc>
        <w:tc>
          <w:tcPr>
            <w:tcW w:w="37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8"/>
              </w:rPr>
              <w:t>Warwick, NY</w:t>
            </w:r>
          </w:p>
        </w:tc>
        <w:tc>
          <w:tcPr>
            <w:tcW w:w="1280" w:type="dxa"/>
            <w:vAlign w:val="bottom"/>
          </w:tcPr>
          <w:p>
            <w:pPr>
              <w:spacing w:after="0"/>
              <w:rPr>
                <w:sz w:val="21"/>
                <w:szCs w:val="21"/>
                <w:color w:val="auto"/>
              </w:rPr>
            </w:pPr>
          </w:p>
        </w:tc>
        <w:tc>
          <w:tcPr>
            <w:tcW w:w="258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43"/>
        </w:trPr>
        <w:tc>
          <w:tcPr>
            <w:tcW w:w="3640" w:type="dxa"/>
            <w:vAlign w:val="bottom"/>
            <w:gridSpan w:val="3"/>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9"/>
              </w:rPr>
              <w:t>Toledo Facility</w:t>
            </w:r>
          </w:p>
        </w:tc>
        <w:tc>
          <w:tcPr>
            <w:tcW w:w="3740" w:type="dxa"/>
            <w:vAlign w:val="bottom"/>
            <w:gridSpan w:val="3"/>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w w:val="97"/>
              </w:rPr>
              <w:t>Toledo, OH</w:t>
            </w:r>
          </w:p>
        </w:tc>
        <w:tc>
          <w:tcPr>
            <w:tcW w:w="1280" w:type="dxa"/>
            <w:vAlign w:val="bottom"/>
            <w:shd w:val="clear" w:color="auto" w:fill="CFF0FC"/>
          </w:tcPr>
          <w:p>
            <w:pPr>
              <w:spacing w:after="0"/>
              <w:rPr>
                <w:sz w:val="21"/>
                <w:szCs w:val="21"/>
                <w:color w:val="auto"/>
              </w:rPr>
            </w:pPr>
          </w:p>
        </w:tc>
        <w:tc>
          <w:tcPr>
            <w:tcW w:w="2580" w:type="dxa"/>
            <w:vAlign w:val="bottom"/>
            <w:gridSpan w:val="2"/>
            <w:shd w:val="clear" w:color="auto" w:fill="CFF0FC"/>
          </w:tcPr>
          <w:p>
            <w:pPr>
              <w:jc w:val="center"/>
              <w:ind w:right="1400"/>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39"/>
        </w:trPr>
        <w:tc>
          <w:tcPr>
            <w:tcW w:w="36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Danville Facility</w:t>
            </w:r>
          </w:p>
        </w:tc>
        <w:tc>
          <w:tcPr>
            <w:tcW w:w="37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7"/>
              </w:rPr>
              <w:t>Danville, PA</w:t>
            </w:r>
          </w:p>
        </w:tc>
        <w:tc>
          <w:tcPr>
            <w:tcW w:w="1280" w:type="dxa"/>
            <w:vAlign w:val="bottom"/>
          </w:tcPr>
          <w:p>
            <w:pPr>
              <w:spacing w:after="0"/>
              <w:rPr>
                <w:sz w:val="20"/>
                <w:szCs w:val="20"/>
                <w:color w:val="auto"/>
              </w:rPr>
            </w:pPr>
          </w:p>
        </w:tc>
        <w:tc>
          <w:tcPr>
            <w:tcW w:w="2580" w:type="dxa"/>
            <w:vAlign w:val="bottom"/>
            <w:gridSpan w:val="2"/>
          </w:tcPr>
          <w:p>
            <w:pPr>
              <w:jc w:val="center"/>
              <w:ind w:right="1400"/>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47"/>
        </w:trPr>
        <w:tc>
          <w:tcPr>
            <w:tcW w:w="3640" w:type="dxa"/>
            <w:vAlign w:val="bottom"/>
            <w:gridSpan w:val="3"/>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9"/>
              </w:rPr>
              <w:t>Warwick Facility 1</w:t>
            </w:r>
          </w:p>
        </w:tc>
        <w:tc>
          <w:tcPr>
            <w:tcW w:w="3740" w:type="dxa"/>
            <w:vAlign w:val="bottom"/>
            <w:gridSpan w:val="3"/>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w w:val="98"/>
              </w:rPr>
              <w:t>Warwick, RI</w:t>
            </w:r>
          </w:p>
        </w:tc>
        <w:tc>
          <w:tcPr>
            <w:tcW w:w="1280" w:type="dxa"/>
            <w:vAlign w:val="bottom"/>
            <w:shd w:val="clear" w:color="auto" w:fill="CFF0FC"/>
          </w:tcPr>
          <w:p>
            <w:pPr>
              <w:spacing w:after="0"/>
              <w:rPr>
                <w:sz w:val="21"/>
                <w:szCs w:val="21"/>
                <w:color w:val="auto"/>
              </w:rPr>
            </w:pPr>
          </w:p>
        </w:tc>
        <w:tc>
          <w:tcPr>
            <w:tcW w:w="2580" w:type="dxa"/>
            <w:vAlign w:val="bottom"/>
            <w:gridSpan w:val="2"/>
            <w:shd w:val="clear" w:color="auto" w:fill="CFF0FC"/>
          </w:tcPr>
          <w:p>
            <w:pPr>
              <w:jc w:val="center"/>
              <w:ind w:right="1400"/>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39"/>
        </w:trPr>
        <w:tc>
          <w:tcPr>
            <w:tcW w:w="36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Warwick Facility 2</w:t>
            </w:r>
          </w:p>
        </w:tc>
        <w:tc>
          <w:tcPr>
            <w:tcW w:w="37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8"/>
              </w:rPr>
              <w:t>Warwick, RI</w:t>
            </w:r>
          </w:p>
        </w:tc>
        <w:tc>
          <w:tcPr>
            <w:tcW w:w="1280" w:type="dxa"/>
            <w:vAlign w:val="bottom"/>
          </w:tcPr>
          <w:p>
            <w:pPr>
              <w:spacing w:after="0"/>
              <w:rPr>
                <w:sz w:val="20"/>
                <w:szCs w:val="20"/>
                <w:color w:val="auto"/>
              </w:rPr>
            </w:pPr>
          </w:p>
        </w:tc>
        <w:tc>
          <w:tcPr>
            <w:tcW w:w="2580" w:type="dxa"/>
            <w:vAlign w:val="bottom"/>
            <w:gridSpan w:val="2"/>
          </w:tcPr>
          <w:p>
            <w:pPr>
              <w:jc w:val="center"/>
              <w:ind w:right="1400"/>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47"/>
        </w:trPr>
        <w:tc>
          <w:tcPr>
            <w:tcW w:w="3640" w:type="dxa"/>
            <w:vAlign w:val="bottom"/>
            <w:gridSpan w:val="3"/>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8"/>
              </w:rPr>
              <w:t>Abingdon Facility</w:t>
            </w:r>
          </w:p>
        </w:tc>
        <w:tc>
          <w:tcPr>
            <w:tcW w:w="3740" w:type="dxa"/>
            <w:vAlign w:val="bottom"/>
            <w:gridSpan w:val="3"/>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w w:val="97"/>
              </w:rPr>
              <w:t>Abingdon, VA</w:t>
            </w:r>
          </w:p>
        </w:tc>
        <w:tc>
          <w:tcPr>
            <w:tcW w:w="1280" w:type="dxa"/>
            <w:vAlign w:val="bottom"/>
            <w:shd w:val="clear" w:color="auto" w:fill="CFF0FC"/>
          </w:tcPr>
          <w:p>
            <w:pPr>
              <w:spacing w:after="0"/>
              <w:rPr>
                <w:sz w:val="21"/>
                <w:szCs w:val="21"/>
                <w:color w:val="auto"/>
              </w:rPr>
            </w:pPr>
          </w:p>
        </w:tc>
        <w:tc>
          <w:tcPr>
            <w:tcW w:w="2580" w:type="dxa"/>
            <w:vAlign w:val="bottom"/>
            <w:gridSpan w:val="2"/>
            <w:shd w:val="clear" w:color="auto" w:fill="CFF0FC"/>
          </w:tcPr>
          <w:p>
            <w:pPr>
              <w:jc w:val="center"/>
              <w:ind w:right="1400"/>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71"/>
        </w:trPr>
        <w:tc>
          <w:tcPr>
            <w:tcW w:w="3640" w:type="dxa"/>
            <w:vAlign w:val="bottom"/>
            <w:gridSpan w:val="3"/>
          </w:tcPr>
          <w:p>
            <w:pPr>
              <w:jc w:val="center"/>
              <w:ind w:right="100"/>
              <w:spacing w:after="0" w:line="271" w:lineRule="exact"/>
              <w:rPr>
                <w:sz w:val="20"/>
                <w:szCs w:val="20"/>
                <w:color w:val="auto"/>
              </w:rPr>
            </w:pPr>
            <w:r>
              <w:rPr>
                <w:rFonts w:ascii="Times New Roman" w:cs="Times New Roman" w:eastAsia="Times New Roman" w:hAnsi="Times New Roman"/>
                <w:sz w:val="18"/>
                <w:szCs w:val="18"/>
                <w:color w:val="auto"/>
                <w:w w:val="97"/>
              </w:rPr>
              <w:t xml:space="preserve">Low Moor Facility </w:t>
            </w:r>
            <w:r>
              <w:rPr>
                <w:rFonts w:ascii="Times New Roman" w:cs="Times New Roman" w:eastAsia="Times New Roman" w:hAnsi="Times New Roman"/>
                <w:sz w:val="24"/>
                <w:szCs w:val="24"/>
                <w:color w:val="auto"/>
                <w:w w:val="97"/>
                <w:vertAlign w:val="superscript"/>
              </w:rPr>
              <w:t>*</w:t>
            </w:r>
          </w:p>
        </w:tc>
        <w:tc>
          <w:tcPr>
            <w:tcW w:w="37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7"/>
              </w:rPr>
              <w:t>Low Moor, VA</w:t>
            </w:r>
          </w:p>
        </w:tc>
        <w:tc>
          <w:tcPr>
            <w:tcW w:w="1280" w:type="dxa"/>
            <w:vAlign w:val="bottom"/>
          </w:tcPr>
          <w:p>
            <w:pPr>
              <w:spacing w:after="0"/>
              <w:rPr>
                <w:sz w:val="23"/>
                <w:szCs w:val="23"/>
                <w:color w:val="auto"/>
              </w:rPr>
            </w:pPr>
          </w:p>
        </w:tc>
        <w:tc>
          <w:tcPr>
            <w:tcW w:w="258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color w:val="auto"/>
                <w:w w:val="99"/>
              </w:rPr>
              <w:t>Owned</w:t>
            </w:r>
          </w:p>
        </w:tc>
      </w:tr>
    </w:tbl>
    <w:p>
      <w:pPr>
        <w:ind w:left="120" w:hanging="112"/>
        <w:spacing w:after="0" w:line="199" w:lineRule="auto"/>
        <w:tabs>
          <w:tab w:leader="none" w:pos="120" w:val="left"/>
        </w:tabs>
        <w:numPr>
          <w:ilvl w:val="0"/>
          <w:numId w:val="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These facilities are under construction and are not operational as of December 31, 2022.</w:t>
      </w:r>
    </w:p>
    <w:p>
      <w:pPr>
        <w:spacing w:after="0" w:line="198"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In addition to the above properties, as of December 31, 2022 the Company has 77 open and operating retail locations throughout the U.S. of which we own 12.</w:t>
      </w:r>
    </w:p>
    <w:p>
      <w:pPr>
        <w:spacing w:after="0" w:line="160" w:lineRule="exact"/>
        <w:rPr>
          <w:sz w:val="20"/>
          <w:szCs w:val="20"/>
          <w:color w:val="auto"/>
        </w:rPr>
      </w:pPr>
    </w:p>
    <w:p>
      <w:pPr>
        <w:ind w:right="42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Properties Subject to an Encumbrance. </w:t>
      </w:r>
      <w:r>
        <w:rPr>
          <w:rFonts w:ascii="Times New Roman" w:cs="Times New Roman" w:eastAsia="Times New Roman" w:hAnsi="Times New Roman"/>
          <w:sz w:val="18"/>
          <w:szCs w:val="18"/>
          <w:color w:val="auto"/>
        </w:rPr>
        <w:t>The Company has collateralized the properties in (i) Rock Island, IL, (ii) Homestead, FL, (iii)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Centreville, MD, and (iv) Las Vegas, NV. In addition, the Company has collateralized four retail stores located throughout the U.S., none of which are considered material.</w:t>
      </w:r>
    </w:p>
    <w:p>
      <w:pPr>
        <w:spacing w:after="0" w:line="38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 Related to Contractual Obligations</w:t>
      </w:r>
    </w:p>
    <w:p>
      <w:pPr>
        <w:spacing w:after="0" w:line="22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Cresco Labs New York, LLC and Cresco Labs LLC (“Plaintiffs”) filed an amended complaint against one of the Company’s subsidiaries, Fiorello Pharmaceuticals, Inc. (“Defendant”) on November 20, 2018, in the Supreme Court of the State of New York, NY County alleging Defendant breached the parties’ Equity Purchase Agreement Letter of Intent (“LOI”) relating to the acquisition of Defendant by Plaintiffs. In December 2022, the trial court granted Plaintiffs' motion for summary judgment on their claim that Defendant breached the LOI. Defendant disputes any liability and is vigorously appealing the trial court’s decision. The Company believes a successful appeal is probable, and as such, a $900 thousand loss contingency is reflected in the consolidated financial statements with respect to this matter. In the event that the Defendant’s appeal is unsuccessful, any damages will be determined by further legal proceedings. The Company has estimated that the possible range of loss is between $900 thousand and $72,915 thousand.</w:t>
      </w:r>
    </w:p>
    <w:p>
      <w:pPr>
        <w:spacing w:after="0" w:line="200" w:lineRule="exact"/>
        <w:rPr>
          <w:sz w:val="20"/>
          <w:szCs w:val="20"/>
          <w:color w:val="auto"/>
        </w:rPr>
      </w:pPr>
    </w:p>
    <w:p>
      <w:pPr>
        <w:spacing w:after="0" w:line="20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1020" w:right="420" w:hanging="1152"/>
        <w:spacing w:after="0" w:line="286" w:lineRule="auto"/>
        <w:tabs>
          <w:tab w:leader="none" w:pos="10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PRICE OF AND DIVIDENDS ON THE REGISTRANT’S COMMON EQUITY AND RELATED STOCKHOLDER MATTERS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Price and Volume</w:t>
      </w:r>
    </w:p>
    <w:p>
      <w:pPr>
        <w:spacing w:after="0" w:line="229" w:lineRule="exact"/>
        <w:rPr>
          <w:sz w:val="20"/>
          <w:szCs w:val="20"/>
          <w:color w:val="auto"/>
        </w:rPr>
      </w:pPr>
    </w:p>
    <w:p>
      <w:pPr>
        <w:ind w:right="740" w:firstLine="749"/>
        <w:spacing w:after="0" w:line="289" w:lineRule="auto"/>
        <w:rPr>
          <w:sz w:val="20"/>
          <w:szCs w:val="20"/>
          <w:color w:val="auto"/>
        </w:rPr>
      </w:pPr>
      <w:r>
        <w:rPr>
          <w:rFonts w:ascii="Times New Roman" w:cs="Times New Roman" w:eastAsia="Times New Roman" w:hAnsi="Times New Roman"/>
          <w:sz w:val="18"/>
          <w:szCs w:val="18"/>
          <w:color w:val="auto"/>
        </w:rPr>
        <w:t>The Subordinate Voting Shares of the Company are traded on the CSE under the symbol “GTII.”. The following table sets forth trading information for the Subordinate Voting Shares for the periods indicated, as quoted on the CSE.</w:t>
      </w:r>
      <w:r>
        <w:rPr>
          <w:rFonts w:ascii="Times New Roman" w:cs="Times New Roman" w:eastAsia="Times New Roman" w:hAnsi="Times New Roman"/>
          <w:sz w:val="24"/>
          <w:szCs w:val="24"/>
          <w:color w:val="auto"/>
          <w:vertAlign w:val="superscript"/>
        </w:rPr>
        <w:t>(1)</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Low Trading Price</w:t>
            </w: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High Trading Price</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100" w:type="dxa"/>
            <w:vAlign w:val="bottom"/>
          </w:tcPr>
          <w:p>
            <w:pPr>
              <w:spacing w:after="0"/>
              <w:rPr>
                <w:sz w:val="16"/>
                <w:szCs w:val="16"/>
                <w:color w:val="auto"/>
              </w:rPr>
            </w:pPr>
          </w:p>
        </w:tc>
      </w:tr>
      <w:tr>
        <w:trPr>
          <w:trHeight w:val="226"/>
        </w:trPr>
        <w:tc>
          <w:tcPr>
            <w:tcW w:w="120" w:type="dxa"/>
            <w:vAlign w:val="bottom"/>
          </w:tcPr>
          <w:p>
            <w:pPr>
              <w:spacing w:after="0"/>
              <w:rPr>
                <w:sz w:val="19"/>
                <w:szCs w:val="19"/>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7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(C$)</w:t>
            </w: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2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120" w:type="dxa"/>
            <w:vAlign w:val="bottom"/>
            <w:tcBorders>
              <w:bottom w:val="single" w:sz="8" w:color="CCEEFF"/>
            </w:tcBorders>
            <w:shd w:val="clear" w:color="auto" w:fill="CCEEFF"/>
          </w:tcPr>
          <w:p>
            <w:pPr>
              <w:spacing w:after="0"/>
              <w:rPr>
                <w:sz w:val="18"/>
                <w:szCs w:val="18"/>
                <w:color w:val="auto"/>
              </w:rPr>
            </w:pPr>
          </w:p>
        </w:tc>
        <w:tc>
          <w:tcPr>
            <w:tcW w:w="2400" w:type="dxa"/>
            <w:vAlign w:val="bottom"/>
            <w:tcBorders>
              <w:bottom w:val="single" w:sz="8" w:color="auto"/>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w w:val="98"/>
              </w:rPr>
              <w:t>Year Ended December 31, 2022</w:t>
            </w:r>
          </w:p>
        </w:tc>
        <w:tc>
          <w:tcPr>
            <w:tcW w:w="206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39"/>
        </w:trPr>
        <w:tc>
          <w:tcPr>
            <w:tcW w:w="120" w:type="dxa"/>
            <w:vAlign w:val="bottom"/>
          </w:tcPr>
          <w:p>
            <w:pPr>
              <w:spacing w:after="0"/>
              <w:rPr>
                <w:sz w:val="20"/>
                <w:szCs w:val="20"/>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First Quarter (March 31, 2022)</w:t>
            </w:r>
          </w:p>
        </w:tc>
        <w:tc>
          <w:tcPr>
            <w:tcW w:w="1780" w:type="dxa"/>
            <w:vAlign w:val="bottom"/>
          </w:tcPr>
          <w:p>
            <w:pPr>
              <w:jc w:val="right"/>
              <w:ind w:right="159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2100" w:type="dxa"/>
            <w:vAlign w:val="bottom"/>
            <w:gridSpan w:val="2"/>
          </w:tcPr>
          <w:p>
            <w:pPr>
              <w:jc w:val="right"/>
              <w:ind w:right="154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33,236,094</w:t>
            </w:r>
          </w:p>
        </w:tc>
        <w:tc>
          <w:tcPr>
            <w:tcW w:w="100" w:type="dxa"/>
            <w:vAlign w:val="bottom"/>
          </w:tcPr>
          <w:p>
            <w:pPr>
              <w:spacing w:after="0"/>
              <w:rPr>
                <w:sz w:val="20"/>
                <w:szCs w:val="20"/>
                <w:color w:val="auto"/>
              </w:rPr>
            </w:pPr>
          </w:p>
        </w:tc>
      </w:tr>
      <w:tr>
        <w:trPr>
          <w:trHeight w:val="247"/>
        </w:trPr>
        <w:tc>
          <w:tcPr>
            <w:tcW w:w="120" w:type="dxa"/>
            <w:vAlign w:val="bottom"/>
            <w:shd w:val="clear" w:color="auto" w:fill="CCEEFF"/>
          </w:tcPr>
          <w:p>
            <w:pPr>
              <w:spacing w:after="0"/>
              <w:rPr>
                <w:sz w:val="21"/>
                <w:szCs w:val="21"/>
                <w:color w:val="auto"/>
              </w:rPr>
            </w:pPr>
          </w:p>
        </w:tc>
        <w:tc>
          <w:tcPr>
            <w:tcW w:w="4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 (June 30, 2022)</w:t>
            </w:r>
          </w:p>
        </w:tc>
        <w:tc>
          <w:tcPr>
            <w:tcW w:w="1780" w:type="dxa"/>
            <w:vAlign w:val="bottom"/>
            <w:shd w:val="clear" w:color="auto" w:fill="CCEEFF"/>
          </w:tcPr>
          <w:p>
            <w:pPr>
              <w:jc w:val="right"/>
              <w:ind w:right="159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2100" w:type="dxa"/>
            <w:vAlign w:val="bottom"/>
            <w:gridSpan w:val="2"/>
            <w:shd w:val="clear" w:color="auto" w:fill="CCEEFF"/>
          </w:tcPr>
          <w:p>
            <w:pPr>
              <w:jc w:val="right"/>
              <w:ind w:right="154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26,657,631</w:t>
            </w:r>
          </w:p>
        </w:tc>
        <w:tc>
          <w:tcPr>
            <w:tcW w:w="100" w:type="dxa"/>
            <w:vAlign w:val="bottom"/>
            <w:shd w:val="clear" w:color="auto" w:fill="CCEEFF"/>
          </w:tcPr>
          <w:p>
            <w:pPr>
              <w:spacing w:after="0"/>
              <w:rPr>
                <w:sz w:val="21"/>
                <w:szCs w:val="21"/>
                <w:color w:val="auto"/>
              </w:rPr>
            </w:pPr>
          </w:p>
        </w:tc>
      </w:tr>
      <w:tr>
        <w:trPr>
          <w:trHeight w:val="239"/>
        </w:trPr>
        <w:tc>
          <w:tcPr>
            <w:tcW w:w="120" w:type="dxa"/>
            <w:vAlign w:val="bottom"/>
          </w:tcPr>
          <w:p>
            <w:pPr>
              <w:spacing w:after="0"/>
              <w:rPr>
                <w:sz w:val="20"/>
                <w:szCs w:val="20"/>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Third Quarter (September 30, 2022)</w:t>
            </w:r>
          </w:p>
        </w:tc>
        <w:tc>
          <w:tcPr>
            <w:tcW w:w="1780" w:type="dxa"/>
            <w:vAlign w:val="bottom"/>
          </w:tcPr>
          <w:p>
            <w:pPr>
              <w:jc w:val="right"/>
              <w:ind w:right="159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2100" w:type="dxa"/>
            <w:vAlign w:val="bottom"/>
            <w:gridSpan w:val="2"/>
          </w:tcPr>
          <w:p>
            <w:pPr>
              <w:jc w:val="right"/>
              <w:ind w:right="154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23,496,921</w:t>
            </w:r>
          </w:p>
        </w:tc>
        <w:tc>
          <w:tcPr>
            <w:tcW w:w="100" w:type="dxa"/>
            <w:vAlign w:val="bottom"/>
          </w:tcPr>
          <w:p>
            <w:pPr>
              <w:spacing w:after="0"/>
              <w:rPr>
                <w:sz w:val="20"/>
                <w:szCs w:val="20"/>
                <w:color w:val="auto"/>
              </w:rPr>
            </w:pPr>
          </w:p>
        </w:tc>
      </w:tr>
      <w:tr>
        <w:trPr>
          <w:trHeight w:val="247"/>
        </w:trPr>
        <w:tc>
          <w:tcPr>
            <w:tcW w:w="120" w:type="dxa"/>
            <w:vAlign w:val="bottom"/>
            <w:shd w:val="clear" w:color="auto" w:fill="CCEEFF"/>
          </w:tcPr>
          <w:p>
            <w:pPr>
              <w:spacing w:after="0"/>
              <w:rPr>
                <w:sz w:val="21"/>
                <w:szCs w:val="21"/>
                <w:color w:val="auto"/>
              </w:rPr>
            </w:pPr>
          </w:p>
        </w:tc>
        <w:tc>
          <w:tcPr>
            <w:tcW w:w="4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 (December 31, 2022)</w:t>
            </w:r>
          </w:p>
        </w:tc>
        <w:tc>
          <w:tcPr>
            <w:tcW w:w="1780" w:type="dxa"/>
            <w:vAlign w:val="bottom"/>
            <w:shd w:val="clear" w:color="auto" w:fill="CCEEFF"/>
          </w:tcPr>
          <w:p>
            <w:pPr>
              <w:jc w:val="right"/>
              <w:ind w:right="159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2100" w:type="dxa"/>
            <w:vAlign w:val="bottom"/>
            <w:gridSpan w:val="2"/>
            <w:shd w:val="clear" w:color="auto" w:fill="CCEEFF"/>
          </w:tcPr>
          <w:p>
            <w:pPr>
              <w:jc w:val="right"/>
              <w:ind w:right="154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39,484,018</w:t>
            </w:r>
          </w:p>
        </w:tc>
        <w:tc>
          <w:tcPr>
            <w:tcW w:w="100" w:type="dxa"/>
            <w:vAlign w:val="bottom"/>
            <w:shd w:val="clear" w:color="auto" w:fill="CCEEFF"/>
          </w:tcPr>
          <w:p>
            <w:pPr>
              <w:spacing w:after="0"/>
              <w:rPr>
                <w:sz w:val="21"/>
                <w:szCs w:val="21"/>
                <w:color w:val="auto"/>
              </w:rPr>
            </w:pPr>
          </w:p>
        </w:tc>
      </w:tr>
      <w:tr>
        <w:trPr>
          <w:trHeight w:val="189"/>
        </w:trPr>
        <w:tc>
          <w:tcPr>
            <w:tcW w:w="120" w:type="dxa"/>
            <w:vAlign w:val="bottom"/>
          </w:tcPr>
          <w:p>
            <w:pPr>
              <w:spacing w:after="0"/>
              <w:rPr>
                <w:sz w:val="16"/>
                <w:szCs w:val="16"/>
                <w:color w:val="auto"/>
              </w:rPr>
            </w:pPr>
          </w:p>
        </w:tc>
        <w:tc>
          <w:tcPr>
            <w:tcW w:w="44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Year Ended December 31, 2021</w:t>
            </w:r>
          </w:p>
        </w:tc>
        <w:tc>
          <w:tcPr>
            <w:tcW w:w="1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
        </w:trPr>
        <w:tc>
          <w:tcPr>
            <w:tcW w:w="12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900" w:type="dxa"/>
            <w:vAlign w:val="bottom"/>
            <w:tcBorders>
              <w:top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120" w:type="dxa"/>
            <w:vAlign w:val="bottom"/>
            <w:shd w:val="clear" w:color="auto" w:fill="CCEEFF"/>
          </w:tcPr>
          <w:p>
            <w:pPr>
              <w:spacing w:after="0"/>
              <w:rPr>
                <w:sz w:val="21"/>
                <w:szCs w:val="21"/>
                <w:color w:val="auto"/>
              </w:rPr>
            </w:pPr>
          </w:p>
        </w:tc>
        <w:tc>
          <w:tcPr>
            <w:tcW w:w="4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 (March 31, 2021)</w:t>
            </w:r>
          </w:p>
        </w:tc>
        <w:tc>
          <w:tcPr>
            <w:tcW w:w="1780" w:type="dxa"/>
            <w:vAlign w:val="bottom"/>
            <w:shd w:val="clear" w:color="auto" w:fill="CCEEFF"/>
          </w:tcPr>
          <w:p>
            <w:pPr>
              <w:jc w:val="right"/>
              <w:ind w:right="159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2100" w:type="dxa"/>
            <w:vAlign w:val="bottom"/>
            <w:gridSpan w:val="2"/>
            <w:shd w:val="clear" w:color="auto" w:fill="CCEEFF"/>
          </w:tcPr>
          <w:p>
            <w:pPr>
              <w:jc w:val="right"/>
              <w:ind w:right="154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56,354,032</w:t>
            </w:r>
          </w:p>
        </w:tc>
        <w:tc>
          <w:tcPr>
            <w:tcW w:w="100" w:type="dxa"/>
            <w:vAlign w:val="bottom"/>
            <w:shd w:val="clear" w:color="auto" w:fill="CCEEFF"/>
          </w:tcPr>
          <w:p>
            <w:pPr>
              <w:spacing w:after="0"/>
              <w:rPr>
                <w:sz w:val="21"/>
                <w:szCs w:val="21"/>
                <w:color w:val="auto"/>
              </w:rPr>
            </w:pPr>
          </w:p>
        </w:tc>
      </w:tr>
      <w:tr>
        <w:trPr>
          <w:trHeight w:val="239"/>
        </w:trPr>
        <w:tc>
          <w:tcPr>
            <w:tcW w:w="120" w:type="dxa"/>
            <w:vAlign w:val="bottom"/>
          </w:tcPr>
          <w:p>
            <w:pPr>
              <w:spacing w:after="0"/>
              <w:rPr>
                <w:sz w:val="20"/>
                <w:szCs w:val="20"/>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Second Quarter (June 30, 2021)</w:t>
            </w:r>
          </w:p>
        </w:tc>
        <w:tc>
          <w:tcPr>
            <w:tcW w:w="1780" w:type="dxa"/>
            <w:vAlign w:val="bottom"/>
          </w:tcPr>
          <w:p>
            <w:pPr>
              <w:jc w:val="right"/>
              <w:ind w:right="159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2100" w:type="dxa"/>
            <w:vAlign w:val="bottom"/>
            <w:gridSpan w:val="2"/>
          </w:tcPr>
          <w:p>
            <w:pPr>
              <w:jc w:val="right"/>
              <w:ind w:right="154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24,761,835</w:t>
            </w:r>
          </w:p>
        </w:tc>
        <w:tc>
          <w:tcPr>
            <w:tcW w:w="100" w:type="dxa"/>
            <w:vAlign w:val="bottom"/>
          </w:tcPr>
          <w:p>
            <w:pPr>
              <w:spacing w:after="0"/>
              <w:rPr>
                <w:sz w:val="20"/>
                <w:szCs w:val="20"/>
                <w:color w:val="auto"/>
              </w:rPr>
            </w:pPr>
          </w:p>
        </w:tc>
      </w:tr>
      <w:tr>
        <w:trPr>
          <w:trHeight w:val="247"/>
        </w:trPr>
        <w:tc>
          <w:tcPr>
            <w:tcW w:w="120" w:type="dxa"/>
            <w:vAlign w:val="bottom"/>
            <w:shd w:val="clear" w:color="auto" w:fill="CCEEFF"/>
          </w:tcPr>
          <w:p>
            <w:pPr>
              <w:spacing w:after="0"/>
              <w:rPr>
                <w:sz w:val="21"/>
                <w:szCs w:val="21"/>
                <w:color w:val="auto"/>
              </w:rPr>
            </w:pPr>
          </w:p>
        </w:tc>
        <w:tc>
          <w:tcPr>
            <w:tcW w:w="4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 (September 30, 2021)</w:t>
            </w:r>
          </w:p>
        </w:tc>
        <w:tc>
          <w:tcPr>
            <w:tcW w:w="1780" w:type="dxa"/>
            <w:vAlign w:val="bottom"/>
            <w:shd w:val="clear" w:color="auto" w:fill="CCEEFF"/>
          </w:tcPr>
          <w:p>
            <w:pPr>
              <w:jc w:val="right"/>
              <w:ind w:right="159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2100" w:type="dxa"/>
            <w:vAlign w:val="bottom"/>
            <w:gridSpan w:val="2"/>
            <w:shd w:val="clear" w:color="auto" w:fill="CCEEFF"/>
          </w:tcPr>
          <w:p>
            <w:pPr>
              <w:jc w:val="right"/>
              <w:ind w:right="154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17,635,212</w:t>
            </w:r>
          </w:p>
        </w:tc>
        <w:tc>
          <w:tcPr>
            <w:tcW w:w="100" w:type="dxa"/>
            <w:vAlign w:val="bottom"/>
            <w:shd w:val="clear" w:color="auto" w:fill="CCEEFF"/>
          </w:tcPr>
          <w:p>
            <w:pPr>
              <w:spacing w:after="0"/>
              <w:rPr>
                <w:sz w:val="21"/>
                <w:szCs w:val="21"/>
                <w:color w:val="auto"/>
              </w:rPr>
            </w:pPr>
          </w:p>
        </w:tc>
      </w:tr>
      <w:tr>
        <w:trPr>
          <w:trHeight w:val="234"/>
        </w:trPr>
        <w:tc>
          <w:tcPr>
            <w:tcW w:w="120" w:type="dxa"/>
            <w:vAlign w:val="bottom"/>
          </w:tcPr>
          <w:p>
            <w:pPr>
              <w:spacing w:after="0"/>
              <w:rPr>
                <w:sz w:val="20"/>
                <w:szCs w:val="20"/>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Fourth Quarter (December 31, 2021)</w:t>
            </w:r>
          </w:p>
        </w:tc>
        <w:tc>
          <w:tcPr>
            <w:tcW w:w="1780" w:type="dxa"/>
            <w:vAlign w:val="bottom"/>
          </w:tcPr>
          <w:p>
            <w:pPr>
              <w:jc w:val="right"/>
              <w:ind w:right="159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2100" w:type="dxa"/>
            <w:vAlign w:val="bottom"/>
            <w:gridSpan w:val="2"/>
          </w:tcPr>
          <w:p>
            <w:pPr>
              <w:jc w:val="right"/>
              <w:ind w:right="154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42,223,734</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7" w:lineRule="exact"/>
        <w:rPr>
          <w:sz w:val="20"/>
          <w:szCs w:val="20"/>
          <w:color w:val="auto"/>
        </w:rPr>
      </w:pPr>
    </w:p>
    <w:p>
      <w:pPr>
        <w:ind w:left="440" w:hanging="432"/>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Bloomberg.</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Subordinate Voting Shares of the Company are also traded on the OTCQX under the symbol “GTBIF.”</w:t>
      </w:r>
    </w:p>
    <w:p>
      <w:pPr>
        <w:spacing w:after="0" w:line="2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trading information for the Subordinate Voting Shares for the periods indicated, as quoted on the OTCQX.</w:t>
      </w:r>
      <w:r>
        <w:rPr>
          <w:rFonts w:ascii="Times New Roman" w:cs="Times New Roman" w:eastAsia="Times New Roman" w:hAnsi="Times New Roman"/>
          <w:sz w:val="24"/>
          <w:szCs w:val="24"/>
          <w:color w:val="auto"/>
          <w:vertAlign w:val="superscript"/>
        </w:rPr>
        <w:t>(1)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20" w:type="dxa"/>
            <w:vAlign w:val="bottom"/>
          </w:tcPr>
          <w:p>
            <w:pPr>
              <w:spacing w:after="0"/>
              <w:rPr>
                <w:sz w:val="16"/>
                <w:szCs w:val="16"/>
                <w:color w:val="auto"/>
              </w:rPr>
            </w:pPr>
          </w:p>
        </w:tc>
        <w:tc>
          <w:tcPr>
            <w:tcW w:w="44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Low Trading Price</w:t>
            </w: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High Trading Price</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20" w:type="dxa"/>
            <w:vAlign w:val="bottom"/>
          </w:tcPr>
          <w:p>
            <w:pPr>
              <w:spacing w:after="0"/>
              <w:rPr>
                <w:sz w:val="16"/>
                <w:szCs w:val="16"/>
                <w:color w:val="auto"/>
              </w:rPr>
            </w:pPr>
          </w:p>
        </w:tc>
        <w:tc>
          <w:tcPr>
            <w:tcW w:w="4460" w:type="dxa"/>
            <w:vAlign w:val="bottom"/>
            <w:gridSpan w:val="3"/>
            <w:vMerge w:val="continue"/>
          </w:tcPr>
          <w:p>
            <w:pPr>
              <w:spacing w:after="0"/>
              <w:rPr>
                <w:sz w:val="16"/>
                <w:szCs w:val="16"/>
                <w:color w:val="auto"/>
              </w:rPr>
            </w:pPr>
          </w:p>
        </w:tc>
        <w:tc>
          <w:tcPr>
            <w:tcW w:w="17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6"/>
                <w:szCs w:val="16"/>
                <w:color w:val="auto"/>
              </w:rPr>
            </w:pPr>
          </w:p>
        </w:tc>
        <w:tc>
          <w:tcPr>
            <w:tcW w:w="2100" w:type="dxa"/>
            <w:vAlign w:val="bottom"/>
            <w:gridSpan w:val="2"/>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12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9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20" w:type="dxa"/>
            <w:vAlign w:val="bottom"/>
            <w:tcBorders>
              <w:bottom w:val="single" w:sz="8" w:color="CCEEFF"/>
            </w:tcBorders>
            <w:shd w:val="clear" w:color="auto" w:fill="CCEEFF"/>
          </w:tcPr>
          <w:p>
            <w:pPr>
              <w:spacing w:after="0"/>
              <w:rPr>
                <w:sz w:val="19"/>
                <w:szCs w:val="19"/>
                <w:color w:val="auto"/>
              </w:rPr>
            </w:pPr>
          </w:p>
        </w:tc>
        <w:tc>
          <w:tcPr>
            <w:tcW w:w="240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Year Ended December 31, 2022</w:t>
            </w:r>
          </w:p>
        </w:tc>
        <w:tc>
          <w:tcPr>
            <w:tcW w:w="206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20" w:type="dxa"/>
            <w:vAlign w:val="bottom"/>
          </w:tcPr>
          <w:p>
            <w:pPr>
              <w:spacing w:after="0"/>
              <w:rPr>
                <w:sz w:val="20"/>
                <w:szCs w:val="20"/>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First Quarter (March 31, 2022)</w:t>
            </w:r>
          </w:p>
        </w:tc>
        <w:tc>
          <w:tcPr>
            <w:tcW w:w="1780" w:type="dxa"/>
            <w:vAlign w:val="bottom"/>
          </w:tcPr>
          <w:p>
            <w:pPr>
              <w:jc w:val="right"/>
              <w:ind w:right="159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2100" w:type="dxa"/>
            <w:vAlign w:val="bottom"/>
            <w:gridSpan w:val="2"/>
          </w:tcPr>
          <w:p>
            <w:pPr>
              <w:jc w:val="right"/>
              <w:ind w:right="154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27,366,428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20" w:type="dxa"/>
            <w:vAlign w:val="bottom"/>
            <w:shd w:val="clear" w:color="auto" w:fill="CCEEFF"/>
          </w:tcPr>
          <w:p>
            <w:pPr>
              <w:spacing w:after="0"/>
              <w:rPr>
                <w:sz w:val="21"/>
                <w:szCs w:val="21"/>
                <w:color w:val="auto"/>
              </w:rPr>
            </w:pPr>
          </w:p>
        </w:tc>
        <w:tc>
          <w:tcPr>
            <w:tcW w:w="4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 (June 30, 2022)</w:t>
            </w:r>
          </w:p>
        </w:tc>
        <w:tc>
          <w:tcPr>
            <w:tcW w:w="1780" w:type="dxa"/>
            <w:vAlign w:val="bottom"/>
            <w:shd w:val="clear" w:color="auto" w:fill="CCEEFF"/>
          </w:tcPr>
          <w:p>
            <w:pPr>
              <w:jc w:val="right"/>
              <w:ind w:right="159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100" w:type="dxa"/>
            <w:vAlign w:val="bottom"/>
            <w:gridSpan w:val="2"/>
            <w:shd w:val="clear" w:color="auto" w:fill="CCEEFF"/>
          </w:tcPr>
          <w:p>
            <w:pPr>
              <w:jc w:val="right"/>
              <w:ind w:right="154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21,710,304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20" w:type="dxa"/>
            <w:vAlign w:val="bottom"/>
          </w:tcPr>
          <w:p>
            <w:pPr>
              <w:spacing w:after="0"/>
              <w:rPr>
                <w:sz w:val="20"/>
                <w:szCs w:val="20"/>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Third Quarter (September 30, 2022)</w:t>
            </w:r>
          </w:p>
        </w:tc>
        <w:tc>
          <w:tcPr>
            <w:tcW w:w="1780" w:type="dxa"/>
            <w:vAlign w:val="bottom"/>
          </w:tcPr>
          <w:p>
            <w:pPr>
              <w:jc w:val="right"/>
              <w:ind w:right="159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2100" w:type="dxa"/>
            <w:vAlign w:val="bottom"/>
            <w:gridSpan w:val="2"/>
          </w:tcPr>
          <w:p>
            <w:pPr>
              <w:jc w:val="right"/>
              <w:ind w:right="154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27,751,360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20" w:type="dxa"/>
            <w:vAlign w:val="bottom"/>
            <w:shd w:val="clear" w:color="auto" w:fill="CCEEFF"/>
          </w:tcPr>
          <w:p>
            <w:pPr>
              <w:spacing w:after="0"/>
              <w:rPr>
                <w:sz w:val="21"/>
                <w:szCs w:val="21"/>
                <w:color w:val="auto"/>
              </w:rPr>
            </w:pPr>
          </w:p>
        </w:tc>
        <w:tc>
          <w:tcPr>
            <w:tcW w:w="4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 (December 31, 2022)</w:t>
            </w:r>
          </w:p>
        </w:tc>
        <w:tc>
          <w:tcPr>
            <w:tcW w:w="1780" w:type="dxa"/>
            <w:vAlign w:val="bottom"/>
            <w:shd w:val="clear" w:color="auto" w:fill="CCEEFF"/>
          </w:tcPr>
          <w:p>
            <w:pPr>
              <w:jc w:val="right"/>
              <w:ind w:right="159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2100" w:type="dxa"/>
            <w:vAlign w:val="bottom"/>
            <w:gridSpan w:val="2"/>
            <w:shd w:val="clear" w:color="auto" w:fill="CCEEFF"/>
          </w:tcPr>
          <w:p>
            <w:pPr>
              <w:jc w:val="right"/>
              <w:ind w:right="154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39,455,514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44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Year Ended December 31, 2021</w:t>
            </w:r>
          </w:p>
        </w:tc>
        <w:tc>
          <w:tcPr>
            <w:tcW w:w="1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12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900" w:type="dxa"/>
            <w:vAlign w:val="bottom"/>
            <w:tcBorders>
              <w:top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20" w:type="dxa"/>
            <w:vAlign w:val="bottom"/>
            <w:shd w:val="clear" w:color="auto" w:fill="CCEEFF"/>
          </w:tcPr>
          <w:p>
            <w:pPr>
              <w:spacing w:after="0"/>
              <w:rPr>
                <w:sz w:val="21"/>
                <w:szCs w:val="21"/>
                <w:color w:val="auto"/>
              </w:rPr>
            </w:pPr>
          </w:p>
        </w:tc>
        <w:tc>
          <w:tcPr>
            <w:tcW w:w="4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 (March 31, 2021)</w:t>
            </w:r>
          </w:p>
        </w:tc>
        <w:tc>
          <w:tcPr>
            <w:tcW w:w="1780" w:type="dxa"/>
            <w:vAlign w:val="bottom"/>
            <w:shd w:val="clear" w:color="auto" w:fill="CCEEFF"/>
          </w:tcPr>
          <w:p>
            <w:pPr>
              <w:jc w:val="right"/>
              <w:ind w:right="159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2100" w:type="dxa"/>
            <w:vAlign w:val="bottom"/>
            <w:gridSpan w:val="2"/>
            <w:shd w:val="clear" w:color="auto" w:fill="CCEEFF"/>
          </w:tcPr>
          <w:p>
            <w:pPr>
              <w:jc w:val="right"/>
              <w:ind w:right="154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54,326,905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20" w:type="dxa"/>
            <w:vAlign w:val="bottom"/>
          </w:tcPr>
          <w:p>
            <w:pPr>
              <w:spacing w:after="0"/>
              <w:rPr>
                <w:sz w:val="20"/>
                <w:szCs w:val="20"/>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Second Quarter (June 30, 2021)</w:t>
            </w:r>
          </w:p>
        </w:tc>
        <w:tc>
          <w:tcPr>
            <w:tcW w:w="1780" w:type="dxa"/>
            <w:vAlign w:val="bottom"/>
          </w:tcPr>
          <w:p>
            <w:pPr>
              <w:jc w:val="right"/>
              <w:ind w:right="159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2100" w:type="dxa"/>
            <w:vAlign w:val="bottom"/>
            <w:gridSpan w:val="2"/>
          </w:tcPr>
          <w:p>
            <w:pPr>
              <w:jc w:val="right"/>
              <w:ind w:right="154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21,540,519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20" w:type="dxa"/>
            <w:vAlign w:val="bottom"/>
            <w:shd w:val="clear" w:color="auto" w:fill="CCEEFF"/>
          </w:tcPr>
          <w:p>
            <w:pPr>
              <w:spacing w:after="0"/>
              <w:rPr>
                <w:sz w:val="21"/>
                <w:szCs w:val="21"/>
                <w:color w:val="auto"/>
              </w:rPr>
            </w:pPr>
          </w:p>
        </w:tc>
        <w:tc>
          <w:tcPr>
            <w:tcW w:w="4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 (September 30, 2021)</w:t>
            </w:r>
          </w:p>
        </w:tc>
        <w:tc>
          <w:tcPr>
            <w:tcW w:w="1780" w:type="dxa"/>
            <w:vAlign w:val="bottom"/>
            <w:shd w:val="clear" w:color="auto" w:fill="CCEEFF"/>
          </w:tcPr>
          <w:p>
            <w:pPr>
              <w:jc w:val="right"/>
              <w:ind w:right="159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2100" w:type="dxa"/>
            <w:vAlign w:val="bottom"/>
            <w:gridSpan w:val="2"/>
            <w:shd w:val="clear" w:color="auto" w:fill="CCEEFF"/>
          </w:tcPr>
          <w:p>
            <w:pPr>
              <w:jc w:val="right"/>
              <w:ind w:right="154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17,337,344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Fourth Quarter (December 31, 2021)</w:t>
            </w:r>
          </w:p>
        </w:tc>
        <w:tc>
          <w:tcPr>
            <w:tcW w:w="1780" w:type="dxa"/>
            <w:vAlign w:val="bottom"/>
          </w:tcPr>
          <w:p>
            <w:pPr>
              <w:jc w:val="right"/>
              <w:ind w:right="159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2100" w:type="dxa"/>
            <w:vAlign w:val="bottom"/>
            <w:gridSpan w:val="2"/>
          </w:tcPr>
          <w:p>
            <w:pPr>
              <w:jc w:val="right"/>
              <w:ind w:right="154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37,227,905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7" w:lineRule="exact"/>
        <w:rPr>
          <w:sz w:val="20"/>
          <w:szCs w:val="20"/>
          <w:color w:val="auto"/>
        </w:rPr>
      </w:pPr>
    </w:p>
    <w:p>
      <w:pPr>
        <w:ind w:left="440" w:hanging="432"/>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Bloomberg.</w:t>
      </w:r>
    </w:p>
    <w:p>
      <w:pPr>
        <w:spacing w:after="0" w:line="9" w:lineRule="exact"/>
        <w:rPr>
          <w:rFonts w:ascii="Times New Roman" w:cs="Times New Roman" w:eastAsia="Times New Roman" w:hAnsi="Times New Roman"/>
          <w:sz w:val="18"/>
          <w:szCs w:val="18"/>
          <w:color w:val="auto"/>
        </w:rPr>
      </w:pPr>
    </w:p>
    <w:p>
      <w:pPr>
        <w:ind w:firstLine="8"/>
        <w:spacing w:after="0" w:line="260" w:lineRule="auto"/>
        <w:tabs>
          <w:tab w:leader="none" w:pos="4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Over-the-counter market quotations reflect inter-dealer prices, without retail mark-up or mark-down or commission and may not necessarily represent actual transactions.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February 20, 2023, there are 761 holders of record of our Subordinate Voting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The Company has not declared distributions on Subordinate Voting Shares in the past. The Company currently intends to reinvest all future earnings to finance the development and growth of its business. As a result, the Company does not intend to pay dividends on Subordinate Voting Shares in the foreseeable future. Any future determination to pay distributions will be at the discretion of the Company's Board of Directors and will depend on the financial condition, business environment, operating results, capital requirements, any contractual restrictions on the payment of distributions and any other factors that the Board deems relevant. The Company is not bound or limited in any way to pay dividends in the event that the Board determines that a dividend is in the best interest of its shareholders.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For more information on equity compensation plans, see Item 12 of Part III of the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Peer Performance Table</w:t>
      </w:r>
    </w:p>
    <w:p>
      <w:pPr>
        <w:spacing w:after="0" w:line="22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The following graph compares the cumulative total shareholder return on Green Thumb Industries Inc. Subordinate Voting Shares from June 12, 2018, when Green Thumb Industries Inc. began trading on the CSE, through December 31, 2022, with the comparable cumulative return of the Russell 2000 Index and a selected peer group of companies. The comparison assumes all dividends have been reinvested (if any) and an initial investment of $100 on June 12, 2018. The returns of each company in the peer group have been weighted to reflect their market capitalizations. All amounts below are disclosed in U.S. Dollars. The stock price performance on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128270</wp:posOffset>
            </wp:positionV>
            <wp:extent cx="6172200" cy="3591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72200" cy="3591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Base Period</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7"/>
        </w:trPr>
        <w:tc>
          <w:tcPr>
            <w:tcW w:w="1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6/12/18</w:t>
            </w:r>
          </w:p>
        </w:tc>
        <w:tc>
          <w:tcPr>
            <w:tcW w:w="28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12/31/18</w:t>
            </w:r>
          </w:p>
        </w:tc>
        <w:tc>
          <w:tcPr>
            <w:tcW w:w="28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12/31/19</w:t>
            </w:r>
          </w:p>
        </w:tc>
        <w:tc>
          <w:tcPr>
            <w:tcW w:w="22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12/31/20</w:t>
            </w:r>
          </w:p>
        </w:tc>
        <w:tc>
          <w:tcPr>
            <w:tcW w:w="220" w:type="dxa"/>
            <w:vAlign w:val="bottom"/>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12/31/21</w:t>
            </w:r>
          </w:p>
        </w:tc>
        <w:tc>
          <w:tcPr>
            <w:tcW w:w="22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12/31/22</w:t>
            </w:r>
          </w:p>
        </w:tc>
      </w:tr>
      <w:tr>
        <w:trPr>
          <w:trHeight w:val="175"/>
        </w:trPr>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Green Thumb Industries</w:t>
            </w:r>
          </w:p>
        </w:tc>
        <w:tc>
          <w:tcPr>
            <w:tcW w:w="5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5"/>
              </w:rPr>
              <w:t>100</w:t>
            </w:r>
          </w:p>
        </w:tc>
        <w:tc>
          <w:tcPr>
            <w:tcW w:w="2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116.50</w:t>
            </w:r>
          </w:p>
        </w:tc>
        <w:tc>
          <w:tcPr>
            <w:tcW w:w="2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8"/>
              </w:rPr>
              <w:t>135.81</w:t>
            </w:r>
          </w:p>
        </w:tc>
        <w:tc>
          <w:tcPr>
            <w:tcW w:w="2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$355.33</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310.04</w:t>
            </w:r>
          </w:p>
        </w:tc>
        <w:tc>
          <w:tcPr>
            <w:tcW w:w="2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$128.34</w:t>
            </w:r>
          </w:p>
        </w:tc>
      </w:tr>
      <w:tr>
        <w:trPr>
          <w:trHeight w:val="175"/>
        </w:trPr>
        <w:tc>
          <w:tcPr>
            <w:tcW w:w="1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Russell 2000</w:t>
            </w:r>
          </w:p>
        </w:tc>
        <w:tc>
          <w:tcPr>
            <w:tcW w:w="5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100</w:t>
            </w:r>
          </w:p>
        </w:tc>
        <w:tc>
          <w:tcPr>
            <w:tcW w:w="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80.44</w:t>
            </w:r>
          </w:p>
        </w:tc>
        <w:tc>
          <w:tcPr>
            <w:tcW w:w="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99.26</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$117.79</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137.29</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$108.02</w:t>
            </w:r>
          </w:p>
        </w:tc>
      </w:tr>
      <w:tr>
        <w:trPr>
          <w:trHeight w:val="176"/>
        </w:trPr>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Peer Group</w:t>
            </w:r>
          </w:p>
        </w:tc>
        <w:tc>
          <w:tcPr>
            <w:tcW w:w="5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5"/>
              </w:rPr>
              <w:t>100</w:t>
            </w:r>
          </w:p>
        </w:tc>
        <w:tc>
          <w:tcPr>
            <w:tcW w:w="2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91.24</w:t>
            </w:r>
          </w:p>
        </w:tc>
        <w:tc>
          <w:tcPr>
            <w:tcW w:w="2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8"/>
              </w:rPr>
              <w:t>117.70</w:t>
            </w:r>
          </w:p>
        </w:tc>
        <w:tc>
          <w:tcPr>
            <w:tcW w:w="2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$241.22</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152.98</w:t>
            </w:r>
          </w:p>
        </w:tc>
        <w:tc>
          <w:tcPr>
            <w:tcW w:w="2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$53.59</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Below are the specific companies included in the peer group.</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Peer Group Companies</w:t>
            </w:r>
          </w:p>
        </w:tc>
        <w:tc>
          <w:tcPr>
            <w:tcW w:w="3700" w:type="dxa"/>
            <w:vAlign w:val="bottom"/>
          </w:tcPr>
          <w:p>
            <w:pPr>
              <w:spacing w:after="0"/>
              <w:rPr>
                <w:sz w:val="17"/>
                <w:szCs w:val="17"/>
                <w:color w:val="auto"/>
              </w:rPr>
            </w:pPr>
          </w:p>
        </w:tc>
      </w:tr>
      <w:tr>
        <w:trPr>
          <w:trHeight w:val="232"/>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Cresco Labs Inc.</w:t>
            </w:r>
          </w:p>
        </w:tc>
        <w:tc>
          <w:tcPr>
            <w:tcW w:w="370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7"/>
              </w:rPr>
              <w:t>- Trulieve Cannabis Corp.</w:t>
            </w:r>
          </w:p>
        </w:tc>
      </w:tr>
      <w:tr>
        <w:trPr>
          <w:trHeight w:val="234"/>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Curaleaf Holdings, Inc</w:t>
            </w:r>
          </w:p>
        </w:tc>
        <w:tc>
          <w:tcPr>
            <w:tcW w:w="37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 Verano Holdings Corp.</w:t>
            </w:r>
          </w:p>
        </w:tc>
      </w:tr>
    </w:tbl>
    <w:p>
      <w:pPr>
        <w:spacing w:after="0" w:line="2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performance graph and other information furnished under this Part II Item 5 of this Annual Report on Form 10-K shall not be deemed to be “soliciting material” or to be “filed” with the SEC or subject to Regulation 14A or 14C, or to the liabilities of Section 18 of the Exchange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The following information represents securities sold by the Company for the period covered by this Annual Report on Form 10-K which were not registered under the Securities Act. Included are new issues, securities issued in exchange for property, services or other securities, securities issued upon conversion from other share classes and new securities resulting from the modification of outstanding securities. The Company sold all of the securities listed below pursuant to the exemption from registration provided by Section 4(a)(2) of the Securities Act, or Regulation D or Regulation S promulgated thereunder.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Subordinate Voting Shares</w:t>
      </w:r>
    </w:p>
    <w:p>
      <w:pPr>
        <w:spacing w:after="0" w:line="225"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Beginning on January 1, 2020 and through December 31, 2020, our shareholders converted an additional 423,319 Multiple Voting Shares into 42,331,900 Subordinate Voting Shares, continuing through December 31, 2021, our shareholders converted an additional 287,580 Multiple Voting Shares into 2,875,800 Subordinate Voting Shares and continuing through December 31, 2022, our shareholders converted an additional 33,341 Multiple Voting Shares into 3,334,100 Subortinate Voting Shares.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On May 20, 2020, the holders of Compensation Options issued to underwriters as part of the 2018 reverse takeover of Bayswater Ventures Corp.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Transaction</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converted into 17,112 Subordinate Voting Shares.</w:t>
      </w:r>
    </w:p>
    <w:p>
      <w:pPr>
        <w:spacing w:after="0" w:line="209" w:lineRule="exact"/>
        <w:rPr>
          <w:sz w:val="20"/>
          <w:szCs w:val="20"/>
          <w:color w:val="auto"/>
        </w:rPr>
      </w:pPr>
    </w:p>
    <w:p>
      <w:pPr>
        <w:ind w:right="440" w:firstLine="749"/>
        <w:spacing w:after="0" w:line="266" w:lineRule="auto"/>
        <w:rPr>
          <w:sz w:val="20"/>
          <w:szCs w:val="20"/>
          <w:color w:val="auto"/>
        </w:rPr>
      </w:pPr>
      <w:r>
        <w:rPr>
          <w:rFonts w:ascii="Times New Roman" w:cs="Times New Roman" w:eastAsia="Times New Roman" w:hAnsi="Times New Roman"/>
          <w:sz w:val="18"/>
          <w:szCs w:val="18"/>
          <w:color w:val="auto"/>
        </w:rPr>
        <w:t>Between January 1, 2020 and December 31, 2020, we issued, in total, 1,964,014 Subordinate Voting Shares for 100% of the membership interests or shares of privately held companies, and continuing through December 31, 2021, we issued, in total, an additional 13,802,837 Subordinate Voting Shares.</w:t>
      </w:r>
    </w:p>
    <w:p>
      <w:pPr>
        <w:spacing w:after="0" w:line="176"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Between January 1, 2020 through December 31, 2020, we issued 1,315,789 Subordinate Voting Shares to buyout the membership interests of joint venture partners pursuant to agreements between the parties and, continuing through December 31, 2021, we issued an additional 203,436 Subordinate Voting Shares, and continuing through December 31, 2022, we issued an additional 204,036 Subordinate Voting Shares.</w:t>
      </w:r>
    </w:p>
    <w:p>
      <w:pPr>
        <w:spacing w:after="0" w:line="176"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Between January 1, 2020 and December 31, 2020 we issued, in total, 1,869,033 Subordinate Voting Shares associated with certain achieved milestone events associated with the acquisition of Advanced Grow Labs, LLC.</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 April 30, 2021, we issued 8,413 Subordinate Voting Shares to the lead lender pursuant to the Note Purchase Agreement.</w:t>
      </w:r>
    </w:p>
    <w:p>
      <w:pPr>
        <w:spacing w:after="0" w:line="225"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On June 5, 2019, June 21, 2019, August 12, 2019, May 25, 2020, July 10, 2020, March 22, 2021 and December 20, 2021, we issued, in total, 25,883,797 Subordinate Voting Shares to the owners of Integral Associates, LLC and Integral Associates CA, LLC for 100% of the membership interest of both entities, as well as for certain achieved milestone payments earned pursuant to the Membership Interest Purchase Agreement.</w:t>
      </w:r>
    </w:p>
    <w:p>
      <w:pPr>
        <w:spacing w:after="0" w:line="176"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Between January 1, 2020 through February 19, 2020 (the effective date of the filing of our registration statement on Form S-8), we issued, in total, 1,250 Subordinate Voting Shares to holders of our restricted stock units issued under our 2018 Stock and Incentive Plan, which vested over the same period.</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auto"/>
        </w:rPr>
        <w:t>Multiple Voting Shares</w:t>
      </w:r>
    </w:p>
    <w:p>
      <w:pPr>
        <w:spacing w:after="0" w:line="225"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Beginning on January 1, 2020 and through December 31, 2020, our shareholders converted an additional 423,319 Multiple Voting Shares into 42,331,900 Subordinate Voting Shares, continuing through December 31, 2021, our shareholders converted an additional 287,580 Multiple Voting Shares into 2,875,800 Subordinate Voting Shares and continuing through December 31, 2022, our shareholders converted an additional 33,341 Multiple Voting Shares into 3,334,100 Subordinate Voting Shares.</w:t>
      </w:r>
    </w:p>
    <w:p>
      <w:pPr>
        <w:spacing w:after="0" w:line="396"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Beginning on January 1, 2020 and through December 31, 2020, our shareholders converted 90,258 Super Voting Shares into 90,258 Multiple Voting Shares, continuing through December 31, 2021, our shareholders converted an additional 27,000 Super Voting Shares into 27,000 Multiple Voting Shares, and continuing through December 31, 2022, our shareholders converted an additional 33,341 Super Voting Shares into 33,341 Multiple Voting Shares.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Super Voting Shares</w:t>
      </w:r>
    </w:p>
    <w:p>
      <w:pPr>
        <w:spacing w:after="0" w:line="225"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Beginning on January 1, 2020 and through December 31, 2020, our shareholders converted 90,258 Super Voting Shares into 90,258 Multiple Voting Shares, continuing through December 31, 2021, our shareholders converted an additional 27,000 Super Voting Shares into 27,000 Multiple Voting Shares, and continuing through December 31, 2022, our shareholders converted an additional 33,341 Super Voting Shares into 33,341 Multiple Voting Shares.</w:t>
      </w:r>
    </w:p>
    <w:p>
      <w:pPr>
        <w:spacing w:after="0" w:line="39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SELECTED FINANCIAL DATA</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Reserved.</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 DISCUSSION AND ANALYSIS OF FINANCIAL CONDITION AND RESULTS OF OPERATION</w:t>
      </w:r>
    </w:p>
    <w:p>
      <w:pPr>
        <w:spacing w:after="0" w:line="227" w:lineRule="exact"/>
        <w:rPr>
          <w:sz w:val="20"/>
          <w:szCs w:val="20"/>
          <w:color w:val="auto"/>
        </w:rPr>
      </w:pPr>
    </w:p>
    <w:p>
      <w:pPr>
        <w:ind w:right="30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information should be read in conjunction with the consolidated financial statements and related notes thereto included in this Annual Report on Form 10-K.</w:t>
      </w:r>
    </w:p>
    <w:p>
      <w:pPr>
        <w:spacing w:after="0" w:line="158"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In addition to historical information, this report contains forward-looking statements that involve risks and uncertainties which may cause our actual results to differ materially from plans and results discussed in forward-looking statements. We encourage you to review the risks and uncertainties discussed in the sections entitled Item 1A. “Risk Factors” and “Disclosure Regarding Forward-Looking Statements” included at the beginning of this Annual Report on Form 10-K. The risks and uncertainties can cause actual results to differ significantly from those forecast in forward-looking statements or implied in historical results and trends.</w:t>
      </w:r>
    </w:p>
    <w:p>
      <w:pPr>
        <w:spacing w:after="0" w:line="183"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We caution readers not to place undue reliance on any forward-looking statements made by us, which speak only as of the date they are made.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182" w:lineRule="exact"/>
        <w:rPr>
          <w:sz w:val="20"/>
          <w:szCs w:val="20"/>
          <w:color w:val="auto"/>
        </w:rPr>
      </w:pPr>
    </w:p>
    <w:p>
      <w:pPr>
        <w:ind w:right="140" w:firstLine="749"/>
        <w:spacing w:after="0" w:line="277" w:lineRule="auto"/>
        <w:rPr>
          <w:sz w:val="20"/>
          <w:szCs w:val="20"/>
          <w:color w:val="auto"/>
        </w:rPr>
      </w:pPr>
      <w:r>
        <w:rPr>
          <w:rFonts w:ascii="Times New Roman" w:cs="Times New Roman" w:eastAsia="Times New Roman" w:hAnsi="Times New Roman"/>
          <w:sz w:val="17"/>
          <w:szCs w:val="17"/>
          <w:color w:val="auto"/>
        </w:rPr>
        <w:t>This management discussion and analysis (“MD&amp;A”) of the financial condition and results of operations of Green Thumb Industries Inc. (the “Company” or “Green Thumb”) is for the years ended December 31, 2022, 2021 and 2020. It is supplemental to, and should be read in conjunction with, the Company’s consolidated financial statements for the years ended December 31, 2022, 2021 and 2020 and the accompanying notes for each respective period. The Company’s financial statements are prepared in accordance with accounting principles generally accepted in the United States of America (“GAAP”). Financial information presented in this MD&amp;A is presented in thousands of United States dollars (“$” or “US$”), unless otherwise indicated.</w:t>
      </w:r>
    </w:p>
    <w:p>
      <w:pPr>
        <w:spacing w:after="0" w:line="168"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This MD&amp;A contains certain “forward-looking statements” and certain “forward-looking information” as defined under applicable United States securities laws. Please refer to the discussion of forward-looking statements and information set out under the heading “Cautionary Note Regarding Forward-Looking Information,” identified in the ‘‘Risks and Uncertainties’’ section of this MD&amp;A. As a result of many factors, the Company’s actual results may differ materially from those anticipated in these forward-looking statements and information.</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COVID-19 Considerations</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March 2020, the World Health Organization categorized coronavirus disease 2019 (together with its variants “COVID-19”) as a pandemic. COVID-19 continues to spread throughout the U.S. and other countries across the world, and the duration and severity of its effects and those of its variants are currently unknown. The Company continues to implement and evaluate actions to strengthen its financial position and support the continuity of its business and operations in the face of this pandemic and other events.</w:t>
      </w:r>
    </w:p>
    <w:p>
      <w:pPr>
        <w:spacing w:after="0" w:line="18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Company’s priorities during the COVID-19 pandemic are protecting the health and safety of its employees and its customers, following the recommended actions of government and health authorities. In the future, the pandemic may cause reduced demand for the Company’s products and services if, for example, the pandemic results in a recessionary economic environment or potential new restrictions on business operations or the movement of individuals.</w:t>
      </w:r>
    </w:p>
    <w:p>
      <w:pPr>
        <w:spacing w:after="0" w:line="180"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During 2022, the Company’s revenue, gross profit and operating income were not negatively impacted by COVID-19 and the Company generally maintained the consistency of its operations. However, the uncertain nature of the spread of COVID-19 may impact its business operations for reasons including the potential quarantine of Green Thumb employees or those of its supply chain partners.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COMPANY</w:t>
      </w:r>
    </w:p>
    <w:p>
      <w:pPr>
        <w:spacing w:after="0" w:line="229"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Established in 2014 and headquartered in Chicago, Illinois, Green Thumb, a national cannabis consumer packaged goods company and retailer promotes well-being through the power of cannabis while being committed to community and sustainable profitable growth. As of December 31, 2022, Green Thumb has operations in 15 U.S. markets, employs approximately 3,800 people and serves millions of patients and customers annually.</w:t>
      </w:r>
    </w:p>
    <w:p>
      <w:pPr>
        <w:spacing w:after="0" w:line="176"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Green Thumb’s core business is manufacturing, distributing and marketing a portfolio of owned cannabis consumer packaged goods brands (which we refer to as our Consumer Packaged Goods business), including &amp;Shine, Beboe, Dogwalkers, Doctor Solomon’s, Good Green, incredibles and RYTHM. The Company distributes and markets these products primarily to third-party licensed retail cannabis stores across the United States as well as to Green Thumb-owned retail stores (which we refer to as our Retail business).</w:t>
      </w:r>
    </w:p>
    <w:p>
      <w:pPr>
        <w:spacing w:after="0" w:line="180"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The Company’s Consumer Packaged Goods portfolio is primarily generated from plant material that Green Thumb grows and processes itself, which we use to produce our consumer packaged goods in 18 manufacturing facilities. This portfolio consists of stock keeping units (“SKUs”) across a range of cannabis product categories, including flower, pre-rolls, concentrates, vape, capsules, tinctures, edibles, topicals and other cannabis-related products (none of which product categories are individually material to the Company). These Consumer Packaged Goods products are sold in retail locations throughout the U.S. including at Green Thumb’s own RISE and other stores.</w:t>
      </w:r>
    </w:p>
    <w:p>
      <w:pPr>
        <w:spacing w:after="0" w:line="183"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Green Thumb owns and operates a national cannabis retail chain called RISE that provides relationship-centric retail experiences aimed to deliver a superior level of customer service through high-engagement consumer interaction, a consultative, transparent and education-forward selling approach and a consistently available assortment of cannabis products. In addition, Green Thumb owns stores under other names, primarily where naming is subject to licensing or similar restrictions or in certain instances where we co-own the store. The income from Green Thumb’s retail stores is primarily derived from the sale of cannabis-related products, which includes the sale of Green Thumb produced products as well as those produced by third parties, with an immaterial (under 10%) portion of this income resulting from the sale of other merchandise (such as t-shirts and accessories for cannabis use). The RISE stores currently are located in 13 of the states in which we operate. As of December 31, 2022, the Company had 77 open and operating retail locations. The Company’s new store opening plans will remain fluid depending on market conditions, obtaining local licensing, construction and other permissions and subject to the Company’s capital allocation plans as described above and under the heading “Liquidity, Financing Activities During the Period, and Capital Resources” below.</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 Consolidated</w:t>
      </w:r>
    </w:p>
    <w:p>
      <w:pPr>
        <w:spacing w:after="0" w:line="22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Company’s selected consolidated financial results for the periods, and as of the dates, indicated. The (i) consolidated statements of operations for the years ended December 31, 2022, 2021, 2020 and (ii) consolidated balance sheet as of December 31, 2022 and 2021 have been derived from, and should be read in conjunction with the consolidated financial statements and accompanying notes presented in Item 8 of this Report.</w:t>
      </w:r>
    </w:p>
    <w:p>
      <w:pPr>
        <w:spacing w:after="0" w:line="193" w:lineRule="exact"/>
        <w:rPr>
          <w:sz w:val="20"/>
          <w:szCs w:val="20"/>
          <w:color w:val="auto"/>
        </w:rPr>
      </w:pPr>
    </w:p>
    <w:p>
      <w:pPr>
        <w:jc w:val="both"/>
        <w:ind w:right="700" w:firstLine="749"/>
        <w:spacing w:after="0" w:line="266"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in accordance with U.S. GAAP and on a going-concern basis that contemplates continuity of operations and realization of assets and liquidation of liabilities in the ordinary course of business. Amounts have been presented in thousands of U.S. dollars except for share and per share amounts.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tcBorders>
              <w:bottom w:val="single" w:sz="8" w:color="auto"/>
            </w:tcBorders>
            <w:gridSpan w:val="5"/>
          </w:tcPr>
          <w:p>
            <w:pPr>
              <w:ind w:left="10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60" w:type="dxa"/>
            <w:vAlign w:val="bottom"/>
          </w:tcPr>
          <w:p>
            <w:pPr>
              <w:spacing w:after="0"/>
              <w:rPr>
                <w:sz w:val="16"/>
                <w:szCs w:val="16"/>
                <w:color w:val="auto"/>
              </w:rPr>
            </w:pPr>
          </w:p>
        </w:tc>
        <w:tc>
          <w:tcPr>
            <w:tcW w:w="1420" w:type="dxa"/>
            <w:vAlign w:val="bottom"/>
            <w:tcBorders>
              <w:bottom w:val="single" w:sz="8" w:color="auto"/>
            </w:tcBorders>
            <w:gridSpan w:val="2"/>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2021 vs. 2020</w:t>
            </w:r>
          </w:p>
        </w:tc>
        <w:tc>
          <w:tcPr>
            <w:tcW w:w="0" w:type="dxa"/>
            <w:vAlign w:val="bottom"/>
          </w:tcPr>
          <w:p>
            <w:pPr>
              <w:spacing w:after="0"/>
              <w:rPr>
                <w:sz w:val="1"/>
                <w:szCs w:val="1"/>
                <w:color w:val="auto"/>
              </w:rPr>
            </w:pPr>
          </w:p>
        </w:tc>
      </w:tr>
      <w:tr>
        <w:trPr>
          <w:trHeight w:val="169"/>
        </w:trPr>
        <w:tc>
          <w:tcPr>
            <w:tcW w:w="3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11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3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80" w:type="dxa"/>
            <w:vAlign w:val="bottom"/>
            <w:gridSpan w:val="8"/>
          </w:tcPr>
          <w:p>
            <w:pPr>
              <w:ind w:left="114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96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Revenues, Net of Discounts</w:t>
            </w:r>
          </w:p>
        </w:tc>
        <w:tc>
          <w:tcPr>
            <w:tcW w:w="2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1,017,375</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893,560</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556,573</w:t>
            </w: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123,815</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6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336,987</w:t>
            </w:r>
          </w:p>
        </w:tc>
        <w:tc>
          <w:tcPr>
            <w:tcW w:w="56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76"/>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Goods Sold, Net</w:t>
            </w:r>
          </w:p>
        </w:tc>
        <w:tc>
          <w:tcPr>
            <w:tcW w:w="280" w:type="dxa"/>
            <w:vAlign w:val="bottom"/>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(513,412)</w:t>
            </w:r>
          </w:p>
        </w:tc>
        <w:tc>
          <w:tcPr>
            <w:tcW w:w="14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(401,631)</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(252,404)</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98"/>
              </w:rPr>
              <w:t>(111,781)</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60" w:type="dxa"/>
            <w:vAlign w:val="bottom"/>
          </w:tcPr>
          <w:p>
            <w:pPr>
              <w:spacing w:after="0"/>
              <w:rPr>
                <w:sz w:val="15"/>
                <w:szCs w:val="15"/>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(149,227)</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69"/>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28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503,963</w:t>
            </w: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491,929</w:t>
            </w: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304,169</w:t>
            </w: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12,034</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187,760</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75"/>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294,396</w:t>
            </w: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277,087</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198,062</w:t>
            </w: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17,309</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79,025</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76"/>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Impairment of Goodwill and Intangible Assets</w:t>
            </w:r>
          </w:p>
        </w:tc>
        <w:tc>
          <w:tcPr>
            <w:tcW w:w="280" w:type="dxa"/>
            <w:vAlign w:val="bottom"/>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88,503</w:t>
            </w:r>
          </w:p>
        </w:tc>
        <w:tc>
          <w:tcPr>
            <w:tcW w:w="14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88,503</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60" w:type="dxa"/>
            <w:vAlign w:val="bottom"/>
          </w:tcPr>
          <w:p>
            <w:pPr>
              <w:spacing w:after="0"/>
              <w:rPr>
                <w:sz w:val="15"/>
                <w:szCs w:val="15"/>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9"/>
        </w:trPr>
        <w:tc>
          <w:tcPr>
            <w:tcW w:w="3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Expenses</w:t>
            </w:r>
          </w:p>
        </w:tc>
        <w:tc>
          <w:tcPr>
            <w:tcW w:w="280" w:type="dxa"/>
            <w:vAlign w:val="bottom"/>
            <w:tcBorders>
              <w:bottom w:val="single" w:sz="8" w:color="CFF0FC"/>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382,899</w:t>
            </w:r>
          </w:p>
        </w:tc>
        <w:tc>
          <w:tcPr>
            <w:tcW w:w="14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277,087</w:t>
            </w:r>
          </w:p>
        </w:tc>
        <w:tc>
          <w:tcPr>
            <w:tcW w:w="12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198,062</w:t>
            </w:r>
          </w:p>
        </w:tc>
        <w:tc>
          <w:tcPr>
            <w:tcW w:w="20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105,812</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6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79,025</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69"/>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2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121,064</w:t>
            </w: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214,842</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106,107</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(93,778)</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108,735</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76"/>
        </w:trPr>
        <w:tc>
          <w:tcPr>
            <w:tcW w:w="3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Other Expense</w:t>
            </w:r>
          </w:p>
        </w:tc>
        <w:tc>
          <w:tcPr>
            <w:tcW w:w="280" w:type="dxa"/>
            <w:vAlign w:val="bottom"/>
            <w:tcBorders>
              <w:bottom w:val="single" w:sz="8" w:color="CFF0FC"/>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(12,632)</w:t>
            </w:r>
          </w:p>
        </w:tc>
        <w:tc>
          <w:tcPr>
            <w:tcW w:w="140" w:type="dxa"/>
            <w:vAlign w:val="bottom"/>
            <w:tcBorders>
              <w:bottom w:val="single" w:sz="8" w:color="CFF0FC"/>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(9,867)</w:t>
            </w:r>
          </w:p>
        </w:tc>
        <w:tc>
          <w:tcPr>
            <w:tcW w:w="12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(3,176)</w:t>
            </w:r>
          </w:p>
        </w:tc>
        <w:tc>
          <w:tcPr>
            <w:tcW w:w="2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(2,765)</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6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(6,691)</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133"/>
        </w:trPr>
        <w:tc>
          <w:tcPr>
            <w:tcW w:w="396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Income Before Provision for Income Taxes And Non-Controlling</w:t>
            </w:r>
          </w:p>
        </w:tc>
        <w:tc>
          <w:tcPr>
            <w:tcW w:w="28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108,432</w:t>
            </w:r>
          </w:p>
        </w:tc>
        <w:tc>
          <w:tcPr>
            <w:tcW w:w="14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204,975</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102,931</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(96,543)</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60" w:type="dxa"/>
            <w:vAlign w:val="bottom"/>
          </w:tcPr>
          <w:p>
            <w:pPr>
              <w:spacing w:after="0"/>
              <w:rPr>
                <w:sz w:val="11"/>
                <w:szCs w:val="11"/>
                <w:color w:val="auto"/>
              </w:rPr>
            </w:pP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102,044</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85"/>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2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80" w:type="dxa"/>
            <w:vAlign w:val="bottom"/>
            <w:tcBorders>
              <w:bottom w:val="single" w:sz="8" w:color="CFF0FC"/>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94,777</w:t>
            </w:r>
          </w:p>
        </w:tc>
        <w:tc>
          <w:tcPr>
            <w:tcW w:w="140" w:type="dxa"/>
            <w:vAlign w:val="bottom"/>
            <w:tcBorders>
              <w:bottom w:val="single" w:sz="8" w:color="CFF0FC"/>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124,612</w:t>
            </w:r>
          </w:p>
        </w:tc>
        <w:tc>
          <w:tcPr>
            <w:tcW w:w="12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83,853</w:t>
            </w:r>
          </w:p>
        </w:tc>
        <w:tc>
          <w:tcPr>
            <w:tcW w:w="2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(29,835)</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40,759</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69"/>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Before Non-Controlling Interest</w:t>
            </w:r>
          </w:p>
        </w:tc>
        <w:tc>
          <w:tcPr>
            <w:tcW w:w="2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13,655</w:t>
            </w: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80,363</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19,078</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(66,708)</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61,285</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0" w:type="dxa"/>
            <w:vAlign w:val="bottom"/>
          </w:tcPr>
          <w:p>
            <w:pPr>
              <w:spacing w:after="0"/>
              <w:rPr>
                <w:sz w:val="1"/>
                <w:szCs w:val="1"/>
                <w:color w:val="auto"/>
              </w:rPr>
            </w:pPr>
          </w:p>
        </w:tc>
      </w:tr>
      <w:tr>
        <w:trPr>
          <w:trHeight w:val="176"/>
        </w:trPr>
        <w:tc>
          <w:tcPr>
            <w:tcW w:w="3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280" w:type="dxa"/>
            <w:vAlign w:val="bottom"/>
            <w:tcBorders>
              <w:bottom w:val="single" w:sz="8" w:color="CFF0FC"/>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1,677</w:t>
            </w:r>
          </w:p>
        </w:tc>
        <w:tc>
          <w:tcPr>
            <w:tcW w:w="140" w:type="dxa"/>
            <w:vAlign w:val="bottom"/>
            <w:tcBorders>
              <w:bottom w:val="single" w:sz="8" w:color="CFF0FC"/>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4,927</w:t>
            </w:r>
          </w:p>
        </w:tc>
        <w:tc>
          <w:tcPr>
            <w:tcW w:w="12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4,085</w:t>
            </w:r>
          </w:p>
        </w:tc>
        <w:tc>
          <w:tcPr>
            <w:tcW w:w="2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(3,250)</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6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842</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69"/>
        </w:trPr>
        <w:tc>
          <w:tcPr>
            <w:tcW w:w="396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Net Income Attributable To Green Thumb Industries Inc.</w:t>
            </w:r>
          </w:p>
        </w:tc>
        <w:tc>
          <w:tcPr>
            <w:tcW w:w="2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11,978</w:t>
            </w: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75,436</w:t>
            </w: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14,993</w:t>
            </w:r>
          </w:p>
        </w:tc>
        <w:tc>
          <w:tcPr>
            <w:tcW w:w="2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(63,458)</w:t>
            </w:r>
          </w:p>
        </w:tc>
        <w:tc>
          <w:tcPr>
            <w:tcW w:w="4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(84)%</w:t>
            </w:r>
          </w:p>
        </w:tc>
        <w:tc>
          <w:tcPr>
            <w:tcW w:w="1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60,443</w:t>
            </w:r>
          </w:p>
        </w:tc>
        <w:tc>
          <w:tcPr>
            <w:tcW w:w="5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403%</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Net Income Per Share - Basic</w:t>
            </w:r>
          </w:p>
        </w:tc>
        <w:tc>
          <w:tcPr>
            <w:tcW w:w="28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0.05</w:t>
            </w:r>
          </w:p>
        </w:tc>
        <w:tc>
          <w:tcPr>
            <w:tcW w:w="14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0.34</w:t>
            </w:r>
          </w:p>
        </w:tc>
        <w:tc>
          <w:tcPr>
            <w:tcW w:w="12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0.07</w:t>
            </w:r>
          </w:p>
        </w:tc>
        <w:tc>
          <w:tcPr>
            <w:tcW w:w="20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(0.29)</w:t>
            </w:r>
          </w:p>
        </w:tc>
        <w:tc>
          <w:tcPr>
            <w:tcW w:w="4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(85)%</w:t>
            </w:r>
          </w:p>
        </w:tc>
        <w:tc>
          <w:tcPr>
            <w:tcW w:w="16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0.27</w:t>
            </w:r>
          </w:p>
        </w:tc>
        <w:tc>
          <w:tcPr>
            <w:tcW w:w="5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386%</w:t>
            </w:r>
          </w:p>
        </w:tc>
        <w:tc>
          <w:tcPr>
            <w:tcW w:w="0" w:type="dxa"/>
            <w:vAlign w:val="bottom"/>
          </w:tcPr>
          <w:p>
            <w:pPr>
              <w:spacing w:after="0"/>
              <w:rPr>
                <w:sz w:val="1"/>
                <w:szCs w:val="1"/>
                <w:color w:val="auto"/>
              </w:rPr>
            </w:pPr>
          </w:p>
        </w:tc>
      </w:tr>
      <w:tr>
        <w:trPr>
          <w:trHeight w:val="156"/>
        </w:trPr>
        <w:tc>
          <w:tcPr>
            <w:tcW w:w="396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Net Income Per Share - Diluted</w:t>
            </w:r>
          </w:p>
        </w:tc>
        <w:tc>
          <w:tcPr>
            <w:tcW w:w="2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0.05</w:t>
            </w: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0.33</w:t>
            </w: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0.07</w:t>
            </w:r>
          </w:p>
        </w:tc>
        <w:tc>
          <w:tcPr>
            <w:tcW w:w="2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(0.28)</w:t>
            </w:r>
          </w:p>
        </w:tc>
        <w:tc>
          <w:tcPr>
            <w:tcW w:w="4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(85)%</w:t>
            </w:r>
          </w:p>
        </w:tc>
        <w:tc>
          <w:tcPr>
            <w:tcW w:w="1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0.26</w:t>
            </w:r>
          </w:p>
        </w:tc>
        <w:tc>
          <w:tcPr>
            <w:tcW w:w="5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371%</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Weighted Average Number of Shares Outstanding – Basic</w:t>
            </w:r>
          </w:p>
        </w:tc>
        <w:tc>
          <w:tcPr>
            <w:tcW w:w="28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236,713,056</w:t>
            </w:r>
          </w:p>
        </w:tc>
        <w:tc>
          <w:tcPr>
            <w:tcW w:w="1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223,192,326</w:t>
            </w:r>
          </w:p>
        </w:tc>
        <w:tc>
          <w:tcPr>
            <w:tcW w:w="1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210,988,259</w:t>
            </w:r>
          </w:p>
        </w:tc>
        <w:tc>
          <w:tcPr>
            <w:tcW w:w="2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96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Weighted Average Number of Shares Outstanding – Diluted</w:t>
            </w:r>
          </w:p>
        </w:tc>
        <w:tc>
          <w:tcPr>
            <w:tcW w:w="280" w:type="dxa"/>
            <w:vAlign w:val="bottom"/>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238,080,030</w:t>
            </w:r>
          </w:p>
        </w:tc>
        <w:tc>
          <w:tcPr>
            <w:tcW w:w="140" w:type="dxa"/>
            <w:vAlign w:val="bottom"/>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226,758,882</w:t>
            </w: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212,531,188</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-2648585</wp:posOffset>
            </wp:positionV>
            <wp:extent cx="102870" cy="3689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2870" cy="36893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-1482725</wp:posOffset>
            </wp:positionV>
            <wp:extent cx="93980" cy="1200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3980" cy="12001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-1482725</wp:posOffset>
            </wp:positionV>
            <wp:extent cx="77470" cy="1200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-1482725</wp:posOffset>
            </wp:positionV>
            <wp:extent cx="68580" cy="1200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-1482725</wp:posOffset>
            </wp:positionV>
            <wp:extent cx="102870" cy="1200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2870" cy="12001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-1250950</wp:posOffset>
            </wp:positionV>
            <wp:extent cx="93980" cy="2146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3980" cy="21463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-1250950</wp:posOffset>
            </wp:positionV>
            <wp:extent cx="77470" cy="2146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21463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-1250950</wp:posOffset>
            </wp:positionV>
            <wp:extent cx="68580" cy="2146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-1250950</wp:posOffset>
            </wp:positionV>
            <wp:extent cx="102870" cy="2146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2870" cy="21463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-925195</wp:posOffset>
            </wp:positionV>
            <wp:extent cx="93980" cy="1200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3980" cy="12001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-925195</wp:posOffset>
            </wp:positionV>
            <wp:extent cx="77470" cy="1200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-925195</wp:posOffset>
            </wp:positionV>
            <wp:extent cx="68580" cy="1200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-925195</wp:posOffset>
            </wp:positionV>
            <wp:extent cx="102870" cy="1200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2870" cy="12001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-693420</wp:posOffset>
            </wp:positionV>
            <wp:extent cx="93980" cy="145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-693420</wp:posOffset>
            </wp:positionV>
            <wp:extent cx="77470" cy="145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-693420</wp:posOffset>
            </wp:positionV>
            <wp:extent cx="68580" cy="145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-693420</wp:posOffset>
            </wp:positionV>
            <wp:extent cx="102870" cy="145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2870" cy="14541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-436245</wp:posOffset>
            </wp:positionV>
            <wp:extent cx="2794635" cy="162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794635" cy="16256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-162560</wp:posOffset>
            </wp:positionV>
            <wp:extent cx="1739900" cy="163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39900" cy="16319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8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2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23"/>
        </w:trPr>
        <w:tc>
          <w:tcPr>
            <w:tcW w:w="38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(in</w:t>
            </w:r>
          </w:p>
        </w:tc>
        <w:tc>
          <w:tcPr>
            <w:tcW w:w="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0"/>
              </w:rPr>
              <w:t>thousands)</w:t>
            </w:r>
          </w:p>
        </w:tc>
        <w:tc>
          <w:tcPr>
            <w:tcW w:w="1860" w:type="dxa"/>
            <w:vAlign w:val="bottom"/>
            <w:tcBorders>
              <w:bottom w:val="single" w:sz="8" w:color="auto"/>
            </w:tcBorders>
          </w:tcPr>
          <w:p>
            <w:pPr>
              <w:spacing w:after="0"/>
              <w:rPr>
                <w:sz w:val="19"/>
                <w:szCs w:val="19"/>
                <w:color w:val="auto"/>
              </w:rPr>
            </w:pPr>
          </w:p>
        </w:tc>
      </w:tr>
      <w:tr>
        <w:trPr>
          <w:trHeight w:val="230"/>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2,433,528</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2,385,851</w:t>
            </w:r>
          </w:p>
        </w:tc>
      </w:tr>
      <w:tr>
        <w:trPr>
          <w:trHeight w:val="210"/>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2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621,525</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561,994</w:t>
            </w: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Streams</w:t>
      </w:r>
    </w:p>
    <w:p>
      <w:pPr>
        <w:spacing w:after="0" w:line="229"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The Company has consolidated financial statements across its operating businesses with revenue from the manufacture, sale and distribution of branded cannabis products to third-party retail customers as well as the sale of finished products to consumers in its retail stores.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2022 Compared to the Year Ended December 31, 2021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net of Discounts</w:t>
      </w:r>
    </w:p>
    <w:p>
      <w:pPr>
        <w:spacing w:after="0" w:line="227"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Revenue for the year ended December 31, 2022 was $1,017,375 thousand, up 14% from $893,560 thousand for the year ended December 31, 2021, driven by contributions from both Retail and Consumer Packaged Goods, largely due to continued growth in New Jersey, Illinois, Minnesota and Virginia. Key performance drivers for the Retail revenues in 2022 were: legalization of adult-use sales in New Jersey, which began on April 21, 2022, increased store traffic to Green Thumb’s open and operating retail stores, particularly in Illinois, and new store openings including acquired stores, particularly in Minnesota, Massachusetts, Virginia, Rhode Island and Maryland. The Company generated revenue from 77 Retail locations during the year compared to 73 in the prior year. During the year ended December 31, 2022, Retail revenue made up 75% of total revenue as compared to 69% of total revenue in 2021. Since December 31, 2021, the Company acquired one retail store in Illinois, opened two new Retail locations in Virginia and one in Minnesota that contributed to the increase in Retail revenues.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4" w:name="page55"/>
    <w:bookmarkEnd w:id="54"/>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The key drivers for the increase in Consumer Packaged Goods revenues was increased sales in New Jersey due to legalization of adult-use sales which began on April 21, 2022, and growth in Illinois and Virginia. Consumer Packaged Goods revenue made up 25% of total revenues in 2022 as compared to 31% in 2021.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 net</w:t>
      </w:r>
    </w:p>
    <w:p>
      <w:pPr>
        <w:spacing w:after="0" w:line="22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Cost of goods sold are derived from retail purchases made by the Company from its third-party licensed producers operating within our state markets and costs related to the internal cultivation and production of cannabis. Cost of goods sold for the year ended December 31, 2022 was $513,412 thousand, up 28% from $401,631 thousand for the year ended December 31, 2021, driven by increased volume from open and operating retail stores, new and acquired retail store openings in Illinois, Minnesota and Virginia, legalization of adult-use sales in New Jersey, and expansion of the consumer products sales primarily in New Jersey and Illinois as described above.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Gross profit for the year ended December 31, 2022 was $503,963 thousand, representing a gross margin on the sale of branded cannabis flower and processed and packaged products including concentrates, edibles, topicals and other cannabis products, of 50%. This is compared to gross profit for the year ended December 31, 2021 of $491,929 thousand or a 55% gross margin. The increase in gross profit (dollars) was directly attributable to the revenue increase as described above. The decline in gross margin (percent) was primarily driven by price compression.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Expenses</w:t>
      </w:r>
    </w:p>
    <w:p>
      <w:pPr>
        <w:spacing w:after="0" w:line="227"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Total expenses for the year ended December 31, 2022 were $382,899 thousand or 38% of revenues, net of discounts, resulting in an increase of $105,812 thousand. Total expenses for the year ended December 31, 2021 were $277,087 thousand or 31% of revenues, net of discounts. The increase in total expenses was primarily due to an impairment charge to goodwill of $57,372 thousand and an impairment charge associated with the Company's tradename intangible assets of $31,131 thousand. The remaining increase is attributable to retail salaries and benefits, stock-based compensation expense, depreciation expense and other operational and facility expenses mainly as a result of the Company’s addition of three new and one acquired Retail store during 2022 as well as the five retail stores associated with LeafLine Industries, LLC, which were acquired on December 30, 2021. In addition, an increase in intangible amortization expense and corporate staff salaries also contributed to the overall increase in total expenses, which was partially offset by the remeasurement of the Company's contingent consideration arrangements associated with two acquisitions that occurred in 2021. The reduction in expenses as a percentage of revenue was attributable to measures deployed to control variable expenses as well as inherent operating leverage caused by the significant increase in revenue.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Other Income (Expense)</w:t>
      </w:r>
    </w:p>
    <w:p>
      <w:pPr>
        <w:spacing w:after="0" w:line="227"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Total other income (expense) for the year ended December 31, 2022 was $(12,632) thousand, a change of $(2,765) thousand, primarily due to fair value adjustments on the Company's equity investments, partially offset by favorable fair value adjustments on the Company's warrant liability.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Before Provision for Income Taxes and Non-Controlling Interest</w:t>
      </w:r>
    </w:p>
    <w:p>
      <w:pPr>
        <w:spacing w:after="0" w:line="227"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Income before provision for income taxes and non-controlling interest for the year ended December 31, 2022 was $108,432 thousand, a decrease of $(96,543) thousand compared to the year ended December 31, 2021.</w:t>
      </w:r>
    </w:p>
    <w:p>
      <w:pPr>
        <w:spacing w:after="0" w:line="162"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As presented under the heading “Non-GAAP Measures” below, after adjusting for non-cash equity incentive compensation of $27,140 thousand and $19,600 thousand, other non-operating items of $(21,893) thousand and $4,934 thousand, and impairment of goodwill and intangible assets of $88,503 thousand and $0, Adjusted Operating Earnings Before Interest, Taxes, Depreciation, and Amortization (“Adjusted Operating EBITDA”) was $311,478 thousand and $307,834 thousand for the years ended December 31, 2022 and 2021,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Income tax expense is recognized based on the expected tax payable on the taxable income for the year, using tax rates enacted or substantively enacted at year-end. For the year ended December 31, 2022, federal and state income tax expense totaled $94,777 thousand compared to expense of $124,612 thousand for the year ended December 31, 2021.</w:t>
      </w:r>
    </w:p>
    <w:p>
      <w:pPr>
        <w:spacing w:after="0" w:line="176"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net expense of $94,777 thousand for the year ended December 31, 2022 includes current tax expense of $142,861 thousand and deferred tax expense of $(48,084) thousand in the current period.</w:t>
      </w: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2021 Compared to the Year Ended December 31, 2020</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net of Discounts</w:t>
      </w:r>
    </w:p>
    <w:p>
      <w:pPr>
        <w:spacing w:after="0" w:line="22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Revenue for the year ended December 31, 2021 was $893,560 thousand, up 61% from $556,573 thousand for the year ended December 31, 2020, driven by contributions from both Retail and Consumer Packaged Goods, largely due to continued growth in Illinois and Pennsylvania. Key performance drivers for the Retail revenues in 2021 were: increased store traffic to Green Thumb’s open and operating retail stores, particularly in Illinois and Pennsylvania, and new store openings including acquired stores, particularly in Massachusetts, Virginia, Rhode Island and Maryland. The Company generated revenue from 73 Retail locations during the year compared to 51 in the prior year. During the year ended December 31, 2021, Retail revenue made up 69% of total revenue as compared to 71% of total revenue in 2020. Since December 31, 2020, the Company acquired one retail store in Maryland, four in Massachusetts, one in Rhode Island, one in Virginia and five in Minnesota and opened ten new Retail locations in Pennsylvania, Illinois, Massachusetts, California, New Jersey, Nevada and Virginia that contributed to the increase in Retail revenues.</w:t>
      </w:r>
    </w:p>
    <w:p>
      <w:pPr>
        <w:spacing w:after="0" w:line="192"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 key driver for the Consumer Packaged Goods increase in revenues was the sale of Green Thumb’s branded product portfolio to third-party retailers through the Company’s existing Consumer Packaged Goods cultivation and processing facilities in Illinois, Pennsylvania, Massachusetts, Maryland, Nevada, New Jersey, Ohio and Connecticut due to increased scale and efficiency. The Company also acquired cultivation and processing facilities in Massachusetts, Minnesota, Rhode Island and Virginia during the year ended December 31, 2021. Consumer Packaged Goods revenue made up 31% of total revenues in 2021 as compared to 29% in 2020.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 net</w:t>
      </w:r>
    </w:p>
    <w:p>
      <w:pPr>
        <w:spacing w:after="0" w:line="227"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Cost of goods sold are derived from retail purchases made by the Company from its third-party licensed producers operating within our state markets and costs related to the internal cultivation and production of cannabis. Cost of goods sold for the year ended December 31, 2021 was $401,631 thousand, up 59% from $252,404 thousand for the year ended December 31, 2020, driven by increased volume in open and operating retail stores; new and acquired retail store openings in Massachusetts, Virginia, Rhode Island, New Jersey and Pennsylvania and expansion of the consumer products sales primarily in Illinois, Pennsylvania, Massachusetts and New Jersey as described above.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Gross profit for the year ended December 31, 2021 was $491,929 thousand, representing a gross margin on the sale of branded cannabis flower and processed and packaged products including concentrates, edibles, topicals and other cannabis products, of 55%. This is compared to gross profit for the year ended December 31, 2020 of $304,169 thousand or a 55% gross margin. The increase in gross profit (dollars) was directly attributable to the revenue increase as described above.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Expenses</w:t>
      </w:r>
    </w:p>
    <w:p>
      <w:pPr>
        <w:spacing w:after="0" w:line="227"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Total expenses for the year ended December 31, 2021 were $277,087 thousand or 31% of revenues, net of discounts, resulting in an increase of $79,025 thousand. Total expenses for the year ended December 31, 2020 were $198,062 thousand or 36% of revenues, net of discounts. The increase in total expenses was attributable to Retail salaries and benefits, depreciation expense and other operational and facility expenses mainly as a result of the Company’s addition of ten new and twelve acquired Retail stores over the prior year period. In addition, an increase in intangible amortization expense and corporate staff salaries also contributed to the overall increase in total expenses. The reduction in expenses as a percentage of revenue was attributable to measures deployed to control variable expenses as well as inherent operating leverage caused by the significant increase in revenue.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Other Income (Expense)</w:t>
      </w:r>
    </w:p>
    <w:p>
      <w:pPr>
        <w:spacing w:after="0" w:line="227"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Total other income (expense) for the year ended December 31, 2021 was $(9,867) thousand, a change of $(6,691) thousand, primarily due to an increase in interest expense on the Company's April 30, 2021 Notes and interest on contingent consideration associated with 2021 acquisitions.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i w:val="1"/>
          <w:iCs w:val="1"/>
          <w:color w:val="auto"/>
        </w:rPr>
        <w:t>Income Before Provision for Income Taxes and Non-Controlling Interest</w:t>
      </w:r>
    </w:p>
    <w:p>
      <w:pPr>
        <w:spacing w:after="0" w:line="227" w:lineRule="exact"/>
        <w:rPr>
          <w:sz w:val="20"/>
          <w:szCs w:val="20"/>
          <w:color w:val="auto"/>
        </w:rPr>
      </w:pPr>
    </w:p>
    <w:p>
      <w:pPr>
        <w:ind w:right="600" w:firstLine="749"/>
        <w:spacing w:after="0" w:line="282" w:lineRule="auto"/>
        <w:rPr>
          <w:sz w:val="20"/>
          <w:szCs w:val="20"/>
          <w:color w:val="auto"/>
        </w:rPr>
      </w:pPr>
      <w:r>
        <w:rPr>
          <w:rFonts w:ascii="Times New Roman" w:cs="Times New Roman" w:eastAsia="Times New Roman" w:hAnsi="Times New Roman"/>
          <w:sz w:val="18"/>
          <w:szCs w:val="18"/>
          <w:color w:val="auto"/>
        </w:rPr>
        <w:t>Income before provision for income taxes and non-controlling interest for the year ended December 31, 2021 was $204,975 thousand, an increase of $102,044 thousand compared to the year ended December 31, 2020.</w:t>
      </w:r>
    </w:p>
    <w:p>
      <w:pPr>
        <w:spacing w:after="0" w:line="162"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As presented under the heading “Non-GAAP Measures” below, after adjusting for non-cash equity incentive compensation of $19,600 thousand and $19,337 thousand, as well as other nonoperating items of $4,934 thousand and $1,635 thousand, Adjusted Operating EBITDA was $307,834 thousand and $179,585 thousand for the years ended December 31, 2021 and 2020,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Income tax expense is recognized based on the expected tax payable on the taxable income for the year, using tax rates enacted or substantively enacted at year-end. For the year ended December 31, 2021, federal and state income tax expense totaled $124,612 thousand compared to expense of $83,853 thousand for the year ended December 31, 2020.</w:t>
      </w:r>
    </w:p>
    <w:p>
      <w:pPr>
        <w:spacing w:after="0" w:line="176"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The net expense of $124,612 thousand for the year ended December 31, 2021 includes current tax expense of $132,151 thousand and deferred tax expense of $(7,539) thousand in the current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2020 Compared with Year Ended December 31, 2019</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net of Discounts</w:t>
      </w:r>
    </w:p>
    <w:p>
      <w:pPr>
        <w:spacing w:after="0" w:line="22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Revenue for the year ended December 31, 2020 was $556,573 thousand, up 157% from $216,433 thousand for the year ended December 31, 2019. The increase in revenue was driven by contributions from both Retail and Consumer Packaged Goods, largely due to growth in Illinois and Pennsylvania. The key performance driver of Retail revenues in 2020 was legalization of adult-use in Illinois on January 1, 2020 as well as new store openings particularly in Illinois and Pennsylvania, and the 2020 full period effect of the June 2019 acquisition of Integral Associates, LLC's Essence branded stores (“Essence") in Nevada. During the year ended December 31, 2020, Retail revenue made up 71% of total revenue as compared to 64% in 2019. During the year ended December 31, 2020, the Company increased its Retail footprint by opening 11 new stores and acquiring one store as compared to opening 17 new stores and acquiring eight during the same period in 2019. In total, the Company had 51 Retail locations open and operating during year ended December 31, 2020 as compared to 39 Retail locations in the prior year.</w:t>
      </w:r>
    </w:p>
    <w:p>
      <w:pPr>
        <w:spacing w:after="0" w:line="192" w:lineRule="exact"/>
        <w:rPr>
          <w:sz w:val="20"/>
          <w:szCs w:val="20"/>
          <w:color w:val="auto"/>
        </w:rPr>
      </w:pPr>
    </w:p>
    <w:p>
      <w:pPr>
        <w:jc w:val="both"/>
        <w:ind w:right="180" w:firstLine="749"/>
        <w:spacing w:after="0" w:line="261" w:lineRule="auto"/>
        <w:rPr>
          <w:sz w:val="20"/>
          <w:szCs w:val="20"/>
          <w:color w:val="auto"/>
        </w:rPr>
      </w:pPr>
      <w:r>
        <w:rPr>
          <w:rFonts w:ascii="Times New Roman" w:cs="Times New Roman" w:eastAsia="Times New Roman" w:hAnsi="Times New Roman"/>
          <w:sz w:val="18"/>
          <w:szCs w:val="18"/>
          <w:color w:val="auto"/>
        </w:rPr>
        <w:t>The key drivers for Consumer Packaged Goods revenue was legalization of adult-use in Illinois on January 1, 2020 as well as the expansion of Green Thumb’s branded product portfolio to third-party retailers through the Company’s existing Consumer Packaged Goods cultivation and processing facilities in Illinois, Pennsylvania, Massachusetts, Maryland, Connecticut and Nevada due to increased scale and efficiency. Consumer Packaged Goods revenue made up 29% of total revenues in 2020 as compared to 36% in 2019.</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27"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Cost of goods sold are derived from costs related to the internal cultivation and production of cannabis and from Retail purchases made from other licensed producers operating within our state markets.</w:t>
      </w:r>
    </w:p>
    <w:p>
      <w:pPr>
        <w:spacing w:after="0" w:line="162"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Cost of goods sold for the year ended December 31, 2020 was $252,404 thousand, up 131% from $109,402 thousand for the year ended December 31, 2019, driven by increased volume in open and operating Retail stores; new Retail store openings in Illinois, Pennsylvania and Nevada; and expansion of the Consumer Packaged Goods sales in Illinois, Pennsylvania, Massachusetts, Maryland, Connecticut and Nevada.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Gross profit for the year ended December 31, 2020 was $304,169 thousand, representing a gross margin on the sale of finished cannabis consumer packaged goods of 55%. This is compared to gross profit for the year ended December 31, 2019 of $107,031 thousand or a 49% gross margin. The Company’s increase in gross margin percentage was mainly attributed to an overall increase in Retail sales as a proportion of total sales. In addition, Consumer Packaged Goods also contributed to the increase in gross profit through expanded capacity. The increase in gross profit was directly attributable to the revenue increase as further described above.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5"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i w:val="1"/>
          <w:iCs w:val="1"/>
          <w:color w:val="auto"/>
        </w:rPr>
        <w:t>Total Expenses</w:t>
      </w:r>
    </w:p>
    <w:p>
      <w:pPr>
        <w:spacing w:after="0" w:line="227"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Total expenses for the year ended December 31, 2020 were $198,062 thousand or 36% of total revenues, net of discounts. Total expenses for the year ended December 31, 2019 were $134,721 thousand or 62% of total revenues, net of discounts.</w:t>
      </w:r>
    </w:p>
    <w:p>
      <w:pPr>
        <w:spacing w:after="0" w:line="162"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increase in total expenses was attributable to Retail salaries, benefits, depreciation expense and other operational and facility expenses mainly as a result of the Company’s new and acquired Retail facilities. In addition, an increase in intangible asset amortization expense, back office personnel costs and non-cash equity incentive compensation expense also contributed to the overall increase in total expenses. The reduction in expenses as a percent of revenue was attributable to measures deployed to control variable expenses as well as inherent operating leverage caused by the significant increase in revenue.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Other Income (Expense)</w:t>
      </w:r>
    </w:p>
    <w:p>
      <w:pPr>
        <w:spacing w:after="0" w:line="227"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Total other income (expense) decreased to $(3,176) thousand for the year ended December 31, 2020 as compared to $(22,512) thousand for the year ended December 31, 2019. The reduction in other income (expense) was primarily due to favorable fair value adjustments on the Company’s investments offset by unfavorable adjustments to the fair value of the warrant liability and increased interest expense.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(Loss) Before Provision for Income Taxes and Non-Controlling Interest</w:t>
      </w:r>
    </w:p>
    <w:p>
      <w:pPr>
        <w:spacing w:after="0" w:line="227" w:lineRule="exact"/>
        <w:rPr>
          <w:sz w:val="20"/>
          <w:szCs w:val="20"/>
          <w:color w:val="auto"/>
        </w:rPr>
      </w:pPr>
    </w:p>
    <w:p>
      <w:pPr>
        <w:ind w:right="560" w:firstLine="749"/>
        <w:spacing w:after="0" w:line="282" w:lineRule="auto"/>
        <w:rPr>
          <w:sz w:val="20"/>
          <w:szCs w:val="20"/>
          <w:color w:val="auto"/>
        </w:rPr>
      </w:pPr>
      <w:r>
        <w:rPr>
          <w:rFonts w:ascii="Times New Roman" w:cs="Times New Roman" w:eastAsia="Times New Roman" w:hAnsi="Times New Roman"/>
          <w:sz w:val="18"/>
          <w:szCs w:val="18"/>
          <w:color w:val="auto"/>
        </w:rPr>
        <w:t>Net operating income before provision for income taxes and non-controlling interest for the year ended December 31, 2020 was $102,931 thousand as compared to loss of $(50,202) thousand for the year ended December 31, 2019.</w:t>
      </w:r>
    </w:p>
    <w:p>
      <w:pPr>
        <w:spacing w:after="0" w:line="162" w:lineRule="exact"/>
        <w:rPr>
          <w:sz w:val="20"/>
          <w:szCs w:val="20"/>
          <w:color w:val="auto"/>
        </w:rPr>
      </w:pPr>
    </w:p>
    <w:p>
      <w:pPr>
        <w:jc w:val="both"/>
        <w:ind w:right="60" w:firstLine="749"/>
        <w:spacing w:after="0" w:line="266" w:lineRule="auto"/>
        <w:rPr>
          <w:sz w:val="20"/>
          <w:szCs w:val="20"/>
          <w:color w:val="auto"/>
        </w:rPr>
      </w:pPr>
      <w:r>
        <w:rPr>
          <w:rFonts w:ascii="Times New Roman" w:cs="Times New Roman" w:eastAsia="Times New Roman" w:hAnsi="Times New Roman"/>
          <w:sz w:val="18"/>
          <w:szCs w:val="18"/>
          <w:color w:val="auto"/>
        </w:rPr>
        <w:t>As presented under the heading “Non-GAAP Measures” below, after adjusting for non-cash equity incentive compensation of $19,337 thousand for 2020 and $18,285 thousand for 2019, as well as other non-operating items, Adjusted Operating EBITDA was $179,585 thousand and $28,092 thousand for the year ended December 31, 2020 and 2019,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Income tax expense is recognized based on the expected tax payable on the taxable income for the year, using tax rates enacted at year-end. For the year ended December 31, 2020, federal and state income tax expense totaled $83,853 thousand as compared to $9,344 thousand for the year ended December 31, 2019.</w:t>
      </w:r>
    </w:p>
    <w:p>
      <w:pPr>
        <w:spacing w:after="0" w:line="176"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The net expense of $83,853 thousand for the year ended December 31, 2020 includes current tax expense of $81,758 thousand and deferred tax expense of $2,095 thousand in the current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 by Segment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revenues net of sales discounts by segment for the years ended December 31, 2022, 2021 and 2020:</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tcBorders>
              <w:bottom w:val="single" w:sz="8" w:color="auto"/>
            </w:tcBorders>
            <w:gridSpan w:val="2"/>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60" w:type="dxa"/>
            <w:vAlign w:val="bottom"/>
          </w:tcPr>
          <w:p>
            <w:pPr>
              <w:spacing w:after="0"/>
              <w:rPr>
                <w:sz w:val="16"/>
                <w:szCs w:val="16"/>
                <w:color w:val="auto"/>
              </w:rPr>
            </w:pPr>
          </w:p>
        </w:tc>
        <w:tc>
          <w:tcPr>
            <w:tcW w:w="1860" w:type="dxa"/>
            <w:vAlign w:val="bottom"/>
            <w:tcBorders>
              <w:bottom w:val="single" w:sz="8" w:color="auto"/>
            </w:tcBorders>
            <w:gridSpan w:val="2"/>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 vs. 2020</w:t>
            </w:r>
          </w:p>
        </w:tc>
        <w:tc>
          <w:tcPr>
            <w:tcW w:w="0" w:type="dxa"/>
            <w:vAlign w:val="bottom"/>
          </w:tcPr>
          <w:p>
            <w:pPr>
              <w:spacing w:after="0"/>
              <w:rPr>
                <w:sz w:val="1"/>
                <w:szCs w:val="1"/>
                <w:color w:val="auto"/>
              </w:rPr>
            </w:pPr>
          </w:p>
        </w:tc>
      </w:tr>
      <w:tr>
        <w:trPr>
          <w:trHeight w:val="131"/>
        </w:trPr>
        <w:tc>
          <w:tcPr>
            <w:tcW w:w="2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1"/>
                <w:szCs w:val="11"/>
                <w:color w:val="auto"/>
              </w:rPr>
            </w:pPr>
          </w:p>
        </w:tc>
        <w:tc>
          <w:tcPr>
            <w:tcW w:w="132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1"/>
                <w:szCs w:val="11"/>
                <w:color w:val="auto"/>
              </w:rPr>
            </w:pPr>
          </w:p>
        </w:tc>
        <w:tc>
          <w:tcPr>
            <w:tcW w:w="10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1"/>
                <w:szCs w:val="11"/>
                <w:color w:val="auto"/>
              </w:rPr>
            </w:pPr>
          </w:p>
        </w:tc>
        <w:tc>
          <w:tcPr>
            <w:tcW w:w="1120" w:type="dxa"/>
            <w:vAlign w:val="bottom"/>
          </w:tcPr>
          <w:p>
            <w:pPr>
              <w:jc w:val="right"/>
              <w:ind w:right="508"/>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308"/>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1"/>
                <w:szCs w:val="11"/>
                <w:color w:val="auto"/>
              </w:rPr>
            </w:pPr>
          </w:p>
        </w:tc>
        <w:tc>
          <w:tcPr>
            <w:tcW w:w="1080" w:type="dxa"/>
            <w:vAlign w:val="bottom"/>
          </w:tcPr>
          <w:p>
            <w:pPr>
              <w:jc w:val="right"/>
              <w:ind w:right="468"/>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288"/>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09"/>
        </w:trPr>
        <w:tc>
          <w:tcPr>
            <w:tcW w:w="2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9"/>
                <w:szCs w:val="9"/>
                <w:color w:val="auto"/>
              </w:rPr>
            </w:pPr>
          </w:p>
        </w:tc>
        <w:tc>
          <w:tcPr>
            <w:tcW w:w="10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78"/>
        </w:trPr>
        <w:tc>
          <w:tcPr>
            <w:tcW w:w="2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Retail</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763,166</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614,739</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396,372</w:t>
            </w:r>
          </w:p>
        </w:tc>
        <w:tc>
          <w:tcPr>
            <w:tcW w:w="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148,427</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218,367</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75"/>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Consumer Packaged Goods</w:t>
            </w:r>
          </w:p>
        </w:tc>
        <w:tc>
          <w:tcPr>
            <w:tcW w:w="6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495,101</w:t>
            </w:r>
          </w:p>
        </w:tc>
        <w:tc>
          <w:tcPr>
            <w:tcW w:w="1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467,258</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273,977</w:t>
            </w: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27,843</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6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193,281</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75"/>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Intersegment Eliminations</w:t>
            </w:r>
          </w:p>
        </w:tc>
        <w:tc>
          <w:tcPr>
            <w:tcW w:w="66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(240,892)</w:t>
            </w:r>
          </w:p>
        </w:tc>
        <w:tc>
          <w:tcPr>
            <w:tcW w:w="180" w:type="dxa"/>
            <w:vAlign w:val="bottom"/>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(188,437)</w:t>
            </w:r>
          </w:p>
        </w:tc>
        <w:tc>
          <w:tcPr>
            <w:tcW w:w="16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(113,776)</w:t>
            </w:r>
          </w:p>
        </w:tc>
        <w:tc>
          <w:tcPr>
            <w:tcW w:w="240" w:type="dxa"/>
            <w:vAlign w:val="bottom"/>
          </w:tcPr>
          <w:p>
            <w:pPr>
              <w:spacing w:after="0"/>
              <w:rPr>
                <w:sz w:val="15"/>
                <w:szCs w:val="15"/>
                <w:color w:val="auto"/>
              </w:rPr>
            </w:pP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(52,455)</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60" w:type="dxa"/>
            <w:vAlign w:val="bottom"/>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(74,661)</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209"/>
        </w:trPr>
        <w:tc>
          <w:tcPr>
            <w:tcW w:w="2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Revenues, Net of Discounts</w:t>
            </w:r>
          </w:p>
        </w:tc>
        <w:tc>
          <w:tcPr>
            <w:tcW w:w="66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1,017,375</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893,560</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556,573</w:t>
            </w:r>
          </w:p>
        </w:tc>
        <w:tc>
          <w:tcPr>
            <w:tcW w:w="2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123,815</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14%</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336,987</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-24765</wp:posOffset>
            </wp:positionV>
            <wp:extent cx="1200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-8255</wp:posOffset>
            </wp:positionV>
            <wp:extent cx="12001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-24765</wp:posOffset>
            </wp:positionV>
            <wp:extent cx="1028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-8255</wp:posOffset>
            </wp:positionV>
            <wp:extent cx="1028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-24765</wp:posOffset>
            </wp:positionV>
            <wp:extent cx="14605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-8255</wp:posOffset>
            </wp:positionV>
            <wp:extent cx="14605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-24765</wp:posOffset>
            </wp:positionV>
            <wp:extent cx="939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-8255</wp:posOffset>
            </wp:positionV>
            <wp:extent cx="939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2022 Compared with the Year Ended December 31, 2021</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Revenues, net of discounts, for the Retail segment were $763,166 thousand, an increase of $148,427 thousand or 24%, compared to the year ended December 31, 2021. The increase in Retail revenues, net of discounts, was primarily driven by legalization of adult-use sales in New Jersey, which began on April 21, 2022, increased store traffic to Green Thumb’s open and operating retail stores, particularly in Illinois, and new store openings including acquired stores, particularly in Minnesota, Virginia, and Illinois.</w:t>
      </w:r>
    </w:p>
    <w:p>
      <w:pPr>
        <w:spacing w:after="0" w:line="180" w:lineRule="exact"/>
        <w:rPr>
          <w:sz w:val="20"/>
          <w:szCs w:val="20"/>
          <w:color w:val="auto"/>
        </w:rPr>
      </w:pPr>
    </w:p>
    <w:p>
      <w:pPr>
        <w:ind w:right="560" w:firstLine="749"/>
        <w:spacing w:after="0" w:line="266" w:lineRule="auto"/>
        <w:rPr>
          <w:sz w:val="20"/>
          <w:szCs w:val="20"/>
          <w:color w:val="auto"/>
        </w:rPr>
      </w:pPr>
      <w:r>
        <w:rPr>
          <w:rFonts w:ascii="Times New Roman" w:cs="Times New Roman" w:eastAsia="Times New Roman" w:hAnsi="Times New Roman"/>
          <w:sz w:val="18"/>
          <w:szCs w:val="18"/>
          <w:color w:val="auto"/>
        </w:rPr>
        <w:t>Revenues, net of discounts, for the Consumer Packaged Goods segment were $495,101 thousand, an increase of $27,843 thousand or 6%, compared to the year ended December 31, 2021. The increase in Consumer Packaged Goods revenues, net of discounts, was primarily driven by legalization of adult-use sales in New Jersey, which began on April 21, 2022 and continued growth in Illinois and Minnesota.</w:t>
      </w:r>
    </w:p>
    <w:p>
      <w:pPr>
        <w:spacing w:after="0" w:line="176"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Due to the vertically integrated nature of the business, the Company reviews its revenue at the Retail and Consumer Packaged Goods level while reviewing its operating results on a consolidated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2021 Compared with the Year Ended December 31, 2020</w:t>
      </w:r>
    </w:p>
    <w:p>
      <w:pPr>
        <w:spacing w:after="0" w:line="229" w:lineRule="exact"/>
        <w:rPr>
          <w:sz w:val="20"/>
          <w:szCs w:val="20"/>
          <w:color w:val="auto"/>
        </w:rPr>
      </w:pPr>
    </w:p>
    <w:p>
      <w:pPr>
        <w:ind w:right="360" w:firstLine="749"/>
        <w:spacing w:after="0" w:line="261" w:lineRule="auto"/>
        <w:rPr>
          <w:sz w:val="20"/>
          <w:szCs w:val="20"/>
          <w:color w:val="auto"/>
        </w:rPr>
      </w:pPr>
      <w:r>
        <w:rPr>
          <w:rFonts w:ascii="Times New Roman" w:cs="Times New Roman" w:eastAsia="Times New Roman" w:hAnsi="Times New Roman"/>
          <w:sz w:val="18"/>
          <w:szCs w:val="18"/>
          <w:color w:val="auto"/>
        </w:rPr>
        <w:t>Revenues, net of discounts, for the Retail segment were $614,739 thousand for the year ended December 31, 2021, an increase of $218,367 thousand or 55%, compared to the year ended December 31, 2020. The increase in Retail revenues, net of discounts, was primarily driven by increased store traffic to Green Thumb’s open and operating retail stores, particularly in Illinois and Pennsylvania, as well as acquired stores in Massachusetts, Virginia, Rhode Island and Maryland.</w:t>
      </w:r>
    </w:p>
    <w:p>
      <w:pPr>
        <w:spacing w:after="0" w:line="180" w:lineRule="exact"/>
        <w:rPr>
          <w:sz w:val="20"/>
          <w:szCs w:val="20"/>
          <w:color w:val="auto"/>
        </w:rPr>
      </w:pPr>
    </w:p>
    <w:p>
      <w:pPr>
        <w:jc w:val="both"/>
        <w:ind w:right="440" w:firstLine="749"/>
        <w:spacing w:after="0" w:line="266" w:lineRule="auto"/>
        <w:rPr>
          <w:sz w:val="20"/>
          <w:szCs w:val="20"/>
          <w:color w:val="auto"/>
        </w:rPr>
      </w:pPr>
      <w:r>
        <w:rPr>
          <w:rFonts w:ascii="Times New Roman" w:cs="Times New Roman" w:eastAsia="Times New Roman" w:hAnsi="Times New Roman"/>
          <w:sz w:val="18"/>
          <w:szCs w:val="18"/>
          <w:color w:val="auto"/>
        </w:rPr>
        <w:t>Revenues, net of discounts, for the Consumer Packaged Goods segment were $467,258 thousand for the year ended December 31, 2021, an increase of $193,281 thousand or 71%, compared to the year ended December 31, 2020. The increase in Consumer Packaged Goods revenues, net of discounts, was primarily driven by increased sales volume in established markets such as Illinois, Pennsylvania, Massachusetts and New Jersey.</w:t>
      </w:r>
    </w:p>
    <w:p>
      <w:pPr>
        <w:spacing w:after="0" w:line="176"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Due to the vertically integrated nature of the business, the Company reviews its revenue at the Retail and Consumer Packaged Goods level while reviewing its operating results on a consolidated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2020 Compared with the Year Ended December 31, 2019</w:t>
      </w:r>
    </w:p>
    <w:p>
      <w:pPr>
        <w:spacing w:after="0" w:line="22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Revenues, net of discounts, for the Retail segment were $396,372 thousand for the year ended December 31, 2020, an increase of $258,562 thousand or 188%, compared to the year ended December 31, 2019. The increase in Retail revenues, net of discounts, was primarily driven by legalization of adult-use in Illinois on January 1, 2020 as well as new store openings particularly in Illinois and Pennsylvania, and the 2020 full period effect of the June 2019 acquisition of the Essence stores in Nevada.</w:t>
      </w:r>
    </w:p>
    <w:p>
      <w:pPr>
        <w:spacing w:after="0" w:line="180"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Revenues, net of discounts, for the Consumer Packaged Goods segment were $273,977 thousand for the year ended December 31, 2020, an increase of $164,047 thousand or 149%, compared to the year ended December 31, 2019. The increase in Consumer Packaged Goods revenues, net of discounts, was primarily driven by the legalization of adult-use cannabis in Illinois on January 1, 2020, increased sales volume in established markets such as Pennsylvania, Massachusetts and Maryland and the 2020 full period effect of the June 2019 acquisition of Desert Grown Farms and Cannabiotix in Nevada.</w:t>
      </w:r>
    </w:p>
    <w:p>
      <w:pPr>
        <w:spacing w:after="0" w:line="183"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Due to the vertically integrated nature of the business, the Company reviews its revenue at the Retail and Consumer Packaged Goods level while reviewing its operating results on a consolidated basis.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Drivers of 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right="280" w:firstLine="749"/>
        <w:spacing w:after="0" w:line="258" w:lineRule="auto"/>
        <w:rPr>
          <w:sz w:val="20"/>
          <w:szCs w:val="20"/>
          <w:color w:val="auto"/>
        </w:rPr>
      </w:pPr>
      <w:r>
        <w:rPr>
          <w:rFonts w:ascii="Times New Roman" w:cs="Times New Roman" w:eastAsia="Times New Roman" w:hAnsi="Times New Roman"/>
          <w:sz w:val="18"/>
          <w:szCs w:val="18"/>
          <w:color w:val="auto"/>
        </w:rPr>
        <w:t>The Company derives its revenue from two revenue streams: a Consumer Packaged Goods business in which it manufactures, sells and distributes its portfolio of Consumer Packaged Goods brands including &amp;Shine, Beboe, Dogwalkers, Doctor Solomon’s, Good Green incredibles, and RYTHM, primarily to third-party retail customers; and a Retail business in which it sells finished goods sourced primarily from third-party cannabis manufacturers in addition to the Company’s own Consumer Packaged Goods products direct to the end consumer in its retail stores, as well as direct-to-consumer delivery where applicable by state law.</w:t>
      </w:r>
    </w:p>
    <w:p>
      <w:pPr>
        <w:spacing w:after="0" w:line="183" w:lineRule="exact"/>
        <w:rPr>
          <w:sz w:val="20"/>
          <w:szCs w:val="20"/>
          <w:color w:val="auto"/>
        </w:rPr>
      </w:pPr>
    </w:p>
    <w:p>
      <w:pPr>
        <w:ind w:right="160" w:firstLine="749"/>
        <w:spacing w:after="0" w:line="312" w:lineRule="auto"/>
        <w:rPr>
          <w:sz w:val="20"/>
          <w:szCs w:val="20"/>
          <w:color w:val="auto"/>
        </w:rPr>
      </w:pPr>
      <w:r>
        <w:rPr>
          <w:rFonts w:ascii="Times New Roman" w:cs="Times New Roman" w:eastAsia="Times New Roman" w:hAnsi="Times New Roman"/>
          <w:sz w:val="17"/>
          <w:szCs w:val="17"/>
          <w:color w:val="auto"/>
        </w:rPr>
        <w:t>For the year ended December 31, 2022, revenue was contributed from Consumer Packaged Goods and Retail sales across California, Colorado, Connecticut, Florida, Illinois, Maryland, Massachusetts, Minnesota, Nevada, New Jersey, New York, Ohio, Pennsylvania, Rhode Island and Virginia.</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Gross profit is revenue less cost of goods sold. Cost of goods sold includes the costs directly attributable to product sales and includes amounts paid for finished goods, such as flower, edibles, and concentrates, as well as packaging and other supplies, fees for services and processing, and allocated overhead which includes allocations of rent, utilities and related costs. Cannabis costs are affected by various state regulations that limit the sourcing and procurement of cannabis product, which may create fluctuations in gross profit over comparative periods as the regulatory environment changes. Gross margin measures our gross profit as a percentage of revenue.</w:t>
      </w:r>
    </w:p>
    <w:p>
      <w:pPr>
        <w:spacing w:after="0" w:line="197"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continued to be focused on creating sustainable, profitable growth of the Company’s business while pursuing expansion. Green Thumb expects to continue its growth strategy for the foreseeable future as the Company expands its Consumer Packaged Goods and Retail footprint within its current markets with acquisitions and partnerships, and scales resources into new markets.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Expenses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Total expenses other than the cost of goods sold consist of selling costs to support customer relationships and marketing and branding activities.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also includes a significant investment in the corporate infrastructure required to support the Company’s ongoing business.</w:t>
      </w:r>
    </w:p>
    <w:p>
      <w:pPr>
        <w:spacing w:after="0" w:line="207"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Retail selling costs generally correlate to revenue. As new locations begin operations, these locations generally experience higher selling costs as a percentage of revenue compared to more established locations, which experience a more constant rate of selling costs. As a percentage of sales, the Company expects selling costs to remain constant in the more established locations and higher in the newer locations as the business continues to grow.</w:t>
      </w:r>
    </w:p>
    <w:p>
      <w:pPr>
        <w:spacing w:after="0" w:line="176"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also include costs incurred at the Company’s corporate offices, primarily related to back office personnel costs, including salaries, incentive compensation, benefits, stock-based compensation and other professional service costs, and fair value adjustments on the Company's contingent consideration arrangements. The Company expects to continue to invest considerably in this area to support the business by attracting and retaining top-tier talent. Furthermore, the Company anticipates an increase in stock-based compensation expenses related to recruiting and hiring talent, along with legal and professional fees associated with being a publicly traded company in Canada and registered with the U.S. Securities and Exchange Commission.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taxes in the jurisdictions in which it operates and, consequently, income tax expense is a function of the allocation of taxable income by jurisdiction and the various activities that impact the timing of taxable events. As the Company operates in the federally illegal cannabis industry, it is subject to the limitations of Internal Revenue Code of 1986, as amended (“IRC") Section 280E, under which taxpayers are only allowed to deduct expenses directly related to sales of product. This results in permanent differences between ordinary and necessary business expenses deemed non-allowable under IRC Section 280E and a higher effective tax rate than most industries. Therefore, the effective tax rate can be highly variable and may not necessarily correlate to pre-tax income or loss.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2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EBITDA, Adjusted Operating EBITDA, and Adjusted EBITDA are non-GAAP measures and do not have standardized definitions under GAAP. The following information provides reconciliations of the supplemental non-GAAP financial measures, presented herein to the most directly comparable financial measures calculated and presented in accordance with GAAP. The Company has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management has evaluated the financial results both including and excluding the adjusted items and believe that the supplemental non-GAAP financial measures presented provide additional perspective and insights when analyzing the core operating performance of the business. These supplemental non-GAAP financial measures should not be considered superior to, as a substitute for or as an alternative to, and should be considered in conjunction with, the GAAP financial measures presented.</w:t>
      </w:r>
    </w:p>
    <w:p>
      <w:pPr>
        <w:spacing w:after="0" w:line="77"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6" w:lineRule="exact"/>
        <w:rPr>
          <w:sz w:val="20"/>
          <w:szCs w:val="20"/>
          <w:color w:val="auto"/>
        </w:rPr>
      </w:pPr>
    </w:p>
    <w:tbl>
      <w:tblPr>
        <w:tblLayout w:type="fixed"/>
        <w:tblInd w:w="6420" w:type="dxa"/>
        <w:tblCellMar>
          <w:top w:w="0" w:type="dxa"/>
          <w:left w:w="0" w:type="dxa"/>
          <w:bottom w:w="0" w:type="dxa"/>
          <w:right w:w="0" w:type="dxa"/>
        </w:tblCellMar>
      </w:tblPr>
      <w:tr>
        <w:trPr>
          <w:trHeight w:val="169"/>
        </w:trPr>
        <w:tc>
          <w:tcPr>
            <w:tcW w:w="1480" w:type="dxa"/>
            <w:vAlign w:val="bottom"/>
            <w:tcBorders>
              <w:top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80" w:type="dxa"/>
            <w:vAlign w:val="bottom"/>
            <w:tcBorders>
              <w:top w:val="single" w:sz="8" w:color="auto"/>
            </w:tcBorders>
            <w:gridSpan w:val="2"/>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60" w:type="dxa"/>
            <w:vAlign w:val="bottom"/>
            <w:tcBorders>
              <w:top w:val="single" w:sz="8" w:color="auto"/>
            </w:tcBorders>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69"/>
        </w:trPr>
        <w:tc>
          <w:tcPr>
            <w:tcW w:w="14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Borders>
              <w:top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r>
    </w:tbl>
    <w:p>
      <w:pPr>
        <w:spacing w:after="0" w:line="1" w:lineRule="exact"/>
        <w:rPr>
          <w:sz w:val="20"/>
          <w:szCs w:val="20"/>
          <w:color w:val="auto"/>
        </w:rPr>
      </w:pPr>
    </w:p>
    <w:p>
      <w:pPr>
        <w:sectPr>
          <w:pgSz w:w="11900" w:h="16838" w:orient="portrait"/>
          <w:cols w:equalWidth="0" w:num="1">
            <w:col w:w="11240"/>
          </w:cols>
          <w:pgMar w:left="320" w:top="347" w:right="339" w:bottom="1440" w:gutter="0" w:footer="0" w:header="0"/>
        </w:sectPr>
      </w:pP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Net Income Before Non-Controlling Interest</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Interest Income, net</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Interest Expense, net</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Expense, Net</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p>
      <w:pPr>
        <w:spacing w:after="0" w:line="15" w:lineRule="exact"/>
        <w:rPr>
          <w:sz w:val="20"/>
          <w:szCs w:val="20"/>
          <w:color w:val="auto"/>
        </w:rPr>
      </w:pPr>
    </w:p>
    <w:p>
      <w:pPr>
        <w:jc w:val="right"/>
        <w:ind w:right="2540"/>
        <w:spacing w:after="0"/>
        <w:rPr>
          <w:sz w:val="20"/>
          <w:szCs w:val="20"/>
          <w:color w:val="auto"/>
        </w:rPr>
      </w:pPr>
      <w:r>
        <w:rPr>
          <w:rFonts w:ascii="Times New Roman" w:cs="Times New Roman" w:eastAsia="Times New Roman" w:hAnsi="Times New Roman"/>
          <w:sz w:val="14"/>
          <w:szCs w:val="14"/>
          <w:b w:val="1"/>
          <w:bCs w:val="1"/>
          <w:color w:val="auto"/>
        </w:rPr>
        <w:t>Earnings before interest, taxes, depreciation and</w:t>
      </w:r>
    </w:p>
    <w:p>
      <w:pPr>
        <w:spacing w:after="0" w:line="4" w:lineRule="exact"/>
        <w:rPr>
          <w:sz w:val="20"/>
          <w:szCs w:val="20"/>
          <w:color w:val="auto"/>
        </w:rPr>
      </w:pPr>
    </w:p>
    <w:p>
      <w:pPr>
        <w:jc w:val="right"/>
        <w:ind w:right="2560"/>
        <w:spacing w:after="0"/>
        <w:rPr>
          <w:sz w:val="20"/>
          <w:szCs w:val="20"/>
          <w:color w:val="auto"/>
        </w:rPr>
      </w:pPr>
      <w:r>
        <w:rPr>
          <w:rFonts w:ascii="Times New Roman" w:cs="Times New Roman" w:eastAsia="Times New Roman" w:hAnsi="Times New Roman"/>
          <w:sz w:val="14"/>
          <w:szCs w:val="14"/>
          <w:b w:val="1"/>
          <w:bCs w:val="1"/>
          <w:color w:val="auto"/>
        </w:rPr>
        <w:t>amortization (EBITDA) (non-GAAP measure)</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Goodwill Impairment Charges</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Write-off of Trade Names</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Stock-based compensation, non-cash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160" w:type="dxa"/>
            <w:vAlign w:val="bottom"/>
          </w:tcPr>
          <w:p>
            <w:pPr>
              <w:jc w:val="right"/>
              <w:ind w:right="8"/>
              <w:spacing w:after="0" w:line="160"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48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13,655</w:t>
            </w:r>
          </w:p>
        </w:tc>
        <w:tc>
          <w:tcPr>
            <w:tcW w:w="220" w:type="dxa"/>
            <w:vAlign w:val="bottom"/>
            <w:tcBorders>
              <w:top w:val="single" w:sz="8" w:color="auto"/>
            </w:tcBorders>
          </w:tcPr>
          <w:p>
            <w:pPr>
              <w:jc w:val="right"/>
              <w:ind w:right="8"/>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80,363</w:t>
            </w:r>
          </w:p>
        </w:tc>
        <w:tc>
          <w:tcPr>
            <w:tcW w:w="220" w:type="dxa"/>
            <w:vAlign w:val="bottom"/>
            <w:tcBorders>
              <w:top w:val="single" w:sz="8" w:color="auto"/>
            </w:tcBorders>
          </w:tcPr>
          <w:p>
            <w:pPr>
              <w:jc w:val="right"/>
              <w:ind w:right="8"/>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tcBorders>
              <w:top w:val="single" w:sz="8" w:color="auto"/>
            </w:tcBorders>
          </w:tcPr>
          <w:p>
            <w:pPr>
              <w:jc w:val="right"/>
              <w:ind w:right="48"/>
              <w:spacing w:after="0" w:line="160" w:lineRule="exact"/>
              <w:rPr>
                <w:sz w:val="20"/>
                <w:szCs w:val="20"/>
                <w:color w:val="auto"/>
              </w:rPr>
            </w:pPr>
            <w:r>
              <w:rPr>
                <w:rFonts w:ascii="Times New Roman" w:cs="Times New Roman" w:eastAsia="Times New Roman" w:hAnsi="Times New Roman"/>
                <w:sz w:val="14"/>
                <w:szCs w:val="14"/>
                <w:color w:val="auto"/>
              </w:rPr>
              <w:t>19,078</w:t>
            </w:r>
          </w:p>
        </w:tc>
      </w:tr>
      <w:tr>
        <w:trPr>
          <w:trHeight w:val="176"/>
        </w:trPr>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(4,070)</w:t>
            </w:r>
          </w:p>
        </w:tc>
        <w:tc>
          <w:tcPr>
            <w:tcW w:w="2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(1,432)</w:t>
            </w:r>
          </w:p>
        </w:tc>
        <w:tc>
          <w:tcPr>
            <w:tcW w:w="22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(114)</w:t>
            </w:r>
          </w:p>
        </w:tc>
      </w:tr>
      <w:tr>
        <w:trPr>
          <w:trHeight w:val="176"/>
        </w:trPr>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21,201</w:t>
            </w:r>
          </w:p>
        </w:tc>
        <w:tc>
          <w:tcPr>
            <w:tcW w:w="2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21,976</w:t>
            </w:r>
          </w:p>
        </w:tc>
        <w:tc>
          <w:tcPr>
            <w:tcW w:w="22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18,667</w:t>
            </w:r>
          </w:p>
        </w:tc>
      </w:tr>
      <w:tr>
        <w:trPr>
          <w:trHeight w:val="175"/>
        </w:trPr>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94,777</w:t>
            </w:r>
          </w:p>
        </w:tc>
        <w:tc>
          <w:tcPr>
            <w:tcW w:w="2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124,612</w:t>
            </w:r>
          </w:p>
        </w:tc>
        <w:tc>
          <w:tcPr>
            <w:tcW w:w="22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83,853</w:t>
            </w:r>
          </w:p>
        </w:tc>
      </w:tr>
      <w:tr>
        <w:trPr>
          <w:trHeight w:val="176"/>
        </w:trPr>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(4,499)</w:t>
            </w:r>
          </w:p>
        </w:tc>
        <w:tc>
          <w:tcPr>
            <w:tcW w:w="2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(10,677)</w:t>
            </w:r>
          </w:p>
        </w:tc>
        <w:tc>
          <w:tcPr>
            <w:tcW w:w="22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(15,377)</w:t>
            </w:r>
          </w:p>
        </w:tc>
      </w:tr>
      <w:tr>
        <w:trPr>
          <w:trHeight w:val="185"/>
        </w:trPr>
        <w:tc>
          <w:tcPr>
            <w:tcW w:w="160" w:type="dxa"/>
            <w:vAlign w:val="bottom"/>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96,664</w:t>
            </w:r>
          </w:p>
        </w:tc>
        <w:tc>
          <w:tcPr>
            <w:tcW w:w="220" w:type="dxa"/>
            <w:vAlign w:val="bottom"/>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68,458</w:t>
            </w:r>
          </w:p>
        </w:tc>
        <w:tc>
          <w:tcPr>
            <w:tcW w:w="220" w:type="dxa"/>
            <w:vAlign w:val="bottom"/>
          </w:tcPr>
          <w:p>
            <w:pPr>
              <w:spacing w:after="0"/>
              <w:rPr>
                <w:sz w:val="16"/>
                <w:szCs w:val="16"/>
                <w:color w:val="auto"/>
              </w:rPr>
            </w:pPr>
          </w:p>
        </w:tc>
        <w:tc>
          <w:tcPr>
            <w:tcW w:w="14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52,506</w:t>
            </w:r>
          </w:p>
        </w:tc>
      </w:tr>
      <w:tr>
        <w:trPr>
          <w:trHeight w:val="240"/>
        </w:trPr>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217,728</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283,300</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158,613</w:t>
            </w:r>
          </w:p>
        </w:tc>
      </w:tr>
      <w:tr>
        <w:trPr>
          <w:trHeight w:val="37"/>
        </w:trPr>
        <w:tc>
          <w:tcPr>
            <w:tcW w:w="16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0"/>
        </w:trPr>
        <w:tc>
          <w:tcPr>
            <w:tcW w:w="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45"/>
        </w:trPr>
        <w:tc>
          <w:tcPr>
            <w:tcW w:w="160" w:type="dxa"/>
            <w:vAlign w:val="bottom"/>
          </w:tcPr>
          <w:p>
            <w:pPr>
              <w:spacing w:after="0"/>
              <w:rPr>
                <w:sz w:val="12"/>
                <w:szCs w:val="12"/>
                <w:color w:val="auto"/>
              </w:rPr>
            </w:pPr>
          </w:p>
        </w:tc>
        <w:tc>
          <w:tcPr>
            <w:tcW w:w="14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57,372</w:t>
            </w:r>
          </w:p>
        </w:tc>
        <w:tc>
          <w:tcPr>
            <w:tcW w:w="220" w:type="dxa"/>
            <w:vAlign w:val="bottom"/>
          </w:tcPr>
          <w:p>
            <w:pPr>
              <w:spacing w:after="0"/>
              <w:rPr>
                <w:sz w:val="12"/>
                <w:szCs w:val="12"/>
                <w:color w:val="auto"/>
              </w:rPr>
            </w:pPr>
          </w:p>
        </w:tc>
        <w:tc>
          <w:tcPr>
            <w:tcW w:w="14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440" w:type="dxa"/>
            <w:vAlign w:val="bottom"/>
          </w:tcPr>
          <w:p>
            <w:pPr>
              <w:jc w:val="right"/>
              <w:ind w:right="48"/>
              <w:spacing w:after="0" w:line="145"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178"/>
        </w:trPr>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31,131</w:t>
            </w:r>
          </w:p>
        </w:tc>
        <w:tc>
          <w:tcPr>
            <w:tcW w:w="2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3"/>
        </w:trPr>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27,140</w:t>
            </w:r>
          </w:p>
        </w:tc>
        <w:tc>
          <w:tcPr>
            <w:tcW w:w="2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19,600</w:t>
            </w:r>
          </w:p>
        </w:tc>
        <w:tc>
          <w:tcPr>
            <w:tcW w:w="22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19,337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-3969385</wp:posOffset>
            </wp:positionH>
            <wp:positionV relativeFrom="paragraph">
              <wp:posOffset>-1215390</wp:posOffset>
            </wp:positionV>
            <wp:extent cx="7132320" cy="1111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-992505</wp:posOffset>
            </wp:positionV>
            <wp:extent cx="7132320" cy="1117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-769620</wp:posOffset>
            </wp:positionV>
            <wp:extent cx="7132320" cy="1117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-538480</wp:posOffset>
            </wp:positionV>
            <wp:extent cx="7132320" cy="4286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17" w:lineRule="exact"/>
        <w:rPr>
          <w:sz w:val="20"/>
          <w:szCs w:val="20"/>
          <w:color w:val="auto"/>
        </w:rPr>
      </w:pPr>
    </w:p>
    <w:p>
      <w:pPr>
        <w:sectPr>
          <w:pgSz w:w="11900" w:h="16838" w:orient="portrait"/>
          <w:cols w:equalWidth="0" w:num="2">
            <w:col w:w="5540" w:space="720"/>
            <w:col w:w="4980"/>
          </w:cols>
          <w:pgMar w:left="320" w:top="347"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4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Acquisition, transaction and other non-operating (income) costs</w:t>
            </w:r>
          </w:p>
        </w:tc>
        <w:tc>
          <w:tcPr>
            <w:tcW w:w="480" w:type="dxa"/>
            <w:vAlign w:val="bottom"/>
            <w:tcBorders>
              <w:bottom w:val="single" w:sz="8" w:color="CFF0FC"/>
            </w:tcBorders>
            <w:shd w:val="clear" w:color="auto" w:fill="CFF0FC"/>
          </w:tcPr>
          <w:p>
            <w:pPr>
              <w:spacing w:after="0"/>
              <w:rPr>
                <w:sz w:val="13"/>
                <w:szCs w:val="13"/>
                <w:color w:val="auto"/>
              </w:rPr>
            </w:pPr>
          </w:p>
        </w:tc>
        <w:tc>
          <w:tcPr>
            <w:tcW w:w="128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CFF0FC"/>
            </w:tcBorders>
            <w:shd w:val="clear" w:color="auto" w:fill="CFF0FC"/>
          </w:tcPr>
          <w:p>
            <w:pPr>
              <w:spacing w:after="0"/>
              <w:rPr>
                <w:sz w:val="13"/>
                <w:szCs w:val="13"/>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(21,893)</w:t>
            </w:r>
          </w:p>
        </w:tc>
        <w:tc>
          <w:tcPr>
            <w:tcW w:w="4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146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4,934</w:t>
            </w:r>
          </w:p>
        </w:tc>
        <w:tc>
          <w:tcPr>
            <w:tcW w:w="220" w:type="dxa"/>
            <w:vAlign w:val="bottom"/>
            <w:tcBorders>
              <w:bottom w:val="single" w:sz="8" w:color="CFF0FC"/>
            </w:tcBorders>
            <w:shd w:val="clear" w:color="auto" w:fill="CFF0FC"/>
          </w:tcPr>
          <w:p>
            <w:pPr>
              <w:spacing w:after="0"/>
              <w:rPr>
                <w:sz w:val="13"/>
                <w:szCs w:val="13"/>
                <w:color w:val="auto"/>
              </w:rPr>
            </w:pPr>
          </w:p>
        </w:tc>
        <w:tc>
          <w:tcPr>
            <w:tcW w:w="144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1,635</w:t>
            </w:r>
          </w:p>
        </w:tc>
      </w:tr>
      <w:tr>
        <w:trPr>
          <w:trHeight w:val="169"/>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Operating EBITDA (non-GAAP measure)</w:t>
            </w: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311,478</w:t>
            </w:r>
          </w:p>
        </w:tc>
        <w:tc>
          <w:tcPr>
            <w:tcW w:w="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4"/>
                <w:szCs w:val="14"/>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307,834</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179,585</w:t>
            </w:r>
          </w:p>
        </w:tc>
      </w:tr>
      <w:tr>
        <w:trPr>
          <w:trHeight w:val="20"/>
        </w:trPr>
        <w:tc>
          <w:tcPr>
            <w:tcW w:w="4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392"/>
        </w:trPr>
        <w:tc>
          <w:tcPr>
            <w:tcW w:w="4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6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 December 31, 2022</w:t>
            </w:r>
          </w:p>
        </w:tc>
        <w:tc>
          <w:tcPr>
            <w:tcW w:w="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r>
      <w:tr>
        <w:trPr>
          <w:trHeight w:val="163"/>
        </w:trPr>
        <w:tc>
          <w:tcPr>
            <w:tcW w:w="4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520" w:type="dxa"/>
            <w:vAlign w:val="bottom"/>
            <w:tcBorders>
              <w:top w:val="single" w:sz="8" w:color="auto"/>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Earnings Per Share</w:t>
            </w: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Earnings Per Share</w:t>
            </w:r>
          </w:p>
        </w:tc>
      </w:tr>
      <w:tr>
        <w:trPr>
          <w:trHeight w:val="169"/>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 Attributable To Green Thumb Industries Inc.</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(51,227)</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11,978</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r>
      <w:tr>
        <w:trPr>
          <w:trHeight w:val="176"/>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Goodwill Impairment Charges</w:t>
            </w:r>
          </w:p>
        </w:tc>
        <w:tc>
          <w:tcPr>
            <w:tcW w:w="48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57,372</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57,372</w:t>
            </w: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0.24</w:t>
            </w:r>
          </w:p>
        </w:tc>
      </w:tr>
      <w:tr>
        <w:trPr>
          <w:trHeight w:val="175"/>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Write-off of Trade Names</w:t>
            </w:r>
          </w:p>
        </w:tc>
        <w:tc>
          <w:tcPr>
            <w:tcW w:w="4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31,131</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31,131</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0.13</w:t>
            </w:r>
          </w:p>
        </w:tc>
      </w:tr>
      <w:tr>
        <w:trPr>
          <w:trHeight w:val="175"/>
        </w:trPr>
        <w:tc>
          <w:tcPr>
            <w:tcW w:w="4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Tax Benefit</w:t>
            </w:r>
          </w:p>
        </w:tc>
        <w:tc>
          <w:tcPr>
            <w:tcW w:w="480" w:type="dxa"/>
            <w:vAlign w:val="bottom"/>
            <w:tcBorders>
              <w:bottom w:val="single" w:sz="8" w:color="CFF0FC"/>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(25,666)</w:t>
            </w:r>
          </w:p>
        </w:tc>
        <w:tc>
          <w:tcPr>
            <w:tcW w:w="1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5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16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(25,666)</w:t>
            </w:r>
          </w:p>
        </w:tc>
        <w:tc>
          <w:tcPr>
            <w:tcW w:w="16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(0.11)</w:t>
            </w:r>
          </w:p>
        </w:tc>
      </w:tr>
      <w:tr>
        <w:trPr>
          <w:trHeight w:val="169"/>
        </w:trPr>
        <w:tc>
          <w:tcPr>
            <w:tcW w:w="430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Adjusted Net Income (non-GAAP measure) and Basic EPS</w:t>
            </w: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11,610</w:t>
            </w:r>
          </w:p>
        </w:tc>
        <w:tc>
          <w:tcPr>
            <w:tcW w:w="1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0.05</w:t>
            </w:r>
          </w:p>
        </w:tc>
        <w:tc>
          <w:tcPr>
            <w:tcW w:w="1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74,815</w:t>
            </w:r>
          </w:p>
        </w:tc>
        <w:tc>
          <w:tcPr>
            <w:tcW w:w="1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0.32</w:t>
            </w:r>
          </w:p>
        </w:tc>
      </w:tr>
      <w:tr>
        <w:trPr>
          <w:trHeight w:val="20"/>
        </w:trPr>
        <w:tc>
          <w:tcPr>
            <w:tcW w:w="4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-1122045</wp:posOffset>
            </wp:positionV>
            <wp:extent cx="146050" cy="145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46050" cy="1454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-1122045</wp:posOffset>
            </wp:positionV>
            <wp:extent cx="137160" cy="145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7160" cy="14541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-732155</wp:posOffset>
            </wp:positionV>
            <wp:extent cx="4105910" cy="2527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105910" cy="25273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-145415</wp:posOffset>
            </wp:positionV>
            <wp:extent cx="111125" cy="146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1125" cy="14605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-145415</wp:posOffset>
            </wp:positionV>
            <wp:extent cx="102870" cy="146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2870" cy="14605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-145415</wp:posOffset>
            </wp:positionV>
            <wp:extent cx="102870" cy="146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2870" cy="14605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Financing and Capital Resources</w:t>
      </w:r>
    </w:p>
    <w:p>
      <w:pPr>
        <w:spacing w:after="0" w:line="229"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As of December 31, 2022 and 2021, the Company had total current liabilities of $146,571 thousand and $204,379 thousand, respectively, and cash and cash equivalents of $177,682 thousand and $230,420 thousand, respectively to meet its current obligations. The Company had working capital of $204,780 thousand as of December 31, 2022, an increase of $44,929 thousand as compared to December 31, 2021. This increase in working capital was primarily driven by the decrease in liabilities associated with 2021 acquisitions, including a decrease in acquisition consideration payable, as well as contingent consideration.</w:t>
      </w:r>
    </w:p>
    <w:p>
      <w:pPr>
        <w:spacing w:after="0" w:line="183" w:lineRule="exact"/>
        <w:rPr>
          <w:sz w:val="20"/>
          <w:szCs w:val="20"/>
          <w:color w:val="auto"/>
        </w:rPr>
      </w:pPr>
    </w:p>
    <w:p>
      <w:pPr>
        <w:ind w:right="300" w:firstLine="749"/>
        <w:spacing w:after="0" w:line="261" w:lineRule="auto"/>
        <w:rPr>
          <w:sz w:val="20"/>
          <w:szCs w:val="20"/>
          <w:color w:val="auto"/>
        </w:rPr>
      </w:pPr>
      <w:r>
        <w:rPr>
          <w:rFonts w:ascii="Times New Roman" w:cs="Times New Roman" w:eastAsia="Times New Roman" w:hAnsi="Times New Roman"/>
          <w:sz w:val="18"/>
          <w:szCs w:val="18"/>
          <w:color w:val="auto"/>
        </w:rPr>
        <w:t>The Company is an early-stage growth company, generating cash from revenues deploying its capital reserves to acquire and develop assets capable of producing additional revenues and earnings over both the immediate and near term. Capital reserves are primarily being utilized for capital expenditures, facility improvements, strategic investment opportunities, product development and marketing, as well as customer, supplier, and investor and industry relations.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Operating Activities, Investing and Financing Activities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Net cash provided by (used in) operating, investing and financing activities for the years ended December 31, 2022, 2021, and 2020, were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460" w:type="dxa"/>
            <w:vAlign w:val="bottom"/>
            <w:tcBorders>
              <w:bottom w:val="single" w:sz="8" w:color="auto"/>
            </w:tcBorders>
          </w:tcPr>
          <w:p>
            <w:pPr>
              <w:spacing w:after="0"/>
              <w:rPr>
                <w:sz w:val="19"/>
                <w:szCs w:val="19"/>
                <w:color w:val="auto"/>
              </w:rPr>
            </w:pPr>
          </w:p>
        </w:tc>
      </w:tr>
      <w:tr>
        <w:trPr>
          <w:trHeight w:val="223"/>
        </w:trPr>
        <w:tc>
          <w:tcPr>
            <w:tcW w:w="48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20" w:type="dxa"/>
            <w:vAlign w:val="bottom"/>
          </w:tcPr>
          <w:p>
            <w:pPr>
              <w:spacing w:after="0"/>
              <w:rPr>
                <w:sz w:val="19"/>
                <w:szCs w:val="19"/>
                <w:color w:val="auto"/>
              </w:rPr>
            </w:pPr>
          </w:p>
        </w:tc>
        <w:tc>
          <w:tcPr>
            <w:tcW w:w="14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3"/>
        </w:trPr>
        <w:tc>
          <w:tcPr>
            <w:tcW w:w="48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r>
      <w:tr>
        <w:trPr>
          <w:trHeight w:val="230"/>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158,564</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132,048</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95,918</w:t>
            </w:r>
          </w:p>
        </w:tc>
      </w:tr>
      <w:tr>
        <w:trPr>
          <w:trHeight w:val="220"/>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(219,946)</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(280,730)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(57,274)</w:t>
            </w:r>
          </w:p>
        </w:tc>
      </w:tr>
      <w:tr>
        <w:trPr>
          <w:trHeight w:val="239"/>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8,644</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295,344</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(1,553)</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Contractual Cash Obligations and Other Commitments and Contingencies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quantifies the Company’s future contractual obligations as of December 31, 2022: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3"/>
                <w:szCs w:val="13"/>
                <w:color w:val="auto"/>
              </w:rPr>
            </w:pPr>
          </w:p>
        </w:tc>
        <w:tc>
          <w:tcPr>
            <w:tcW w:w="9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3"/>
                <w:szCs w:val="13"/>
                <w:color w:val="auto"/>
              </w:rPr>
            </w:pPr>
          </w:p>
        </w:tc>
        <w:tc>
          <w:tcPr>
            <w:tcW w:w="9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3"/>
                <w:szCs w:val="13"/>
                <w:color w:val="auto"/>
              </w:rPr>
            </w:pPr>
          </w:p>
        </w:tc>
        <w:tc>
          <w:tcPr>
            <w:tcW w:w="9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3"/>
                <w:szCs w:val="13"/>
                <w:color w:val="auto"/>
              </w:rPr>
            </w:pPr>
          </w:p>
        </w:tc>
        <w:tc>
          <w:tcPr>
            <w:tcW w:w="9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3"/>
                <w:szCs w:val="13"/>
                <w:color w:val="auto"/>
              </w:rPr>
            </w:pPr>
          </w:p>
        </w:tc>
        <w:tc>
          <w:tcPr>
            <w:tcW w:w="9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2027</w:t>
            </w:r>
          </w:p>
        </w:tc>
        <w:tc>
          <w:tcPr>
            <w:tcW w:w="300" w:type="dxa"/>
            <w:vAlign w:val="bottom"/>
          </w:tcPr>
          <w:p>
            <w:pPr>
              <w:spacing w:after="0"/>
              <w:rPr>
                <w:sz w:val="13"/>
                <w:szCs w:val="13"/>
                <w:color w:val="auto"/>
              </w:rPr>
            </w:pPr>
          </w:p>
        </w:tc>
        <w:tc>
          <w:tcPr>
            <w:tcW w:w="92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2028 and</w:t>
            </w:r>
          </w:p>
        </w:tc>
        <w:tc>
          <w:tcPr>
            <w:tcW w:w="0" w:type="dxa"/>
            <w:vAlign w:val="bottom"/>
          </w:tcPr>
          <w:p>
            <w:pPr>
              <w:spacing w:after="0"/>
              <w:rPr>
                <w:sz w:val="1"/>
                <w:szCs w:val="1"/>
                <w:color w:val="auto"/>
              </w:rPr>
            </w:pPr>
          </w:p>
        </w:tc>
      </w:tr>
      <w:tr>
        <w:trPr>
          <w:trHeight w:val="187"/>
        </w:trPr>
        <w:tc>
          <w:tcPr>
            <w:tcW w:w="2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199"/>
        </w:trPr>
        <w:tc>
          <w:tcPr>
            <w:tcW w:w="2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400" w:type="dxa"/>
            <w:vAlign w:val="bottom"/>
            <w:vMerge w:val="restart"/>
          </w:tcPr>
          <w:p>
            <w:pPr>
              <w:ind w:left="20"/>
              <w:spacing w:after="0" w:line="213" w:lineRule="exact"/>
              <w:rPr>
                <w:sz w:val="20"/>
                <w:szCs w:val="20"/>
                <w:color w:val="auto"/>
              </w:rPr>
            </w:pPr>
            <w:r>
              <w:rPr>
                <w:rFonts w:ascii="Times New Roman" w:cs="Times New Roman" w:eastAsia="Times New Roman" w:hAnsi="Times New Roman"/>
                <w:sz w:val="14"/>
                <w:szCs w:val="14"/>
                <w:color w:val="auto"/>
              </w:rPr>
              <w:t>Notes Payable</w:t>
            </w:r>
            <w:r>
              <w:rPr>
                <w:rFonts w:ascii="Times New Roman" w:cs="Times New Roman" w:eastAsia="Times New Roman" w:hAnsi="Times New Roman"/>
                <w:sz w:val="19"/>
                <w:szCs w:val="19"/>
                <w:color w:val="auto"/>
                <w:vertAlign w:val="superscript"/>
              </w:rPr>
              <w:t>(a)</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4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249,934</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249,934</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Charitable Contributions</w:t>
            </w:r>
          </w:p>
        </w:tc>
        <w:tc>
          <w:tcPr>
            <w:tcW w:w="4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3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3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3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40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Mortgage Payable</w:t>
            </w:r>
            <w:r>
              <w:rPr>
                <w:rFonts w:ascii="Times New Roman" w:cs="Times New Roman" w:eastAsia="Times New Roman" w:hAnsi="Times New Roman"/>
                <w:sz w:val="19"/>
                <w:szCs w:val="19"/>
                <w:color w:val="auto"/>
                <w:vertAlign w:val="superscript"/>
              </w:rPr>
              <w:t>(b)</w:t>
            </w:r>
          </w:p>
        </w:tc>
        <w:tc>
          <w:tcPr>
            <w:tcW w:w="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37,546</w:t>
            </w: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19,011</w:t>
            </w: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2,089</w:t>
            </w: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3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3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14,461</w:t>
            </w:r>
          </w:p>
        </w:tc>
        <w:tc>
          <w:tcPr>
            <w:tcW w:w="0" w:type="dxa"/>
            <w:vAlign w:val="bottom"/>
          </w:tcPr>
          <w:p>
            <w:pPr>
              <w:spacing w:after="0"/>
              <w:rPr>
                <w:sz w:val="1"/>
                <w:szCs w:val="1"/>
                <w:color w:val="auto"/>
              </w:rPr>
            </w:pPr>
          </w:p>
        </w:tc>
      </w:tr>
      <w:tr>
        <w:trPr>
          <w:trHeight w:val="176"/>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Due on Notes Payable</w:t>
            </w:r>
          </w:p>
        </w:tc>
        <w:tc>
          <w:tcPr>
            <w:tcW w:w="4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24,397</w:t>
            </w:r>
          </w:p>
        </w:tc>
        <w:tc>
          <w:tcPr>
            <w:tcW w:w="3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17,495</w:t>
            </w:r>
          </w:p>
        </w:tc>
        <w:tc>
          <w:tcPr>
            <w:tcW w:w="3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6,902</w:t>
            </w:r>
          </w:p>
        </w:tc>
        <w:tc>
          <w:tcPr>
            <w:tcW w:w="3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Due on Mortgage Payable</w:t>
            </w:r>
          </w:p>
        </w:tc>
        <w:tc>
          <w:tcPr>
            <w:tcW w:w="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12,152</w:t>
            </w: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1,148</w:t>
            </w:r>
          </w:p>
        </w:tc>
        <w:tc>
          <w:tcPr>
            <w:tcW w:w="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w:t>
            </w: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w:t>
            </w: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3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3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6,851</w:t>
            </w:r>
          </w:p>
        </w:tc>
        <w:tc>
          <w:tcPr>
            <w:tcW w:w="0" w:type="dxa"/>
            <w:vAlign w:val="bottom"/>
          </w:tcPr>
          <w:p>
            <w:pPr>
              <w:spacing w:after="0"/>
              <w:rPr>
                <w:sz w:val="1"/>
                <w:szCs w:val="1"/>
                <w:color w:val="auto"/>
              </w:rPr>
            </w:pPr>
          </w:p>
        </w:tc>
      </w:tr>
      <w:tr>
        <w:trPr>
          <w:trHeight w:val="176"/>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Operating Leases - Third Party</w:t>
            </w:r>
          </w:p>
        </w:tc>
        <w:tc>
          <w:tcPr>
            <w:tcW w:w="4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548,508</w:t>
            </w:r>
          </w:p>
        </w:tc>
        <w:tc>
          <w:tcPr>
            <w:tcW w:w="3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42,215</w:t>
            </w:r>
          </w:p>
        </w:tc>
        <w:tc>
          <w:tcPr>
            <w:tcW w:w="3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42,220</w:t>
            </w:r>
          </w:p>
        </w:tc>
        <w:tc>
          <w:tcPr>
            <w:tcW w:w="3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39,919</w:t>
            </w:r>
          </w:p>
        </w:tc>
        <w:tc>
          <w:tcPr>
            <w:tcW w:w="3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38,231</w:t>
            </w:r>
          </w:p>
        </w:tc>
        <w:tc>
          <w:tcPr>
            <w:tcW w:w="3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38,519</w:t>
            </w:r>
          </w:p>
        </w:tc>
        <w:tc>
          <w:tcPr>
            <w:tcW w:w="3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347,404</w:t>
            </w:r>
          </w:p>
        </w:tc>
        <w:tc>
          <w:tcPr>
            <w:tcW w:w="0" w:type="dxa"/>
            <w:vAlign w:val="bottom"/>
          </w:tcPr>
          <w:p>
            <w:pPr>
              <w:spacing w:after="0"/>
              <w:rPr>
                <w:sz w:val="1"/>
                <w:szCs w:val="1"/>
                <w:color w:val="auto"/>
              </w:rPr>
            </w:pPr>
          </w:p>
        </w:tc>
      </w:tr>
      <w:tr>
        <w:trPr>
          <w:trHeight w:val="176"/>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Leases - Related Parties</w:t>
            </w:r>
          </w:p>
        </w:tc>
        <w:tc>
          <w:tcPr>
            <w:tcW w:w="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3,784</w:t>
            </w: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3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3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1,728</w:t>
            </w:r>
          </w:p>
        </w:tc>
        <w:tc>
          <w:tcPr>
            <w:tcW w:w="0" w:type="dxa"/>
            <w:vAlign w:val="bottom"/>
          </w:tcPr>
          <w:p>
            <w:pPr>
              <w:spacing w:after="0"/>
              <w:rPr>
                <w:sz w:val="1"/>
                <w:szCs w:val="1"/>
                <w:color w:val="auto"/>
              </w:rPr>
            </w:pPr>
          </w:p>
        </w:tc>
      </w:tr>
      <w:tr>
        <w:trPr>
          <w:trHeight w:val="175"/>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Contingent Consideration</w:t>
            </w:r>
          </w:p>
        </w:tc>
        <w:tc>
          <w:tcPr>
            <w:tcW w:w="4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41,943</w:t>
            </w:r>
          </w:p>
        </w:tc>
        <w:tc>
          <w:tcPr>
            <w:tcW w:w="3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11,400</w:t>
            </w:r>
          </w:p>
        </w:tc>
        <w:tc>
          <w:tcPr>
            <w:tcW w:w="3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30,543</w:t>
            </w:r>
          </w:p>
        </w:tc>
        <w:tc>
          <w:tcPr>
            <w:tcW w:w="3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Construction Commitments</w:t>
            </w:r>
          </w:p>
        </w:tc>
        <w:tc>
          <w:tcPr>
            <w:tcW w:w="48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74,650</w:t>
            </w:r>
          </w:p>
        </w:tc>
        <w:tc>
          <w:tcPr>
            <w:tcW w:w="32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74,650</w:t>
            </w:r>
          </w:p>
        </w:tc>
        <w:tc>
          <w:tcPr>
            <w:tcW w:w="32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240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 as of December 31, 2022</w:t>
            </w:r>
          </w:p>
        </w:tc>
        <w:tc>
          <w:tcPr>
            <w:tcW w:w="48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993,678</w:t>
            </w:r>
          </w:p>
        </w:tc>
        <w:tc>
          <w:tcPr>
            <w:tcW w:w="32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148,521</w:t>
            </w:r>
          </w:p>
        </w:tc>
        <w:tc>
          <w:tcPr>
            <w:tcW w:w="32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100,577</w:t>
            </w:r>
          </w:p>
        </w:tc>
        <w:tc>
          <w:tcPr>
            <w:tcW w:w="32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293,336</w:t>
            </w:r>
          </w:p>
        </w:tc>
        <w:tc>
          <w:tcPr>
            <w:tcW w:w="32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40,339</w:t>
            </w:r>
          </w:p>
        </w:tc>
        <w:tc>
          <w:tcPr>
            <w:tcW w:w="30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40,461</w:t>
            </w:r>
          </w:p>
        </w:tc>
        <w:tc>
          <w:tcPr>
            <w:tcW w:w="30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370,444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-24765</wp:posOffset>
            </wp:positionV>
            <wp:extent cx="939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-7620</wp:posOffset>
            </wp:positionV>
            <wp:extent cx="939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-24765</wp:posOffset>
            </wp:positionV>
            <wp:extent cx="946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-7620</wp:posOffset>
            </wp:positionV>
            <wp:extent cx="946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-24765</wp:posOffset>
            </wp:positionV>
            <wp:extent cx="946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-7620</wp:posOffset>
            </wp:positionV>
            <wp:extent cx="946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wp:posOffset>
            </wp:positionV>
            <wp:extent cx="946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946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857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857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857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857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06" w:lineRule="exact"/>
        <w:rPr>
          <w:sz w:val="20"/>
          <w:szCs w:val="20"/>
          <w:color w:val="auto"/>
        </w:rPr>
      </w:pPr>
    </w:p>
    <w:p>
      <w:pPr>
        <w:ind w:left="200" w:hanging="192"/>
        <w:spacing w:after="0"/>
        <w:tabs>
          <w:tab w:leader="none" w:pos="2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This amount excludes $12,139 thousand of unamortized debt discount as of December 31, 2022. See Note 9—Notes Payable for details.</w:t>
      </w:r>
    </w:p>
    <w:p>
      <w:pPr>
        <w:spacing w:after="0" w:line="3"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The amount excludes $437 thousand of unamortized debt discount as of December 31, 2022. See Note 9—Notes Payable for details.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Claims and Litigation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 involved in litigation relating to claims arising out of operations in the normal course of business. As of December 31, 2022, the following matter was being appealed by the Company:</w:t>
      </w:r>
    </w:p>
    <w:p>
      <w:pPr>
        <w:spacing w:after="0" w:line="162"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Cresco Labs New York, LLC and Cresco Labs LLC (“Plaintiffs”) filed an amended complaint against one of the Company’s subsidiaries, Fiorello Pharmaceuticals, Inc. (“Defendant”) on November 20, 2018, in the Supreme Court of the State of New York, NY County alleging Defendant breached the parties’ Equity Purchase Agreement Letter of Intent (“LOI”) relating to the acquisition of Defendant by Plaintiffs. In December 2022, the trial court granted Plaintiffs' motion for summary judgment on their claim that Defendant breached the LOI. Defendant disputes any liability and is vigorously appealing the trial court’s decision. The Company has estimated that the possible range of loss is between $900 thousand and $72,915 thousand. However, the Company believes a successful appeal is probable, and as such, a $900 thousand loss contingency is reflected within selling, general and administrative expenses within the consolidated statement of operations with respect to this matter. In the event that the Defendant’s appeal is unsuccessful, any damages will be determined by further legal proceedings.</w:t>
      </w:r>
    </w:p>
    <w:p>
      <w:pPr>
        <w:spacing w:after="0" w:line="192"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At December 31, 2022 and 2021, other than as discussed above, there were no pending or threatened lawsuits that could reasonably be expected to have a material effect on the results of the Company’s consolidated operations. There are also no proceedings in which any of the Company’s directors, officers or affiliates is an adverse party or has a material interest adverse to the Company’s interest.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As of December 31, 2022 and 2021, the Company does not have any off-balance-sheet arrangements that have, or are reasonably likely to have, a current or future effect on the results of operations or financial condition of the Company, including, and without limitation, such considerations as liquidity and capital resources.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or Adoption of Accounting Practices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discussion under Part II, Item 8, Notes to Consolidated Financial Statements, Note 2 – Significant Accounting Policies.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requires management to make judgments, estimates and assumptions that affect the application of policies and reported amounts of assets and liabilities, and revenue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183"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Significant judgments, estimates and assumptions that have the most significant effect on the amounts recognized in the consolidated financial statements are described below.</w:t>
      </w: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i w:val="1"/>
          <w:iCs w:val="1"/>
          <w:color w:val="auto"/>
        </w:rPr>
        <w:t>Estimated Useful Lives and Amortization of Intangible Assets</w:t>
      </w:r>
    </w:p>
    <w:p>
      <w:pPr>
        <w:spacing w:after="0" w:line="22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Amortization of intangible assets is recorded on a straight-line basis over their estimated useful lives, which do not exceed the contractual period, if any. Intangible assets that have indefinite useful lives are not subject to amortization and are tested annually for impairment, or more frequently if events or changes in circumstances indicate that they may be impaired.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27"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Classification of an acquisition as a business combination or an asset acquisition depends on whether the assets acquired constitute a business, which can be a complex judgment. Whether an acquisition is classified as a business combination or asset acquisition can have a significant impact on the entries made on and after acquisition.</w:t>
      </w:r>
    </w:p>
    <w:p>
      <w:pPr>
        <w:spacing w:after="0" w:line="176"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In determining the fair value of all identifiable assets, liabilities and contingent liabilities acquired, the most significant estimates relate to contingent consideration and intangible assets. Management exercises judgment in estimating the probability and timing of when earn-outs are expected to be achieved, which is used as the basis for estimating fair value. For any intangible asset identified, depending on the type of intangible asset and the complexity of determining its fair value, an independent valuation expert or management may develop the fair value, using appropriate valuation techniques, which are generally based on a forecast of the total expected future net cash flows.</w:t>
      </w:r>
    </w:p>
    <w:p>
      <w:pPr>
        <w:spacing w:after="0" w:line="183"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Cannabis licenses are the primary intangible asset acquired in business combinations as they provide the Company the ability to operate in each market. However, some cannabis licenses are subject to renewal and therefore there is some risk of non-renewal for several reasons, including operational, regulatory, legal or economic. To appropriately consider the risk of non-renewal, the Company applies probability weighting to the expected future net cash flows in calculating the fair value of these intangible assets. The key assumptions used in these cash flow projections include discount rates and terminal growth rates. Of the key assumptions used, the impact of the estimated fair value of the intangible assets have the greatest sensitivity to the estimated discount rate used in the valuation. Management selected discount rates ranging from 10.5% to 12.5% primarily dependent upon the markets in which each of the acquisitions operates. The terminal growth rate represents the rate at which these businesses will continue to grow into perpetuity. Management selected terminal growth rates of approximately 3%. Other significant assumptions include revenue, gross profit, operating expenses and anticipated capital expenditures which are based upon the Corporation’s historical operations along with management projections.</w:t>
      </w:r>
    </w:p>
    <w:p>
      <w:pPr>
        <w:spacing w:after="0" w:line="188"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The evaluations are linked closely to the assumptions made by management regarding the future performance of these assets and any changes in the discount rate applied.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27" w:lineRule="exact"/>
        <w:rPr>
          <w:sz w:val="20"/>
          <w:szCs w:val="20"/>
          <w:color w:val="auto"/>
        </w:rPr>
      </w:pPr>
    </w:p>
    <w:p>
      <w:pPr>
        <w:ind w:right="80" w:firstLine="749"/>
        <w:spacing w:after="0" w:line="273" w:lineRule="auto"/>
        <w:rPr>
          <w:sz w:val="20"/>
          <w:szCs w:val="20"/>
          <w:color w:val="auto"/>
        </w:rPr>
      </w:pPr>
      <w:r>
        <w:rPr>
          <w:rFonts w:ascii="Times New Roman" w:cs="Times New Roman" w:eastAsia="Times New Roman" w:hAnsi="Times New Roman"/>
          <w:sz w:val="17"/>
          <w:szCs w:val="17"/>
          <w:color w:val="auto"/>
        </w:rPr>
        <w:t>The net realizable value of inventories represents the estimated selling price for inventories in the ordinary course of business, less all estimated costs of completion and costs necessary to make the sale. The determination of net realizable value requires significant judgment, including consideration of factors such as shrinkage, the aging of and future demand for inventory, expected future selling price the Company expects to realize by selling the inventory and the contractual arrangements with customers. Reserves for excess and obsolete inventory are based upon quantities on hand, projected volumes from demand forecasts and net realizable value. The estimates are judgmental in nature and are made at a point in time, using available information, expected business plans and expected market conditions. As a result, the actual amount received on sale could differ from the estimated value of inventory. Periodic reviews are performed on the inventory balance. The impact of changes in inventory reserves is reflected in cost of goods sold.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in Private Holdings</w:t>
      </w:r>
    </w:p>
    <w:p>
      <w:pPr>
        <w:spacing w:after="0" w:line="227"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Investments include private company investments which are carried at fair value based on the value of the Company’s interests in the private companies determined from financial information provided by management of the companies, which may include operating results, subsequent rounds of financing and other appropriate information. Any change in fair value is recognized on the consolidated statement of operations.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1"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i w:val="1"/>
          <w:iCs w:val="1"/>
          <w:color w:val="auto"/>
        </w:rPr>
        <w:t>Goodwill Impairment</w:t>
      </w:r>
    </w:p>
    <w:p>
      <w:pPr>
        <w:spacing w:after="0" w:line="225"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 xml:space="preserve">The Company applies the guidance in Financial Accounting Standards Board (“FASB”) </w:t>
      </w:r>
      <w:r>
        <w:rPr>
          <w:rFonts w:ascii="Times New Roman" w:cs="Times New Roman" w:eastAsia="Times New Roman" w:hAnsi="Times New Roman"/>
          <w:sz w:val="18"/>
          <w:szCs w:val="18"/>
          <w:i w:val="1"/>
          <w:iCs w:val="1"/>
          <w:color w:val="auto"/>
        </w:rPr>
        <w:t>Accounting Standards Update,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2011-08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Intangibles-Goodwill and Other-Testing Goodwill for Impairment</w:t>
      </w:r>
      <w:r>
        <w:rPr>
          <w:rFonts w:ascii="Times New Roman" w:cs="Times New Roman" w:eastAsia="Times New Roman" w:hAnsi="Times New Roman"/>
          <w:sz w:val="18"/>
          <w:szCs w:val="18"/>
          <w:color w:val="auto"/>
        </w:rPr>
        <w:t>, which provides entities with an option to perform a qualitative assessment (commonly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referred to as “Step Zero”) to determine whether further quantitative analysis for impairment of goodwill is necessary. In performing Step Zero for the Company’s goodwill impairment test, the Company is required to make assumptions and judgments including but not limited to the following: the evaluation of macroeconomic conditions as related to the Company’s business, industry and market trends, and the overall future financial performance of its reporting units and future opportunities in the markets in which they operate. If impairment indicators are present after performing Step Zero, the Company would perform a quantitative impairment analysis to estimate the fair value of goodwill.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Determination of Reporting Units</w:t>
      </w:r>
    </w:p>
    <w:p>
      <w:pPr>
        <w:spacing w:after="0" w:line="227"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 xml:space="preserve">The Company’s assets are aggregated into two reportable segments (Retail and Consumer Packaged Goods). Prior to October 1, 2022, the Company had identified 30 reporting units for the purposes of testing goodwill. Management evaluated its existing reporting units under the accounting guidance provided in Accounting Standards Codification (“ASC”) </w:t>
      </w:r>
      <w:r>
        <w:rPr>
          <w:rFonts w:ascii="Times New Roman" w:cs="Times New Roman" w:eastAsia="Times New Roman" w:hAnsi="Times New Roman"/>
          <w:sz w:val="18"/>
          <w:szCs w:val="18"/>
          <w:i w:val="1"/>
          <w:iCs w:val="1"/>
          <w:color w:val="auto"/>
        </w:rPr>
        <w:t>280 Segment Reporting,</w:t>
      </w:r>
      <w:r>
        <w:rPr>
          <w:rFonts w:ascii="Times New Roman" w:cs="Times New Roman" w:eastAsia="Times New Roman" w:hAnsi="Times New Roman"/>
          <w:sz w:val="18"/>
          <w:szCs w:val="18"/>
          <w:color w:val="auto"/>
        </w:rPr>
        <w:t xml:space="preserve"> and determined that the individual components within each respective segment were economically similar and thus, aggregation of these components into two reporting units that align with our reportable segments, should be applied. Subsequent to October 1, 2022, the Company aggregated each of the components into two reporting units (Retail and Consumer Packaged Goods).</w:t>
      </w:r>
    </w:p>
    <w:p>
      <w:pPr>
        <w:spacing w:after="0" w:line="187" w:lineRule="exact"/>
        <w:rPr>
          <w:sz w:val="20"/>
          <w:szCs w:val="20"/>
          <w:color w:val="auto"/>
        </w:rPr>
      </w:pPr>
    </w:p>
    <w:p>
      <w:pPr>
        <w:ind w:right="560" w:firstLine="749"/>
        <w:spacing w:after="0" w:line="282" w:lineRule="auto"/>
        <w:rPr>
          <w:sz w:val="20"/>
          <w:szCs w:val="20"/>
          <w:color w:val="auto"/>
        </w:rPr>
      </w:pPr>
      <w:r>
        <w:rPr>
          <w:rFonts w:ascii="Times New Roman" w:cs="Times New Roman" w:eastAsia="Times New Roman" w:hAnsi="Times New Roman"/>
          <w:sz w:val="18"/>
          <w:szCs w:val="18"/>
          <w:color w:val="auto"/>
        </w:rPr>
        <w:t>As part of the Company's aggregation of the 30 reporting units that existed prior to October 1, 2022, the accounting guidance required the reporting units be tested for impairment through a Step 1 quantitative analysis prior to aggregation.</w:t>
      </w:r>
    </w:p>
    <w:p>
      <w:pPr>
        <w:spacing w:after="0" w:line="162"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 analysis performed included estimating the fair value of each reporting unit using both the income and market approaches. The income approach requires management to estimate a number of factors for each reporting unit, including projected future operating results, economic projections, anticipated future cash flows, discount rates, the allocation of shared or corporate costs and the eventual repeal of 280E. The market approach estimates fair value using comparable marketplace fair value data from within a comparable industry grouping.</w:t>
      </w:r>
    </w:p>
    <w:p>
      <w:pPr>
        <w:spacing w:after="0" w:line="180"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The determination of fair value in the quantitative assessment requires the Company to make significant estimates and assumptions. These estimates and assumptions primarily include, but are not limited to: the discount rate; terminal growth rates; and forecasts of revenue, operating income, depreciation and amortization and capital expenditures.</w:t>
      </w:r>
    </w:p>
    <w:p>
      <w:pPr>
        <w:spacing w:after="0" w:line="176"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As a result of the Company's goodwill impairment analysis, the Company determined two of the reporting units were impaired. See Note 6— Intangible Assets and Goodwill for additional detail.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Consolidation</w:t>
      </w:r>
    </w:p>
    <w:p>
      <w:pPr>
        <w:spacing w:after="0" w:line="227"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Judgment is applied in assessing whether the Company exercises control and has significant influence over entities in which the Company directly or indirectly owns an interest. The Company has control when it has the power over the subsidiary, has exposure or rights to variable returns and has the ability to use its power to affect the returns. Significant influence is defined as the power to participate in the financial and operating decisions of the subsidiaries. Where the Company is determined to have control, these entities are consolidated. Additionally, judgment is applied in determining the effective date on which control was obtained.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Uncollectible Accounts</w:t>
      </w:r>
    </w:p>
    <w:p>
      <w:pPr>
        <w:spacing w:after="0" w:line="22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Management determines the allowance for uncollectible accounts by evaluating individual receivable balances and considering accounts and other receivable financial condition and current economic conditions. Accounts receivable and financial assets recorded in other receivables are written off when deemed uncollectible. Recoveries of accounts receivable previously written off are recorded as income when received. All receivables are expected to be collected within one year of the balance sheet date.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Payments</w:t>
      </w:r>
    </w:p>
    <w:p>
      <w:pPr>
        <w:spacing w:after="0" w:line="227"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Valuation of stock-based compensation and warrants requires management to make estimates regarding the inputs for option pricing models, such as the expected life of the option, the volatility of the Company’s stock price, the vesting period of the option and the risk-free interest rate are used. Actual results could differ from those estimates. The estimates are considered for each new grant of stock options or warrants.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64" w:name="page65"/>
    <w:bookmarkEnd w:id="64"/>
    <w:p>
      <w:pPr>
        <w:ind w:firstLine="749"/>
        <w:spacing w:after="0" w:line="256" w:lineRule="auto"/>
        <w:rPr>
          <w:sz w:val="20"/>
          <w:szCs w:val="20"/>
          <w:color w:val="auto"/>
        </w:rPr>
      </w:pPr>
      <w:r>
        <w:rPr>
          <w:rFonts w:ascii="Times New Roman" w:cs="Times New Roman" w:eastAsia="Times New Roman" w:hAnsi="Times New Roman"/>
          <w:sz w:val="18"/>
          <w:szCs w:val="18"/>
          <w:color w:val="auto"/>
        </w:rPr>
        <w:t>The individual fair values attributed to the different components of a financing transaction, derivative financial instruments, are determined using valuation techniques. The Company uses judgment to select the methods used to make certain assumptions and in performing the fair value calculations in order to determine (a) the values attributed to each component of a transaction at the time of their issuance; (b) the fair value measurements for certain instruments that require subsequent measurement at fair value on a recurring basis; and (c) for disclosing the fair value of financial instruments. These valuation estimates could be significantly different because of the use of judgment and the inherent uncertainty in estimating the fair value of these instruments that are not quoted in an active market.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and Financial Risk Management</w:t>
      </w:r>
    </w:p>
    <w:p>
      <w:pPr>
        <w:spacing w:after="0" w:line="229"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accounts receivable, investments, accounts payable and accrued liabilities, notes payable, warrant liability and contingent consideration payable.</w:t>
      </w:r>
    </w:p>
    <w:p>
      <w:pPr>
        <w:spacing w:after="0" w:line="162"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Financial instruments recorded at fair value are classified using a fair value hierarchy that reflects the significance of the inputs to fair value measurements. The three levels of hierarchy are:</w:t>
      </w:r>
    </w:p>
    <w:p>
      <w:pPr>
        <w:spacing w:after="0" w:line="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—Unadjusted quoted prices in active markets for identical assets or liabilities;</w:t>
      </w:r>
    </w:p>
    <w:p>
      <w:pPr>
        <w:spacing w:after="0" w:line="1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—Inputs other than quoted prices that are observable for the asset or liability, either directly or indirectly; and</w:t>
      </w:r>
    </w:p>
    <w:p>
      <w:pPr>
        <w:spacing w:after="0" w:line="1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—Inputs for the asset or liability that are not based on observable market data.</w:t>
      </w:r>
    </w:p>
    <w:p>
      <w:pPr>
        <w:spacing w:after="0" w:line="200" w:lineRule="exact"/>
        <w:rPr>
          <w:sz w:val="20"/>
          <w:szCs w:val="20"/>
          <w:color w:val="auto"/>
        </w:rPr>
      </w:pPr>
    </w:p>
    <w:p>
      <w:pPr>
        <w:spacing w:after="0" w:line="34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QUANTITAVE AND QUALITATIVE DISCLOSURES ABOUT MARKET RISK</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Risk Management</w:t>
      </w:r>
    </w:p>
    <w:p>
      <w:pPr>
        <w:spacing w:after="0" w:line="121"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The Company is exposed in varying degrees to a variety of financial instrument related risks. The Company’s Board of Directors (the “Board”) mitigates these risks by assessing, monitoring and approving the Company’s risk management processes.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Credit Risk</w:t>
      </w:r>
    </w:p>
    <w:p>
      <w:pPr>
        <w:spacing w:after="0" w:line="225" w:lineRule="exact"/>
        <w:rPr>
          <w:sz w:val="20"/>
          <w:szCs w:val="20"/>
          <w:color w:val="auto"/>
        </w:rPr>
      </w:pPr>
    </w:p>
    <w:p>
      <w:pPr>
        <w:ind w:right="660" w:firstLine="749"/>
        <w:spacing w:after="0" w:line="282" w:lineRule="auto"/>
        <w:rPr>
          <w:sz w:val="20"/>
          <w:szCs w:val="20"/>
          <w:color w:val="auto"/>
        </w:rPr>
      </w:pPr>
      <w:r>
        <w:rPr>
          <w:rFonts w:ascii="Times New Roman" w:cs="Times New Roman" w:eastAsia="Times New Roman" w:hAnsi="Times New Roman"/>
          <w:sz w:val="18"/>
          <w:szCs w:val="18"/>
          <w:color w:val="auto"/>
        </w:rPr>
        <w:t>Credit risk is the risk of a potential loss to the Company if a customer or third party to a financial instrument fails to meet its contractual obligations. The Company does not have significant credit risk with respect to its customers.</w:t>
      </w:r>
    </w:p>
    <w:p>
      <w:pPr>
        <w:spacing w:after="0" w:line="162"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The Company provides credit to its customers in the normal course of business. The Company has established credit evaluation and monitoring processes to mitigate credit risk but has limited risk as the majority of its sales are paid at the time of sale.</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Liquidity Risk</w:t>
      </w:r>
    </w:p>
    <w:p>
      <w:pPr>
        <w:spacing w:after="0" w:line="225" w:lineRule="exact"/>
        <w:rPr>
          <w:sz w:val="20"/>
          <w:szCs w:val="20"/>
          <w:color w:val="auto"/>
        </w:rPr>
      </w:pPr>
    </w:p>
    <w:p>
      <w:pPr>
        <w:jc w:val="both"/>
        <w:ind w:right="280" w:firstLine="749"/>
        <w:spacing w:after="0" w:line="266" w:lineRule="auto"/>
        <w:rPr>
          <w:sz w:val="20"/>
          <w:szCs w:val="20"/>
          <w:color w:val="auto"/>
        </w:rPr>
      </w:pPr>
      <w:r>
        <w:rPr>
          <w:rFonts w:ascii="Times New Roman" w:cs="Times New Roman" w:eastAsia="Times New Roman" w:hAnsi="Times New Roman"/>
          <w:sz w:val="18"/>
          <w:szCs w:val="18"/>
          <w:color w:val="auto"/>
        </w:rPr>
        <w:t>Liquidity risk is the risk that the Company will not be able to meet its financial obligations associated with financial liabilities. The Company manages liquidity risk through the effective management of its capital structure. The Company’s approach to managing liquidity is to ensure that it will have sufficient liquidity at all times to settle obligations and liabilities when due.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Market Risk</w:t>
      </w:r>
    </w:p>
    <w:p>
      <w:pPr>
        <w:spacing w:after="0" w:line="225"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market rates and prices, such as interest rates, foreign exchange, raw material and other commodity prices.</w:t>
      </w:r>
    </w:p>
    <w:p>
      <w:pPr>
        <w:spacing w:after="0" w:line="160"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Currency Risk</w:t>
      </w:r>
      <w:r>
        <w:rPr>
          <w:rFonts w:ascii="Times New Roman" w:cs="Times New Roman" w:eastAsia="Times New Roman" w:hAnsi="Times New Roman"/>
          <w:sz w:val="18"/>
          <w:szCs w:val="18"/>
          <w:color w:val="auto"/>
        </w:rPr>
        <w:t>. The operating results and financial position of the Company are reported in U.S. dollars. Some of the Company’s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are denominated in currencies other than the U.S. dollar. The results of the Company’s operations are subject to currency transaction risks. The Company has no hedging agreements in place with respect to foreign exchange rates. The Company has not entered into any agreements or purchased any instruments to hedge possible currency risks at this time.</w:t>
      </w:r>
    </w:p>
    <w:p>
      <w:pPr>
        <w:spacing w:after="0" w:line="180" w:lineRule="exact"/>
        <w:rPr>
          <w:sz w:val="20"/>
          <w:szCs w:val="20"/>
          <w:color w:val="auto"/>
        </w:rPr>
      </w:pPr>
    </w:p>
    <w:p>
      <w:pPr>
        <w:ind w:right="16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Interest Rate Risk</w:t>
      </w:r>
      <w:r>
        <w:rPr>
          <w:rFonts w:ascii="Times New Roman" w:cs="Times New Roman" w:eastAsia="Times New Roman" w:hAnsi="Times New Roman"/>
          <w:sz w:val="18"/>
          <w:szCs w:val="18"/>
          <w:color w:val="auto"/>
        </w:rPr>
        <w:t>. Interest rate risk is the risk that the fair value or future cash flows of a financial instrument will fluctuate because of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market interest rates. Cash and cash equivalents bear interest at market rates. The Company’s financial debts have fixed rates of interest and therefore expose the Company to a limited interest rate fair value risk.</w:t>
      </w:r>
    </w:p>
    <w:p>
      <w:pPr>
        <w:spacing w:after="0" w:line="173" w:lineRule="exact"/>
        <w:rPr>
          <w:sz w:val="20"/>
          <w:szCs w:val="20"/>
          <w:color w:val="auto"/>
        </w:rPr>
      </w:pPr>
    </w:p>
    <w:p>
      <w:pPr>
        <w:ind w:right="60" w:firstLine="749"/>
        <w:spacing w:after="0" w:line="262" w:lineRule="auto"/>
        <w:rPr>
          <w:sz w:val="20"/>
          <w:szCs w:val="20"/>
          <w:color w:val="auto"/>
        </w:rPr>
      </w:pPr>
      <w:r>
        <w:rPr>
          <w:rFonts w:ascii="Times New Roman" w:cs="Times New Roman" w:eastAsia="Times New Roman" w:hAnsi="Times New Roman"/>
          <w:sz w:val="18"/>
          <w:szCs w:val="18"/>
          <w:i w:val="1"/>
          <w:iCs w:val="1"/>
          <w:color w:val="auto"/>
        </w:rPr>
        <w:t>Commodities Price Risk</w:t>
      </w:r>
      <w:r>
        <w:rPr>
          <w:rFonts w:ascii="Times New Roman" w:cs="Times New Roman" w:eastAsia="Times New Roman" w:hAnsi="Times New Roman"/>
          <w:sz w:val="18"/>
          <w:szCs w:val="18"/>
          <w:color w:val="auto"/>
        </w:rPr>
        <w:t>. Commodities Price risk is the risk of variability in fair value due to movements in equity or market prices. The primary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raw materials used by the Company aside from those cultivated internally are labels and packaging. Management</w:t>
      </w: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5" w:name="page66"/>
    <w:bookmarkEnd w:id="65"/>
    <w:p>
      <w:pPr>
        <w:spacing w:after="0" w:line="261" w:lineRule="auto"/>
        <w:rPr>
          <w:sz w:val="20"/>
          <w:szCs w:val="20"/>
          <w:color w:val="auto"/>
        </w:rPr>
      </w:pPr>
      <w:r>
        <w:rPr>
          <w:rFonts w:ascii="Times New Roman" w:cs="Times New Roman" w:eastAsia="Times New Roman" w:hAnsi="Times New Roman"/>
          <w:sz w:val="18"/>
          <w:szCs w:val="18"/>
          <w:color w:val="auto"/>
        </w:rPr>
        <w:t>believes a hypothetical 10% change in the price of these materials would not have a significant effect on the Company’s consolidated annual results of operations or cash flows, as these costs are generally passed through to its customers. However, such an increase could have an impact on our customers’ demand for our products, and we are not able to quantify the impact of such potential change in demand on our combined annual results of operations or cash flows.</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financial information required by Item 8 is located beginning on page F-1 of this report.</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37" w:right="539" w:bottom="1440" w:gutter="0" w:footer="0" w:header="0"/>
        </w:sectPr>
      </w:pPr>
    </w:p>
    <w:bookmarkStart w:id="66" w:name="page67"/>
    <w:bookmarkEnd w:id="66"/>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Prior Independent Registered Accounting Firm</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Following the Transaction, the independent registered public accounting firm of the Corporation was Macias Gini &amp; O’Connell LLP (“MGO”) located at 2029 Century Park East, Suite 1500, Los Angeles, California 90067. The Company engaged MGO on October 21, 2019, and MGO completed an audit of the Company for the years ended December 31, 2020 and 2019. MGO resigned as the Company’s auditor effective May 13, 2021. The resignation of MGO was approved by the Board and the Audit Committee and the Board. During the years ended December 31, 2020 and 2019 and the subsequent period through May 13, 2021, the date of MGO’s resignation, there were no (1) disagreements with MGO on any matter of accounting principles or practices, financial statement disclosure or auditing scope or procedure, which, if not resolved to MGO’s satisfaction, would have caused MGO to make reference thereto in its report on the consolidated financial statements of the Company (as described in Item 304(a)(1)(iv) of Regulation S-K) or (2) reportable events (as described in Item 304(a)(1)(v) of Regulation S-K).</w:t>
      </w:r>
    </w:p>
    <w:p>
      <w:pPr>
        <w:spacing w:after="0" w:line="192"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The Company provided MGO with a copy of the foregoing disclosures in this section and requested that MGO furnish it with a letter addressed to the Securities and Exchange Commission (“SEC”) stating whether it agrees with the above statements. A copy of MGO’s letter, dated May 13, 2021, is included herewith as Exhibit 16.1 to this document, indicating its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Engagement of Baker Tilly US, LLP</w:t>
      </w:r>
    </w:p>
    <w:p>
      <w:pPr>
        <w:spacing w:after="0" w:line="229" w:lineRule="exact"/>
        <w:rPr>
          <w:sz w:val="20"/>
          <w:szCs w:val="20"/>
          <w:color w:val="auto"/>
        </w:rPr>
      </w:pPr>
    </w:p>
    <w:p>
      <w:pPr>
        <w:jc w:val="both"/>
        <w:ind w:right="420" w:firstLine="749"/>
        <w:spacing w:after="0" w:line="266" w:lineRule="auto"/>
        <w:rPr>
          <w:sz w:val="20"/>
          <w:szCs w:val="20"/>
          <w:color w:val="auto"/>
        </w:rPr>
      </w:pPr>
      <w:r>
        <w:rPr>
          <w:rFonts w:ascii="Times New Roman" w:cs="Times New Roman" w:eastAsia="Times New Roman" w:hAnsi="Times New Roman"/>
          <w:sz w:val="18"/>
          <w:szCs w:val="18"/>
          <w:color w:val="auto"/>
        </w:rPr>
        <w:t>The Company appointed Baker Tilly US, LLP (“Baker Tilly”) located at 205 North Michigan Avenue, Suite 2800, Chicago, IL 60601 as its independent registered public accounting firm effective May 13, 2021. The engagement of Baker Tilly was approved by the Audit Committee and the Board. Baker Tilly has completed an audit of the Company for the years ended December 31, 2022 and 2021.</w:t>
      </w:r>
    </w:p>
    <w:p>
      <w:pPr>
        <w:spacing w:after="0" w:line="176"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During the fiscal years ended December 31, 2020 and 2019, and during the subsequent interim period through May 13, 2021, neither the Company, nor anyone acting on its behalf, has consulted Baker Tilly with respect to: (i) the application of accounting principles to a specified transaction, either completed or proposed, or the type of audit opinion that might be rendered on the Company’s consolidated financial statements, and Baker Tilly did not provide either a written report or oral advice to the Company that Baker Tilly concluded was an important factor considered by the Company in reaching a decision as to any accounting, auditing, or financial reporting issue, or (ii) (a) any matter that was either the subject of a disagreement (as defined in Item 304(a)(1)(iv) of Regulation and the related instructions) or (b) a “reportable event” as described in Item 304(a)(1)(v) of Regulation S-K.</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firstLine="749"/>
        <w:spacing w:after="0" w:line="270" w:lineRule="auto"/>
        <w:rPr>
          <w:sz w:val="20"/>
          <w:szCs w:val="20"/>
          <w:color w:val="auto"/>
        </w:rPr>
      </w:pPr>
      <w:r>
        <w:rPr>
          <w:rFonts w:ascii="Times New Roman" w:cs="Times New Roman" w:eastAsia="Times New Roman" w:hAnsi="Times New Roman"/>
          <w:sz w:val="17"/>
          <w:szCs w:val="17"/>
          <w:color w:val="auto"/>
        </w:rPr>
        <w:t>The Company maintains “disclosure controls and procedures” as defined in Rules 13a-15(e) and 15d-15(e) under the Securities Exchange Act of 1934, as amended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The Company recognizes that any controls and procedures, no matter how well designed and operated, can provide only reasonable assurance of achieving their objectives. Management, including the Chief Executive Officer and Chief Financial Officer, evaluated the effectiveness of the Company’s disclosure controls and procedures (as defined in Rules 13a-15(b) and Rule 15d-15(e) of the Exchange Act) as of December 31, 2022. Accordingly, as of December 31, 2022, the Company’s Chief Executive Officer and Chief Financial Officer concluded that the Company’s disclosure controls and procedures were effective as of such date.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Controls Over Financial Reporting</w:t>
      </w:r>
    </w:p>
    <w:p>
      <w:pPr>
        <w:spacing w:after="0" w:line="229"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 13a-15(f) under the Exchange Act). Management conducted an assessment of the effectiveness of our internal control over financial reporting based on the criteria established in “Internal Control - Integrated Framework” (2013) issued by the Committee of Sponsoring Organizations of the Treadway Commission (COSO).</w:t>
      </w:r>
    </w:p>
    <w:p>
      <w:pPr>
        <w:spacing w:after="0" w:line="180" w:lineRule="exact"/>
        <w:rPr>
          <w:sz w:val="20"/>
          <w:szCs w:val="20"/>
          <w:color w:val="auto"/>
        </w:rPr>
      </w:pPr>
    </w:p>
    <w:p>
      <w:pPr>
        <w:jc w:val="both"/>
        <w:ind w:right="60" w:firstLine="749"/>
        <w:spacing w:after="0" w:line="277" w:lineRule="auto"/>
        <w:rPr>
          <w:sz w:val="20"/>
          <w:szCs w:val="20"/>
          <w:color w:val="auto"/>
        </w:rPr>
      </w:pPr>
      <w:r>
        <w:rPr>
          <w:rFonts w:ascii="Times New Roman" w:cs="Times New Roman" w:eastAsia="Times New Roman" w:hAnsi="Times New Roman"/>
          <w:sz w:val="17"/>
          <w:szCs w:val="17"/>
          <w:color w:val="auto"/>
        </w:rPr>
        <w:t>Our disclosure controls and procedures and internal controls over financial reporting are designed to provide reasonable assurance of achieving their objectives as specified above. Management does not expect, however, that our disclosure controls and procedures and internal controls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68"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2022, has been audited by our independent registered public accounting firm, as stated in their report which appears herein.</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9" w:right="399" w:bottom="1440" w:gutter="0" w:footer="0" w:header="0"/>
        </w:sectPr>
      </w:pPr>
    </w:p>
    <w:bookmarkStart w:id="68" w:name="page69"/>
    <w:bookmarkEnd w:id="68"/>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ind w:firstLine="749"/>
        <w:spacing w:after="0" w:line="271" w:lineRule="auto"/>
        <w:rPr>
          <w:sz w:val="20"/>
          <w:szCs w:val="20"/>
          <w:color w:val="auto"/>
        </w:rPr>
      </w:pPr>
      <w:r>
        <w:rPr>
          <w:rFonts w:ascii="Times New Roman" w:cs="Times New Roman" w:eastAsia="Times New Roman" w:hAnsi="Times New Roman"/>
          <w:sz w:val="18"/>
          <w:szCs w:val="18"/>
          <w:color w:val="auto"/>
        </w:rPr>
        <w:t xml:space="preserve">Information regarding directors and executive officers will be included in the 2023 Proxy Statement for the Company's 2023 Annual General Meeting of Shareholders (the </w:t>
      </w:r>
      <w:r>
        <w:rPr>
          <w:rFonts w:ascii="Times New Roman" w:cs="Times New Roman" w:eastAsia="Times New Roman" w:hAnsi="Times New Roman"/>
          <w:sz w:val="19"/>
          <w:szCs w:val="19"/>
          <w:color w:val="auto"/>
        </w:rPr>
        <w:t>“2023 Proxy Statement”) to be filed pursuant to Regulation 14A within 120 days after the end of the fiscal year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 xml:space="preserve">which this report relates and which sections are </w:t>
      </w:r>
      <w:r>
        <w:rPr>
          <w:rFonts w:ascii="Times New Roman" w:cs="Times New Roman" w:eastAsia="Times New Roman" w:hAnsi="Times New Roman"/>
          <w:sz w:val="17"/>
          <w:szCs w:val="17"/>
          <w:color w:val="auto"/>
        </w:rPr>
        <w:t>incorporated herein by reference.</w:t>
      </w:r>
    </w:p>
    <w:p>
      <w:pPr>
        <w:spacing w:after="0" w:line="160"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Executive Compensation in the 2023 Proxy Statement and which sections are incorporated herein by reference.</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w:t>
      </w:r>
    </w:p>
    <w:p>
      <w:pPr>
        <w:spacing w:after="0" w:line="229"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Information regarding security ownership of certain beneficial owners and management will be included in the 2023 Proxy Statement and which sections are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Information regarding equity compensation plans will be included in the 2023 Proxy Statement and which sections are incorporated herein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w:t>
      </w:r>
    </w:p>
    <w:p>
      <w:pPr>
        <w:spacing w:after="0" w:line="20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DIRECTOR INDEPENDENCE</w:t>
      </w:r>
    </w:p>
    <w:p>
      <w:pPr>
        <w:spacing w:after="0" w:line="229"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Information regarding certain relationships and related transactions and director independence will be included in the 2023 Proxy Statement and which sections are incorporated herein by reference.</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229"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Information regarding principal accounting fees and services will be included in the 2023 Proxy Statement and which sections are incorporated herein by reference.</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69" w:name="page70"/>
    <w:bookmarkEnd w:id="69"/>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15 .</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229" w:lineRule="exact"/>
        <w:rPr>
          <w:sz w:val="20"/>
          <w:szCs w:val="20"/>
          <w:color w:val="auto"/>
        </w:rPr>
      </w:pPr>
    </w:p>
    <w:p>
      <w:pPr>
        <w:ind w:left="1020" w:hanging="567"/>
        <w:spacing w:after="0"/>
        <w:tabs>
          <w:tab w:leader="none" w:pos="10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Financial Statements</w:t>
      </w:r>
    </w:p>
    <w:p>
      <w:pPr>
        <w:spacing w:after="0" w:line="2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financial statements listed in the accompanying index (page F-1) to the financial statements are filed as part of this Annual Report on Form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10-K.</w:t>
      </w:r>
    </w:p>
    <w:p>
      <w:pPr>
        <w:spacing w:after="0" w:line="207" w:lineRule="exact"/>
        <w:rPr>
          <w:sz w:val="20"/>
          <w:szCs w:val="20"/>
          <w:color w:val="auto"/>
        </w:rPr>
      </w:pPr>
    </w:p>
    <w:p>
      <w:pPr>
        <w:ind w:left="1040" w:hanging="600"/>
        <w:spacing w:after="0"/>
        <w:tabs>
          <w:tab w:leader="none" w:pos="10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Exhibits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on the accompanying index (page E-1) are filed as part of this Annual Report on Form 10-K.</w:t>
      </w:r>
    </w:p>
    <w:p>
      <w:pPr>
        <w:spacing w:after="0" w:line="220" w:lineRule="exact"/>
        <w:rPr>
          <w:sz w:val="20"/>
          <w:szCs w:val="20"/>
          <w:color w:val="auto"/>
        </w:rPr>
      </w:pPr>
    </w:p>
    <w:p>
      <w:pPr>
        <w:ind w:left="1000" w:hanging="547"/>
        <w:spacing w:after="0"/>
        <w:tabs>
          <w:tab w:leader="none" w:pos="10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Financial Statements Schedules omitted</w:t>
      </w:r>
    </w:p>
    <w:p>
      <w:pPr>
        <w:spacing w:after="0" w:line="23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Certain schedules have been omitted because the required information is included in the consolidated financial statements and notes thereto or because they are not applicable or not required.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 INDEX TO FINANCIAL STATEMENTS</w:t>
            </w:r>
          </w:p>
        </w:tc>
        <w:tc>
          <w:tcPr>
            <w:tcW w:w="560" w:type="dxa"/>
            <w:vAlign w:val="bottom"/>
          </w:tcPr>
          <w:p>
            <w:pPr>
              <w:spacing w:after="0"/>
              <w:rPr>
                <w:sz w:val="20"/>
                <w:szCs w:val="20"/>
                <w:color w:val="auto"/>
              </w:rPr>
            </w:pPr>
          </w:p>
        </w:tc>
      </w:tr>
      <w:tr>
        <w:trPr>
          <w:trHeight w:val="453"/>
        </w:trPr>
        <w:tc>
          <w:tcPr>
            <w:tcW w:w="10580" w:type="dxa"/>
            <w:vAlign w:val="bottom"/>
          </w:tcPr>
          <w:p>
            <w:pPr>
              <w:spacing w:after="0"/>
              <w:rPr>
                <w:sz w:val="24"/>
                <w:szCs w:val="24"/>
                <w:color w:val="auto"/>
              </w:rPr>
            </w:pP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1"/>
        </w:trPr>
        <w:tc>
          <w:tcPr>
            <w:tcW w:w="10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Balance Sheets as of December 31, 2022 and 2021</w:t>
            </w:r>
          </w:p>
        </w:tc>
        <w:tc>
          <w:tcPr>
            <w:tcW w:w="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F-1</w:t>
            </w:r>
          </w:p>
        </w:tc>
      </w:tr>
      <w:tr>
        <w:trPr>
          <w:trHeight w:val="230"/>
        </w:trPr>
        <w:tc>
          <w:tcPr>
            <w:tcW w:w="10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 of Operations for each of the three years in the period ended December 31, 2022</w:t>
            </w:r>
          </w:p>
        </w:tc>
        <w:tc>
          <w:tcPr>
            <w:tcW w:w="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F-2</w:t>
            </w:r>
          </w:p>
        </w:tc>
      </w:tr>
      <w:tr>
        <w:trPr>
          <w:trHeight w:val="229"/>
        </w:trPr>
        <w:tc>
          <w:tcPr>
            <w:tcW w:w="10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Changes in Shareholders’ Equity</w:t>
            </w:r>
          </w:p>
        </w:tc>
        <w:tc>
          <w:tcPr>
            <w:tcW w:w="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F-3</w:t>
            </w:r>
          </w:p>
        </w:tc>
      </w:tr>
      <w:tr>
        <w:trPr>
          <w:trHeight w:val="229"/>
        </w:trPr>
        <w:tc>
          <w:tcPr>
            <w:tcW w:w="10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 of Cash Flows for each of the three years in the period ended December 31, 2022</w:t>
            </w:r>
          </w:p>
        </w:tc>
        <w:tc>
          <w:tcPr>
            <w:tcW w:w="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F-5</w:t>
            </w:r>
          </w:p>
        </w:tc>
      </w:tr>
      <w:tr>
        <w:trPr>
          <w:trHeight w:val="230"/>
        </w:trPr>
        <w:tc>
          <w:tcPr>
            <w:tcW w:w="10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F-7</w:t>
            </w:r>
          </w:p>
        </w:tc>
      </w:tr>
      <w:tr>
        <w:trPr>
          <w:trHeight w:val="234"/>
        </w:trPr>
        <w:tc>
          <w:tcPr>
            <w:tcW w:w="10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Reports of Independent Public Accounting Firms (Bake Tilly PCAOB ID: 23, MGO PCAOB ID: 324)</w:t>
            </w:r>
          </w:p>
        </w:tc>
        <w:tc>
          <w:tcPr>
            <w:tcW w:w="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F-57</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EXHIBITS</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A list of exhibits filed with this Annual Report on Form 10-K is included in the Exhibit Index immediately preceding Appendix A to this Annual Report and is incorporated herein by reference.</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60" w:type="dxa"/>
            <w:vAlign w:val="bottom"/>
            <w:gridSpan w:val="16"/>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588"/>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w:t>
            </w:r>
          </w:p>
        </w:tc>
        <w:tc>
          <w:tcPr>
            <w:tcW w:w="3680" w:type="dxa"/>
            <w:vAlign w:val="bottom"/>
            <w:tcBorders>
              <w:bottom w:val="single" w:sz="8" w:color="0000FF"/>
            </w:tcBorders>
            <w:gridSpan w:val="8"/>
          </w:tcPr>
          <w:p>
            <w:pPr>
              <w:spacing w:after="0"/>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Amended and Restated Articles of Green Thumb Industries Inc.</w:t>
              </w:r>
            </w:hyperlink>
          </w:p>
        </w:tc>
        <w:tc>
          <w:tcPr>
            <w:tcW w:w="6740" w:type="dxa"/>
            <w:vAlign w:val="bottom"/>
            <w:gridSpan w:val="17"/>
          </w:tcPr>
          <w:p>
            <w:pPr>
              <w:spacing w:after="0"/>
              <w:rPr>
                <w:sz w:val="24"/>
                <w:szCs w:val="24"/>
                <w:color w:val="auto"/>
              </w:rPr>
            </w:pPr>
          </w:p>
        </w:tc>
      </w:tr>
      <w:tr>
        <w:trPr>
          <w:trHeight w:val="148"/>
        </w:trPr>
        <w:tc>
          <w:tcPr>
            <w:tcW w:w="8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10420" w:type="dxa"/>
            <w:vAlign w:val="bottom"/>
            <w:gridSpan w:val="25"/>
            <w:shd w:val="clear" w:color="auto" w:fill="CFF0FC"/>
          </w:tcPr>
          <w:p>
            <w:pPr>
              <w:spacing w:after="0" w:line="149" w:lineRule="exact"/>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Coattail Agreement, dated June 12, 2018, by and among the Shareholders, Green Thumb Industries Inc. and Odyssey Trust Company.</w:t>
              </w:r>
            </w:hyperlink>
          </w:p>
        </w:tc>
      </w:tr>
      <w:tr>
        <w:trPr>
          <w:trHeight w:val="27"/>
        </w:trPr>
        <w:tc>
          <w:tcPr>
            <w:tcW w:w="820" w:type="dxa"/>
            <w:vAlign w:val="bottom"/>
            <w:shd w:val="clear" w:color="auto" w:fill="CFF0FC"/>
          </w:tcPr>
          <w:p>
            <w:pPr>
              <w:spacing w:after="0"/>
              <w:rPr>
                <w:sz w:val="2"/>
                <w:szCs w:val="2"/>
                <w:color w:val="auto"/>
              </w:rPr>
            </w:pPr>
          </w:p>
        </w:tc>
        <w:tc>
          <w:tcPr>
            <w:tcW w:w="16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44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0" w:type="dxa"/>
            <w:vAlign w:val="bottom"/>
            <w:tcBorders>
              <w:right w:val="single" w:sz="8" w:color="CFF0FC"/>
            </w:tcBorders>
            <w:shd w:val="clear" w:color="auto" w:fill="0000FF"/>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80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r>
      <w:tr>
        <w:trPr>
          <w:trHeight w:val="156"/>
        </w:trPr>
        <w:tc>
          <w:tcPr>
            <w:tcW w:w="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10420" w:type="dxa"/>
            <w:vAlign w:val="bottom"/>
            <w:gridSpan w:val="25"/>
          </w:tcPr>
          <w:p>
            <w:pPr>
              <w:spacing w:after="0" w:line="149" w:lineRule="exact"/>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Business Combination Agreement, dated June 12, 2018, by and among Bayswater Uranium Corporation, VCP23, LLC, GTI Finco Inc., 1165318 B.C. Ltd. and GTI23, Inc.</w:t>
              </w:r>
            </w:hyperlink>
          </w:p>
        </w:tc>
      </w:tr>
      <w:tr>
        <w:trPr>
          <w:trHeight w:val="155"/>
        </w:trPr>
        <w:tc>
          <w:tcPr>
            <w:tcW w:w="82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8800" w:type="dxa"/>
            <w:vAlign w:val="bottom"/>
            <w:tcBorders>
              <w:top w:val="single" w:sz="8" w:color="0000FF"/>
              <w:bottom w:val="single" w:sz="8" w:color="0000FF"/>
            </w:tcBorders>
            <w:gridSpan w:val="19"/>
            <w:shd w:val="clear" w:color="auto" w:fill="CFF0FC"/>
          </w:tcPr>
          <w:p>
            <w:pPr>
              <w:spacing w:after="0" w:line="149" w:lineRule="exact"/>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Membership Interest Purchase Agreement, dated November 12, 2018, by and among the Seller Parties, GTI Core, LLC and Green Thumb Industries Inc.</w:t>
              </w:r>
            </w:hyperlink>
          </w:p>
        </w:tc>
        <w:tc>
          <w:tcPr>
            <w:tcW w:w="1060" w:type="dxa"/>
            <w:vAlign w:val="bottom"/>
            <w:tcBorders>
              <w:top w:val="single" w:sz="8" w:color="0000FF"/>
              <w:bottom w:val="single" w:sz="8" w:color="CFF0FC"/>
            </w:tcBorders>
            <w:gridSpan w:val="3"/>
            <w:shd w:val="clear" w:color="auto" w:fill="CFF0FC"/>
          </w:tcPr>
          <w:p>
            <w:pPr>
              <w:spacing w:after="0"/>
              <w:rPr>
                <w:sz w:val="13"/>
                <w:szCs w:val="13"/>
                <w:color w:val="auto"/>
              </w:rPr>
            </w:pPr>
          </w:p>
        </w:tc>
        <w:tc>
          <w:tcPr>
            <w:tcW w:w="560" w:type="dxa"/>
            <w:vAlign w:val="bottom"/>
            <w:tcBorders>
              <w:bottom w:val="single" w:sz="8" w:color="CFF0FC"/>
            </w:tcBorders>
            <w:gridSpan w:val="3"/>
            <w:shd w:val="clear" w:color="auto" w:fill="CFF0FC"/>
          </w:tcPr>
          <w:p>
            <w:pPr>
              <w:spacing w:after="0"/>
              <w:rPr>
                <w:sz w:val="13"/>
                <w:szCs w:val="13"/>
                <w:color w:val="auto"/>
              </w:rPr>
            </w:pPr>
          </w:p>
        </w:tc>
      </w:tr>
      <w:tr>
        <w:trPr>
          <w:trHeight w:val="156"/>
        </w:trPr>
        <w:tc>
          <w:tcPr>
            <w:tcW w:w="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9640" w:type="dxa"/>
            <w:vAlign w:val="bottom"/>
            <w:tcBorders>
              <w:bottom w:val="single" w:sz="8" w:color="0000FF"/>
            </w:tcBorders>
            <w:gridSpan w:val="21"/>
          </w:tcPr>
          <w:p>
            <w:pPr>
              <w:spacing w:after="0" w:line="149" w:lineRule="exact"/>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Amendment No. 1 to Membership Interest Purchase Agreement, dated June 5, 2019, by and among the Seller Parties, GTI Core, LLC and Green Thumb Industries Inc.</w:t>
              </w:r>
            </w:hyperlink>
          </w:p>
        </w:tc>
        <w:tc>
          <w:tcPr>
            <w:tcW w:w="780" w:type="dxa"/>
            <w:vAlign w:val="bottom"/>
            <w:gridSpan w:val="4"/>
          </w:tcPr>
          <w:p>
            <w:pPr>
              <w:spacing w:after="0"/>
              <w:rPr>
                <w:sz w:val="13"/>
                <w:szCs w:val="13"/>
                <w:color w:val="auto"/>
              </w:rPr>
            </w:pPr>
          </w:p>
        </w:tc>
      </w:tr>
      <w:tr>
        <w:trPr>
          <w:trHeight w:val="156"/>
        </w:trPr>
        <w:tc>
          <w:tcPr>
            <w:tcW w:w="82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10160" w:type="dxa"/>
            <w:vAlign w:val="bottom"/>
            <w:tcBorders>
              <w:bottom w:val="single" w:sz="8" w:color="0000FF"/>
            </w:tcBorders>
            <w:gridSpan w:val="24"/>
            <w:shd w:val="clear" w:color="auto" w:fill="CFF0FC"/>
          </w:tcPr>
          <w:p>
            <w:pPr>
              <w:spacing w:after="0" w:line="149" w:lineRule="exact"/>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Agreement and Plan of Merger and Reorganization, dated January 4, 2019, by and among Green Thumb Industries Inc., GTI Merger Sub, LLC and Advanced Grow Labs, LLC.</w:t>
              </w:r>
            </w:hyperlink>
          </w:p>
        </w:tc>
        <w:tc>
          <w:tcPr>
            <w:tcW w:w="260" w:type="dxa"/>
            <w:vAlign w:val="bottom"/>
            <w:tcBorders>
              <w:bottom w:val="single" w:sz="8" w:color="CFF0FC"/>
            </w:tcBorders>
            <w:shd w:val="clear" w:color="auto" w:fill="CFF0FC"/>
          </w:tcPr>
          <w:p>
            <w:pPr>
              <w:spacing w:after="0"/>
              <w:rPr>
                <w:sz w:val="13"/>
                <w:szCs w:val="13"/>
                <w:color w:val="auto"/>
              </w:rPr>
            </w:pPr>
          </w:p>
        </w:tc>
      </w:tr>
      <w:tr>
        <w:trPr>
          <w:trHeight w:val="148"/>
        </w:trPr>
        <w:tc>
          <w:tcPr>
            <w:tcW w:w="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10420" w:type="dxa"/>
            <w:vAlign w:val="bottom"/>
            <w:gridSpan w:val="25"/>
          </w:tcPr>
          <w:p>
            <w:pPr>
              <w:spacing w:after="0" w:line="149" w:lineRule="exact"/>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First Amendment to the Agreement and Plan of Merger and Reorganization, dated February 11, 2019, by and among Green Thumb Industries Inc., GTI Merger Sub, LLC and</w:t>
              </w:r>
            </w:hyperlink>
          </w:p>
        </w:tc>
      </w:tr>
      <w:tr>
        <w:trPr>
          <w:trHeight w:val="135"/>
        </w:trPr>
        <w:tc>
          <w:tcPr>
            <w:tcW w:w="820" w:type="dxa"/>
            <w:vAlign w:val="bottom"/>
          </w:tcPr>
          <w:p>
            <w:pPr>
              <w:spacing w:after="0"/>
              <w:rPr>
                <w:sz w:val="11"/>
                <w:szCs w:val="11"/>
                <w:color w:val="auto"/>
              </w:rPr>
            </w:pPr>
          </w:p>
        </w:tc>
        <w:tc>
          <w:tcPr>
            <w:tcW w:w="1640" w:type="dxa"/>
            <w:vAlign w:val="bottom"/>
            <w:tcBorders>
              <w:top w:val="single" w:sz="8" w:color="0000FF"/>
              <w:bottom w:val="single" w:sz="8" w:color="0000FF"/>
            </w:tcBorders>
            <w:gridSpan w:val="2"/>
          </w:tcPr>
          <w:p>
            <w:pPr>
              <w:spacing w:after="0" w:line="129" w:lineRule="exact"/>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Advanced Grow Labs, LLC.</w:t>
              </w:r>
            </w:hyperlink>
          </w:p>
        </w:tc>
        <w:tc>
          <w:tcPr>
            <w:tcW w:w="8420" w:type="dxa"/>
            <w:vAlign w:val="bottom"/>
            <w:tcBorders>
              <w:top w:val="single" w:sz="8" w:color="0000FF"/>
            </w:tcBorders>
            <w:gridSpan w:val="21"/>
          </w:tcPr>
          <w:p>
            <w:pPr>
              <w:spacing w:after="0"/>
              <w:rPr>
                <w:sz w:val="11"/>
                <w:szCs w:val="11"/>
                <w:color w:val="auto"/>
              </w:rPr>
            </w:pPr>
          </w:p>
        </w:tc>
        <w:tc>
          <w:tcPr>
            <w:tcW w:w="360" w:type="dxa"/>
            <w:vAlign w:val="bottom"/>
            <w:gridSpan w:val="2"/>
          </w:tcPr>
          <w:p>
            <w:pPr>
              <w:spacing w:after="0"/>
              <w:rPr>
                <w:sz w:val="11"/>
                <w:szCs w:val="11"/>
                <w:color w:val="auto"/>
              </w:rPr>
            </w:pPr>
          </w:p>
        </w:tc>
      </w:tr>
      <w:tr>
        <w:trPr>
          <w:trHeight w:val="156"/>
        </w:trPr>
        <w:tc>
          <w:tcPr>
            <w:tcW w:w="82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7720" w:type="dxa"/>
            <w:vAlign w:val="bottom"/>
            <w:tcBorders>
              <w:bottom w:val="single" w:sz="8" w:color="0000FF"/>
              <w:right w:val="single" w:sz="8" w:color="CFF0FC"/>
            </w:tcBorders>
            <w:gridSpan w:val="18"/>
            <w:shd w:val="clear" w:color="auto" w:fill="CFF0FC"/>
          </w:tcPr>
          <w:p>
            <w:pPr>
              <w:spacing w:after="0" w:line="149" w:lineRule="exact"/>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Second Amendment to the Note Purchase Agreement, dated April 30, 2021, by and among the Issuers, the Purchasers and the Agents.</w:t>
              </w:r>
            </w:hyperlink>
          </w:p>
        </w:tc>
        <w:tc>
          <w:tcPr>
            <w:tcW w:w="2700" w:type="dxa"/>
            <w:vAlign w:val="bottom"/>
            <w:tcBorders>
              <w:bottom w:val="single" w:sz="8" w:color="CFF0FC"/>
            </w:tcBorders>
            <w:gridSpan w:val="7"/>
            <w:shd w:val="clear" w:color="auto" w:fill="CFF0FC"/>
          </w:tcPr>
          <w:p>
            <w:pPr>
              <w:spacing w:after="0"/>
              <w:rPr>
                <w:sz w:val="13"/>
                <w:szCs w:val="13"/>
                <w:color w:val="auto"/>
              </w:rPr>
            </w:pPr>
          </w:p>
        </w:tc>
      </w:tr>
      <w:tr>
        <w:trPr>
          <w:trHeight w:val="148"/>
        </w:trPr>
        <w:tc>
          <w:tcPr>
            <w:tcW w:w="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10420" w:type="dxa"/>
            <w:vAlign w:val="bottom"/>
            <w:gridSpan w:val="25"/>
          </w:tcPr>
          <w:p>
            <w:pPr>
              <w:spacing w:after="0" w:line="149" w:lineRule="exact"/>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Green Thumb Industries Inc. 2018 Stock and Incentive Plan, dated June 11, 2018.</w:t>
              </w:r>
            </w:hyperlink>
          </w:p>
        </w:tc>
      </w:tr>
      <w:tr>
        <w:trPr>
          <w:trHeight w:val="27"/>
        </w:trPr>
        <w:tc>
          <w:tcPr>
            <w:tcW w:w="820" w:type="dxa"/>
            <w:vAlign w:val="bottom"/>
          </w:tcPr>
          <w:p>
            <w:pPr>
              <w:spacing w:after="0"/>
              <w:rPr>
                <w:sz w:val="2"/>
                <w:szCs w:val="2"/>
                <w:color w:val="auto"/>
              </w:rPr>
            </w:pPr>
          </w:p>
        </w:tc>
        <w:tc>
          <w:tcPr>
            <w:tcW w:w="16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155"/>
        </w:trPr>
        <w:tc>
          <w:tcPr>
            <w:tcW w:w="8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10420" w:type="dxa"/>
            <w:vAlign w:val="bottom"/>
            <w:gridSpan w:val="25"/>
            <w:shd w:val="clear" w:color="auto" w:fill="CFF0FC"/>
          </w:tcPr>
          <w:p>
            <w:pPr>
              <w:spacing w:after="0" w:line="149" w:lineRule="exact"/>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Amendment No. 1 to the Green Thumb Industries Inc. 2018 Stock and Incentive Plan, dated August 30, 2019.</w:t>
              </w:r>
            </w:hyperlink>
          </w:p>
        </w:tc>
      </w:tr>
      <w:tr>
        <w:trPr>
          <w:trHeight w:val="156"/>
        </w:trPr>
        <w:tc>
          <w:tcPr>
            <w:tcW w:w="820" w:type="dxa"/>
            <w:vAlign w:val="bottom"/>
            <w:tcBorders>
              <w:top w:val="single" w:sz="8" w:color="CFF0FC"/>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10.10</w:t>
            </w:r>
          </w:p>
        </w:tc>
        <w:tc>
          <w:tcPr>
            <w:tcW w:w="1880" w:type="dxa"/>
            <w:vAlign w:val="bottom"/>
            <w:tcBorders>
              <w:top w:val="single" w:sz="8" w:color="0000FF"/>
              <w:bottom w:val="single" w:sz="8" w:color="0000FF"/>
            </w:tcBorders>
            <w:gridSpan w:val="3"/>
          </w:tcPr>
          <w:p>
            <w:pPr>
              <w:spacing w:after="0" w:line="149" w:lineRule="exact"/>
              <w:rPr>
                <w:sz w:val="20"/>
                <w:szCs w:val="20"/>
                <w:color w:val="auto"/>
              </w:rPr>
            </w:pPr>
            <w:r>
              <w:rPr>
                <w:rFonts w:ascii="Times New Roman" w:cs="Times New Roman" w:eastAsia="Times New Roman" w:hAnsi="Times New Roman"/>
                <w:sz w:val="14"/>
                <w:szCs w:val="14"/>
                <w:color w:val="0000FF"/>
              </w:rPr>
              <w:t>Form of Notice of Option Grant.</w:t>
            </w:r>
          </w:p>
        </w:tc>
        <w:tc>
          <w:tcPr>
            <w:tcW w:w="4440" w:type="dxa"/>
            <w:vAlign w:val="bottom"/>
            <w:tcBorders>
              <w:top w:val="single" w:sz="8" w:color="0000FF"/>
            </w:tcBorders>
            <w:gridSpan w:val="14"/>
          </w:tcPr>
          <w:p>
            <w:pPr>
              <w:spacing w:after="0"/>
              <w:rPr>
                <w:sz w:val="13"/>
                <w:szCs w:val="13"/>
                <w:color w:val="auto"/>
              </w:rPr>
            </w:pPr>
          </w:p>
        </w:tc>
        <w:tc>
          <w:tcPr>
            <w:tcW w:w="4100" w:type="dxa"/>
            <w:vAlign w:val="bottom"/>
            <w:tcBorders>
              <w:top w:val="single" w:sz="8" w:color="CFF0FC"/>
            </w:tcBorders>
            <w:gridSpan w:val="8"/>
          </w:tcPr>
          <w:p>
            <w:pPr>
              <w:spacing w:after="0"/>
              <w:rPr>
                <w:sz w:val="13"/>
                <w:szCs w:val="13"/>
                <w:color w:val="auto"/>
              </w:rPr>
            </w:pPr>
          </w:p>
        </w:tc>
      </w:tr>
      <w:tr>
        <w:trPr>
          <w:trHeight w:val="155"/>
        </w:trPr>
        <w:tc>
          <w:tcPr>
            <w:tcW w:w="82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10.11</w:t>
            </w:r>
          </w:p>
        </w:tc>
        <w:tc>
          <w:tcPr>
            <w:tcW w:w="1620" w:type="dxa"/>
            <w:vAlign w:val="bottom"/>
            <w:tcBorders>
              <w:bottom w:val="single" w:sz="8" w:color="0000FF"/>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0000FF"/>
              </w:rPr>
              <w:t>Form of Option Agreement.</w:t>
            </w:r>
          </w:p>
        </w:tc>
        <w:tc>
          <w:tcPr>
            <w:tcW w:w="8800" w:type="dxa"/>
            <w:vAlign w:val="bottom"/>
            <w:tcBorders>
              <w:bottom w:val="single" w:sz="8" w:color="CFF0FC"/>
            </w:tcBorders>
            <w:gridSpan w:val="24"/>
            <w:shd w:val="clear" w:color="auto" w:fill="CFF0FC"/>
          </w:tcPr>
          <w:p>
            <w:pPr>
              <w:spacing w:after="0"/>
              <w:rPr>
                <w:sz w:val="13"/>
                <w:szCs w:val="13"/>
                <w:color w:val="auto"/>
              </w:rPr>
            </w:pPr>
          </w:p>
        </w:tc>
      </w:tr>
      <w:tr>
        <w:trPr>
          <w:trHeight w:val="156"/>
        </w:trPr>
        <w:tc>
          <w:tcPr>
            <w:tcW w:w="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10.12</w:t>
            </w:r>
          </w:p>
        </w:tc>
        <w:tc>
          <w:tcPr>
            <w:tcW w:w="2680" w:type="dxa"/>
            <w:vAlign w:val="bottom"/>
            <w:tcBorders>
              <w:bottom w:val="single" w:sz="8" w:color="0000FF"/>
            </w:tcBorders>
            <w:gridSpan w:val="6"/>
          </w:tcPr>
          <w:p>
            <w:pPr>
              <w:spacing w:after="0" w:line="149" w:lineRule="exact"/>
              <w:rPr>
                <w:sz w:val="20"/>
                <w:szCs w:val="20"/>
                <w:color w:val="auto"/>
              </w:rPr>
            </w:pPr>
            <w:r>
              <w:rPr>
                <w:rFonts w:ascii="Times New Roman" w:cs="Times New Roman" w:eastAsia="Times New Roman" w:hAnsi="Times New Roman"/>
                <w:sz w:val="14"/>
                <w:szCs w:val="14"/>
                <w:color w:val="0000FF"/>
              </w:rPr>
              <w:t>Form of Notice of RSU Grant and Agreement.</w:t>
            </w:r>
          </w:p>
        </w:tc>
        <w:tc>
          <w:tcPr>
            <w:tcW w:w="7740" w:type="dxa"/>
            <w:vAlign w:val="bottom"/>
            <w:gridSpan w:val="19"/>
          </w:tcPr>
          <w:p>
            <w:pPr>
              <w:spacing w:after="0"/>
              <w:rPr>
                <w:sz w:val="13"/>
                <w:szCs w:val="13"/>
                <w:color w:val="auto"/>
              </w:rPr>
            </w:pPr>
          </w:p>
        </w:tc>
      </w:tr>
      <w:tr>
        <w:trPr>
          <w:trHeight w:val="155"/>
        </w:trPr>
        <w:tc>
          <w:tcPr>
            <w:tcW w:w="82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10.13+</w:t>
            </w:r>
          </w:p>
        </w:tc>
        <w:tc>
          <w:tcPr>
            <w:tcW w:w="2140" w:type="dxa"/>
            <w:vAlign w:val="bottom"/>
            <w:tcBorders>
              <w:bottom w:val="single" w:sz="8" w:color="0000FF"/>
            </w:tcBorders>
            <w:gridSpan w:val="5"/>
            <w:shd w:val="clear" w:color="auto" w:fill="CFF0FC"/>
          </w:tcPr>
          <w:p>
            <w:pPr>
              <w:spacing w:after="0" w:line="149" w:lineRule="exact"/>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Form of Indemnification Agreement.</w:t>
              </w:r>
            </w:hyperlink>
          </w:p>
        </w:tc>
        <w:tc>
          <w:tcPr>
            <w:tcW w:w="8280" w:type="dxa"/>
            <w:vAlign w:val="bottom"/>
            <w:tcBorders>
              <w:bottom w:val="single" w:sz="8" w:color="CFF0FC"/>
            </w:tcBorders>
            <w:gridSpan w:val="20"/>
            <w:shd w:val="clear" w:color="auto" w:fill="CFF0FC"/>
          </w:tcPr>
          <w:p>
            <w:pPr>
              <w:spacing w:after="0"/>
              <w:rPr>
                <w:sz w:val="13"/>
                <w:szCs w:val="13"/>
                <w:color w:val="auto"/>
              </w:rPr>
            </w:pPr>
          </w:p>
        </w:tc>
      </w:tr>
      <w:tr>
        <w:trPr>
          <w:trHeight w:val="149"/>
        </w:trPr>
        <w:tc>
          <w:tcPr>
            <w:tcW w:w="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10.14</w:t>
            </w:r>
          </w:p>
        </w:tc>
        <w:tc>
          <w:tcPr>
            <w:tcW w:w="10420" w:type="dxa"/>
            <w:vAlign w:val="bottom"/>
            <w:gridSpan w:val="25"/>
          </w:tcPr>
          <w:p>
            <w:pPr>
              <w:spacing w:after="0" w:line="149" w:lineRule="exact"/>
              <w:rPr>
                <w:sz w:val="20"/>
                <w:szCs w:val="20"/>
                <w:color w:val="auto"/>
              </w:rPr>
            </w:pPr>
            <w:r>
              <w:rPr>
                <w:rFonts w:ascii="Times New Roman" w:cs="Times New Roman" w:eastAsia="Times New Roman" w:hAnsi="Times New Roman"/>
                <w:sz w:val="14"/>
                <w:szCs w:val="14"/>
                <w:color w:val="0000FF"/>
              </w:rPr>
              <w:t>Form of Annual Bonus Plan</w:t>
            </w:r>
          </w:p>
        </w:tc>
      </w:tr>
      <w:tr>
        <w:trPr>
          <w:trHeight w:val="27"/>
        </w:trPr>
        <w:tc>
          <w:tcPr>
            <w:tcW w:w="820" w:type="dxa"/>
            <w:vAlign w:val="bottom"/>
          </w:tcPr>
          <w:p>
            <w:pPr>
              <w:spacing w:after="0"/>
              <w:rPr>
                <w:sz w:val="2"/>
                <w:szCs w:val="2"/>
                <w:color w:val="auto"/>
              </w:rPr>
            </w:pPr>
          </w:p>
        </w:tc>
        <w:tc>
          <w:tcPr>
            <w:tcW w:w="162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156"/>
        </w:trPr>
        <w:tc>
          <w:tcPr>
            <w:tcW w:w="82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10.15</w:t>
            </w:r>
          </w:p>
        </w:tc>
        <w:tc>
          <w:tcPr>
            <w:tcW w:w="8840" w:type="dxa"/>
            <w:vAlign w:val="bottom"/>
            <w:tcBorders>
              <w:bottom w:val="single" w:sz="8" w:color="0000FF"/>
            </w:tcBorders>
            <w:gridSpan w:val="20"/>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0000FF"/>
              </w:rPr>
              <w:t>Form of Executive Confidentiality, Non-Compete, Non-Solicitation, Non-Disparagement and Invention Assignment Agreement (Kovler and Georgiadis).</w:t>
            </w:r>
          </w:p>
        </w:tc>
        <w:tc>
          <w:tcPr>
            <w:tcW w:w="1580" w:type="dxa"/>
            <w:vAlign w:val="bottom"/>
            <w:tcBorders>
              <w:bottom w:val="single" w:sz="8" w:color="CFF0FC"/>
            </w:tcBorders>
            <w:gridSpan w:val="5"/>
            <w:shd w:val="clear" w:color="auto" w:fill="CFF0FC"/>
          </w:tcPr>
          <w:p>
            <w:pPr>
              <w:spacing w:after="0"/>
              <w:rPr>
                <w:sz w:val="13"/>
                <w:szCs w:val="13"/>
                <w:color w:val="auto"/>
              </w:rPr>
            </w:pPr>
          </w:p>
        </w:tc>
      </w:tr>
      <w:tr>
        <w:trPr>
          <w:trHeight w:val="155"/>
        </w:trPr>
        <w:tc>
          <w:tcPr>
            <w:tcW w:w="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10.16</w:t>
            </w:r>
          </w:p>
        </w:tc>
        <w:tc>
          <w:tcPr>
            <w:tcW w:w="5520" w:type="dxa"/>
            <w:vAlign w:val="bottom"/>
            <w:tcBorders>
              <w:bottom w:val="single" w:sz="8" w:color="0000FF"/>
            </w:tcBorders>
            <w:gridSpan w:val="13"/>
          </w:tcPr>
          <w:p>
            <w:pPr>
              <w:spacing w:after="0" w:line="149" w:lineRule="exact"/>
              <w:rPr>
                <w:sz w:val="20"/>
                <w:szCs w:val="20"/>
                <w:color w:val="auto"/>
              </w:rPr>
            </w:pPr>
            <w:r>
              <w:rPr>
                <w:rFonts w:ascii="Times New Roman" w:cs="Times New Roman" w:eastAsia="Times New Roman" w:hAnsi="Times New Roman"/>
                <w:sz w:val="14"/>
                <w:szCs w:val="14"/>
                <w:color w:val="0000FF"/>
              </w:rPr>
              <w:t>Kravitz Confidentiality, Non-Compete, Non-Solicitation and Invention Assignment Agreement.</w:t>
            </w:r>
          </w:p>
        </w:tc>
        <w:tc>
          <w:tcPr>
            <w:tcW w:w="4900" w:type="dxa"/>
            <w:vAlign w:val="bottom"/>
            <w:gridSpan w:val="12"/>
          </w:tcPr>
          <w:p>
            <w:pPr>
              <w:spacing w:after="0"/>
              <w:rPr>
                <w:sz w:val="13"/>
                <w:szCs w:val="13"/>
                <w:color w:val="auto"/>
              </w:rPr>
            </w:pPr>
          </w:p>
        </w:tc>
      </w:tr>
      <w:tr>
        <w:trPr>
          <w:trHeight w:val="156"/>
        </w:trPr>
        <w:tc>
          <w:tcPr>
            <w:tcW w:w="8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10.17</w:t>
            </w:r>
          </w:p>
        </w:tc>
        <w:tc>
          <w:tcPr>
            <w:tcW w:w="10420" w:type="dxa"/>
            <w:vAlign w:val="bottom"/>
            <w:gridSpan w:val="25"/>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0000FF"/>
              </w:rPr>
              <w:t>Faulkner Executive Confidentiality, Non-Compete, Non-Solicitation and Invention Assignment Agreement.</w:t>
            </w:r>
          </w:p>
        </w:tc>
      </w:tr>
      <w:tr>
        <w:trPr>
          <w:trHeight w:val="148"/>
        </w:trPr>
        <w:tc>
          <w:tcPr>
            <w:tcW w:w="820" w:type="dxa"/>
            <w:vAlign w:val="bottom"/>
            <w:tcBorders>
              <w:top w:val="single" w:sz="8" w:color="CFF0FC"/>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16.1</w:t>
            </w:r>
          </w:p>
        </w:tc>
        <w:tc>
          <w:tcPr>
            <w:tcW w:w="6200" w:type="dxa"/>
            <w:vAlign w:val="bottom"/>
            <w:tcBorders>
              <w:top w:val="single" w:sz="8" w:color="0000FF"/>
            </w:tcBorders>
            <w:gridSpan w:val="16"/>
          </w:tcPr>
          <w:p>
            <w:pPr>
              <w:spacing w:after="0" w:line="149" w:lineRule="exact"/>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MGO Letter, dated May 13, 2021.</w:t>
              </w:r>
            </w:hyperlink>
          </w:p>
        </w:tc>
        <w:tc>
          <w:tcPr>
            <w:tcW w:w="4220" w:type="dxa"/>
            <w:vAlign w:val="bottom"/>
            <w:tcBorders>
              <w:top w:val="single" w:sz="8" w:color="CFF0FC"/>
            </w:tcBorders>
            <w:gridSpan w:val="9"/>
          </w:tcPr>
          <w:p>
            <w:pPr>
              <w:spacing w:after="0"/>
              <w:rPr>
                <w:sz w:val="12"/>
                <w:szCs w:val="12"/>
                <w:color w:val="auto"/>
              </w:rPr>
            </w:pPr>
          </w:p>
        </w:tc>
      </w:tr>
      <w:tr>
        <w:trPr>
          <w:trHeight w:val="27"/>
        </w:trPr>
        <w:tc>
          <w:tcPr>
            <w:tcW w:w="820" w:type="dxa"/>
            <w:vAlign w:val="bottom"/>
          </w:tcPr>
          <w:p>
            <w:pPr>
              <w:spacing w:after="0"/>
              <w:rPr>
                <w:sz w:val="2"/>
                <w:szCs w:val="2"/>
                <w:color w:val="auto"/>
              </w:rPr>
            </w:pPr>
          </w:p>
        </w:tc>
        <w:tc>
          <w:tcPr>
            <w:tcW w:w="16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156"/>
        </w:trPr>
        <w:tc>
          <w:tcPr>
            <w:tcW w:w="82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21.1</w:t>
            </w:r>
          </w:p>
        </w:tc>
        <w:tc>
          <w:tcPr>
            <w:tcW w:w="2980" w:type="dxa"/>
            <w:vAlign w:val="bottom"/>
            <w:tcBorders>
              <w:bottom w:val="single" w:sz="8" w:color="0000FF"/>
            </w:tcBorders>
            <w:gridSpan w:val="7"/>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0000FF"/>
              </w:rPr>
              <w:t>List of Subsidiaries of Green Thumb Industries Inc.</w:t>
            </w:r>
          </w:p>
        </w:tc>
        <w:tc>
          <w:tcPr>
            <w:tcW w:w="7440" w:type="dxa"/>
            <w:vAlign w:val="bottom"/>
            <w:tcBorders>
              <w:bottom w:val="single" w:sz="8" w:color="CFF0FC"/>
            </w:tcBorders>
            <w:gridSpan w:val="18"/>
            <w:shd w:val="clear" w:color="auto" w:fill="CFF0FC"/>
          </w:tcPr>
          <w:p>
            <w:pPr>
              <w:spacing w:after="0"/>
              <w:rPr>
                <w:sz w:val="13"/>
                <w:szCs w:val="13"/>
                <w:color w:val="auto"/>
              </w:rPr>
            </w:pPr>
          </w:p>
        </w:tc>
      </w:tr>
      <w:tr>
        <w:trPr>
          <w:trHeight w:val="156"/>
        </w:trPr>
        <w:tc>
          <w:tcPr>
            <w:tcW w:w="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23.1</w:t>
            </w:r>
          </w:p>
        </w:tc>
        <w:tc>
          <w:tcPr>
            <w:tcW w:w="4280" w:type="dxa"/>
            <w:vAlign w:val="bottom"/>
            <w:tcBorders>
              <w:bottom w:val="single" w:sz="8" w:color="0000FF"/>
            </w:tcBorders>
            <w:gridSpan w:val="10"/>
          </w:tcPr>
          <w:p>
            <w:pPr>
              <w:spacing w:after="0" w:line="149" w:lineRule="exact"/>
              <w:rPr>
                <w:sz w:val="20"/>
                <w:szCs w:val="20"/>
                <w:color w:val="auto"/>
              </w:rPr>
            </w:pPr>
            <w:r>
              <w:rPr>
                <w:rFonts w:ascii="Times New Roman" w:cs="Times New Roman" w:eastAsia="Times New Roman" w:hAnsi="Times New Roman"/>
                <w:sz w:val="14"/>
                <w:szCs w:val="14"/>
                <w:color w:val="0000FF"/>
              </w:rPr>
              <w:t>Consent of Independent Registered Public Accounting Firm (Baker Tilly).</w:t>
            </w:r>
          </w:p>
        </w:tc>
        <w:tc>
          <w:tcPr>
            <w:tcW w:w="6140" w:type="dxa"/>
            <w:vAlign w:val="bottom"/>
            <w:gridSpan w:val="15"/>
          </w:tcPr>
          <w:p>
            <w:pPr>
              <w:spacing w:after="0"/>
              <w:rPr>
                <w:sz w:val="13"/>
                <w:szCs w:val="13"/>
                <w:color w:val="auto"/>
              </w:rPr>
            </w:pPr>
          </w:p>
        </w:tc>
      </w:tr>
      <w:tr>
        <w:trPr>
          <w:trHeight w:val="155"/>
        </w:trPr>
        <w:tc>
          <w:tcPr>
            <w:tcW w:w="82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23.2</w:t>
            </w:r>
          </w:p>
        </w:tc>
        <w:tc>
          <w:tcPr>
            <w:tcW w:w="3960" w:type="dxa"/>
            <w:vAlign w:val="bottom"/>
            <w:tcBorders>
              <w:bottom w:val="single" w:sz="8" w:color="0000FF"/>
            </w:tcBorders>
            <w:gridSpan w:val="9"/>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0000FF"/>
              </w:rPr>
              <w:t>Consent of Independent Registered Public Accounting Firm (MGO).</w:t>
            </w:r>
          </w:p>
        </w:tc>
        <w:tc>
          <w:tcPr>
            <w:tcW w:w="6460" w:type="dxa"/>
            <w:vAlign w:val="bottom"/>
            <w:tcBorders>
              <w:bottom w:val="single" w:sz="8" w:color="CFF0FC"/>
            </w:tcBorders>
            <w:gridSpan w:val="16"/>
            <w:shd w:val="clear" w:color="auto" w:fill="CFF0FC"/>
          </w:tcPr>
          <w:p>
            <w:pPr>
              <w:spacing w:after="0"/>
              <w:rPr>
                <w:sz w:val="13"/>
                <w:szCs w:val="13"/>
                <w:color w:val="auto"/>
              </w:rPr>
            </w:pPr>
          </w:p>
        </w:tc>
      </w:tr>
      <w:tr>
        <w:trPr>
          <w:trHeight w:val="156"/>
        </w:trPr>
        <w:tc>
          <w:tcPr>
            <w:tcW w:w="8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31.1</w:t>
            </w:r>
          </w:p>
        </w:tc>
        <w:tc>
          <w:tcPr>
            <w:tcW w:w="10420" w:type="dxa"/>
            <w:vAlign w:val="bottom"/>
            <w:gridSpan w:val="25"/>
          </w:tcPr>
          <w:p>
            <w:pPr>
              <w:spacing w:after="0" w:line="149" w:lineRule="exact"/>
              <w:rPr>
                <w:sz w:val="20"/>
                <w:szCs w:val="20"/>
                <w:color w:val="auto"/>
              </w:rPr>
            </w:pPr>
            <w:r>
              <w:rPr>
                <w:rFonts w:ascii="Times New Roman" w:cs="Times New Roman" w:eastAsia="Times New Roman" w:hAnsi="Times New Roman"/>
                <w:sz w:val="14"/>
                <w:szCs w:val="14"/>
                <w:color w:val="0000FF"/>
              </w:rPr>
              <w:t>Certification of Chief Executive Officer required by Rule 13a-14(a) of the Exchange Act.</w:t>
            </w:r>
          </w:p>
        </w:tc>
      </w:tr>
      <w:tr>
        <w:trPr>
          <w:trHeight w:val="148"/>
        </w:trPr>
        <w:tc>
          <w:tcPr>
            <w:tcW w:w="8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31.2</w:t>
            </w:r>
          </w:p>
        </w:tc>
        <w:tc>
          <w:tcPr>
            <w:tcW w:w="5140" w:type="dxa"/>
            <w:vAlign w:val="bottom"/>
            <w:tcBorders>
              <w:top w:val="single" w:sz="8" w:color="0000FF"/>
              <w:right w:val="single" w:sz="8" w:color="CFF0FC"/>
            </w:tcBorders>
            <w:gridSpan w:val="1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0000FF"/>
              </w:rPr>
              <w:t>Certification of Chief Financial Officer required by Rule 13a-14(a) of the Exchange Act.</w:t>
            </w:r>
          </w:p>
        </w:tc>
        <w:tc>
          <w:tcPr>
            <w:tcW w:w="5280" w:type="dxa"/>
            <w:vAlign w:val="bottom"/>
            <w:gridSpan w:val="13"/>
            <w:shd w:val="clear" w:color="auto" w:fill="CFF0FC"/>
          </w:tcPr>
          <w:p>
            <w:pPr>
              <w:spacing w:after="0"/>
              <w:rPr>
                <w:sz w:val="12"/>
                <w:szCs w:val="12"/>
                <w:color w:val="auto"/>
              </w:rPr>
            </w:pPr>
          </w:p>
        </w:tc>
      </w:tr>
      <w:tr>
        <w:trPr>
          <w:trHeight w:val="27"/>
        </w:trPr>
        <w:tc>
          <w:tcPr>
            <w:tcW w:w="820" w:type="dxa"/>
            <w:vAlign w:val="bottom"/>
            <w:shd w:val="clear" w:color="auto" w:fill="CFF0FC"/>
          </w:tcPr>
          <w:p>
            <w:pPr>
              <w:spacing w:after="0"/>
              <w:rPr>
                <w:sz w:val="2"/>
                <w:szCs w:val="2"/>
                <w:color w:val="auto"/>
              </w:rPr>
            </w:pPr>
          </w:p>
        </w:tc>
        <w:tc>
          <w:tcPr>
            <w:tcW w:w="16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440" w:type="dxa"/>
            <w:vAlign w:val="bottom"/>
            <w:tcBorders>
              <w:right w:val="single" w:sz="8" w:color="CFF0FC"/>
            </w:tcBorders>
            <w:shd w:val="clear" w:color="auto" w:fill="0000FF"/>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58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00" w:type="dxa"/>
            <w:vAlign w:val="bottom"/>
            <w:tcBorders>
              <w:right w:val="single" w:sz="8" w:color="CFF0FC"/>
            </w:tcBorders>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80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r>
      <w:tr>
        <w:trPr>
          <w:trHeight w:val="156"/>
        </w:trPr>
        <w:tc>
          <w:tcPr>
            <w:tcW w:w="8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32.1</w:t>
            </w:r>
          </w:p>
        </w:tc>
        <w:tc>
          <w:tcPr>
            <w:tcW w:w="10420" w:type="dxa"/>
            <w:vAlign w:val="bottom"/>
            <w:gridSpan w:val="25"/>
          </w:tcPr>
          <w:p>
            <w:pPr>
              <w:spacing w:after="0" w:line="149" w:lineRule="exact"/>
              <w:rPr>
                <w:sz w:val="20"/>
                <w:szCs w:val="20"/>
                <w:color w:val="auto"/>
              </w:rPr>
            </w:pPr>
            <w:r>
              <w:rPr>
                <w:rFonts w:ascii="Times New Roman" w:cs="Times New Roman" w:eastAsia="Times New Roman" w:hAnsi="Times New Roman"/>
                <w:sz w:val="14"/>
                <w:szCs w:val="14"/>
                <w:color w:val="0000FF"/>
              </w:rPr>
              <w:t>Certification of Chief Executive Officer pursuant to Section 1350 of Chapter 63 of the United States Code.</w:t>
            </w:r>
          </w:p>
        </w:tc>
      </w:tr>
      <w:tr>
        <w:trPr>
          <w:trHeight w:val="155"/>
        </w:trPr>
        <w:tc>
          <w:tcPr>
            <w:tcW w:w="8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32.2</w:t>
            </w:r>
          </w:p>
        </w:tc>
        <w:tc>
          <w:tcPr>
            <w:tcW w:w="6140" w:type="dxa"/>
            <w:vAlign w:val="bottom"/>
            <w:tcBorders>
              <w:top w:val="single" w:sz="8" w:color="0000FF"/>
            </w:tcBorders>
            <w:gridSpan w:val="15"/>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0000FF"/>
              </w:rPr>
              <w:t>Certification of Chief Financial Officer pursuant to Section 1350 of Chapter 63 of the United States Code.</w:t>
            </w:r>
          </w:p>
        </w:tc>
        <w:tc>
          <w:tcPr>
            <w:tcW w:w="4280" w:type="dxa"/>
            <w:vAlign w:val="bottom"/>
            <w:gridSpan w:val="10"/>
            <w:shd w:val="clear" w:color="auto" w:fill="CFF0FC"/>
          </w:tcPr>
          <w:p>
            <w:pPr>
              <w:spacing w:after="0"/>
              <w:rPr>
                <w:sz w:val="13"/>
                <w:szCs w:val="13"/>
                <w:color w:val="auto"/>
              </w:rPr>
            </w:pPr>
          </w:p>
        </w:tc>
      </w:tr>
      <w:tr>
        <w:trPr>
          <w:trHeight w:val="176"/>
        </w:trPr>
        <w:tc>
          <w:tcPr>
            <w:tcW w:w="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101.INS</w:t>
            </w:r>
          </w:p>
        </w:tc>
        <w:tc>
          <w:tcPr>
            <w:tcW w:w="610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auto"/>
              </w:rPr>
              <w:t>Inline XBRL Instance Document</w:t>
            </w:r>
          </w:p>
        </w:tc>
        <w:tc>
          <w:tcPr>
            <w:tcW w:w="4320" w:type="dxa"/>
            <w:vAlign w:val="bottom"/>
            <w:tcBorders>
              <w:top w:val="single" w:sz="8" w:color="CFF0FC"/>
            </w:tcBorders>
            <w:gridSpan w:val="11"/>
          </w:tcPr>
          <w:p>
            <w:pPr>
              <w:spacing w:after="0"/>
              <w:rPr>
                <w:sz w:val="15"/>
                <w:szCs w:val="15"/>
                <w:color w:val="auto"/>
              </w:rPr>
            </w:pPr>
          </w:p>
        </w:tc>
      </w:tr>
      <w:tr>
        <w:trPr>
          <w:trHeight w:val="176"/>
        </w:trPr>
        <w:tc>
          <w:tcPr>
            <w:tcW w:w="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101.SCH</w:t>
            </w:r>
          </w:p>
        </w:tc>
        <w:tc>
          <w:tcPr>
            <w:tcW w:w="10420" w:type="dxa"/>
            <w:vAlign w:val="bottom"/>
            <w:gridSpan w:val="25"/>
            <w:shd w:val="clear" w:color="auto" w:fill="CFF0FC"/>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r>
      <w:tr>
        <w:trPr>
          <w:trHeight w:val="175"/>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101.CAL</w:t>
            </w:r>
          </w:p>
        </w:tc>
        <w:tc>
          <w:tcPr>
            <w:tcW w:w="10420" w:type="dxa"/>
            <w:vAlign w:val="bottom"/>
            <w:gridSpan w:val="25"/>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r>
      <w:tr>
        <w:trPr>
          <w:trHeight w:val="176"/>
        </w:trPr>
        <w:tc>
          <w:tcPr>
            <w:tcW w:w="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101.DEF</w:t>
            </w:r>
          </w:p>
        </w:tc>
        <w:tc>
          <w:tcPr>
            <w:tcW w:w="10420" w:type="dxa"/>
            <w:vAlign w:val="bottom"/>
            <w:gridSpan w:val="25"/>
            <w:shd w:val="clear" w:color="auto" w:fill="CFF0FC"/>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r>
      <w:tr>
        <w:trPr>
          <w:trHeight w:val="175"/>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101.LAB</w:t>
            </w:r>
          </w:p>
        </w:tc>
        <w:tc>
          <w:tcPr>
            <w:tcW w:w="10420" w:type="dxa"/>
            <w:vAlign w:val="bottom"/>
            <w:gridSpan w:val="25"/>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r>
      <w:tr>
        <w:trPr>
          <w:trHeight w:val="175"/>
        </w:trPr>
        <w:tc>
          <w:tcPr>
            <w:tcW w:w="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101.PRE</w:t>
            </w:r>
          </w:p>
        </w:tc>
        <w:tc>
          <w:tcPr>
            <w:tcW w:w="10420" w:type="dxa"/>
            <w:vAlign w:val="bottom"/>
            <w:gridSpan w:val="25"/>
            <w:shd w:val="clear" w:color="auto" w:fill="CFF0FC"/>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r>
      <w:tr>
        <w:trPr>
          <w:trHeight w:val="188"/>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10420" w:type="dxa"/>
            <w:vAlign w:val="bottom"/>
            <w:gridSpan w:val="25"/>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 Inline XBRL File)</w:t>
            </w:r>
          </w:p>
        </w:tc>
      </w:tr>
    </w:tbl>
    <w:p>
      <w:pPr>
        <w:spacing w:after="0" w:line="216" w:lineRule="exact"/>
        <w:rPr>
          <w:sz w:val="20"/>
          <w:szCs w:val="20"/>
          <w:color w:val="auto"/>
        </w:rPr>
      </w:pPr>
    </w:p>
    <w:p>
      <w:pPr>
        <w:ind w:left="820" w:right="460" w:hanging="799"/>
        <w:spacing w:after="0" w:line="191" w:lineRule="auto"/>
        <w:tabs>
          <w:tab w:leader="none" w:pos="820" w:val="left"/>
        </w:tabs>
        <w:numPr>
          <w:ilvl w:val="0"/>
          <w:numId w:val="1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6"/>
          <w:szCs w:val="16"/>
          <w:color w:val="auto"/>
        </w:rPr>
        <w:t>Certain confidential information has been excluded from this exhibit because it is both (i) not material and (ii) would be competitively harmful if publicly disclosed.</w:t>
      </w:r>
    </w:p>
    <w:p>
      <w:pPr>
        <w:ind w:left="820" w:hanging="799"/>
        <w:spacing w:after="0" w:line="185" w:lineRule="auto"/>
        <w:tabs>
          <w:tab w:leader="none" w:pos="820" w:val="left"/>
        </w:tabs>
        <w:numPr>
          <w:ilvl w:val="0"/>
          <w:numId w:val="1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5"/>
          <w:szCs w:val="15"/>
          <w:color w:val="auto"/>
        </w:rPr>
        <w:t>Incorporated by reference to our Current Report on Form 8-K dated April 30, 2021 filed on May 6, 2021.</w:t>
      </w:r>
    </w:p>
    <w:p>
      <w:pPr>
        <w:ind w:left="820" w:hanging="799"/>
        <w:spacing w:after="0" w:line="184" w:lineRule="auto"/>
        <w:tabs>
          <w:tab w:leader="none" w:pos="820" w:val="left"/>
        </w:tabs>
        <w:numPr>
          <w:ilvl w:val="0"/>
          <w:numId w:val="1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5"/>
          <w:szCs w:val="15"/>
          <w:color w:val="auto"/>
        </w:rPr>
        <w:t>Incorporated by reference to our registration statement on Form 10 filed on December 20, 2019.</w:t>
      </w:r>
    </w:p>
    <w:p>
      <w:pPr>
        <w:ind w:left="820" w:hanging="799"/>
        <w:spacing w:after="0" w:line="184" w:lineRule="auto"/>
        <w:tabs>
          <w:tab w:leader="none" w:pos="820" w:val="left"/>
        </w:tabs>
        <w:numPr>
          <w:ilvl w:val="0"/>
          <w:numId w:val="1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5"/>
          <w:szCs w:val="15"/>
          <w:color w:val="auto"/>
        </w:rPr>
        <w:t>Incorporated by reference to Exhibit 10.13 to our Annual Report on Form 10-K for the year ended December 31, 2021.</w:t>
      </w:r>
    </w:p>
    <w:p>
      <w:pPr>
        <w:spacing w:after="0" w:line="200" w:lineRule="exact"/>
        <w:rPr>
          <w:rFonts w:ascii="Times New Roman" w:cs="Times New Roman" w:eastAsia="Times New Roman" w:hAnsi="Times New Roman"/>
          <w:sz w:val="26"/>
          <w:szCs w:val="26"/>
          <w:color w:val="auto"/>
          <w:vertAlign w:val="superscript"/>
        </w:rPr>
      </w:pPr>
    </w:p>
    <w:p>
      <w:pPr>
        <w:spacing w:after="0" w:line="200" w:lineRule="exact"/>
        <w:rPr>
          <w:rFonts w:ascii="Times New Roman" w:cs="Times New Roman" w:eastAsia="Times New Roman" w:hAnsi="Times New Roman"/>
          <w:sz w:val="26"/>
          <w:szCs w:val="26"/>
          <w:color w:val="auto"/>
          <w:vertAlign w:val="superscript"/>
        </w:rPr>
      </w:pPr>
    </w:p>
    <w:p>
      <w:pPr>
        <w:spacing w:after="0" w:line="249" w:lineRule="exact"/>
        <w:rPr>
          <w:rFonts w:ascii="Times New Roman" w:cs="Times New Roman" w:eastAsia="Times New Roman" w:hAnsi="Times New Roman"/>
          <w:sz w:val="26"/>
          <w:szCs w:val="26"/>
          <w:color w:val="auto"/>
          <w:vertAlign w:val="superscript"/>
        </w:rPr>
      </w:pPr>
    </w:p>
    <w:p>
      <w:pPr>
        <w:ind w:left="5500"/>
        <w:spacing w:after="0"/>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Licenses of Green Thumb Industries Inc.</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gridSpan w:val="3"/>
          </w:tcPr>
          <w:p>
            <w:pPr>
              <w:ind w:left="20"/>
              <w:spacing w:after="0"/>
              <w:rPr>
                <w:sz w:val="20"/>
                <w:szCs w:val="20"/>
                <w:color w:val="auto"/>
              </w:rPr>
            </w:pPr>
            <w:r>
              <w:rPr>
                <w:rFonts w:ascii="Times New Roman" w:cs="Times New Roman" w:eastAsia="Times New Roman" w:hAnsi="Times New Roman"/>
                <w:sz w:val="13"/>
                <w:szCs w:val="13"/>
                <w:i w:val="1"/>
                <w:iCs w:val="1"/>
                <w:color w:val="auto"/>
              </w:rPr>
              <w:t>Licenses in the State of California</w:t>
            </w: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42"/>
        </w:trPr>
        <w:tc>
          <w:tcPr>
            <w:tcW w:w="980" w:type="dxa"/>
            <w:vAlign w:val="bottom"/>
          </w:tcPr>
          <w:p>
            <w:pPr>
              <w:spacing w:after="0"/>
              <w:rPr>
                <w:sz w:val="12"/>
                <w:szCs w:val="12"/>
                <w:color w:val="auto"/>
              </w:rPr>
            </w:pPr>
          </w:p>
        </w:tc>
        <w:tc>
          <w:tcPr>
            <w:tcW w:w="80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w w:val="94"/>
              </w:rPr>
              <w:t>Holding Entity</w:t>
            </w: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w w:val="95"/>
              </w:rPr>
              <w:t>Permit License</w:t>
            </w:r>
          </w:p>
        </w:tc>
        <w:tc>
          <w:tcPr>
            <w:tcW w:w="160" w:type="dxa"/>
            <w:vAlign w:val="bottom"/>
          </w:tcPr>
          <w:p>
            <w:pPr>
              <w:spacing w:after="0"/>
              <w:rPr>
                <w:sz w:val="12"/>
                <w:szCs w:val="12"/>
                <w:color w:val="auto"/>
              </w:rPr>
            </w:pPr>
          </w:p>
        </w:tc>
        <w:tc>
          <w:tcPr>
            <w:tcW w:w="1320" w:type="dxa"/>
            <w:vAlign w:val="bottom"/>
            <w:gridSpan w:val="3"/>
          </w:tcPr>
          <w:p>
            <w:pPr>
              <w:ind w:left="660"/>
              <w:spacing w:after="0" w:line="142" w:lineRule="exact"/>
              <w:rPr>
                <w:sz w:val="20"/>
                <w:szCs w:val="20"/>
                <w:color w:val="auto"/>
              </w:rPr>
            </w:pPr>
            <w:r>
              <w:rPr>
                <w:rFonts w:ascii="Times New Roman" w:cs="Times New Roman" w:eastAsia="Times New Roman" w:hAnsi="Times New Roman"/>
                <w:sz w:val="13"/>
                <w:szCs w:val="13"/>
                <w:b w:val="1"/>
                <w:bCs w:val="1"/>
                <w:color w:val="auto"/>
              </w:rPr>
              <w:t>City</w:t>
            </w:r>
          </w:p>
        </w:tc>
        <w:tc>
          <w:tcPr>
            <w:tcW w:w="1040" w:type="dxa"/>
            <w:vAlign w:val="bottom"/>
            <w:gridSpan w:val="3"/>
          </w:tcPr>
          <w:p>
            <w:pPr>
              <w:ind w:left="200"/>
              <w:spacing w:after="0" w:line="142" w:lineRule="exact"/>
              <w:rPr>
                <w:sz w:val="20"/>
                <w:szCs w:val="20"/>
                <w:color w:val="auto"/>
              </w:rPr>
            </w:pPr>
            <w:r>
              <w:rPr>
                <w:rFonts w:ascii="Times New Roman" w:cs="Times New Roman" w:eastAsia="Times New Roman" w:hAnsi="Times New Roman"/>
                <w:sz w:val="13"/>
                <w:szCs w:val="13"/>
                <w:b w:val="1"/>
                <w:bCs w:val="1"/>
                <w:color w:val="auto"/>
              </w:rPr>
              <w:t>Renewal Date</w:t>
            </w:r>
          </w:p>
        </w:tc>
        <w:tc>
          <w:tcPr>
            <w:tcW w:w="4860" w:type="dxa"/>
            <w:vAlign w:val="bottom"/>
            <w:gridSpan w:val="3"/>
          </w:tcPr>
          <w:p>
            <w:pPr>
              <w:ind w:left="2140"/>
              <w:spacing w:after="0" w:line="142" w:lineRule="exact"/>
              <w:rPr>
                <w:sz w:val="20"/>
                <w:szCs w:val="20"/>
                <w:color w:val="auto"/>
              </w:rPr>
            </w:pPr>
            <w:r>
              <w:rPr>
                <w:rFonts w:ascii="Times New Roman" w:cs="Times New Roman" w:eastAsia="Times New Roman" w:hAnsi="Times New Roman"/>
                <w:sz w:val="13"/>
                <w:szCs w:val="13"/>
                <w:b w:val="1"/>
                <w:bCs w:val="1"/>
                <w:color w:val="auto"/>
              </w:rPr>
              <w:t>Description</w:t>
            </w:r>
          </w:p>
        </w:tc>
      </w:tr>
      <w:tr>
        <w:trPr>
          <w:trHeight w:val="27"/>
        </w:trPr>
        <w:tc>
          <w:tcPr>
            <w:tcW w:w="9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100" w:type="dxa"/>
            <w:vAlign w:val="bottom"/>
          </w:tcPr>
          <w:p>
            <w:pPr>
              <w:spacing w:after="0"/>
              <w:rPr>
                <w:sz w:val="2"/>
                <w:szCs w:val="2"/>
                <w:color w:val="auto"/>
              </w:rPr>
            </w:pPr>
          </w:p>
        </w:tc>
      </w:tr>
      <w:tr>
        <w:trPr>
          <w:trHeight w:val="162"/>
        </w:trPr>
        <w:tc>
          <w:tcPr>
            <w:tcW w:w="24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Integral Associates Dena, LLC</w:t>
            </w:r>
          </w:p>
        </w:tc>
        <w:tc>
          <w:tcPr>
            <w:tcW w:w="1600" w:type="dxa"/>
            <w:vAlign w:val="bottom"/>
            <w:gridSpan w:val="3"/>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C10-0000787-LIC</w:t>
            </w:r>
          </w:p>
        </w:tc>
        <w:tc>
          <w:tcPr>
            <w:tcW w:w="132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Pasadena, CA</w:t>
            </w:r>
          </w:p>
        </w:tc>
        <w:tc>
          <w:tcPr>
            <w:tcW w:w="9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2/26/2023*</w:t>
            </w:r>
          </w:p>
        </w:tc>
        <w:tc>
          <w:tcPr>
            <w:tcW w:w="80" w:type="dxa"/>
            <w:vAlign w:val="bottom"/>
            <w:shd w:val="clear" w:color="auto" w:fill="CFF0FC"/>
          </w:tcPr>
          <w:p>
            <w:pPr>
              <w:spacing w:after="0"/>
              <w:rPr>
                <w:sz w:val="14"/>
                <w:szCs w:val="14"/>
                <w:color w:val="auto"/>
              </w:rPr>
            </w:pPr>
          </w:p>
        </w:tc>
        <w:tc>
          <w:tcPr>
            <w:tcW w:w="48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Cannabis License - Retailer (Storefront)</w:t>
            </w:r>
          </w:p>
        </w:tc>
      </w:tr>
      <w:tr>
        <w:trPr>
          <w:trHeight w:val="162"/>
        </w:trPr>
        <w:tc>
          <w:tcPr>
            <w:tcW w:w="24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Integral Associates Dena, LLC</w:t>
            </w: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75476</w:t>
            </w:r>
          </w:p>
        </w:tc>
        <w:tc>
          <w:tcPr>
            <w:tcW w:w="160" w:type="dxa"/>
            <w:vAlign w:val="bottom"/>
          </w:tcPr>
          <w:p>
            <w:pPr>
              <w:spacing w:after="0"/>
              <w:rPr>
                <w:sz w:val="14"/>
                <w:szCs w:val="14"/>
                <w:color w:val="auto"/>
              </w:rPr>
            </w:pPr>
          </w:p>
        </w:tc>
        <w:tc>
          <w:tcPr>
            <w:tcW w:w="132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auto"/>
              </w:rPr>
              <w:t>Pasadena, CA</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8/31/2023</w:t>
            </w:r>
          </w:p>
        </w:tc>
        <w:tc>
          <w:tcPr>
            <w:tcW w:w="80" w:type="dxa"/>
            <w:vAlign w:val="bottom"/>
          </w:tcPr>
          <w:p>
            <w:pPr>
              <w:spacing w:after="0"/>
              <w:rPr>
                <w:sz w:val="14"/>
                <w:szCs w:val="14"/>
                <w:color w:val="auto"/>
              </w:rPr>
            </w:pPr>
          </w:p>
        </w:tc>
        <w:tc>
          <w:tcPr>
            <w:tcW w:w="48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Environmental Health Permit - Cannabis Retail</w:t>
            </w:r>
          </w:p>
        </w:tc>
      </w:tr>
      <w:tr>
        <w:trPr>
          <w:trHeight w:val="162"/>
        </w:trPr>
        <w:tc>
          <w:tcPr>
            <w:tcW w:w="24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Integral Associates Dena, LLC</w:t>
            </w:r>
          </w:p>
        </w:tc>
        <w:tc>
          <w:tcPr>
            <w:tcW w:w="144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224919168 - 00001</w:t>
            </w:r>
          </w:p>
        </w:tc>
        <w:tc>
          <w:tcPr>
            <w:tcW w:w="160" w:type="dxa"/>
            <w:vAlign w:val="bottom"/>
            <w:shd w:val="clear" w:color="auto" w:fill="CFF0FC"/>
          </w:tcPr>
          <w:p>
            <w:pPr>
              <w:spacing w:after="0"/>
              <w:rPr>
                <w:sz w:val="14"/>
                <w:szCs w:val="14"/>
                <w:color w:val="auto"/>
              </w:rPr>
            </w:pPr>
          </w:p>
        </w:tc>
        <w:tc>
          <w:tcPr>
            <w:tcW w:w="132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Pasadena, CA</w:t>
            </w:r>
          </w:p>
        </w:tc>
        <w:tc>
          <w:tcPr>
            <w:tcW w:w="104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N/A</w:t>
            </w:r>
          </w:p>
        </w:tc>
        <w:tc>
          <w:tcPr>
            <w:tcW w:w="48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Sellers Permit</w:t>
            </w:r>
          </w:p>
        </w:tc>
      </w:tr>
      <w:tr>
        <w:trPr>
          <w:trHeight w:val="323"/>
        </w:trPr>
        <w:tc>
          <w:tcPr>
            <w:tcW w:w="2420" w:type="dxa"/>
            <w:vAlign w:val="bottom"/>
            <w:gridSpan w:val="3"/>
          </w:tcPr>
          <w:p>
            <w:pPr>
              <w:ind w:left="20"/>
              <w:spacing w:after="0"/>
              <w:rPr>
                <w:sz w:val="20"/>
                <w:szCs w:val="20"/>
                <w:color w:val="auto"/>
              </w:rPr>
            </w:pPr>
            <w:r>
              <w:rPr>
                <w:rFonts w:ascii="Times New Roman" w:cs="Times New Roman" w:eastAsia="Times New Roman" w:hAnsi="Times New Roman"/>
                <w:sz w:val="13"/>
                <w:szCs w:val="13"/>
                <w:i w:val="1"/>
                <w:iCs w:val="1"/>
                <w:color w:val="auto"/>
              </w:rPr>
              <w:t>Licenses in the State of Connecticut</w:t>
            </w: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36"/>
        </w:trPr>
        <w:tc>
          <w:tcPr>
            <w:tcW w:w="9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b w:val="1"/>
                <w:bCs w:val="1"/>
                <w:color w:val="auto"/>
                <w:w w:val="94"/>
              </w:rPr>
              <w:t>Holding Entity</w:t>
            </w:r>
          </w:p>
        </w:tc>
        <w:tc>
          <w:tcPr>
            <w:tcW w:w="6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b w:val="1"/>
                <w:bCs w:val="1"/>
                <w:color w:val="auto"/>
                <w:w w:val="95"/>
              </w:rPr>
              <w:t>Permit License</w:t>
            </w:r>
          </w:p>
        </w:tc>
        <w:tc>
          <w:tcPr>
            <w:tcW w:w="160" w:type="dxa"/>
            <w:vAlign w:val="bottom"/>
            <w:shd w:val="clear" w:color="auto" w:fill="CFF0FC"/>
          </w:tcPr>
          <w:p>
            <w:pPr>
              <w:spacing w:after="0"/>
              <w:rPr>
                <w:sz w:val="11"/>
                <w:szCs w:val="11"/>
                <w:color w:val="auto"/>
              </w:rPr>
            </w:pPr>
          </w:p>
        </w:tc>
        <w:tc>
          <w:tcPr>
            <w:tcW w:w="1320" w:type="dxa"/>
            <w:vAlign w:val="bottom"/>
            <w:gridSpan w:val="3"/>
            <w:shd w:val="clear" w:color="auto" w:fill="CFF0FC"/>
          </w:tcPr>
          <w:p>
            <w:pPr>
              <w:ind w:left="660"/>
              <w:spacing w:after="0" w:line="136" w:lineRule="exact"/>
              <w:rPr>
                <w:sz w:val="20"/>
                <w:szCs w:val="20"/>
                <w:color w:val="auto"/>
              </w:rPr>
            </w:pPr>
            <w:r>
              <w:rPr>
                <w:rFonts w:ascii="Times New Roman" w:cs="Times New Roman" w:eastAsia="Times New Roman" w:hAnsi="Times New Roman"/>
                <w:sz w:val="13"/>
                <w:szCs w:val="13"/>
                <w:b w:val="1"/>
                <w:bCs w:val="1"/>
                <w:color w:val="auto"/>
              </w:rPr>
              <w:t>City</w:t>
            </w:r>
          </w:p>
        </w:tc>
        <w:tc>
          <w:tcPr>
            <w:tcW w:w="1040" w:type="dxa"/>
            <w:vAlign w:val="bottom"/>
            <w:gridSpan w:val="3"/>
            <w:shd w:val="clear" w:color="auto" w:fill="CFF0FC"/>
          </w:tcPr>
          <w:p>
            <w:pPr>
              <w:ind w:left="200"/>
              <w:spacing w:after="0" w:line="136" w:lineRule="exact"/>
              <w:rPr>
                <w:sz w:val="20"/>
                <w:szCs w:val="20"/>
                <w:color w:val="auto"/>
              </w:rPr>
            </w:pPr>
            <w:r>
              <w:rPr>
                <w:rFonts w:ascii="Times New Roman" w:cs="Times New Roman" w:eastAsia="Times New Roman" w:hAnsi="Times New Roman"/>
                <w:sz w:val="13"/>
                <w:szCs w:val="13"/>
                <w:b w:val="1"/>
                <w:bCs w:val="1"/>
                <w:color w:val="auto"/>
              </w:rPr>
              <w:t>Renewal Date</w:t>
            </w:r>
          </w:p>
        </w:tc>
        <w:tc>
          <w:tcPr>
            <w:tcW w:w="4860" w:type="dxa"/>
            <w:vAlign w:val="bottom"/>
            <w:gridSpan w:val="3"/>
            <w:shd w:val="clear" w:color="auto" w:fill="CFF0FC"/>
          </w:tcPr>
          <w:p>
            <w:pPr>
              <w:ind w:left="2140"/>
              <w:spacing w:after="0" w:line="136" w:lineRule="exact"/>
              <w:rPr>
                <w:sz w:val="20"/>
                <w:szCs w:val="20"/>
                <w:color w:val="auto"/>
              </w:rPr>
            </w:pPr>
            <w:r>
              <w:rPr>
                <w:rFonts w:ascii="Times New Roman" w:cs="Times New Roman" w:eastAsia="Times New Roman" w:hAnsi="Times New Roman"/>
                <w:sz w:val="13"/>
                <w:szCs w:val="13"/>
                <w:b w:val="1"/>
                <w:bCs w:val="1"/>
                <w:color w:val="auto"/>
              </w:rPr>
              <w:t>Description</w:t>
            </w:r>
          </w:p>
        </w:tc>
      </w:tr>
      <w:tr>
        <w:trPr>
          <w:trHeight w:val="27"/>
        </w:trPr>
        <w:tc>
          <w:tcPr>
            <w:tcW w:w="980" w:type="dxa"/>
            <w:vAlign w:val="bottom"/>
            <w:shd w:val="clear" w:color="auto" w:fill="CFF0F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620" w:type="dxa"/>
            <w:vAlign w:val="bottom"/>
            <w:shd w:val="clear" w:color="auto" w:fill="CFF0F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66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140" w:type="dxa"/>
            <w:vAlign w:val="bottom"/>
            <w:shd w:val="clear" w:color="auto" w:fill="CFF0FC"/>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100" w:type="dxa"/>
            <w:vAlign w:val="bottom"/>
            <w:shd w:val="clear" w:color="auto" w:fill="CFF0FC"/>
          </w:tcPr>
          <w:p>
            <w:pPr>
              <w:spacing w:after="0"/>
              <w:rPr>
                <w:sz w:val="2"/>
                <w:szCs w:val="2"/>
                <w:color w:val="auto"/>
              </w:rPr>
            </w:pPr>
          </w:p>
        </w:tc>
      </w:tr>
      <w:tr>
        <w:trPr>
          <w:trHeight w:val="162"/>
        </w:trPr>
        <w:tc>
          <w:tcPr>
            <w:tcW w:w="24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Bluepoint Wellness of Westport, LLC</w:t>
            </w:r>
          </w:p>
        </w:tc>
        <w:tc>
          <w:tcPr>
            <w:tcW w:w="160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MMDF.0000029</w:t>
            </w:r>
          </w:p>
        </w:tc>
        <w:tc>
          <w:tcPr>
            <w:tcW w:w="132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auto"/>
              </w:rPr>
              <w:t>East Westport, CT</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12/17/2023</w:t>
            </w:r>
          </w:p>
        </w:tc>
        <w:tc>
          <w:tcPr>
            <w:tcW w:w="80" w:type="dxa"/>
            <w:vAlign w:val="bottom"/>
          </w:tcPr>
          <w:p>
            <w:pPr>
              <w:spacing w:after="0"/>
              <w:rPr>
                <w:sz w:val="14"/>
                <w:szCs w:val="14"/>
                <w:color w:val="auto"/>
              </w:rPr>
            </w:pPr>
          </w:p>
        </w:tc>
        <w:tc>
          <w:tcPr>
            <w:tcW w:w="48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Medical Marijuana Dispensary Facility</w:t>
            </w:r>
          </w:p>
        </w:tc>
      </w:tr>
      <w:tr>
        <w:trPr>
          <w:trHeight w:val="162"/>
        </w:trPr>
        <w:tc>
          <w:tcPr>
            <w:tcW w:w="24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Southern CT Wellness &amp; Healing, LLC</w:t>
            </w:r>
          </w:p>
        </w:tc>
        <w:tc>
          <w:tcPr>
            <w:tcW w:w="1600" w:type="dxa"/>
            <w:vAlign w:val="bottom"/>
            <w:gridSpan w:val="3"/>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MMDF.0000015</w:t>
            </w:r>
          </w:p>
        </w:tc>
        <w:tc>
          <w:tcPr>
            <w:tcW w:w="132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Milford, CT</w:t>
            </w:r>
          </w:p>
        </w:tc>
        <w:tc>
          <w:tcPr>
            <w:tcW w:w="9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2/4/2024</w:t>
            </w:r>
          </w:p>
        </w:tc>
        <w:tc>
          <w:tcPr>
            <w:tcW w:w="80" w:type="dxa"/>
            <w:vAlign w:val="bottom"/>
            <w:shd w:val="clear" w:color="auto" w:fill="CFF0FC"/>
          </w:tcPr>
          <w:p>
            <w:pPr>
              <w:spacing w:after="0"/>
              <w:rPr>
                <w:sz w:val="14"/>
                <w:szCs w:val="14"/>
                <w:color w:val="auto"/>
              </w:rPr>
            </w:pPr>
          </w:p>
        </w:tc>
        <w:tc>
          <w:tcPr>
            <w:tcW w:w="48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Medical Marijuana Dispensary Facility</w:t>
            </w:r>
          </w:p>
        </w:tc>
      </w:tr>
      <w:tr>
        <w:trPr>
          <w:trHeight w:val="162"/>
        </w:trPr>
        <w:tc>
          <w:tcPr>
            <w:tcW w:w="24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Advanced Grow Labs, LLC</w:t>
            </w:r>
          </w:p>
        </w:tc>
        <w:tc>
          <w:tcPr>
            <w:tcW w:w="160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MMPR.0000001</w:t>
            </w:r>
          </w:p>
        </w:tc>
        <w:tc>
          <w:tcPr>
            <w:tcW w:w="132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auto"/>
              </w:rPr>
              <w:t>West Haven, CT</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2/6/2024</w:t>
            </w:r>
          </w:p>
        </w:tc>
        <w:tc>
          <w:tcPr>
            <w:tcW w:w="80" w:type="dxa"/>
            <w:vAlign w:val="bottom"/>
          </w:tcPr>
          <w:p>
            <w:pPr>
              <w:spacing w:after="0"/>
              <w:rPr>
                <w:sz w:val="14"/>
                <w:szCs w:val="14"/>
                <w:color w:val="auto"/>
              </w:rPr>
            </w:pPr>
          </w:p>
        </w:tc>
        <w:tc>
          <w:tcPr>
            <w:tcW w:w="48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Medical Marijuana Producer</w:t>
            </w:r>
          </w:p>
        </w:tc>
      </w:tr>
      <w:tr>
        <w:trPr>
          <w:trHeight w:val="162"/>
        </w:trPr>
        <w:tc>
          <w:tcPr>
            <w:tcW w:w="24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Bluepoint Apothecary, LLC</w:t>
            </w:r>
          </w:p>
        </w:tc>
        <w:tc>
          <w:tcPr>
            <w:tcW w:w="1600" w:type="dxa"/>
            <w:vAlign w:val="bottom"/>
            <w:gridSpan w:val="3"/>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MMDF.0000002</w:t>
            </w:r>
          </w:p>
        </w:tc>
        <w:tc>
          <w:tcPr>
            <w:tcW w:w="132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Brandford, CT</w:t>
            </w:r>
          </w:p>
        </w:tc>
        <w:tc>
          <w:tcPr>
            <w:tcW w:w="9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4/10/2023</w:t>
            </w:r>
          </w:p>
        </w:tc>
        <w:tc>
          <w:tcPr>
            <w:tcW w:w="80" w:type="dxa"/>
            <w:vAlign w:val="bottom"/>
            <w:shd w:val="clear" w:color="auto" w:fill="CFF0FC"/>
          </w:tcPr>
          <w:p>
            <w:pPr>
              <w:spacing w:after="0"/>
              <w:rPr>
                <w:sz w:val="14"/>
                <w:szCs w:val="14"/>
                <w:color w:val="auto"/>
              </w:rPr>
            </w:pPr>
          </w:p>
        </w:tc>
        <w:tc>
          <w:tcPr>
            <w:tcW w:w="48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Medical Marijuana Dispensary Facility</w:t>
            </w:r>
          </w:p>
        </w:tc>
      </w:tr>
      <w:tr>
        <w:trPr>
          <w:trHeight w:val="164"/>
        </w:trPr>
        <w:tc>
          <w:tcPr>
            <w:tcW w:w="24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Advanced Grow Labs, LLC</w:t>
            </w:r>
          </w:p>
        </w:tc>
        <w:tc>
          <w:tcPr>
            <w:tcW w:w="160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BAK.0015356</w:t>
            </w:r>
          </w:p>
        </w:tc>
        <w:tc>
          <w:tcPr>
            <w:tcW w:w="132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auto"/>
              </w:rPr>
              <w:t>West Haven, CT</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6/30/2023</w:t>
            </w:r>
          </w:p>
        </w:tc>
        <w:tc>
          <w:tcPr>
            <w:tcW w:w="80" w:type="dxa"/>
            <w:vAlign w:val="bottom"/>
          </w:tcPr>
          <w:p>
            <w:pPr>
              <w:spacing w:after="0"/>
              <w:rPr>
                <w:sz w:val="14"/>
                <w:szCs w:val="14"/>
                <w:color w:val="auto"/>
              </w:rPr>
            </w:pPr>
          </w:p>
        </w:tc>
        <w:tc>
          <w:tcPr>
            <w:tcW w:w="48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Medical Marijuana Bakery</w:t>
            </w:r>
          </w:p>
        </w:tc>
      </w:tr>
      <w:tr>
        <w:trPr>
          <w:trHeight w:val="321"/>
        </w:trPr>
        <w:tc>
          <w:tcPr>
            <w:tcW w:w="2420" w:type="dxa"/>
            <w:vAlign w:val="bottom"/>
            <w:gridSpan w:val="3"/>
          </w:tcPr>
          <w:p>
            <w:pPr>
              <w:ind w:left="20"/>
              <w:spacing w:after="0"/>
              <w:rPr>
                <w:sz w:val="20"/>
                <w:szCs w:val="20"/>
                <w:color w:val="auto"/>
              </w:rPr>
            </w:pPr>
            <w:r>
              <w:rPr>
                <w:rFonts w:ascii="Times New Roman" w:cs="Times New Roman" w:eastAsia="Times New Roman" w:hAnsi="Times New Roman"/>
                <w:sz w:val="13"/>
                <w:szCs w:val="13"/>
                <w:i w:val="1"/>
                <w:iCs w:val="1"/>
                <w:color w:val="auto"/>
              </w:rPr>
              <w:t>Licenses in the State of Florida</w:t>
            </w: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36"/>
        </w:trPr>
        <w:tc>
          <w:tcPr>
            <w:tcW w:w="9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b w:val="1"/>
                <w:bCs w:val="1"/>
                <w:color w:val="auto"/>
                <w:w w:val="94"/>
              </w:rPr>
              <w:t>Holding Entity</w:t>
            </w:r>
          </w:p>
        </w:tc>
        <w:tc>
          <w:tcPr>
            <w:tcW w:w="6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b w:val="1"/>
                <w:bCs w:val="1"/>
                <w:color w:val="auto"/>
                <w:w w:val="95"/>
              </w:rPr>
              <w:t>Permit License</w:t>
            </w:r>
          </w:p>
        </w:tc>
        <w:tc>
          <w:tcPr>
            <w:tcW w:w="160" w:type="dxa"/>
            <w:vAlign w:val="bottom"/>
            <w:shd w:val="clear" w:color="auto" w:fill="CFF0FC"/>
          </w:tcPr>
          <w:p>
            <w:pPr>
              <w:spacing w:after="0"/>
              <w:rPr>
                <w:sz w:val="11"/>
                <w:szCs w:val="11"/>
                <w:color w:val="auto"/>
              </w:rPr>
            </w:pPr>
          </w:p>
        </w:tc>
        <w:tc>
          <w:tcPr>
            <w:tcW w:w="1320" w:type="dxa"/>
            <w:vAlign w:val="bottom"/>
            <w:gridSpan w:val="3"/>
            <w:shd w:val="clear" w:color="auto" w:fill="CFF0FC"/>
          </w:tcPr>
          <w:p>
            <w:pPr>
              <w:ind w:left="660"/>
              <w:spacing w:after="0" w:line="136" w:lineRule="exact"/>
              <w:rPr>
                <w:sz w:val="20"/>
                <w:szCs w:val="20"/>
                <w:color w:val="auto"/>
              </w:rPr>
            </w:pPr>
            <w:r>
              <w:rPr>
                <w:rFonts w:ascii="Times New Roman" w:cs="Times New Roman" w:eastAsia="Times New Roman" w:hAnsi="Times New Roman"/>
                <w:sz w:val="13"/>
                <w:szCs w:val="13"/>
                <w:b w:val="1"/>
                <w:bCs w:val="1"/>
                <w:color w:val="auto"/>
              </w:rPr>
              <w:t>City</w:t>
            </w:r>
          </w:p>
        </w:tc>
        <w:tc>
          <w:tcPr>
            <w:tcW w:w="1040" w:type="dxa"/>
            <w:vAlign w:val="bottom"/>
            <w:gridSpan w:val="3"/>
            <w:shd w:val="clear" w:color="auto" w:fill="CFF0FC"/>
          </w:tcPr>
          <w:p>
            <w:pPr>
              <w:ind w:left="200"/>
              <w:spacing w:after="0" w:line="136" w:lineRule="exact"/>
              <w:rPr>
                <w:sz w:val="20"/>
                <w:szCs w:val="20"/>
                <w:color w:val="auto"/>
              </w:rPr>
            </w:pPr>
            <w:r>
              <w:rPr>
                <w:rFonts w:ascii="Times New Roman" w:cs="Times New Roman" w:eastAsia="Times New Roman" w:hAnsi="Times New Roman"/>
                <w:sz w:val="13"/>
                <w:szCs w:val="13"/>
                <w:b w:val="1"/>
                <w:bCs w:val="1"/>
                <w:color w:val="auto"/>
              </w:rPr>
              <w:t>Renewal Date</w:t>
            </w:r>
          </w:p>
        </w:tc>
        <w:tc>
          <w:tcPr>
            <w:tcW w:w="4860" w:type="dxa"/>
            <w:vAlign w:val="bottom"/>
            <w:gridSpan w:val="3"/>
            <w:shd w:val="clear" w:color="auto" w:fill="CFF0FC"/>
          </w:tcPr>
          <w:p>
            <w:pPr>
              <w:ind w:left="2140"/>
              <w:spacing w:after="0" w:line="136" w:lineRule="exact"/>
              <w:rPr>
                <w:sz w:val="20"/>
                <w:szCs w:val="20"/>
                <w:color w:val="auto"/>
              </w:rPr>
            </w:pPr>
            <w:r>
              <w:rPr>
                <w:rFonts w:ascii="Times New Roman" w:cs="Times New Roman" w:eastAsia="Times New Roman" w:hAnsi="Times New Roman"/>
                <w:sz w:val="13"/>
                <w:szCs w:val="13"/>
                <w:b w:val="1"/>
                <w:bCs w:val="1"/>
                <w:color w:val="auto"/>
              </w:rPr>
              <w:t>Description</w:t>
            </w:r>
          </w:p>
        </w:tc>
      </w:tr>
      <w:tr>
        <w:trPr>
          <w:trHeight w:val="27"/>
        </w:trPr>
        <w:tc>
          <w:tcPr>
            <w:tcW w:w="980" w:type="dxa"/>
            <w:vAlign w:val="bottom"/>
            <w:shd w:val="clear" w:color="auto" w:fill="CFF0F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620" w:type="dxa"/>
            <w:vAlign w:val="bottom"/>
            <w:shd w:val="clear" w:color="auto" w:fill="CFF0F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66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140" w:type="dxa"/>
            <w:vAlign w:val="bottom"/>
            <w:shd w:val="clear" w:color="auto" w:fill="CFF0FC"/>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100" w:type="dxa"/>
            <w:vAlign w:val="bottom"/>
            <w:shd w:val="clear" w:color="auto" w:fill="CFF0FC"/>
          </w:tcPr>
          <w:p>
            <w:pPr>
              <w:spacing w:after="0"/>
              <w:rPr>
                <w:sz w:val="2"/>
                <w:szCs w:val="2"/>
                <w:color w:val="auto"/>
              </w:rPr>
            </w:pPr>
          </w:p>
        </w:tc>
      </w:tr>
      <w:tr>
        <w:trPr>
          <w:trHeight w:val="162"/>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KSGNF, LLC</w:t>
            </w: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MMTC-2017-0013</w:t>
            </w:r>
          </w:p>
        </w:tc>
        <w:tc>
          <w:tcPr>
            <w:tcW w:w="132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auto"/>
              </w:rPr>
              <w:t>Homestead, FL</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9/23/2023</w:t>
            </w:r>
          </w:p>
        </w:tc>
        <w:tc>
          <w:tcPr>
            <w:tcW w:w="80" w:type="dxa"/>
            <w:vAlign w:val="bottom"/>
          </w:tcPr>
          <w:p>
            <w:pPr>
              <w:spacing w:after="0"/>
              <w:rPr>
                <w:sz w:val="14"/>
                <w:szCs w:val="14"/>
                <w:color w:val="auto"/>
              </w:rPr>
            </w:pPr>
          </w:p>
        </w:tc>
        <w:tc>
          <w:tcPr>
            <w:tcW w:w="48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Medical Marijuana Treatment Center</w:t>
            </w:r>
          </w:p>
        </w:tc>
      </w:tr>
      <w:tr>
        <w:trPr>
          <w:trHeight w:val="162"/>
        </w:trPr>
        <w:tc>
          <w:tcPr>
            <w:tcW w:w="24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KSGNF, LLC</w:t>
            </w:r>
          </w:p>
        </w:tc>
        <w:tc>
          <w:tcPr>
            <w:tcW w:w="1600" w:type="dxa"/>
            <w:vAlign w:val="bottom"/>
            <w:gridSpan w:val="3"/>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B108216</w:t>
            </w:r>
          </w:p>
        </w:tc>
        <w:tc>
          <w:tcPr>
            <w:tcW w:w="132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Homestead, FL</w:t>
            </w:r>
          </w:p>
        </w:tc>
        <w:tc>
          <w:tcPr>
            <w:tcW w:w="9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2/9/2023*</w:t>
            </w:r>
          </w:p>
        </w:tc>
        <w:tc>
          <w:tcPr>
            <w:tcW w:w="80" w:type="dxa"/>
            <w:vAlign w:val="bottom"/>
            <w:shd w:val="clear" w:color="auto" w:fill="CFF0FC"/>
          </w:tcPr>
          <w:p>
            <w:pPr>
              <w:spacing w:after="0"/>
              <w:rPr>
                <w:sz w:val="14"/>
                <w:szCs w:val="14"/>
                <w:color w:val="auto"/>
              </w:rPr>
            </w:pPr>
          </w:p>
        </w:tc>
        <w:tc>
          <w:tcPr>
            <w:tcW w:w="48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Certificate of Nursery Registration</w:t>
            </w:r>
          </w:p>
        </w:tc>
      </w:tr>
      <w:tr>
        <w:trPr>
          <w:trHeight w:val="323"/>
        </w:trPr>
        <w:tc>
          <w:tcPr>
            <w:tcW w:w="2420" w:type="dxa"/>
            <w:vAlign w:val="bottom"/>
            <w:gridSpan w:val="3"/>
          </w:tcPr>
          <w:p>
            <w:pPr>
              <w:ind w:left="20"/>
              <w:spacing w:after="0"/>
              <w:rPr>
                <w:sz w:val="20"/>
                <w:szCs w:val="20"/>
                <w:color w:val="auto"/>
              </w:rPr>
            </w:pPr>
            <w:r>
              <w:rPr>
                <w:rFonts w:ascii="Times New Roman" w:cs="Times New Roman" w:eastAsia="Times New Roman" w:hAnsi="Times New Roman"/>
                <w:sz w:val="13"/>
                <w:szCs w:val="13"/>
                <w:i w:val="1"/>
                <w:iCs w:val="1"/>
                <w:color w:val="auto"/>
              </w:rPr>
              <w:t>Licenses in the State of Illinois</w:t>
            </w: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36"/>
        </w:trPr>
        <w:tc>
          <w:tcPr>
            <w:tcW w:w="9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b w:val="1"/>
                <w:bCs w:val="1"/>
                <w:color w:val="auto"/>
                <w:w w:val="94"/>
              </w:rPr>
              <w:t>Holding Entity</w:t>
            </w:r>
          </w:p>
        </w:tc>
        <w:tc>
          <w:tcPr>
            <w:tcW w:w="6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b w:val="1"/>
                <w:bCs w:val="1"/>
                <w:color w:val="auto"/>
                <w:w w:val="95"/>
              </w:rPr>
              <w:t>Permit/License</w:t>
            </w:r>
          </w:p>
        </w:tc>
        <w:tc>
          <w:tcPr>
            <w:tcW w:w="160" w:type="dxa"/>
            <w:vAlign w:val="bottom"/>
            <w:shd w:val="clear" w:color="auto" w:fill="CFF0FC"/>
          </w:tcPr>
          <w:p>
            <w:pPr>
              <w:spacing w:after="0"/>
              <w:rPr>
                <w:sz w:val="11"/>
                <w:szCs w:val="11"/>
                <w:color w:val="auto"/>
              </w:rPr>
            </w:pPr>
          </w:p>
        </w:tc>
        <w:tc>
          <w:tcPr>
            <w:tcW w:w="1320" w:type="dxa"/>
            <w:vAlign w:val="bottom"/>
            <w:gridSpan w:val="3"/>
            <w:shd w:val="clear" w:color="auto" w:fill="CFF0FC"/>
          </w:tcPr>
          <w:p>
            <w:pPr>
              <w:ind w:left="660"/>
              <w:spacing w:after="0" w:line="136" w:lineRule="exact"/>
              <w:rPr>
                <w:sz w:val="20"/>
                <w:szCs w:val="20"/>
                <w:color w:val="auto"/>
              </w:rPr>
            </w:pPr>
            <w:r>
              <w:rPr>
                <w:rFonts w:ascii="Times New Roman" w:cs="Times New Roman" w:eastAsia="Times New Roman" w:hAnsi="Times New Roman"/>
                <w:sz w:val="13"/>
                <w:szCs w:val="13"/>
                <w:b w:val="1"/>
                <w:bCs w:val="1"/>
                <w:color w:val="auto"/>
              </w:rPr>
              <w:t>City</w:t>
            </w:r>
          </w:p>
        </w:tc>
        <w:tc>
          <w:tcPr>
            <w:tcW w:w="1040" w:type="dxa"/>
            <w:vAlign w:val="bottom"/>
            <w:gridSpan w:val="3"/>
            <w:shd w:val="clear" w:color="auto" w:fill="CFF0FC"/>
          </w:tcPr>
          <w:p>
            <w:pPr>
              <w:ind w:left="200"/>
              <w:spacing w:after="0" w:line="136" w:lineRule="exact"/>
              <w:rPr>
                <w:sz w:val="20"/>
                <w:szCs w:val="20"/>
                <w:color w:val="auto"/>
              </w:rPr>
            </w:pPr>
            <w:r>
              <w:rPr>
                <w:rFonts w:ascii="Times New Roman" w:cs="Times New Roman" w:eastAsia="Times New Roman" w:hAnsi="Times New Roman"/>
                <w:sz w:val="13"/>
                <w:szCs w:val="13"/>
                <w:b w:val="1"/>
                <w:bCs w:val="1"/>
                <w:color w:val="auto"/>
              </w:rPr>
              <w:t>Renewal Date</w:t>
            </w:r>
          </w:p>
        </w:tc>
        <w:tc>
          <w:tcPr>
            <w:tcW w:w="4860" w:type="dxa"/>
            <w:vAlign w:val="bottom"/>
            <w:gridSpan w:val="3"/>
            <w:shd w:val="clear" w:color="auto" w:fill="CFF0FC"/>
          </w:tcPr>
          <w:p>
            <w:pPr>
              <w:ind w:left="2140"/>
              <w:spacing w:after="0" w:line="136" w:lineRule="exact"/>
              <w:rPr>
                <w:sz w:val="20"/>
                <w:szCs w:val="20"/>
                <w:color w:val="auto"/>
              </w:rPr>
            </w:pPr>
            <w:r>
              <w:rPr>
                <w:rFonts w:ascii="Times New Roman" w:cs="Times New Roman" w:eastAsia="Times New Roman" w:hAnsi="Times New Roman"/>
                <w:sz w:val="13"/>
                <w:szCs w:val="13"/>
                <w:b w:val="1"/>
                <w:bCs w:val="1"/>
                <w:color w:val="auto"/>
              </w:rPr>
              <w:t>Description</w:t>
            </w:r>
          </w:p>
        </w:tc>
      </w:tr>
      <w:tr>
        <w:trPr>
          <w:trHeight w:val="27"/>
        </w:trPr>
        <w:tc>
          <w:tcPr>
            <w:tcW w:w="980" w:type="dxa"/>
            <w:vAlign w:val="bottom"/>
            <w:shd w:val="clear" w:color="auto" w:fill="CFF0F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620" w:type="dxa"/>
            <w:vAlign w:val="bottom"/>
            <w:shd w:val="clear" w:color="auto" w:fill="CFF0F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66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140" w:type="dxa"/>
            <w:vAlign w:val="bottom"/>
            <w:shd w:val="clear" w:color="auto" w:fill="CFF0FC"/>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100" w:type="dxa"/>
            <w:vAlign w:val="bottom"/>
            <w:shd w:val="clear" w:color="auto" w:fill="CFF0FC"/>
          </w:tcPr>
          <w:p>
            <w:pPr>
              <w:spacing w:after="0"/>
              <w:rPr>
                <w:sz w:val="2"/>
                <w:szCs w:val="2"/>
                <w:color w:val="auto"/>
              </w:rPr>
            </w:pPr>
          </w:p>
        </w:tc>
      </w:tr>
      <w:tr>
        <w:trPr>
          <w:trHeight w:val="162"/>
        </w:trPr>
        <w:tc>
          <w:tcPr>
            <w:tcW w:w="24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3C Compassionate Care Center, LLC</w:t>
            </w:r>
          </w:p>
        </w:tc>
        <w:tc>
          <w:tcPr>
            <w:tcW w:w="160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280.000011-DISP</w:t>
            </w:r>
          </w:p>
        </w:tc>
        <w:tc>
          <w:tcPr>
            <w:tcW w:w="132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auto"/>
              </w:rPr>
              <w:t>Joliet, IL</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11/19/2023</w:t>
            </w:r>
          </w:p>
        </w:tc>
        <w:tc>
          <w:tcPr>
            <w:tcW w:w="80" w:type="dxa"/>
            <w:vAlign w:val="bottom"/>
          </w:tcPr>
          <w:p>
            <w:pPr>
              <w:spacing w:after="0"/>
              <w:rPr>
                <w:sz w:val="14"/>
                <w:szCs w:val="14"/>
                <w:color w:val="auto"/>
              </w:rPr>
            </w:pPr>
          </w:p>
        </w:tc>
        <w:tc>
          <w:tcPr>
            <w:tcW w:w="48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Registered Medical Cannabis Dispensing Organization</w:t>
            </w:r>
          </w:p>
        </w:tc>
      </w:tr>
      <w:tr>
        <w:trPr>
          <w:trHeight w:val="162"/>
        </w:trPr>
        <w:tc>
          <w:tcPr>
            <w:tcW w:w="24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GTI Oglesby, LLC</w:t>
            </w:r>
          </w:p>
        </w:tc>
        <w:tc>
          <w:tcPr>
            <w:tcW w:w="144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1204-481</w:t>
            </w:r>
          </w:p>
        </w:tc>
        <w:tc>
          <w:tcPr>
            <w:tcW w:w="160" w:type="dxa"/>
            <w:vAlign w:val="bottom"/>
            <w:shd w:val="clear" w:color="auto" w:fill="CFF0FC"/>
          </w:tcPr>
          <w:p>
            <w:pPr>
              <w:spacing w:after="0"/>
              <w:rPr>
                <w:sz w:val="14"/>
                <w:szCs w:val="14"/>
                <w:color w:val="auto"/>
              </w:rPr>
            </w:pPr>
          </w:p>
        </w:tc>
        <w:tc>
          <w:tcPr>
            <w:tcW w:w="132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Oglesby, IL</w:t>
            </w:r>
          </w:p>
        </w:tc>
        <w:tc>
          <w:tcPr>
            <w:tcW w:w="9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12/31/2023</w:t>
            </w:r>
          </w:p>
        </w:tc>
        <w:tc>
          <w:tcPr>
            <w:tcW w:w="80" w:type="dxa"/>
            <w:vAlign w:val="bottom"/>
            <w:shd w:val="clear" w:color="auto" w:fill="CFF0FC"/>
          </w:tcPr>
          <w:p>
            <w:pPr>
              <w:spacing w:after="0"/>
              <w:rPr>
                <w:sz w:val="14"/>
                <w:szCs w:val="14"/>
                <w:color w:val="auto"/>
              </w:rPr>
            </w:pPr>
          </w:p>
        </w:tc>
        <w:tc>
          <w:tcPr>
            <w:tcW w:w="48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Registered Industrial Hemp Processor</w:t>
            </w:r>
          </w:p>
        </w:tc>
      </w:tr>
      <w:tr>
        <w:trPr>
          <w:trHeight w:val="162"/>
        </w:trPr>
        <w:tc>
          <w:tcPr>
            <w:tcW w:w="24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GTI Rock Island, LLC</w:t>
            </w: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1204-324</w:t>
            </w:r>
          </w:p>
        </w:tc>
        <w:tc>
          <w:tcPr>
            <w:tcW w:w="160" w:type="dxa"/>
            <w:vAlign w:val="bottom"/>
          </w:tcPr>
          <w:p>
            <w:pPr>
              <w:spacing w:after="0"/>
              <w:rPr>
                <w:sz w:val="14"/>
                <w:szCs w:val="14"/>
                <w:color w:val="auto"/>
              </w:rPr>
            </w:pPr>
          </w:p>
        </w:tc>
        <w:tc>
          <w:tcPr>
            <w:tcW w:w="132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auto"/>
              </w:rPr>
              <w:t>West Rock Island, IL</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12/31/2023</w:t>
            </w:r>
          </w:p>
        </w:tc>
        <w:tc>
          <w:tcPr>
            <w:tcW w:w="80" w:type="dxa"/>
            <w:vAlign w:val="bottom"/>
          </w:tcPr>
          <w:p>
            <w:pPr>
              <w:spacing w:after="0"/>
              <w:rPr>
                <w:sz w:val="14"/>
                <w:szCs w:val="14"/>
                <w:color w:val="auto"/>
              </w:rPr>
            </w:pPr>
          </w:p>
        </w:tc>
        <w:tc>
          <w:tcPr>
            <w:tcW w:w="48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Registered Industrial Hemp Processor</w:t>
            </w:r>
          </w:p>
        </w:tc>
      </w:tr>
      <w:tr>
        <w:trPr>
          <w:trHeight w:val="162"/>
        </w:trPr>
        <w:tc>
          <w:tcPr>
            <w:tcW w:w="24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Evergreen Dispensary, LLC</w:t>
            </w:r>
          </w:p>
        </w:tc>
        <w:tc>
          <w:tcPr>
            <w:tcW w:w="1600" w:type="dxa"/>
            <w:vAlign w:val="bottom"/>
            <w:gridSpan w:val="3"/>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CD-44992</w:t>
            </w:r>
          </w:p>
        </w:tc>
        <w:tc>
          <w:tcPr>
            <w:tcW w:w="132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Quincy, IL</w:t>
            </w:r>
          </w:p>
        </w:tc>
        <w:tc>
          <w:tcPr>
            <w:tcW w:w="9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1/1/2024</w:t>
            </w:r>
          </w:p>
        </w:tc>
        <w:tc>
          <w:tcPr>
            <w:tcW w:w="80" w:type="dxa"/>
            <w:vAlign w:val="bottom"/>
            <w:shd w:val="clear" w:color="auto" w:fill="CFF0FC"/>
          </w:tcPr>
          <w:p>
            <w:pPr>
              <w:spacing w:after="0"/>
              <w:rPr>
                <w:sz w:val="14"/>
                <w:szCs w:val="14"/>
                <w:color w:val="auto"/>
              </w:rPr>
            </w:pPr>
          </w:p>
        </w:tc>
        <w:tc>
          <w:tcPr>
            <w:tcW w:w="48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Certificate of Registration</w:t>
            </w:r>
          </w:p>
        </w:tc>
      </w:tr>
      <w:tr>
        <w:trPr>
          <w:trHeight w:val="162"/>
        </w:trPr>
        <w:tc>
          <w:tcPr>
            <w:tcW w:w="24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GTI Rock Island, LLC</w:t>
            </w: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1503060649</w:t>
            </w:r>
          </w:p>
        </w:tc>
        <w:tc>
          <w:tcPr>
            <w:tcW w:w="160" w:type="dxa"/>
            <w:vAlign w:val="bottom"/>
          </w:tcPr>
          <w:p>
            <w:pPr>
              <w:spacing w:after="0"/>
              <w:rPr>
                <w:sz w:val="14"/>
                <w:szCs w:val="14"/>
                <w:color w:val="auto"/>
              </w:rPr>
            </w:pPr>
          </w:p>
        </w:tc>
        <w:tc>
          <w:tcPr>
            <w:tcW w:w="132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auto"/>
              </w:rPr>
              <w:t>West Rock Island, IL</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3/9/2023</w:t>
            </w:r>
          </w:p>
        </w:tc>
        <w:tc>
          <w:tcPr>
            <w:tcW w:w="80" w:type="dxa"/>
            <w:vAlign w:val="bottom"/>
          </w:tcPr>
          <w:p>
            <w:pPr>
              <w:spacing w:after="0"/>
              <w:rPr>
                <w:sz w:val="14"/>
                <w:szCs w:val="14"/>
                <w:color w:val="auto"/>
              </w:rPr>
            </w:pPr>
          </w:p>
        </w:tc>
        <w:tc>
          <w:tcPr>
            <w:tcW w:w="48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Medical Cannabis Cultivation Permit</w:t>
            </w:r>
          </w:p>
        </w:tc>
      </w:tr>
      <w:tr>
        <w:trPr>
          <w:trHeight w:val="162"/>
        </w:trPr>
        <w:tc>
          <w:tcPr>
            <w:tcW w:w="24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GTI Oglesby, LLC</w:t>
            </w:r>
          </w:p>
        </w:tc>
        <w:tc>
          <w:tcPr>
            <w:tcW w:w="144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1503060648</w:t>
            </w:r>
          </w:p>
        </w:tc>
        <w:tc>
          <w:tcPr>
            <w:tcW w:w="160" w:type="dxa"/>
            <w:vAlign w:val="bottom"/>
            <w:shd w:val="clear" w:color="auto" w:fill="CFF0FC"/>
          </w:tcPr>
          <w:p>
            <w:pPr>
              <w:spacing w:after="0"/>
              <w:rPr>
                <w:sz w:val="14"/>
                <w:szCs w:val="14"/>
                <w:color w:val="auto"/>
              </w:rPr>
            </w:pPr>
          </w:p>
        </w:tc>
        <w:tc>
          <w:tcPr>
            <w:tcW w:w="132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Oglesby, IL</w:t>
            </w:r>
          </w:p>
        </w:tc>
        <w:tc>
          <w:tcPr>
            <w:tcW w:w="9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3/9/2023</w:t>
            </w:r>
          </w:p>
        </w:tc>
        <w:tc>
          <w:tcPr>
            <w:tcW w:w="80" w:type="dxa"/>
            <w:vAlign w:val="bottom"/>
            <w:shd w:val="clear" w:color="auto" w:fill="CFF0FC"/>
          </w:tcPr>
          <w:p>
            <w:pPr>
              <w:spacing w:after="0"/>
              <w:rPr>
                <w:sz w:val="14"/>
                <w:szCs w:val="14"/>
                <w:color w:val="auto"/>
              </w:rPr>
            </w:pPr>
          </w:p>
        </w:tc>
        <w:tc>
          <w:tcPr>
            <w:tcW w:w="48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Medical Cannabis Cultivation Permit</w:t>
            </w:r>
          </w:p>
        </w:tc>
      </w:tr>
      <w:tr>
        <w:trPr>
          <w:trHeight w:val="162"/>
        </w:trPr>
        <w:tc>
          <w:tcPr>
            <w:tcW w:w="24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GTI Rock Island, LLC</w:t>
            </w:r>
          </w:p>
        </w:tc>
        <w:tc>
          <w:tcPr>
            <w:tcW w:w="160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1503060649-AU</w:t>
            </w:r>
          </w:p>
        </w:tc>
        <w:tc>
          <w:tcPr>
            <w:tcW w:w="132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auto"/>
              </w:rPr>
              <w:t>West Rock Island, IL</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3/31/2023</w:t>
            </w:r>
          </w:p>
        </w:tc>
        <w:tc>
          <w:tcPr>
            <w:tcW w:w="80" w:type="dxa"/>
            <w:vAlign w:val="bottom"/>
          </w:tcPr>
          <w:p>
            <w:pPr>
              <w:spacing w:after="0"/>
              <w:rPr>
                <w:sz w:val="14"/>
                <w:szCs w:val="14"/>
                <w:color w:val="auto"/>
              </w:rPr>
            </w:pPr>
          </w:p>
        </w:tc>
        <w:tc>
          <w:tcPr>
            <w:tcW w:w="48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Adult-Use Cultivation Center License</w:t>
            </w:r>
          </w:p>
        </w:tc>
      </w:tr>
      <w:tr>
        <w:trPr>
          <w:trHeight w:val="162"/>
        </w:trPr>
        <w:tc>
          <w:tcPr>
            <w:tcW w:w="24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GTI Oglesby, LLC</w:t>
            </w:r>
          </w:p>
        </w:tc>
        <w:tc>
          <w:tcPr>
            <w:tcW w:w="1600" w:type="dxa"/>
            <w:vAlign w:val="bottom"/>
            <w:gridSpan w:val="3"/>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1503060648-AU</w:t>
            </w:r>
          </w:p>
        </w:tc>
        <w:tc>
          <w:tcPr>
            <w:tcW w:w="132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Oglesby, IL</w:t>
            </w:r>
          </w:p>
        </w:tc>
        <w:tc>
          <w:tcPr>
            <w:tcW w:w="9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3/31/2023</w:t>
            </w:r>
          </w:p>
        </w:tc>
        <w:tc>
          <w:tcPr>
            <w:tcW w:w="80" w:type="dxa"/>
            <w:vAlign w:val="bottom"/>
            <w:shd w:val="clear" w:color="auto" w:fill="CFF0FC"/>
          </w:tcPr>
          <w:p>
            <w:pPr>
              <w:spacing w:after="0"/>
              <w:rPr>
                <w:sz w:val="14"/>
                <w:szCs w:val="14"/>
                <w:color w:val="auto"/>
              </w:rPr>
            </w:pPr>
          </w:p>
        </w:tc>
        <w:tc>
          <w:tcPr>
            <w:tcW w:w="48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Adult-Use Cultivation Center License</w:t>
            </w:r>
          </w:p>
        </w:tc>
      </w:tr>
      <w:tr>
        <w:trPr>
          <w:trHeight w:val="162"/>
        </w:trPr>
        <w:tc>
          <w:tcPr>
            <w:tcW w:w="24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GTI Mundelein, LLC</w:t>
            </w:r>
          </w:p>
        </w:tc>
        <w:tc>
          <w:tcPr>
            <w:tcW w:w="160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MCANLC2201</w:t>
            </w:r>
          </w:p>
        </w:tc>
        <w:tc>
          <w:tcPr>
            <w:tcW w:w="132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auto"/>
              </w:rPr>
              <w:t>Mundelein, IL</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4/30/2023</w:t>
            </w:r>
          </w:p>
        </w:tc>
        <w:tc>
          <w:tcPr>
            <w:tcW w:w="80" w:type="dxa"/>
            <w:vAlign w:val="bottom"/>
          </w:tcPr>
          <w:p>
            <w:pPr>
              <w:spacing w:after="0"/>
              <w:rPr>
                <w:sz w:val="14"/>
                <w:szCs w:val="14"/>
                <w:color w:val="auto"/>
              </w:rPr>
            </w:pPr>
          </w:p>
        </w:tc>
        <w:tc>
          <w:tcPr>
            <w:tcW w:w="48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Medical Cannabis License</w:t>
            </w:r>
          </w:p>
        </w:tc>
      </w:tr>
      <w:tr>
        <w:trPr>
          <w:trHeight w:val="162"/>
        </w:trPr>
        <w:tc>
          <w:tcPr>
            <w:tcW w:w="24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GTI Rock Island, LLC</w:t>
            </w:r>
          </w:p>
        </w:tc>
        <w:tc>
          <w:tcPr>
            <w:tcW w:w="1600" w:type="dxa"/>
            <w:vAlign w:val="bottom"/>
            <w:gridSpan w:val="3"/>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1503060649-TR</w:t>
            </w:r>
          </w:p>
        </w:tc>
        <w:tc>
          <w:tcPr>
            <w:tcW w:w="132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West Rock Island, IL</w:t>
            </w:r>
          </w:p>
        </w:tc>
        <w:tc>
          <w:tcPr>
            <w:tcW w:w="9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7/14/2023</w:t>
            </w:r>
          </w:p>
        </w:tc>
        <w:tc>
          <w:tcPr>
            <w:tcW w:w="80" w:type="dxa"/>
            <w:vAlign w:val="bottom"/>
            <w:shd w:val="clear" w:color="auto" w:fill="CFF0FC"/>
          </w:tcPr>
          <w:p>
            <w:pPr>
              <w:spacing w:after="0"/>
              <w:rPr>
                <w:sz w:val="14"/>
                <w:szCs w:val="14"/>
                <w:color w:val="auto"/>
              </w:rPr>
            </w:pPr>
          </w:p>
        </w:tc>
        <w:tc>
          <w:tcPr>
            <w:tcW w:w="48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Transporter License</w:t>
            </w:r>
          </w:p>
        </w:tc>
      </w:tr>
      <w:tr>
        <w:trPr>
          <w:trHeight w:val="162"/>
        </w:trPr>
        <w:tc>
          <w:tcPr>
            <w:tcW w:w="24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GTI Oglesby, LLC</w:t>
            </w:r>
          </w:p>
        </w:tc>
        <w:tc>
          <w:tcPr>
            <w:tcW w:w="160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1503060648-TR</w:t>
            </w:r>
          </w:p>
        </w:tc>
        <w:tc>
          <w:tcPr>
            <w:tcW w:w="132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auto"/>
              </w:rPr>
              <w:t>Oglesby, IL</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7/14/2023</w:t>
            </w:r>
          </w:p>
        </w:tc>
        <w:tc>
          <w:tcPr>
            <w:tcW w:w="80" w:type="dxa"/>
            <w:vAlign w:val="bottom"/>
          </w:tcPr>
          <w:p>
            <w:pPr>
              <w:spacing w:after="0"/>
              <w:rPr>
                <w:sz w:val="14"/>
                <w:szCs w:val="14"/>
                <w:color w:val="auto"/>
              </w:rPr>
            </w:pPr>
          </w:p>
        </w:tc>
        <w:tc>
          <w:tcPr>
            <w:tcW w:w="48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Transporter License</w:t>
            </w:r>
          </w:p>
        </w:tc>
      </w:tr>
      <w:tr>
        <w:trPr>
          <w:trHeight w:val="162"/>
        </w:trPr>
        <w:tc>
          <w:tcPr>
            <w:tcW w:w="24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NH Medicinal Dispensaries, LLC</w:t>
            </w:r>
          </w:p>
        </w:tc>
        <w:tc>
          <w:tcPr>
            <w:tcW w:w="1600" w:type="dxa"/>
            <w:vAlign w:val="bottom"/>
            <w:gridSpan w:val="3"/>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280.000042-DISP</w:t>
            </w:r>
          </w:p>
        </w:tc>
        <w:tc>
          <w:tcPr>
            <w:tcW w:w="132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Effingham, IL</w:t>
            </w:r>
          </w:p>
        </w:tc>
        <w:tc>
          <w:tcPr>
            <w:tcW w:w="9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8/22/2023</w:t>
            </w:r>
          </w:p>
        </w:tc>
        <w:tc>
          <w:tcPr>
            <w:tcW w:w="80" w:type="dxa"/>
            <w:vAlign w:val="bottom"/>
            <w:shd w:val="clear" w:color="auto" w:fill="CFF0FC"/>
          </w:tcPr>
          <w:p>
            <w:pPr>
              <w:spacing w:after="0"/>
              <w:rPr>
                <w:sz w:val="14"/>
                <w:szCs w:val="14"/>
                <w:color w:val="auto"/>
              </w:rPr>
            </w:pPr>
          </w:p>
        </w:tc>
        <w:tc>
          <w:tcPr>
            <w:tcW w:w="48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Registered Medical Cannabis Dispensing Organization</w:t>
            </w:r>
          </w:p>
        </w:tc>
      </w:tr>
      <w:tr>
        <w:trPr>
          <w:trHeight w:val="162"/>
        </w:trPr>
        <w:tc>
          <w:tcPr>
            <w:tcW w:w="24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GTI Mundelein, LLC</w:t>
            </w:r>
          </w:p>
        </w:tc>
        <w:tc>
          <w:tcPr>
            <w:tcW w:w="160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280.000002-DISP</w:t>
            </w:r>
          </w:p>
        </w:tc>
        <w:tc>
          <w:tcPr>
            <w:tcW w:w="132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auto"/>
              </w:rPr>
              <w:t>Mundelein, IL</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9/17/2023</w:t>
            </w:r>
          </w:p>
        </w:tc>
        <w:tc>
          <w:tcPr>
            <w:tcW w:w="80" w:type="dxa"/>
            <w:vAlign w:val="bottom"/>
          </w:tcPr>
          <w:p>
            <w:pPr>
              <w:spacing w:after="0"/>
              <w:rPr>
                <w:sz w:val="14"/>
                <w:szCs w:val="14"/>
                <w:color w:val="auto"/>
              </w:rPr>
            </w:pPr>
          </w:p>
        </w:tc>
        <w:tc>
          <w:tcPr>
            <w:tcW w:w="48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Registered Medical Cannabis Dispensing Organization</w:t>
            </w:r>
          </w:p>
        </w:tc>
      </w:tr>
      <w:tr>
        <w:trPr>
          <w:trHeight w:val="162"/>
        </w:trPr>
        <w:tc>
          <w:tcPr>
            <w:tcW w:w="24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Evergreen Dispensary, LLC</w:t>
            </w:r>
          </w:p>
        </w:tc>
        <w:tc>
          <w:tcPr>
            <w:tcW w:w="1600" w:type="dxa"/>
            <w:vAlign w:val="bottom"/>
            <w:gridSpan w:val="3"/>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280.000003-DISP</w:t>
            </w:r>
          </w:p>
        </w:tc>
        <w:tc>
          <w:tcPr>
            <w:tcW w:w="132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Canton, IL</w:t>
            </w:r>
          </w:p>
        </w:tc>
        <w:tc>
          <w:tcPr>
            <w:tcW w:w="9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9/18/2023</w:t>
            </w:r>
          </w:p>
        </w:tc>
        <w:tc>
          <w:tcPr>
            <w:tcW w:w="80" w:type="dxa"/>
            <w:vAlign w:val="bottom"/>
            <w:shd w:val="clear" w:color="auto" w:fill="CFF0FC"/>
          </w:tcPr>
          <w:p>
            <w:pPr>
              <w:spacing w:after="0"/>
              <w:rPr>
                <w:sz w:val="14"/>
                <w:szCs w:val="14"/>
                <w:color w:val="auto"/>
              </w:rPr>
            </w:pPr>
          </w:p>
        </w:tc>
        <w:tc>
          <w:tcPr>
            <w:tcW w:w="48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Registered Medical Cannabis Dispensing Organization</w:t>
            </w:r>
          </w:p>
        </w:tc>
      </w:tr>
      <w:tr>
        <w:trPr>
          <w:trHeight w:val="162"/>
        </w:trPr>
        <w:tc>
          <w:tcPr>
            <w:tcW w:w="24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3C Compassionate Care Center, LLC</w:t>
            </w:r>
          </w:p>
        </w:tc>
        <w:tc>
          <w:tcPr>
            <w:tcW w:w="160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280.000027-DISP</w:t>
            </w:r>
          </w:p>
        </w:tc>
        <w:tc>
          <w:tcPr>
            <w:tcW w:w="132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auto"/>
              </w:rPr>
              <w:t>Naperville, IL</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1/29/2024</w:t>
            </w:r>
          </w:p>
        </w:tc>
        <w:tc>
          <w:tcPr>
            <w:tcW w:w="80" w:type="dxa"/>
            <w:vAlign w:val="bottom"/>
          </w:tcPr>
          <w:p>
            <w:pPr>
              <w:spacing w:after="0"/>
              <w:rPr>
                <w:sz w:val="14"/>
                <w:szCs w:val="14"/>
                <w:color w:val="auto"/>
              </w:rPr>
            </w:pPr>
          </w:p>
        </w:tc>
        <w:tc>
          <w:tcPr>
            <w:tcW w:w="48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Registered Medical Cannabis Dispensing Organization</w:t>
            </w:r>
          </w:p>
        </w:tc>
      </w:tr>
      <w:tr>
        <w:trPr>
          <w:trHeight w:val="162"/>
        </w:trPr>
        <w:tc>
          <w:tcPr>
            <w:tcW w:w="24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NH Medicinal Dispensaries, LLC</w:t>
            </w:r>
          </w:p>
        </w:tc>
        <w:tc>
          <w:tcPr>
            <w:tcW w:w="1600" w:type="dxa"/>
            <w:vAlign w:val="bottom"/>
            <w:gridSpan w:val="3"/>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284.000130-AUDO</w:t>
            </w:r>
          </w:p>
        </w:tc>
        <w:tc>
          <w:tcPr>
            <w:tcW w:w="132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Charleston, IL</w:t>
            </w:r>
          </w:p>
        </w:tc>
        <w:tc>
          <w:tcPr>
            <w:tcW w:w="9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3/31/2024</w:t>
            </w:r>
          </w:p>
        </w:tc>
        <w:tc>
          <w:tcPr>
            <w:tcW w:w="80" w:type="dxa"/>
            <w:vAlign w:val="bottom"/>
            <w:shd w:val="clear" w:color="auto" w:fill="CFF0FC"/>
          </w:tcPr>
          <w:p>
            <w:pPr>
              <w:spacing w:after="0"/>
              <w:rPr>
                <w:sz w:val="14"/>
                <w:szCs w:val="14"/>
                <w:color w:val="auto"/>
              </w:rPr>
            </w:pPr>
          </w:p>
        </w:tc>
        <w:tc>
          <w:tcPr>
            <w:tcW w:w="48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Adult-Use Cannabis Dispensing Organization</w:t>
            </w:r>
          </w:p>
        </w:tc>
      </w:tr>
      <w:tr>
        <w:trPr>
          <w:trHeight w:val="162"/>
        </w:trPr>
        <w:tc>
          <w:tcPr>
            <w:tcW w:w="24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NH Medicinal Dispensaries, LLC</w:t>
            </w:r>
          </w:p>
        </w:tc>
        <w:tc>
          <w:tcPr>
            <w:tcW w:w="160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284.000129-AUDO</w:t>
            </w:r>
          </w:p>
        </w:tc>
        <w:tc>
          <w:tcPr>
            <w:tcW w:w="132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auto"/>
              </w:rPr>
              <w:t>Effingham, IL</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3/31/2024</w:t>
            </w:r>
          </w:p>
        </w:tc>
        <w:tc>
          <w:tcPr>
            <w:tcW w:w="80" w:type="dxa"/>
            <w:vAlign w:val="bottom"/>
          </w:tcPr>
          <w:p>
            <w:pPr>
              <w:spacing w:after="0"/>
              <w:rPr>
                <w:sz w:val="14"/>
                <w:szCs w:val="14"/>
                <w:color w:val="auto"/>
              </w:rPr>
            </w:pPr>
          </w:p>
        </w:tc>
        <w:tc>
          <w:tcPr>
            <w:tcW w:w="48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Adult-Use Cannabis Dispensing Organization</w:t>
            </w:r>
          </w:p>
        </w:tc>
      </w:tr>
      <w:tr>
        <w:trPr>
          <w:trHeight w:val="162"/>
        </w:trPr>
        <w:tc>
          <w:tcPr>
            <w:tcW w:w="24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3C Compassionate Care Center, LLC</w:t>
            </w:r>
          </w:p>
        </w:tc>
        <w:tc>
          <w:tcPr>
            <w:tcW w:w="1600" w:type="dxa"/>
            <w:vAlign w:val="bottom"/>
            <w:gridSpan w:val="3"/>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284.000110-AUDO</w:t>
            </w:r>
          </w:p>
        </w:tc>
        <w:tc>
          <w:tcPr>
            <w:tcW w:w="132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Lake in the Hills, IL</w:t>
            </w:r>
          </w:p>
        </w:tc>
        <w:tc>
          <w:tcPr>
            <w:tcW w:w="9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3/31/2024</w:t>
            </w:r>
          </w:p>
        </w:tc>
        <w:tc>
          <w:tcPr>
            <w:tcW w:w="80" w:type="dxa"/>
            <w:vAlign w:val="bottom"/>
            <w:shd w:val="clear" w:color="auto" w:fill="CFF0FC"/>
          </w:tcPr>
          <w:p>
            <w:pPr>
              <w:spacing w:after="0"/>
              <w:rPr>
                <w:sz w:val="14"/>
                <w:szCs w:val="14"/>
                <w:color w:val="auto"/>
              </w:rPr>
            </w:pPr>
          </w:p>
        </w:tc>
        <w:tc>
          <w:tcPr>
            <w:tcW w:w="48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Adult-Use Cannabis Dispensing Organization</w:t>
            </w:r>
          </w:p>
        </w:tc>
      </w:tr>
      <w:tr>
        <w:trPr>
          <w:trHeight w:val="162"/>
        </w:trPr>
        <w:tc>
          <w:tcPr>
            <w:tcW w:w="24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3C Compassionate Care Center, LLC</w:t>
            </w:r>
          </w:p>
        </w:tc>
        <w:tc>
          <w:tcPr>
            <w:tcW w:w="160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284.000055-AUDO</w:t>
            </w:r>
          </w:p>
        </w:tc>
        <w:tc>
          <w:tcPr>
            <w:tcW w:w="132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auto"/>
              </w:rPr>
              <w:t>Niles, IL</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3/31/2024</w:t>
            </w:r>
          </w:p>
        </w:tc>
        <w:tc>
          <w:tcPr>
            <w:tcW w:w="80" w:type="dxa"/>
            <w:vAlign w:val="bottom"/>
          </w:tcPr>
          <w:p>
            <w:pPr>
              <w:spacing w:after="0"/>
              <w:rPr>
                <w:sz w:val="14"/>
                <w:szCs w:val="14"/>
                <w:color w:val="auto"/>
              </w:rPr>
            </w:pPr>
          </w:p>
        </w:tc>
        <w:tc>
          <w:tcPr>
            <w:tcW w:w="48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Adult-Use Cannabis Dispensing Organization</w:t>
            </w:r>
          </w:p>
        </w:tc>
      </w:tr>
      <w:tr>
        <w:trPr>
          <w:trHeight w:val="162"/>
        </w:trPr>
        <w:tc>
          <w:tcPr>
            <w:tcW w:w="24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Evergreen Dispensary, LLC</w:t>
            </w:r>
          </w:p>
        </w:tc>
        <w:tc>
          <w:tcPr>
            <w:tcW w:w="1600" w:type="dxa"/>
            <w:vAlign w:val="bottom"/>
            <w:gridSpan w:val="3"/>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284.000047-AUDO</w:t>
            </w:r>
          </w:p>
        </w:tc>
        <w:tc>
          <w:tcPr>
            <w:tcW w:w="132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Quincy, IL</w:t>
            </w:r>
          </w:p>
        </w:tc>
        <w:tc>
          <w:tcPr>
            <w:tcW w:w="9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3/31/2024</w:t>
            </w:r>
          </w:p>
        </w:tc>
        <w:tc>
          <w:tcPr>
            <w:tcW w:w="80" w:type="dxa"/>
            <w:vAlign w:val="bottom"/>
            <w:shd w:val="clear" w:color="auto" w:fill="CFF0FC"/>
          </w:tcPr>
          <w:p>
            <w:pPr>
              <w:spacing w:after="0"/>
              <w:rPr>
                <w:sz w:val="14"/>
                <w:szCs w:val="14"/>
                <w:color w:val="auto"/>
              </w:rPr>
            </w:pPr>
          </w:p>
        </w:tc>
        <w:tc>
          <w:tcPr>
            <w:tcW w:w="48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Adult-Use Cannabis Dispensing Organization</w:t>
            </w:r>
          </w:p>
        </w:tc>
      </w:tr>
      <w:tr>
        <w:trPr>
          <w:trHeight w:val="162"/>
        </w:trPr>
        <w:tc>
          <w:tcPr>
            <w:tcW w:w="24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GTI Mundelein, LLC</w:t>
            </w:r>
          </w:p>
        </w:tc>
        <w:tc>
          <w:tcPr>
            <w:tcW w:w="160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284.000044-AUDO</w:t>
            </w:r>
          </w:p>
        </w:tc>
        <w:tc>
          <w:tcPr>
            <w:tcW w:w="132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auto"/>
              </w:rPr>
              <w:t>Joliet, IL</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3/31/2024</w:t>
            </w:r>
          </w:p>
        </w:tc>
        <w:tc>
          <w:tcPr>
            <w:tcW w:w="80" w:type="dxa"/>
            <w:vAlign w:val="bottom"/>
          </w:tcPr>
          <w:p>
            <w:pPr>
              <w:spacing w:after="0"/>
              <w:rPr>
                <w:sz w:val="14"/>
                <w:szCs w:val="14"/>
                <w:color w:val="auto"/>
              </w:rPr>
            </w:pPr>
          </w:p>
        </w:tc>
        <w:tc>
          <w:tcPr>
            <w:tcW w:w="48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Adult-Use Cannabis Dispensing Organization</w:t>
            </w:r>
          </w:p>
        </w:tc>
      </w:tr>
      <w:tr>
        <w:trPr>
          <w:trHeight w:val="162"/>
        </w:trPr>
        <w:tc>
          <w:tcPr>
            <w:tcW w:w="24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Evergreen Dispensary, LLC</w:t>
            </w:r>
          </w:p>
        </w:tc>
        <w:tc>
          <w:tcPr>
            <w:tcW w:w="1600" w:type="dxa"/>
            <w:vAlign w:val="bottom"/>
            <w:gridSpan w:val="3"/>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284.000005-AUDO</w:t>
            </w:r>
          </w:p>
        </w:tc>
        <w:tc>
          <w:tcPr>
            <w:tcW w:w="132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Canton, IL</w:t>
            </w:r>
          </w:p>
        </w:tc>
        <w:tc>
          <w:tcPr>
            <w:tcW w:w="9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3/31/2024</w:t>
            </w:r>
          </w:p>
        </w:tc>
        <w:tc>
          <w:tcPr>
            <w:tcW w:w="80" w:type="dxa"/>
            <w:vAlign w:val="bottom"/>
            <w:shd w:val="clear" w:color="auto" w:fill="CFF0FC"/>
          </w:tcPr>
          <w:p>
            <w:pPr>
              <w:spacing w:after="0"/>
              <w:rPr>
                <w:sz w:val="14"/>
                <w:szCs w:val="14"/>
                <w:color w:val="auto"/>
              </w:rPr>
            </w:pPr>
          </w:p>
        </w:tc>
        <w:tc>
          <w:tcPr>
            <w:tcW w:w="48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Adult-Use Cannabis Dispensing Organization</w:t>
            </w:r>
          </w:p>
        </w:tc>
      </w:tr>
      <w:tr>
        <w:trPr>
          <w:trHeight w:val="162"/>
        </w:trPr>
        <w:tc>
          <w:tcPr>
            <w:tcW w:w="24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3C Compassionate Care Center, LLC</w:t>
            </w:r>
          </w:p>
        </w:tc>
        <w:tc>
          <w:tcPr>
            <w:tcW w:w="160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284.000003-AUDO</w:t>
            </w:r>
          </w:p>
        </w:tc>
        <w:tc>
          <w:tcPr>
            <w:tcW w:w="132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auto"/>
              </w:rPr>
              <w:t>Naperville, IL</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3/31/2024</w:t>
            </w:r>
          </w:p>
        </w:tc>
        <w:tc>
          <w:tcPr>
            <w:tcW w:w="80" w:type="dxa"/>
            <w:vAlign w:val="bottom"/>
          </w:tcPr>
          <w:p>
            <w:pPr>
              <w:spacing w:after="0"/>
              <w:rPr>
                <w:sz w:val="14"/>
                <w:szCs w:val="14"/>
                <w:color w:val="auto"/>
              </w:rPr>
            </w:pPr>
          </w:p>
        </w:tc>
        <w:tc>
          <w:tcPr>
            <w:tcW w:w="48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Adult-Use Cannabis Dispensing Organization</w:t>
            </w:r>
          </w:p>
        </w:tc>
      </w:tr>
      <w:tr>
        <w:trPr>
          <w:trHeight w:val="162"/>
        </w:trPr>
        <w:tc>
          <w:tcPr>
            <w:tcW w:w="24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3C Compassionate Care Center, LLC</w:t>
            </w:r>
          </w:p>
        </w:tc>
        <w:tc>
          <w:tcPr>
            <w:tcW w:w="1600" w:type="dxa"/>
            <w:vAlign w:val="bottom"/>
            <w:gridSpan w:val="3"/>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284.000002-AUDO</w:t>
            </w:r>
          </w:p>
        </w:tc>
        <w:tc>
          <w:tcPr>
            <w:tcW w:w="132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Joliet, IL</w:t>
            </w:r>
          </w:p>
        </w:tc>
        <w:tc>
          <w:tcPr>
            <w:tcW w:w="9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3/31/2024</w:t>
            </w:r>
          </w:p>
        </w:tc>
        <w:tc>
          <w:tcPr>
            <w:tcW w:w="80" w:type="dxa"/>
            <w:vAlign w:val="bottom"/>
            <w:shd w:val="clear" w:color="auto" w:fill="CFF0FC"/>
          </w:tcPr>
          <w:p>
            <w:pPr>
              <w:spacing w:after="0"/>
              <w:rPr>
                <w:sz w:val="14"/>
                <w:szCs w:val="14"/>
                <w:color w:val="auto"/>
              </w:rPr>
            </w:pPr>
          </w:p>
        </w:tc>
        <w:tc>
          <w:tcPr>
            <w:tcW w:w="48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Adult-Use Cannabis Dispensing Organization</w:t>
            </w:r>
          </w:p>
        </w:tc>
      </w:tr>
      <w:tr>
        <w:trPr>
          <w:trHeight w:val="162"/>
        </w:trPr>
        <w:tc>
          <w:tcPr>
            <w:tcW w:w="24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GTI Mundelein, LLC</w:t>
            </w:r>
          </w:p>
        </w:tc>
        <w:tc>
          <w:tcPr>
            <w:tcW w:w="160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284.000001-AUDO</w:t>
            </w:r>
          </w:p>
        </w:tc>
        <w:tc>
          <w:tcPr>
            <w:tcW w:w="132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auto"/>
              </w:rPr>
              <w:t>Mundelein, IL</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3/31/2024</w:t>
            </w:r>
          </w:p>
        </w:tc>
        <w:tc>
          <w:tcPr>
            <w:tcW w:w="80" w:type="dxa"/>
            <w:vAlign w:val="bottom"/>
          </w:tcPr>
          <w:p>
            <w:pPr>
              <w:spacing w:after="0"/>
              <w:rPr>
                <w:sz w:val="14"/>
                <w:szCs w:val="14"/>
                <w:color w:val="auto"/>
              </w:rPr>
            </w:pPr>
          </w:p>
        </w:tc>
        <w:tc>
          <w:tcPr>
            <w:tcW w:w="48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Adult-Use Cannabis Dispensing Organization</w:t>
            </w:r>
          </w:p>
        </w:tc>
      </w:tr>
      <w:tr>
        <w:trPr>
          <w:trHeight w:val="162"/>
        </w:trPr>
        <w:tc>
          <w:tcPr>
            <w:tcW w:w="24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RISE Mundelein</w:t>
            </w:r>
          </w:p>
        </w:tc>
        <w:tc>
          <w:tcPr>
            <w:tcW w:w="1600" w:type="dxa"/>
            <w:vAlign w:val="bottom"/>
            <w:gridSpan w:val="3"/>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MCANLC2201</w:t>
            </w:r>
          </w:p>
        </w:tc>
        <w:tc>
          <w:tcPr>
            <w:tcW w:w="132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Mundelein, IL</w:t>
            </w:r>
          </w:p>
        </w:tc>
        <w:tc>
          <w:tcPr>
            <w:tcW w:w="9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4/30/2023</w:t>
            </w:r>
          </w:p>
        </w:tc>
        <w:tc>
          <w:tcPr>
            <w:tcW w:w="80" w:type="dxa"/>
            <w:vAlign w:val="bottom"/>
            <w:shd w:val="clear" w:color="auto" w:fill="CFF0FC"/>
          </w:tcPr>
          <w:p>
            <w:pPr>
              <w:spacing w:after="0"/>
              <w:rPr>
                <w:sz w:val="14"/>
                <w:szCs w:val="14"/>
                <w:color w:val="auto"/>
              </w:rPr>
            </w:pPr>
          </w:p>
        </w:tc>
        <w:tc>
          <w:tcPr>
            <w:tcW w:w="48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Medical Cannabis Dispensary</w:t>
            </w:r>
          </w:p>
        </w:tc>
      </w:tr>
      <w:tr>
        <w:trPr>
          <w:trHeight w:val="331"/>
        </w:trPr>
        <w:tc>
          <w:tcPr>
            <w:tcW w:w="2420" w:type="dxa"/>
            <w:vAlign w:val="bottom"/>
            <w:gridSpan w:val="3"/>
          </w:tcPr>
          <w:p>
            <w:pPr>
              <w:ind w:left="20"/>
              <w:spacing w:after="0"/>
              <w:rPr>
                <w:sz w:val="20"/>
                <w:szCs w:val="20"/>
                <w:color w:val="auto"/>
              </w:rPr>
            </w:pPr>
            <w:r>
              <w:rPr>
                <w:rFonts w:ascii="Times New Roman" w:cs="Times New Roman" w:eastAsia="Times New Roman" w:hAnsi="Times New Roman"/>
                <w:sz w:val="13"/>
                <w:szCs w:val="13"/>
                <w:i w:val="1"/>
                <w:iCs w:val="1"/>
                <w:color w:val="auto"/>
              </w:rPr>
              <w:t>Licenses in the State of Maryland</w:t>
            </w: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42"/>
        </w:trPr>
        <w:tc>
          <w:tcPr>
            <w:tcW w:w="980" w:type="dxa"/>
            <w:vAlign w:val="bottom"/>
          </w:tcPr>
          <w:p>
            <w:pPr>
              <w:spacing w:after="0"/>
              <w:rPr>
                <w:sz w:val="12"/>
                <w:szCs w:val="12"/>
                <w:color w:val="auto"/>
              </w:rPr>
            </w:pPr>
          </w:p>
        </w:tc>
        <w:tc>
          <w:tcPr>
            <w:tcW w:w="80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w w:val="94"/>
              </w:rPr>
              <w:t>Holding Entity</w:t>
            </w: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w w:val="95"/>
              </w:rPr>
              <w:t>Permit/License</w:t>
            </w:r>
          </w:p>
        </w:tc>
        <w:tc>
          <w:tcPr>
            <w:tcW w:w="160" w:type="dxa"/>
            <w:vAlign w:val="bottom"/>
          </w:tcPr>
          <w:p>
            <w:pPr>
              <w:spacing w:after="0"/>
              <w:rPr>
                <w:sz w:val="12"/>
                <w:szCs w:val="12"/>
                <w:color w:val="auto"/>
              </w:rPr>
            </w:pPr>
          </w:p>
        </w:tc>
        <w:tc>
          <w:tcPr>
            <w:tcW w:w="1320" w:type="dxa"/>
            <w:vAlign w:val="bottom"/>
            <w:gridSpan w:val="3"/>
          </w:tcPr>
          <w:p>
            <w:pPr>
              <w:ind w:left="660"/>
              <w:spacing w:after="0" w:line="142" w:lineRule="exact"/>
              <w:rPr>
                <w:sz w:val="20"/>
                <w:szCs w:val="20"/>
                <w:color w:val="auto"/>
              </w:rPr>
            </w:pPr>
            <w:r>
              <w:rPr>
                <w:rFonts w:ascii="Times New Roman" w:cs="Times New Roman" w:eastAsia="Times New Roman" w:hAnsi="Times New Roman"/>
                <w:sz w:val="13"/>
                <w:szCs w:val="13"/>
                <w:b w:val="1"/>
                <w:bCs w:val="1"/>
                <w:color w:val="auto"/>
              </w:rPr>
              <w:t>City</w:t>
            </w:r>
          </w:p>
        </w:tc>
        <w:tc>
          <w:tcPr>
            <w:tcW w:w="1040" w:type="dxa"/>
            <w:vAlign w:val="bottom"/>
            <w:gridSpan w:val="3"/>
          </w:tcPr>
          <w:p>
            <w:pPr>
              <w:ind w:left="200"/>
              <w:spacing w:after="0" w:line="142" w:lineRule="exact"/>
              <w:rPr>
                <w:sz w:val="20"/>
                <w:szCs w:val="20"/>
                <w:color w:val="auto"/>
              </w:rPr>
            </w:pPr>
            <w:r>
              <w:rPr>
                <w:rFonts w:ascii="Times New Roman" w:cs="Times New Roman" w:eastAsia="Times New Roman" w:hAnsi="Times New Roman"/>
                <w:sz w:val="13"/>
                <w:szCs w:val="13"/>
                <w:b w:val="1"/>
                <w:bCs w:val="1"/>
                <w:color w:val="auto"/>
              </w:rPr>
              <w:t>Renewal Date</w:t>
            </w:r>
          </w:p>
        </w:tc>
        <w:tc>
          <w:tcPr>
            <w:tcW w:w="4860" w:type="dxa"/>
            <w:vAlign w:val="bottom"/>
            <w:gridSpan w:val="3"/>
          </w:tcPr>
          <w:p>
            <w:pPr>
              <w:ind w:left="2140"/>
              <w:spacing w:after="0" w:line="142" w:lineRule="exact"/>
              <w:rPr>
                <w:sz w:val="20"/>
                <w:szCs w:val="20"/>
                <w:color w:val="auto"/>
              </w:rPr>
            </w:pPr>
            <w:r>
              <w:rPr>
                <w:rFonts w:ascii="Times New Roman" w:cs="Times New Roman" w:eastAsia="Times New Roman" w:hAnsi="Times New Roman"/>
                <w:sz w:val="13"/>
                <w:szCs w:val="13"/>
                <w:b w:val="1"/>
                <w:bCs w:val="1"/>
                <w:color w:val="auto"/>
              </w:rPr>
              <w:t>Description</w:t>
            </w:r>
          </w:p>
        </w:tc>
      </w:tr>
      <w:tr>
        <w:trPr>
          <w:trHeight w:val="27"/>
        </w:trPr>
        <w:tc>
          <w:tcPr>
            <w:tcW w:w="9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100" w:type="dxa"/>
            <w:vAlign w:val="bottom"/>
          </w:tcPr>
          <w:p>
            <w:pPr>
              <w:spacing w:after="0"/>
              <w:rPr>
                <w:sz w:val="2"/>
                <w:szCs w:val="2"/>
                <w:color w:val="auto"/>
              </w:rPr>
            </w:pPr>
          </w:p>
        </w:tc>
      </w:tr>
      <w:tr>
        <w:trPr>
          <w:trHeight w:val="162"/>
        </w:trPr>
        <w:tc>
          <w:tcPr>
            <w:tcW w:w="24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Chesapeake Alternatives, LLC</w:t>
            </w:r>
          </w:p>
        </w:tc>
        <w:tc>
          <w:tcPr>
            <w:tcW w:w="1600" w:type="dxa"/>
            <w:vAlign w:val="bottom"/>
            <w:gridSpan w:val="3"/>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P-17-00005</w:t>
            </w:r>
          </w:p>
        </w:tc>
        <w:tc>
          <w:tcPr>
            <w:tcW w:w="132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Centreville, MD</w:t>
            </w:r>
          </w:p>
        </w:tc>
        <w:tc>
          <w:tcPr>
            <w:tcW w:w="9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8/28/2023</w:t>
            </w:r>
          </w:p>
        </w:tc>
        <w:tc>
          <w:tcPr>
            <w:tcW w:w="80" w:type="dxa"/>
            <w:vAlign w:val="bottom"/>
            <w:shd w:val="clear" w:color="auto" w:fill="CFF0FC"/>
          </w:tcPr>
          <w:p>
            <w:pPr>
              <w:spacing w:after="0"/>
              <w:rPr>
                <w:sz w:val="14"/>
                <w:szCs w:val="14"/>
                <w:color w:val="auto"/>
              </w:rPr>
            </w:pPr>
          </w:p>
        </w:tc>
        <w:tc>
          <w:tcPr>
            <w:tcW w:w="48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Licensed Processor</w:t>
            </w:r>
          </w:p>
        </w:tc>
      </w:tr>
      <w:tr>
        <w:trPr>
          <w:trHeight w:val="162"/>
        </w:trPr>
        <w:tc>
          <w:tcPr>
            <w:tcW w:w="24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Chesapeake Alternatives, LLC</w:t>
            </w:r>
          </w:p>
        </w:tc>
        <w:tc>
          <w:tcPr>
            <w:tcW w:w="160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D-17-00010</w:t>
            </w:r>
          </w:p>
        </w:tc>
        <w:tc>
          <w:tcPr>
            <w:tcW w:w="132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auto"/>
              </w:rPr>
              <w:t>Bethesda, MD</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11/20/2023</w:t>
            </w:r>
          </w:p>
        </w:tc>
        <w:tc>
          <w:tcPr>
            <w:tcW w:w="80" w:type="dxa"/>
            <w:vAlign w:val="bottom"/>
          </w:tcPr>
          <w:p>
            <w:pPr>
              <w:spacing w:after="0"/>
              <w:rPr>
                <w:sz w:val="14"/>
                <w:szCs w:val="14"/>
                <w:color w:val="auto"/>
              </w:rPr>
            </w:pPr>
          </w:p>
        </w:tc>
        <w:tc>
          <w:tcPr>
            <w:tcW w:w="48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Licensed Dispensary</w:t>
            </w:r>
          </w:p>
        </w:tc>
      </w:tr>
      <w:tr>
        <w:trPr>
          <w:trHeight w:val="162"/>
        </w:trPr>
        <w:tc>
          <w:tcPr>
            <w:tcW w:w="24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GTI Maryland, LLC</w:t>
            </w:r>
          </w:p>
        </w:tc>
        <w:tc>
          <w:tcPr>
            <w:tcW w:w="1600" w:type="dxa"/>
            <w:vAlign w:val="bottom"/>
            <w:gridSpan w:val="3"/>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D-17-00007</w:t>
            </w:r>
          </w:p>
        </w:tc>
        <w:tc>
          <w:tcPr>
            <w:tcW w:w="132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Silver Spring, MD</w:t>
            </w:r>
          </w:p>
        </w:tc>
        <w:tc>
          <w:tcPr>
            <w:tcW w:w="9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11/20/2023</w:t>
            </w:r>
          </w:p>
        </w:tc>
        <w:tc>
          <w:tcPr>
            <w:tcW w:w="80" w:type="dxa"/>
            <w:vAlign w:val="bottom"/>
            <w:shd w:val="clear" w:color="auto" w:fill="CFF0FC"/>
          </w:tcPr>
          <w:p>
            <w:pPr>
              <w:spacing w:after="0"/>
              <w:rPr>
                <w:sz w:val="14"/>
                <w:szCs w:val="14"/>
                <w:color w:val="auto"/>
              </w:rPr>
            </w:pPr>
          </w:p>
        </w:tc>
        <w:tc>
          <w:tcPr>
            <w:tcW w:w="48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Licensed Dispensary</w:t>
            </w:r>
          </w:p>
        </w:tc>
      </w:tr>
      <w:tr>
        <w:trPr>
          <w:trHeight w:val="162"/>
        </w:trPr>
        <w:tc>
          <w:tcPr>
            <w:tcW w:w="24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Meshow, LLC</w:t>
            </w:r>
          </w:p>
        </w:tc>
        <w:tc>
          <w:tcPr>
            <w:tcW w:w="160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D-18-00021</w:t>
            </w:r>
          </w:p>
        </w:tc>
        <w:tc>
          <w:tcPr>
            <w:tcW w:w="132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auto"/>
              </w:rPr>
              <w:t>Joppa, MD</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4/10/2024</w:t>
            </w:r>
          </w:p>
        </w:tc>
        <w:tc>
          <w:tcPr>
            <w:tcW w:w="80" w:type="dxa"/>
            <w:vAlign w:val="bottom"/>
          </w:tcPr>
          <w:p>
            <w:pPr>
              <w:spacing w:after="0"/>
              <w:rPr>
                <w:sz w:val="14"/>
                <w:szCs w:val="14"/>
                <w:color w:val="auto"/>
              </w:rPr>
            </w:pPr>
          </w:p>
        </w:tc>
        <w:tc>
          <w:tcPr>
            <w:tcW w:w="48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Licensed Dispensary</w:t>
            </w:r>
          </w:p>
        </w:tc>
      </w:tr>
      <w:tr>
        <w:trPr>
          <w:trHeight w:val="162"/>
        </w:trPr>
        <w:tc>
          <w:tcPr>
            <w:tcW w:w="24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Maryland Health &amp; Wellness Center, Inc.</w:t>
            </w:r>
          </w:p>
        </w:tc>
        <w:tc>
          <w:tcPr>
            <w:tcW w:w="1600" w:type="dxa"/>
            <w:vAlign w:val="bottom"/>
            <w:gridSpan w:val="3"/>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D-19-00006</w:t>
            </w:r>
          </w:p>
        </w:tc>
        <w:tc>
          <w:tcPr>
            <w:tcW w:w="132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Hagerstown, MD</w:t>
            </w:r>
          </w:p>
        </w:tc>
        <w:tc>
          <w:tcPr>
            <w:tcW w:w="9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5/21/2025</w:t>
            </w:r>
          </w:p>
        </w:tc>
        <w:tc>
          <w:tcPr>
            <w:tcW w:w="80" w:type="dxa"/>
            <w:vAlign w:val="bottom"/>
            <w:shd w:val="clear" w:color="auto" w:fill="CFF0FC"/>
          </w:tcPr>
          <w:p>
            <w:pPr>
              <w:spacing w:after="0"/>
              <w:rPr>
                <w:sz w:val="14"/>
                <w:szCs w:val="14"/>
                <w:color w:val="auto"/>
              </w:rPr>
            </w:pPr>
          </w:p>
        </w:tc>
        <w:tc>
          <w:tcPr>
            <w:tcW w:w="48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Licensed Dispensary</w:t>
            </w:r>
          </w:p>
        </w:tc>
      </w:tr>
      <w:tr>
        <w:trPr>
          <w:trHeight w:val="164"/>
        </w:trPr>
        <w:tc>
          <w:tcPr>
            <w:tcW w:w="24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GTI Maryland, LLC</w:t>
            </w:r>
          </w:p>
        </w:tc>
        <w:tc>
          <w:tcPr>
            <w:tcW w:w="160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G-19-00001</w:t>
            </w:r>
          </w:p>
        </w:tc>
        <w:tc>
          <w:tcPr>
            <w:tcW w:w="132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auto"/>
              </w:rPr>
              <w:t>Centreville, MD</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6/27/2025</w:t>
            </w:r>
          </w:p>
        </w:tc>
        <w:tc>
          <w:tcPr>
            <w:tcW w:w="80" w:type="dxa"/>
            <w:vAlign w:val="bottom"/>
          </w:tcPr>
          <w:p>
            <w:pPr>
              <w:spacing w:after="0"/>
              <w:rPr>
                <w:sz w:val="14"/>
                <w:szCs w:val="14"/>
                <w:color w:val="auto"/>
              </w:rPr>
            </w:pPr>
          </w:p>
        </w:tc>
        <w:tc>
          <w:tcPr>
            <w:tcW w:w="48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Licensed Grower</w:t>
            </w:r>
          </w:p>
        </w:tc>
      </w:tr>
      <w:tr>
        <w:trPr>
          <w:trHeight w:val="545"/>
        </w:trPr>
        <w:tc>
          <w:tcPr>
            <w:tcW w:w="9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i w:val="1"/>
                <w:iCs w:val="1"/>
                <w:color w:val="auto"/>
              </w:rPr>
              <w:t>Licenses of the State of Massachusetts</w:t>
            </w: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42"/>
        </w:trPr>
        <w:tc>
          <w:tcPr>
            <w:tcW w:w="900" w:type="dxa"/>
            <w:vAlign w:val="bottom"/>
          </w:tcPr>
          <w:p>
            <w:pPr>
              <w:spacing w:after="0"/>
              <w:rPr>
                <w:sz w:val="12"/>
                <w:szCs w:val="12"/>
                <w:color w:val="auto"/>
              </w:rPr>
            </w:pPr>
          </w:p>
        </w:tc>
        <w:tc>
          <w:tcPr>
            <w:tcW w:w="138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Holding Entity</w:t>
            </w:r>
          </w:p>
        </w:tc>
        <w:tc>
          <w:tcPr>
            <w:tcW w:w="1960" w:type="dxa"/>
            <w:vAlign w:val="bottom"/>
            <w:gridSpan w:val="3"/>
          </w:tcPr>
          <w:p>
            <w:pPr>
              <w:ind w:left="880"/>
              <w:spacing w:after="0" w:line="142" w:lineRule="exact"/>
              <w:rPr>
                <w:sz w:val="20"/>
                <w:szCs w:val="20"/>
                <w:color w:val="auto"/>
              </w:rPr>
            </w:pPr>
            <w:r>
              <w:rPr>
                <w:rFonts w:ascii="Times New Roman" w:cs="Times New Roman" w:eastAsia="Times New Roman" w:hAnsi="Times New Roman"/>
                <w:sz w:val="13"/>
                <w:szCs w:val="13"/>
                <w:b w:val="1"/>
                <w:bCs w:val="1"/>
                <w:color w:val="auto"/>
              </w:rPr>
              <w:t>Permit/License</w:t>
            </w:r>
          </w:p>
        </w:tc>
        <w:tc>
          <w:tcPr>
            <w:tcW w:w="960" w:type="dxa"/>
            <w:vAlign w:val="bottom"/>
          </w:tcPr>
          <w:p>
            <w:pPr>
              <w:spacing w:after="0"/>
              <w:rPr>
                <w:sz w:val="12"/>
                <w:szCs w:val="12"/>
                <w:color w:val="auto"/>
              </w:rPr>
            </w:pPr>
          </w:p>
        </w:tc>
        <w:tc>
          <w:tcPr>
            <w:tcW w:w="90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City</w:t>
            </w:r>
          </w:p>
        </w:tc>
        <w:tc>
          <w:tcPr>
            <w:tcW w:w="1000" w:type="dxa"/>
            <w:vAlign w:val="bottom"/>
            <w:gridSpan w:val="3"/>
          </w:tcPr>
          <w:p>
            <w:pPr>
              <w:ind w:left="120"/>
              <w:spacing w:after="0" w:line="142" w:lineRule="exact"/>
              <w:rPr>
                <w:sz w:val="20"/>
                <w:szCs w:val="20"/>
                <w:color w:val="auto"/>
              </w:rPr>
            </w:pPr>
            <w:r>
              <w:rPr>
                <w:rFonts w:ascii="Times New Roman" w:cs="Times New Roman" w:eastAsia="Times New Roman" w:hAnsi="Times New Roman"/>
                <w:sz w:val="13"/>
                <w:szCs w:val="13"/>
                <w:b w:val="1"/>
                <w:bCs w:val="1"/>
                <w:color w:val="auto"/>
              </w:rPr>
              <w:t>Renewal Date</w:t>
            </w:r>
          </w:p>
        </w:tc>
        <w:tc>
          <w:tcPr>
            <w:tcW w:w="4140" w:type="dxa"/>
            <w:vAlign w:val="bottom"/>
            <w:gridSpan w:val="3"/>
          </w:tcPr>
          <w:p>
            <w:pPr>
              <w:ind w:left="1760"/>
              <w:spacing w:after="0" w:line="142" w:lineRule="exact"/>
              <w:rPr>
                <w:sz w:val="20"/>
                <w:szCs w:val="20"/>
                <w:color w:val="auto"/>
              </w:rPr>
            </w:pPr>
            <w:r>
              <w:rPr>
                <w:rFonts w:ascii="Times New Roman" w:cs="Times New Roman" w:eastAsia="Times New Roman" w:hAnsi="Times New Roman"/>
                <w:sz w:val="13"/>
                <w:szCs w:val="13"/>
                <w:b w:val="1"/>
                <w:bCs w:val="1"/>
                <w:color w:val="auto"/>
              </w:rPr>
              <w:t>Description</w:t>
            </w:r>
          </w:p>
        </w:tc>
      </w:tr>
      <w:tr>
        <w:trPr>
          <w:trHeight w:val="20"/>
        </w:trPr>
        <w:tc>
          <w:tcPr>
            <w:tcW w:w="9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68"/>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Liberty Compassion, Inc.</w:t>
            </w:r>
          </w:p>
        </w:tc>
        <w:tc>
          <w:tcPr>
            <w:tcW w:w="1960" w:type="dxa"/>
            <w:vAlign w:val="bottom"/>
            <w:gridSpan w:val="3"/>
          </w:tcPr>
          <w:p>
            <w:pPr>
              <w:ind w:left="340"/>
              <w:spacing w:after="0"/>
              <w:rPr>
                <w:sz w:val="20"/>
                <w:szCs w:val="20"/>
                <w:color w:val="auto"/>
              </w:rPr>
            </w:pPr>
            <w:r>
              <w:rPr>
                <w:rFonts w:ascii="Times New Roman" w:cs="Times New Roman" w:eastAsia="Times New Roman" w:hAnsi="Times New Roman"/>
                <w:sz w:val="13"/>
                <w:szCs w:val="13"/>
                <w:color w:val="auto"/>
              </w:rPr>
              <w:t>MDP-2021-00005</w:t>
            </w:r>
          </w:p>
        </w:tc>
        <w:tc>
          <w:tcPr>
            <w:tcW w:w="1860" w:type="dxa"/>
            <w:vAlign w:val="bottom"/>
            <w:gridSpan w:val="3"/>
          </w:tcPr>
          <w:p>
            <w:pPr>
              <w:ind w:left="300"/>
              <w:spacing w:after="0"/>
              <w:rPr>
                <w:sz w:val="20"/>
                <w:szCs w:val="20"/>
                <w:color w:val="auto"/>
              </w:rPr>
            </w:pPr>
            <w:r>
              <w:rPr>
                <w:rFonts w:ascii="Times New Roman" w:cs="Times New Roman" w:eastAsia="Times New Roman" w:hAnsi="Times New Roman"/>
                <w:sz w:val="13"/>
                <w:szCs w:val="13"/>
                <w:color w:val="auto"/>
              </w:rPr>
              <w:t>Boston, MA</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11/30/2023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Medical Marijuana Dispensary Permit</w:t>
            </w:r>
          </w:p>
        </w:tc>
      </w:tr>
      <w:tr>
        <w:trPr>
          <w:trHeight w:val="163"/>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GreenStar Herbals, Inc.</w:t>
            </w:r>
          </w:p>
        </w:tc>
        <w:tc>
          <w:tcPr>
            <w:tcW w:w="1960" w:type="dxa"/>
            <w:vAlign w:val="bottom"/>
            <w:gridSpan w:val="3"/>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MR282048</w:t>
            </w:r>
          </w:p>
        </w:tc>
        <w:tc>
          <w:tcPr>
            <w:tcW w:w="186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Dracut, MA</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12/4/2023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Marijuana Retailer</w:t>
            </w: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GreenStar Herbals, Inc.</w:t>
            </w:r>
          </w:p>
        </w:tc>
        <w:tc>
          <w:tcPr>
            <w:tcW w:w="8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2021-002</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gridSpan w:val="3"/>
          </w:tcPr>
          <w:p>
            <w:pPr>
              <w:ind w:left="300"/>
              <w:spacing w:after="0"/>
              <w:rPr>
                <w:sz w:val="20"/>
                <w:szCs w:val="20"/>
                <w:color w:val="auto"/>
              </w:rPr>
            </w:pPr>
            <w:r>
              <w:rPr>
                <w:rFonts w:ascii="Times New Roman" w:cs="Times New Roman" w:eastAsia="Times New Roman" w:hAnsi="Times New Roman"/>
                <w:sz w:val="13"/>
                <w:szCs w:val="13"/>
                <w:color w:val="auto"/>
              </w:rPr>
              <w:t>Chelsea, MA</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9/30/2023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Cannabis Sales</w:t>
            </w: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GreenStar Herbals, Inc.</w:t>
            </w:r>
          </w:p>
        </w:tc>
        <w:tc>
          <w:tcPr>
            <w:tcW w:w="1960" w:type="dxa"/>
            <w:vAlign w:val="bottom"/>
            <w:gridSpan w:val="3"/>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MR282034</w:t>
            </w:r>
          </w:p>
        </w:tc>
        <w:tc>
          <w:tcPr>
            <w:tcW w:w="186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Chelsea, MA</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12/4/2023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Marijuana Retailer</w:t>
            </w: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GreenStar Herbals, Inc.</w:t>
            </w:r>
          </w:p>
        </w:tc>
        <w:tc>
          <w:tcPr>
            <w:tcW w:w="1960" w:type="dxa"/>
            <w:vAlign w:val="bottom"/>
            <w:gridSpan w:val="3"/>
          </w:tcPr>
          <w:p>
            <w:pPr>
              <w:ind w:left="340"/>
              <w:spacing w:after="0"/>
              <w:rPr>
                <w:sz w:val="20"/>
                <w:szCs w:val="20"/>
                <w:color w:val="auto"/>
              </w:rPr>
            </w:pPr>
            <w:r>
              <w:rPr>
                <w:rFonts w:ascii="Times New Roman" w:cs="Times New Roman" w:eastAsia="Times New Roman" w:hAnsi="Times New Roman"/>
                <w:sz w:val="13"/>
                <w:szCs w:val="13"/>
                <w:color w:val="auto"/>
              </w:rPr>
              <w:t>MR282048</w:t>
            </w:r>
          </w:p>
        </w:tc>
        <w:tc>
          <w:tcPr>
            <w:tcW w:w="1860" w:type="dxa"/>
            <w:vAlign w:val="bottom"/>
            <w:gridSpan w:val="3"/>
          </w:tcPr>
          <w:p>
            <w:pPr>
              <w:ind w:left="300"/>
              <w:spacing w:after="0"/>
              <w:rPr>
                <w:sz w:val="20"/>
                <w:szCs w:val="20"/>
                <w:color w:val="auto"/>
              </w:rPr>
            </w:pPr>
            <w:r>
              <w:rPr>
                <w:rFonts w:ascii="Times New Roman" w:cs="Times New Roman" w:eastAsia="Times New Roman" w:hAnsi="Times New Roman"/>
                <w:sz w:val="13"/>
                <w:szCs w:val="13"/>
                <w:color w:val="auto"/>
              </w:rPr>
              <w:t>Dracut, MA</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12/4/2023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Marijuana Retailer</w:t>
            </w: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Liberty Compassion, Inc.</w:t>
            </w:r>
          </w:p>
        </w:tc>
        <w:tc>
          <w:tcPr>
            <w:tcW w:w="1960" w:type="dxa"/>
            <w:vAlign w:val="bottom"/>
            <w:gridSpan w:val="3"/>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MTC1586</w:t>
            </w:r>
          </w:p>
        </w:tc>
        <w:tc>
          <w:tcPr>
            <w:tcW w:w="186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Boston, MA</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12/31/2023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Marijuana Medical Retailer License</w:t>
            </w: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GreenStar Herbals, Inc.</w:t>
            </w:r>
          </w:p>
        </w:tc>
        <w:tc>
          <w:tcPr>
            <w:tcW w:w="1960" w:type="dxa"/>
            <w:vAlign w:val="bottom"/>
            <w:gridSpan w:val="3"/>
          </w:tcPr>
          <w:p>
            <w:pPr>
              <w:ind w:left="340"/>
              <w:spacing w:after="0"/>
              <w:rPr>
                <w:sz w:val="20"/>
                <w:szCs w:val="20"/>
                <w:color w:val="auto"/>
              </w:rPr>
            </w:pPr>
            <w:r>
              <w:rPr>
                <w:rFonts w:ascii="Times New Roman" w:cs="Times New Roman" w:eastAsia="Times New Roman" w:hAnsi="Times New Roman"/>
                <w:sz w:val="13"/>
                <w:szCs w:val="13"/>
                <w:color w:val="auto"/>
              </w:rPr>
              <w:t>MRN282207</w:t>
            </w:r>
          </w:p>
        </w:tc>
        <w:tc>
          <w:tcPr>
            <w:tcW w:w="1860" w:type="dxa"/>
            <w:vAlign w:val="bottom"/>
            <w:gridSpan w:val="3"/>
          </w:tcPr>
          <w:p>
            <w:pPr>
              <w:ind w:left="300"/>
              <w:spacing w:after="0"/>
              <w:rPr>
                <w:sz w:val="20"/>
                <w:szCs w:val="20"/>
                <w:color w:val="auto"/>
              </w:rPr>
            </w:pPr>
            <w:r>
              <w:rPr>
                <w:rFonts w:ascii="Times New Roman" w:cs="Times New Roman" w:eastAsia="Times New Roman" w:hAnsi="Times New Roman"/>
                <w:sz w:val="13"/>
                <w:szCs w:val="13"/>
                <w:color w:val="auto"/>
              </w:rPr>
              <w:t>Maynard, MA</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12/31/2023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Marijuana Retail Package Good Store</w:t>
            </w: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GreenStar Herbals, Inc.</w:t>
            </w:r>
          </w:p>
        </w:tc>
        <w:tc>
          <w:tcPr>
            <w:tcW w:w="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2022-074</w:t>
            </w:r>
          </w:p>
        </w:tc>
        <w:tc>
          <w:tcPr>
            <w:tcW w:w="8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6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Chelsea, MA</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1/20/2024</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Live Music - Piano License</w:t>
            </w: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RISE Holdings, Inc.</w:t>
            </w:r>
          </w:p>
        </w:tc>
        <w:tc>
          <w:tcPr>
            <w:tcW w:w="1960" w:type="dxa"/>
            <w:vAlign w:val="bottom"/>
            <w:gridSpan w:val="3"/>
          </w:tcPr>
          <w:p>
            <w:pPr>
              <w:ind w:left="340"/>
              <w:spacing w:after="0"/>
              <w:rPr>
                <w:sz w:val="20"/>
                <w:szCs w:val="20"/>
                <w:color w:val="auto"/>
              </w:rPr>
            </w:pPr>
            <w:r>
              <w:rPr>
                <w:rFonts w:ascii="Times New Roman" w:cs="Times New Roman" w:eastAsia="Times New Roman" w:hAnsi="Times New Roman"/>
                <w:sz w:val="13"/>
                <w:szCs w:val="13"/>
                <w:color w:val="auto"/>
              </w:rPr>
              <w:t>MC281674</w:t>
            </w:r>
          </w:p>
        </w:tc>
        <w:tc>
          <w:tcPr>
            <w:tcW w:w="1860" w:type="dxa"/>
            <w:vAlign w:val="bottom"/>
            <w:gridSpan w:val="3"/>
          </w:tcPr>
          <w:p>
            <w:pPr>
              <w:ind w:left="300"/>
              <w:spacing w:after="0"/>
              <w:rPr>
                <w:sz w:val="20"/>
                <w:szCs w:val="20"/>
                <w:color w:val="auto"/>
              </w:rPr>
            </w:pPr>
            <w:r>
              <w:rPr>
                <w:rFonts w:ascii="Times New Roman" w:cs="Times New Roman" w:eastAsia="Times New Roman" w:hAnsi="Times New Roman"/>
                <w:sz w:val="13"/>
                <w:szCs w:val="13"/>
                <w:color w:val="auto"/>
              </w:rPr>
              <w:t>Holyoke, MA</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1/20/2024</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Marijuana Cultivator</w:t>
            </w: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GreenStar Herbals, Inc.</w:t>
            </w:r>
          </w:p>
        </w:tc>
        <w:tc>
          <w:tcPr>
            <w:tcW w:w="1960" w:type="dxa"/>
            <w:vAlign w:val="bottom"/>
            <w:gridSpan w:val="3"/>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MR282207</w:t>
            </w:r>
          </w:p>
        </w:tc>
        <w:tc>
          <w:tcPr>
            <w:tcW w:w="186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Maynard, MA</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2/10/2024</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Marijuana Retailer</w:t>
            </w: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Liberty Compassion, Inc.</w:t>
            </w:r>
          </w:p>
        </w:tc>
        <w:tc>
          <w:tcPr>
            <w:tcW w:w="1960" w:type="dxa"/>
            <w:vAlign w:val="bottom"/>
            <w:gridSpan w:val="3"/>
          </w:tcPr>
          <w:p>
            <w:pPr>
              <w:ind w:left="340"/>
              <w:spacing w:after="0"/>
              <w:rPr>
                <w:sz w:val="20"/>
                <w:szCs w:val="20"/>
                <w:color w:val="auto"/>
              </w:rPr>
            </w:pPr>
            <w:r>
              <w:rPr>
                <w:rFonts w:ascii="Times New Roman" w:cs="Times New Roman" w:eastAsia="Times New Roman" w:hAnsi="Times New Roman"/>
                <w:sz w:val="13"/>
                <w:szCs w:val="13"/>
                <w:color w:val="auto"/>
              </w:rPr>
              <w:t>MTC1465</w:t>
            </w:r>
          </w:p>
        </w:tc>
        <w:tc>
          <w:tcPr>
            <w:tcW w:w="1860" w:type="dxa"/>
            <w:vAlign w:val="bottom"/>
            <w:gridSpan w:val="3"/>
          </w:tcPr>
          <w:p>
            <w:pPr>
              <w:ind w:left="300"/>
              <w:spacing w:after="0"/>
              <w:rPr>
                <w:sz w:val="20"/>
                <w:szCs w:val="20"/>
                <w:color w:val="auto"/>
              </w:rPr>
            </w:pPr>
            <w:r>
              <w:rPr>
                <w:rFonts w:ascii="Times New Roman" w:cs="Times New Roman" w:eastAsia="Times New Roman" w:hAnsi="Times New Roman"/>
                <w:sz w:val="13"/>
                <w:szCs w:val="13"/>
                <w:color w:val="auto"/>
              </w:rPr>
              <w:t>West Springfield</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4/7/2023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Medical Marijuana Treatment Center</w:t>
            </w: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Liberty Compassion, Inc.</w:t>
            </w:r>
          </w:p>
        </w:tc>
        <w:tc>
          <w:tcPr>
            <w:tcW w:w="1960" w:type="dxa"/>
            <w:vAlign w:val="bottom"/>
            <w:gridSpan w:val="3"/>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MTC1465</w:t>
            </w:r>
          </w:p>
        </w:tc>
        <w:tc>
          <w:tcPr>
            <w:tcW w:w="186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Clinton, MA</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4/7/2023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Medical Marijuana Treatment Center</w:t>
            </w: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RISE Holdings, Inc.</w:t>
            </w:r>
          </w:p>
        </w:tc>
        <w:tc>
          <w:tcPr>
            <w:tcW w:w="1960" w:type="dxa"/>
            <w:vAlign w:val="bottom"/>
            <w:gridSpan w:val="3"/>
          </w:tcPr>
          <w:p>
            <w:pPr>
              <w:ind w:left="340"/>
              <w:spacing w:after="0"/>
              <w:rPr>
                <w:sz w:val="20"/>
                <w:szCs w:val="20"/>
                <w:color w:val="auto"/>
              </w:rPr>
            </w:pPr>
            <w:r>
              <w:rPr>
                <w:rFonts w:ascii="Times New Roman" w:cs="Times New Roman" w:eastAsia="Times New Roman" w:hAnsi="Times New Roman"/>
                <w:sz w:val="13"/>
                <w:szCs w:val="13"/>
                <w:color w:val="auto"/>
              </w:rPr>
              <w:t>MP281453</w:t>
            </w:r>
          </w:p>
        </w:tc>
        <w:tc>
          <w:tcPr>
            <w:tcW w:w="1860" w:type="dxa"/>
            <w:vAlign w:val="bottom"/>
            <w:gridSpan w:val="3"/>
          </w:tcPr>
          <w:p>
            <w:pPr>
              <w:ind w:left="300"/>
              <w:spacing w:after="0"/>
              <w:rPr>
                <w:sz w:val="20"/>
                <w:szCs w:val="20"/>
                <w:color w:val="auto"/>
              </w:rPr>
            </w:pPr>
            <w:r>
              <w:rPr>
                <w:rFonts w:ascii="Times New Roman" w:cs="Times New Roman" w:eastAsia="Times New Roman" w:hAnsi="Times New Roman"/>
                <w:sz w:val="13"/>
                <w:szCs w:val="13"/>
                <w:color w:val="auto"/>
              </w:rPr>
              <w:t>Holyoke, MA</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1/20/2024</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Marijuana Product Manufacturer</w:t>
            </w: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Liberty Compassion, Inc.</w:t>
            </w:r>
          </w:p>
        </w:tc>
        <w:tc>
          <w:tcPr>
            <w:tcW w:w="1960" w:type="dxa"/>
            <w:vAlign w:val="bottom"/>
            <w:gridSpan w:val="3"/>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MP281752</w:t>
            </w:r>
          </w:p>
        </w:tc>
        <w:tc>
          <w:tcPr>
            <w:tcW w:w="186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Clinton, MA</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7/28/2023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Marijuana Product Manufacturer</w:t>
            </w: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Liberty Compassion, Inc.</w:t>
            </w:r>
          </w:p>
        </w:tc>
        <w:tc>
          <w:tcPr>
            <w:tcW w:w="1960" w:type="dxa"/>
            <w:vAlign w:val="bottom"/>
            <w:gridSpan w:val="3"/>
          </w:tcPr>
          <w:p>
            <w:pPr>
              <w:ind w:left="340"/>
              <w:spacing w:after="0"/>
              <w:rPr>
                <w:sz w:val="20"/>
                <w:szCs w:val="20"/>
                <w:color w:val="auto"/>
              </w:rPr>
            </w:pPr>
            <w:r>
              <w:rPr>
                <w:rFonts w:ascii="Times New Roman" w:cs="Times New Roman" w:eastAsia="Times New Roman" w:hAnsi="Times New Roman"/>
                <w:sz w:val="13"/>
                <w:szCs w:val="13"/>
                <w:color w:val="auto"/>
              </w:rPr>
              <w:t>MC282178</w:t>
            </w:r>
          </w:p>
        </w:tc>
        <w:tc>
          <w:tcPr>
            <w:tcW w:w="1860" w:type="dxa"/>
            <w:vAlign w:val="bottom"/>
            <w:gridSpan w:val="3"/>
          </w:tcPr>
          <w:p>
            <w:pPr>
              <w:ind w:left="300"/>
              <w:spacing w:after="0"/>
              <w:rPr>
                <w:sz w:val="20"/>
                <w:szCs w:val="20"/>
                <w:color w:val="auto"/>
              </w:rPr>
            </w:pPr>
            <w:r>
              <w:rPr>
                <w:rFonts w:ascii="Times New Roman" w:cs="Times New Roman" w:eastAsia="Times New Roman" w:hAnsi="Times New Roman"/>
                <w:sz w:val="13"/>
                <w:szCs w:val="13"/>
                <w:color w:val="auto"/>
              </w:rPr>
              <w:t>Clinton, MA</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7/16/2023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Marijuana Cultivator</w:t>
            </w: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Liberty Compassion, Inc.</w:t>
            </w:r>
          </w:p>
        </w:tc>
        <w:tc>
          <w:tcPr>
            <w:tcW w:w="1960" w:type="dxa"/>
            <w:vAlign w:val="bottom"/>
            <w:gridSpan w:val="3"/>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RMD1586</w:t>
            </w:r>
          </w:p>
        </w:tc>
        <w:tc>
          <w:tcPr>
            <w:tcW w:w="186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Boston &amp; Clinton, MA</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7/28/2023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Medical Marijuana Treatment Center</w:t>
            </w:r>
          </w:p>
        </w:tc>
      </w:tr>
      <w:tr>
        <w:trPr>
          <w:trHeight w:val="164"/>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RISE Holdings, Inc.</w:t>
            </w:r>
          </w:p>
        </w:tc>
        <w:tc>
          <w:tcPr>
            <w:tcW w:w="1960" w:type="dxa"/>
            <w:vAlign w:val="bottom"/>
            <w:gridSpan w:val="3"/>
          </w:tcPr>
          <w:p>
            <w:pPr>
              <w:ind w:left="340"/>
              <w:spacing w:after="0"/>
              <w:rPr>
                <w:sz w:val="20"/>
                <w:szCs w:val="20"/>
                <w:color w:val="auto"/>
              </w:rPr>
            </w:pPr>
            <w:r>
              <w:rPr>
                <w:rFonts w:ascii="Times New Roman" w:cs="Times New Roman" w:eastAsia="Times New Roman" w:hAnsi="Times New Roman"/>
                <w:sz w:val="13"/>
                <w:szCs w:val="13"/>
                <w:color w:val="auto"/>
              </w:rPr>
              <w:t>RMD645</w:t>
            </w:r>
          </w:p>
        </w:tc>
        <w:tc>
          <w:tcPr>
            <w:tcW w:w="1860" w:type="dxa"/>
            <w:vAlign w:val="bottom"/>
            <w:gridSpan w:val="3"/>
          </w:tcPr>
          <w:p>
            <w:pPr>
              <w:ind w:left="300"/>
              <w:spacing w:after="0"/>
              <w:rPr>
                <w:sz w:val="20"/>
                <w:szCs w:val="20"/>
                <w:color w:val="auto"/>
              </w:rPr>
            </w:pPr>
            <w:r>
              <w:rPr>
                <w:rFonts w:ascii="Times New Roman" w:cs="Times New Roman" w:eastAsia="Times New Roman" w:hAnsi="Times New Roman"/>
                <w:sz w:val="13"/>
                <w:szCs w:val="13"/>
                <w:color w:val="auto"/>
              </w:rPr>
              <w:t>Amherst &amp; Holyoke, MA</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8/8/2023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Medical Marijuana Treatment Center</w:t>
            </w:r>
          </w:p>
        </w:tc>
      </w:tr>
      <w:tr>
        <w:trPr>
          <w:trHeight w:val="315"/>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i w:val="1"/>
                <w:iCs w:val="1"/>
                <w:color w:val="auto"/>
              </w:rPr>
              <w:t>Licenses in the State of Minnesota</w:t>
            </w: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42"/>
        </w:trPr>
        <w:tc>
          <w:tcPr>
            <w:tcW w:w="900" w:type="dxa"/>
            <w:vAlign w:val="bottom"/>
          </w:tcPr>
          <w:p>
            <w:pPr>
              <w:spacing w:after="0"/>
              <w:rPr>
                <w:sz w:val="12"/>
                <w:szCs w:val="12"/>
                <w:color w:val="auto"/>
              </w:rPr>
            </w:pPr>
          </w:p>
        </w:tc>
        <w:tc>
          <w:tcPr>
            <w:tcW w:w="138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Holding Entity</w:t>
            </w:r>
          </w:p>
        </w:tc>
        <w:tc>
          <w:tcPr>
            <w:tcW w:w="1960" w:type="dxa"/>
            <w:vAlign w:val="bottom"/>
            <w:gridSpan w:val="3"/>
          </w:tcPr>
          <w:p>
            <w:pPr>
              <w:ind w:left="880"/>
              <w:spacing w:after="0" w:line="142" w:lineRule="exact"/>
              <w:rPr>
                <w:sz w:val="20"/>
                <w:szCs w:val="20"/>
                <w:color w:val="auto"/>
              </w:rPr>
            </w:pPr>
            <w:r>
              <w:rPr>
                <w:rFonts w:ascii="Times New Roman" w:cs="Times New Roman" w:eastAsia="Times New Roman" w:hAnsi="Times New Roman"/>
                <w:sz w:val="13"/>
                <w:szCs w:val="13"/>
                <w:b w:val="1"/>
                <w:bCs w:val="1"/>
                <w:color w:val="auto"/>
              </w:rPr>
              <w:t>Permit/License</w:t>
            </w:r>
          </w:p>
        </w:tc>
        <w:tc>
          <w:tcPr>
            <w:tcW w:w="960" w:type="dxa"/>
            <w:vAlign w:val="bottom"/>
          </w:tcPr>
          <w:p>
            <w:pPr>
              <w:spacing w:after="0"/>
              <w:rPr>
                <w:sz w:val="12"/>
                <w:szCs w:val="12"/>
                <w:color w:val="auto"/>
              </w:rPr>
            </w:pPr>
          </w:p>
        </w:tc>
        <w:tc>
          <w:tcPr>
            <w:tcW w:w="90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City</w:t>
            </w:r>
          </w:p>
        </w:tc>
        <w:tc>
          <w:tcPr>
            <w:tcW w:w="1000" w:type="dxa"/>
            <w:vAlign w:val="bottom"/>
            <w:gridSpan w:val="3"/>
          </w:tcPr>
          <w:p>
            <w:pPr>
              <w:ind w:left="120"/>
              <w:spacing w:after="0" w:line="142" w:lineRule="exact"/>
              <w:rPr>
                <w:sz w:val="20"/>
                <w:szCs w:val="20"/>
                <w:color w:val="auto"/>
              </w:rPr>
            </w:pPr>
            <w:r>
              <w:rPr>
                <w:rFonts w:ascii="Times New Roman" w:cs="Times New Roman" w:eastAsia="Times New Roman" w:hAnsi="Times New Roman"/>
                <w:sz w:val="13"/>
                <w:szCs w:val="13"/>
                <w:b w:val="1"/>
                <w:bCs w:val="1"/>
                <w:color w:val="auto"/>
              </w:rPr>
              <w:t>Renewal Date</w:t>
            </w:r>
          </w:p>
        </w:tc>
        <w:tc>
          <w:tcPr>
            <w:tcW w:w="4140" w:type="dxa"/>
            <w:vAlign w:val="bottom"/>
            <w:gridSpan w:val="3"/>
          </w:tcPr>
          <w:p>
            <w:pPr>
              <w:ind w:left="1760"/>
              <w:spacing w:after="0" w:line="142" w:lineRule="exact"/>
              <w:rPr>
                <w:sz w:val="20"/>
                <w:szCs w:val="20"/>
                <w:color w:val="auto"/>
              </w:rPr>
            </w:pPr>
            <w:r>
              <w:rPr>
                <w:rFonts w:ascii="Times New Roman" w:cs="Times New Roman" w:eastAsia="Times New Roman" w:hAnsi="Times New Roman"/>
                <w:sz w:val="13"/>
                <w:szCs w:val="13"/>
                <w:b w:val="1"/>
                <w:bCs w:val="1"/>
                <w:color w:val="auto"/>
              </w:rPr>
              <w:t>Description</w:t>
            </w:r>
          </w:p>
        </w:tc>
      </w:tr>
      <w:tr>
        <w:trPr>
          <w:trHeight w:val="27"/>
        </w:trPr>
        <w:tc>
          <w:tcPr>
            <w:tcW w:w="9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760" w:type="dxa"/>
            <w:vAlign w:val="bottom"/>
          </w:tcPr>
          <w:p>
            <w:pPr>
              <w:spacing w:after="0"/>
              <w:rPr>
                <w:sz w:val="2"/>
                <w:szCs w:val="2"/>
                <w:color w:val="auto"/>
              </w:rPr>
            </w:pP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Leafline Labs, LLC</w:t>
            </w:r>
          </w:p>
        </w:tc>
        <w:tc>
          <w:tcPr>
            <w:tcW w:w="1960" w:type="dxa"/>
            <w:vAlign w:val="bottom"/>
            <w:gridSpan w:val="3"/>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District 1</w:t>
            </w:r>
          </w:p>
        </w:tc>
        <w:tc>
          <w:tcPr>
            <w:tcW w:w="186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Mankato, MN</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11/30/2023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Minnesota Medical Cannabis Manufacturer Registration Agreement</w:t>
            </w: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Leafline Labs, LLC</w:t>
            </w:r>
          </w:p>
        </w:tc>
        <w:tc>
          <w:tcPr>
            <w:tcW w:w="1960" w:type="dxa"/>
            <w:vAlign w:val="bottom"/>
            <w:gridSpan w:val="3"/>
          </w:tcPr>
          <w:p>
            <w:pPr>
              <w:ind w:left="340"/>
              <w:spacing w:after="0"/>
              <w:rPr>
                <w:sz w:val="20"/>
                <w:szCs w:val="20"/>
                <w:color w:val="auto"/>
              </w:rPr>
            </w:pPr>
            <w:r>
              <w:rPr>
                <w:rFonts w:ascii="Times New Roman" w:cs="Times New Roman" w:eastAsia="Times New Roman" w:hAnsi="Times New Roman"/>
                <w:sz w:val="13"/>
                <w:szCs w:val="13"/>
                <w:color w:val="auto"/>
              </w:rPr>
              <w:t>District 2</w:t>
            </w:r>
          </w:p>
        </w:tc>
        <w:tc>
          <w:tcPr>
            <w:tcW w:w="1860" w:type="dxa"/>
            <w:vAlign w:val="bottom"/>
            <w:gridSpan w:val="3"/>
          </w:tcPr>
          <w:p>
            <w:pPr>
              <w:ind w:left="300"/>
              <w:spacing w:after="0"/>
              <w:rPr>
                <w:sz w:val="20"/>
                <w:szCs w:val="20"/>
                <w:color w:val="auto"/>
              </w:rPr>
            </w:pPr>
            <w:r>
              <w:rPr>
                <w:rFonts w:ascii="Times New Roman" w:cs="Times New Roman" w:eastAsia="Times New Roman" w:hAnsi="Times New Roman"/>
                <w:sz w:val="13"/>
                <w:szCs w:val="13"/>
                <w:color w:val="auto"/>
              </w:rPr>
              <w:t>Eagan, MN</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11/30/2023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Minnesota Medical Cannabis Manufacturer Registration Agreement</w:t>
            </w: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Leafline Labs, LLC</w:t>
            </w:r>
          </w:p>
        </w:tc>
        <w:tc>
          <w:tcPr>
            <w:tcW w:w="1960" w:type="dxa"/>
            <w:vAlign w:val="bottom"/>
            <w:gridSpan w:val="3"/>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District 3</w:t>
            </w:r>
          </w:p>
        </w:tc>
        <w:tc>
          <w:tcPr>
            <w:tcW w:w="186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Coon Rapids, MN</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11/30/2023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Minnesota Medical Cannabis Manufacturer Registration Agreement</w:t>
            </w: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Leafline Labs, LLC</w:t>
            </w:r>
          </w:p>
        </w:tc>
        <w:tc>
          <w:tcPr>
            <w:tcW w:w="1960" w:type="dxa"/>
            <w:vAlign w:val="bottom"/>
            <w:gridSpan w:val="3"/>
          </w:tcPr>
          <w:p>
            <w:pPr>
              <w:ind w:left="340"/>
              <w:spacing w:after="0"/>
              <w:rPr>
                <w:sz w:val="20"/>
                <w:szCs w:val="20"/>
                <w:color w:val="auto"/>
              </w:rPr>
            </w:pPr>
            <w:r>
              <w:rPr>
                <w:rFonts w:ascii="Times New Roman" w:cs="Times New Roman" w:eastAsia="Times New Roman" w:hAnsi="Times New Roman"/>
                <w:sz w:val="13"/>
                <w:szCs w:val="13"/>
                <w:color w:val="auto"/>
              </w:rPr>
              <w:t>District 4</w:t>
            </w:r>
          </w:p>
        </w:tc>
        <w:tc>
          <w:tcPr>
            <w:tcW w:w="1860" w:type="dxa"/>
            <w:vAlign w:val="bottom"/>
            <w:gridSpan w:val="3"/>
          </w:tcPr>
          <w:p>
            <w:pPr>
              <w:ind w:left="300"/>
              <w:spacing w:after="0"/>
              <w:rPr>
                <w:sz w:val="20"/>
                <w:szCs w:val="20"/>
                <w:color w:val="auto"/>
              </w:rPr>
            </w:pPr>
            <w:r>
              <w:rPr>
                <w:rFonts w:ascii="Times New Roman" w:cs="Times New Roman" w:eastAsia="Times New Roman" w:hAnsi="Times New Roman"/>
                <w:sz w:val="13"/>
                <w:szCs w:val="13"/>
                <w:color w:val="auto"/>
              </w:rPr>
              <w:t>St. Paul, MN</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11/30/2023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Minnesota Medical Cannabis Manufacturer Registration Agreement</w:t>
            </w: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Leafline Labs, LLC</w:t>
            </w:r>
          </w:p>
        </w:tc>
        <w:tc>
          <w:tcPr>
            <w:tcW w:w="1960" w:type="dxa"/>
            <w:vAlign w:val="bottom"/>
            <w:gridSpan w:val="3"/>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District 5</w:t>
            </w:r>
          </w:p>
        </w:tc>
        <w:tc>
          <w:tcPr>
            <w:tcW w:w="186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Not Yet Determined</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11/30/2023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Minnesota Medical Cannabis Manufacturer Registration Agreement</w:t>
            </w: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Leafline Labs, LLC</w:t>
            </w:r>
          </w:p>
        </w:tc>
        <w:tc>
          <w:tcPr>
            <w:tcW w:w="1960" w:type="dxa"/>
            <w:vAlign w:val="bottom"/>
            <w:gridSpan w:val="3"/>
          </w:tcPr>
          <w:p>
            <w:pPr>
              <w:ind w:left="340"/>
              <w:spacing w:after="0"/>
              <w:rPr>
                <w:sz w:val="20"/>
                <w:szCs w:val="20"/>
                <w:color w:val="auto"/>
              </w:rPr>
            </w:pPr>
            <w:r>
              <w:rPr>
                <w:rFonts w:ascii="Times New Roman" w:cs="Times New Roman" w:eastAsia="Times New Roman" w:hAnsi="Times New Roman"/>
                <w:sz w:val="13"/>
                <w:szCs w:val="13"/>
                <w:color w:val="auto"/>
              </w:rPr>
              <w:t>District 6</w:t>
            </w:r>
          </w:p>
        </w:tc>
        <w:tc>
          <w:tcPr>
            <w:tcW w:w="1860" w:type="dxa"/>
            <w:vAlign w:val="bottom"/>
            <w:gridSpan w:val="3"/>
          </w:tcPr>
          <w:p>
            <w:pPr>
              <w:ind w:left="300"/>
              <w:spacing w:after="0"/>
              <w:rPr>
                <w:sz w:val="20"/>
                <w:szCs w:val="20"/>
                <w:color w:val="auto"/>
              </w:rPr>
            </w:pPr>
            <w:r>
              <w:rPr>
                <w:rFonts w:ascii="Times New Roman" w:cs="Times New Roman" w:eastAsia="Times New Roman" w:hAnsi="Times New Roman"/>
                <w:sz w:val="13"/>
                <w:szCs w:val="13"/>
                <w:color w:val="auto"/>
              </w:rPr>
              <w:t>St. Cloud, MN</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11/30/2023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Minnesota Medical Cannabis Manufacturer Registration Agreement</w:t>
            </w: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Leafline Labs, LLC</w:t>
            </w:r>
          </w:p>
        </w:tc>
        <w:tc>
          <w:tcPr>
            <w:tcW w:w="1960" w:type="dxa"/>
            <w:vAlign w:val="bottom"/>
            <w:gridSpan w:val="3"/>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District 7</w:t>
            </w:r>
          </w:p>
        </w:tc>
        <w:tc>
          <w:tcPr>
            <w:tcW w:w="186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Wilmar, MN</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11/30/2023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Minnesota Medical Cannabis Manufacturer Registration Agreement</w:t>
            </w:r>
          </w:p>
        </w:tc>
      </w:tr>
      <w:tr>
        <w:trPr>
          <w:trHeight w:val="164"/>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Leafline Labs, LLC</w:t>
            </w:r>
          </w:p>
        </w:tc>
        <w:tc>
          <w:tcPr>
            <w:tcW w:w="1960" w:type="dxa"/>
            <w:vAlign w:val="bottom"/>
            <w:gridSpan w:val="3"/>
          </w:tcPr>
          <w:p>
            <w:pPr>
              <w:ind w:left="340"/>
              <w:spacing w:after="0"/>
              <w:rPr>
                <w:sz w:val="20"/>
                <w:szCs w:val="20"/>
                <w:color w:val="auto"/>
              </w:rPr>
            </w:pPr>
            <w:r>
              <w:rPr>
                <w:rFonts w:ascii="Times New Roman" w:cs="Times New Roman" w:eastAsia="Times New Roman" w:hAnsi="Times New Roman"/>
                <w:sz w:val="13"/>
                <w:szCs w:val="13"/>
                <w:color w:val="auto"/>
              </w:rPr>
              <w:t>District 8</w:t>
            </w:r>
          </w:p>
        </w:tc>
        <w:tc>
          <w:tcPr>
            <w:tcW w:w="1860" w:type="dxa"/>
            <w:vAlign w:val="bottom"/>
            <w:gridSpan w:val="3"/>
          </w:tcPr>
          <w:p>
            <w:pPr>
              <w:ind w:left="300"/>
              <w:spacing w:after="0"/>
              <w:rPr>
                <w:sz w:val="20"/>
                <w:szCs w:val="20"/>
                <w:color w:val="auto"/>
              </w:rPr>
            </w:pPr>
            <w:r>
              <w:rPr>
                <w:rFonts w:ascii="Times New Roman" w:cs="Times New Roman" w:eastAsia="Times New Roman" w:hAnsi="Times New Roman"/>
                <w:sz w:val="13"/>
                <w:szCs w:val="13"/>
                <w:color w:val="auto"/>
              </w:rPr>
              <w:t>Hibbing, MN</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11/30/2023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Minnesota Medical Cannabis Manufacturer Registration Agreement</w:t>
            </w:r>
          </w:p>
        </w:tc>
      </w:tr>
      <w:tr>
        <w:trPr>
          <w:trHeight w:val="319"/>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i w:val="1"/>
                <w:iCs w:val="1"/>
                <w:color w:val="auto"/>
              </w:rPr>
              <w:t>Licenses in the State of Nevada</w:t>
            </w: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38"/>
        </w:trPr>
        <w:tc>
          <w:tcPr>
            <w:tcW w:w="900" w:type="dxa"/>
            <w:vAlign w:val="bottom"/>
          </w:tcPr>
          <w:p>
            <w:pPr>
              <w:spacing w:after="0"/>
              <w:rPr>
                <w:sz w:val="11"/>
                <w:szCs w:val="11"/>
                <w:color w:val="auto"/>
              </w:rPr>
            </w:pPr>
          </w:p>
        </w:tc>
        <w:tc>
          <w:tcPr>
            <w:tcW w:w="13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Holding Entity</w:t>
            </w:r>
          </w:p>
        </w:tc>
        <w:tc>
          <w:tcPr>
            <w:tcW w:w="1960" w:type="dxa"/>
            <w:vAlign w:val="bottom"/>
            <w:gridSpan w:val="3"/>
          </w:tcPr>
          <w:p>
            <w:pPr>
              <w:ind w:left="880"/>
              <w:spacing w:after="0" w:line="138" w:lineRule="exact"/>
              <w:rPr>
                <w:sz w:val="20"/>
                <w:szCs w:val="20"/>
                <w:color w:val="auto"/>
              </w:rPr>
            </w:pPr>
            <w:r>
              <w:rPr>
                <w:rFonts w:ascii="Times New Roman" w:cs="Times New Roman" w:eastAsia="Times New Roman" w:hAnsi="Times New Roman"/>
                <w:sz w:val="13"/>
                <w:szCs w:val="13"/>
                <w:b w:val="1"/>
                <w:bCs w:val="1"/>
                <w:color w:val="auto"/>
              </w:rPr>
              <w:t>Permit/License</w:t>
            </w:r>
          </w:p>
        </w:tc>
        <w:tc>
          <w:tcPr>
            <w:tcW w:w="960" w:type="dxa"/>
            <w:vAlign w:val="bottom"/>
          </w:tcPr>
          <w:p>
            <w:pPr>
              <w:spacing w:after="0"/>
              <w:rPr>
                <w:sz w:val="11"/>
                <w:szCs w:val="11"/>
                <w:color w:val="auto"/>
              </w:rPr>
            </w:pPr>
          </w:p>
        </w:tc>
        <w:tc>
          <w:tcPr>
            <w:tcW w:w="90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City</w:t>
            </w:r>
          </w:p>
        </w:tc>
        <w:tc>
          <w:tcPr>
            <w:tcW w:w="1000" w:type="dxa"/>
            <w:vAlign w:val="bottom"/>
            <w:gridSpan w:val="3"/>
            <w:shd w:val="clear" w:color="auto" w:fill="CFF0FC"/>
          </w:tcPr>
          <w:p>
            <w:pPr>
              <w:ind w:left="120"/>
              <w:spacing w:after="0" w:line="138" w:lineRule="exact"/>
              <w:rPr>
                <w:sz w:val="20"/>
                <w:szCs w:val="20"/>
                <w:color w:val="auto"/>
              </w:rPr>
            </w:pPr>
            <w:r>
              <w:rPr>
                <w:rFonts w:ascii="Times New Roman" w:cs="Times New Roman" w:eastAsia="Times New Roman" w:hAnsi="Times New Roman"/>
                <w:sz w:val="13"/>
                <w:szCs w:val="13"/>
                <w:b w:val="1"/>
                <w:bCs w:val="1"/>
                <w:color w:val="auto"/>
              </w:rPr>
              <w:t>Renewal Date</w:t>
            </w:r>
          </w:p>
        </w:tc>
        <w:tc>
          <w:tcPr>
            <w:tcW w:w="4140" w:type="dxa"/>
            <w:vAlign w:val="bottom"/>
            <w:gridSpan w:val="3"/>
            <w:shd w:val="clear" w:color="auto" w:fill="CFF0FC"/>
          </w:tcPr>
          <w:p>
            <w:pPr>
              <w:ind w:left="1760"/>
              <w:spacing w:after="0" w:line="138" w:lineRule="exact"/>
              <w:rPr>
                <w:sz w:val="20"/>
                <w:szCs w:val="20"/>
                <w:color w:val="auto"/>
              </w:rPr>
            </w:pPr>
            <w:r>
              <w:rPr>
                <w:rFonts w:ascii="Times New Roman" w:cs="Times New Roman" w:eastAsia="Times New Roman" w:hAnsi="Times New Roman"/>
                <w:sz w:val="13"/>
                <w:szCs w:val="13"/>
                <w:b w:val="1"/>
                <w:bCs w:val="1"/>
                <w:color w:val="auto"/>
              </w:rPr>
              <w:t>Description</w:t>
            </w:r>
          </w:p>
        </w:tc>
      </w:tr>
      <w:tr>
        <w:trPr>
          <w:trHeight w:val="20"/>
        </w:trPr>
        <w:tc>
          <w:tcPr>
            <w:tcW w:w="9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76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760" w:type="dxa"/>
            <w:vAlign w:val="bottom"/>
            <w:shd w:val="clear" w:color="auto" w:fill="CFF0FC"/>
          </w:tcPr>
          <w:p>
            <w:pPr>
              <w:spacing w:after="0" w:line="20" w:lineRule="exact"/>
              <w:rPr>
                <w:sz w:val="1"/>
                <w:szCs w:val="1"/>
                <w:color w:val="auto"/>
              </w:rPr>
            </w:pPr>
          </w:p>
        </w:tc>
      </w:tr>
      <w:tr>
        <w:trPr>
          <w:trHeight w:val="169"/>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Essence Tropicana, LLC</w:t>
            </w:r>
          </w:p>
        </w:tc>
        <w:tc>
          <w:tcPr>
            <w:tcW w:w="1960" w:type="dxa"/>
            <w:vAlign w:val="bottom"/>
            <w:gridSpan w:val="3"/>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R148387Q</w:t>
            </w:r>
          </w:p>
        </w:tc>
        <w:tc>
          <w:tcPr>
            <w:tcW w:w="186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Reno, NV</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12/31/2023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Adult-Use Cannabis Retail Store</w:t>
            </w: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Essence Tropicana, LLC</w:t>
            </w:r>
          </w:p>
        </w:tc>
        <w:tc>
          <w:tcPr>
            <w:tcW w:w="1960" w:type="dxa"/>
            <w:vAlign w:val="bottom"/>
            <w:gridSpan w:val="3"/>
          </w:tcPr>
          <w:p>
            <w:pPr>
              <w:ind w:left="340"/>
              <w:spacing w:after="0"/>
              <w:rPr>
                <w:sz w:val="20"/>
                <w:szCs w:val="20"/>
                <w:color w:val="auto"/>
              </w:rPr>
            </w:pPr>
            <w:r>
              <w:rPr>
                <w:rFonts w:ascii="Times New Roman" w:cs="Times New Roman" w:eastAsia="Times New Roman" w:hAnsi="Times New Roman"/>
                <w:sz w:val="13"/>
                <w:szCs w:val="13"/>
                <w:color w:val="auto"/>
              </w:rPr>
              <w:t>R148386A</w:t>
            </w:r>
          </w:p>
        </w:tc>
        <w:tc>
          <w:tcPr>
            <w:tcW w:w="1860" w:type="dxa"/>
            <w:vAlign w:val="bottom"/>
            <w:gridSpan w:val="3"/>
          </w:tcPr>
          <w:p>
            <w:pPr>
              <w:ind w:left="300"/>
              <w:spacing w:after="0"/>
              <w:rPr>
                <w:sz w:val="20"/>
                <w:szCs w:val="20"/>
                <w:color w:val="auto"/>
              </w:rPr>
            </w:pPr>
            <w:r>
              <w:rPr>
                <w:rFonts w:ascii="Times New Roman" w:cs="Times New Roman" w:eastAsia="Times New Roman" w:hAnsi="Times New Roman"/>
                <w:sz w:val="13"/>
                <w:szCs w:val="13"/>
                <w:color w:val="auto"/>
              </w:rPr>
              <w:t>Reno, NV</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10/31/2023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Marijuana Establishment</w:t>
            </w: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Integral Cultivation, LLC</w:t>
            </w:r>
          </w:p>
        </w:tc>
        <w:tc>
          <w:tcPr>
            <w:tcW w:w="1960" w:type="dxa"/>
            <w:vAlign w:val="bottom"/>
            <w:gridSpan w:val="3"/>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2000038.MMR-301</w:t>
            </w:r>
          </w:p>
        </w:tc>
        <w:tc>
          <w:tcPr>
            <w:tcW w:w="186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Las Vegas, NV</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12/31/2023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Cannabis Master License Retail/Cultivation/Distribution Medical/Cultivation</w:t>
            </w: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Essence Tropicana, LLC</w:t>
            </w:r>
          </w:p>
        </w:tc>
        <w:tc>
          <w:tcPr>
            <w:tcW w:w="1960" w:type="dxa"/>
            <w:vAlign w:val="bottom"/>
            <w:gridSpan w:val="3"/>
          </w:tcPr>
          <w:p>
            <w:pPr>
              <w:ind w:left="340"/>
              <w:spacing w:after="0"/>
              <w:rPr>
                <w:sz w:val="20"/>
                <w:szCs w:val="20"/>
                <w:color w:val="auto"/>
              </w:rPr>
            </w:pPr>
            <w:r>
              <w:rPr>
                <w:rFonts w:ascii="Times New Roman" w:cs="Times New Roman" w:eastAsia="Times New Roman" w:hAnsi="Times New Roman"/>
                <w:sz w:val="13"/>
                <w:szCs w:val="13"/>
                <w:color w:val="auto"/>
              </w:rPr>
              <w:t>2000040.MMR-301</w:t>
            </w:r>
          </w:p>
        </w:tc>
        <w:tc>
          <w:tcPr>
            <w:tcW w:w="1860" w:type="dxa"/>
            <w:vAlign w:val="bottom"/>
            <w:gridSpan w:val="3"/>
          </w:tcPr>
          <w:p>
            <w:pPr>
              <w:ind w:left="300"/>
              <w:spacing w:after="0"/>
              <w:rPr>
                <w:sz w:val="20"/>
                <w:szCs w:val="20"/>
                <w:color w:val="auto"/>
              </w:rPr>
            </w:pPr>
            <w:r>
              <w:rPr>
                <w:rFonts w:ascii="Times New Roman" w:cs="Times New Roman" w:eastAsia="Times New Roman" w:hAnsi="Times New Roman"/>
                <w:sz w:val="13"/>
                <w:szCs w:val="13"/>
                <w:color w:val="auto"/>
              </w:rPr>
              <w:t>Las Vegas, NV</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12/31/2023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Marijuana Master License Medical Dispensary/Retail Store</w:t>
            </w: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CCLV Manufacturing Center, LLC</w:t>
            </w:r>
          </w:p>
        </w:tc>
        <w:tc>
          <w:tcPr>
            <w:tcW w:w="1960" w:type="dxa"/>
            <w:vAlign w:val="bottom"/>
            <w:gridSpan w:val="3"/>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2000071.MMR-301</w:t>
            </w:r>
          </w:p>
        </w:tc>
        <w:tc>
          <w:tcPr>
            <w:tcW w:w="186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Las Vegas, NV</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12/31/2023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Cannabis Master License Medical Cultivation /Retail Cultivation</w:t>
            </w: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Integral Associates, LLC</w:t>
            </w:r>
          </w:p>
        </w:tc>
        <w:tc>
          <w:tcPr>
            <w:tcW w:w="1960" w:type="dxa"/>
            <w:vAlign w:val="bottom"/>
            <w:gridSpan w:val="3"/>
          </w:tcPr>
          <w:p>
            <w:pPr>
              <w:ind w:left="340"/>
              <w:spacing w:after="0"/>
              <w:rPr>
                <w:sz w:val="20"/>
                <w:szCs w:val="20"/>
                <w:color w:val="auto"/>
              </w:rPr>
            </w:pPr>
            <w:r>
              <w:rPr>
                <w:rFonts w:ascii="Times New Roman" w:cs="Times New Roman" w:eastAsia="Times New Roman" w:hAnsi="Times New Roman"/>
                <w:sz w:val="13"/>
                <w:szCs w:val="13"/>
                <w:color w:val="auto"/>
              </w:rPr>
              <w:t>2000179.MMR-301</w:t>
            </w:r>
          </w:p>
        </w:tc>
        <w:tc>
          <w:tcPr>
            <w:tcW w:w="1860" w:type="dxa"/>
            <w:vAlign w:val="bottom"/>
            <w:gridSpan w:val="3"/>
          </w:tcPr>
          <w:p>
            <w:pPr>
              <w:ind w:left="300"/>
              <w:spacing w:after="0"/>
              <w:rPr>
                <w:sz w:val="20"/>
                <w:szCs w:val="20"/>
                <w:color w:val="auto"/>
              </w:rPr>
            </w:pPr>
            <w:r>
              <w:rPr>
                <w:rFonts w:ascii="Times New Roman" w:cs="Times New Roman" w:eastAsia="Times New Roman" w:hAnsi="Times New Roman"/>
                <w:sz w:val="13"/>
                <w:szCs w:val="13"/>
                <w:color w:val="auto"/>
              </w:rPr>
              <w:t>Las Vegas, NV</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12/31/2023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Cannabis Master License Medical Production, Medical Production</w:t>
            </w: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CCLV Production, LLC</w:t>
            </w:r>
          </w:p>
        </w:tc>
        <w:tc>
          <w:tcPr>
            <w:tcW w:w="1960" w:type="dxa"/>
            <w:vAlign w:val="bottom"/>
            <w:gridSpan w:val="3"/>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2000197.MMR-301</w:t>
            </w:r>
          </w:p>
        </w:tc>
        <w:tc>
          <w:tcPr>
            <w:tcW w:w="186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Las Vegas, NV</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12/31/2023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Cannabis Master License Medical Production, Retail Production</w:t>
            </w: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Essence Tropicana, LLC</w:t>
            </w:r>
          </w:p>
        </w:tc>
        <w:tc>
          <w:tcPr>
            <w:tcW w:w="1960" w:type="dxa"/>
            <w:vAlign w:val="bottom"/>
            <w:gridSpan w:val="3"/>
          </w:tcPr>
          <w:p>
            <w:pPr>
              <w:ind w:left="340"/>
              <w:spacing w:after="0"/>
              <w:rPr>
                <w:sz w:val="20"/>
                <w:szCs w:val="20"/>
                <w:color w:val="auto"/>
              </w:rPr>
            </w:pPr>
            <w:r>
              <w:rPr>
                <w:rFonts w:ascii="Times New Roman" w:cs="Times New Roman" w:eastAsia="Times New Roman" w:hAnsi="Times New Roman"/>
                <w:sz w:val="13"/>
                <w:szCs w:val="13"/>
                <w:color w:val="auto"/>
              </w:rPr>
              <w:t>2000217.MMR-301</w:t>
            </w:r>
          </w:p>
        </w:tc>
        <w:tc>
          <w:tcPr>
            <w:tcW w:w="1860" w:type="dxa"/>
            <w:vAlign w:val="bottom"/>
            <w:gridSpan w:val="3"/>
          </w:tcPr>
          <w:p>
            <w:pPr>
              <w:ind w:left="300"/>
              <w:spacing w:after="0"/>
              <w:rPr>
                <w:sz w:val="20"/>
                <w:szCs w:val="20"/>
                <w:color w:val="auto"/>
              </w:rPr>
            </w:pPr>
            <w:r>
              <w:rPr>
                <w:rFonts w:ascii="Times New Roman" w:cs="Times New Roman" w:eastAsia="Times New Roman" w:hAnsi="Times New Roman"/>
                <w:sz w:val="13"/>
                <w:szCs w:val="13"/>
                <w:color w:val="auto"/>
              </w:rPr>
              <w:t>Las Vegas, NV</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12/31/2023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Marijuana Master License Retail Store</w:t>
            </w: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Essence Henderson, LLC</w:t>
            </w:r>
          </w:p>
        </w:tc>
        <w:tc>
          <w:tcPr>
            <w:tcW w:w="1960" w:type="dxa"/>
            <w:vAlign w:val="bottom"/>
            <w:gridSpan w:val="3"/>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2000218.MMR-301</w:t>
            </w:r>
          </w:p>
        </w:tc>
        <w:tc>
          <w:tcPr>
            <w:tcW w:w="186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Las Vegas, NV</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12/31/2023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Marijuana Master License Retail Store</w:t>
            </w: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GTI Nevada, LLC</w:t>
            </w:r>
          </w:p>
        </w:tc>
        <w:tc>
          <w:tcPr>
            <w:tcW w:w="168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97028286992913304766</w:t>
            </w:r>
          </w:p>
        </w:tc>
        <w:tc>
          <w:tcPr>
            <w:tcW w:w="280" w:type="dxa"/>
            <w:vAlign w:val="bottom"/>
          </w:tcPr>
          <w:p>
            <w:pPr>
              <w:spacing w:after="0"/>
              <w:rPr>
                <w:sz w:val="14"/>
                <w:szCs w:val="14"/>
                <w:color w:val="auto"/>
              </w:rPr>
            </w:pPr>
          </w:p>
        </w:tc>
        <w:tc>
          <w:tcPr>
            <w:tcW w:w="1860" w:type="dxa"/>
            <w:vAlign w:val="bottom"/>
            <w:gridSpan w:val="3"/>
          </w:tcPr>
          <w:p>
            <w:pPr>
              <w:ind w:left="300"/>
              <w:spacing w:after="0"/>
              <w:rPr>
                <w:sz w:val="20"/>
                <w:szCs w:val="20"/>
                <w:color w:val="auto"/>
              </w:rPr>
            </w:pPr>
            <w:r>
              <w:rPr>
                <w:rFonts w:ascii="Times New Roman" w:cs="Times New Roman" w:eastAsia="Times New Roman" w:hAnsi="Times New Roman"/>
                <w:sz w:val="13"/>
                <w:szCs w:val="13"/>
                <w:color w:val="auto"/>
              </w:rPr>
              <w:t>Carson City, NV</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12/31/2023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Adult-Use Retail Store License</w:t>
            </w: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GTI Nevada, LLC</w:t>
            </w:r>
          </w:p>
        </w:tc>
        <w:tc>
          <w:tcPr>
            <w:tcW w:w="1960" w:type="dxa"/>
            <w:vAlign w:val="bottom"/>
            <w:gridSpan w:val="3"/>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MJ-004873-2020</w:t>
            </w:r>
          </w:p>
        </w:tc>
        <w:tc>
          <w:tcPr>
            <w:tcW w:w="186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Carson City, NV</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1/30/2023*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Marijuana License</w:t>
            </w: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GTI Nevada, LLC</w:t>
            </w:r>
          </w:p>
        </w:tc>
        <w:tc>
          <w:tcPr>
            <w:tcW w:w="1960" w:type="dxa"/>
            <w:vAlign w:val="bottom"/>
            <w:gridSpan w:val="3"/>
          </w:tcPr>
          <w:p>
            <w:pPr>
              <w:ind w:left="340"/>
              <w:spacing w:after="0"/>
              <w:rPr>
                <w:sz w:val="20"/>
                <w:szCs w:val="20"/>
                <w:color w:val="auto"/>
              </w:rPr>
            </w:pPr>
            <w:r>
              <w:rPr>
                <w:rFonts w:ascii="Times New Roman" w:cs="Times New Roman" w:eastAsia="Times New Roman" w:hAnsi="Times New Roman"/>
                <w:sz w:val="13"/>
                <w:szCs w:val="13"/>
                <w:color w:val="auto"/>
              </w:rPr>
              <w:t>MJ-004876-2020</w:t>
            </w:r>
          </w:p>
        </w:tc>
        <w:tc>
          <w:tcPr>
            <w:tcW w:w="1860" w:type="dxa"/>
            <w:vAlign w:val="bottom"/>
            <w:gridSpan w:val="3"/>
          </w:tcPr>
          <w:p>
            <w:pPr>
              <w:ind w:left="300"/>
              <w:spacing w:after="0"/>
              <w:rPr>
                <w:sz w:val="20"/>
                <w:szCs w:val="20"/>
                <w:color w:val="auto"/>
              </w:rPr>
            </w:pPr>
            <w:r>
              <w:rPr>
                <w:rFonts w:ascii="Times New Roman" w:cs="Times New Roman" w:eastAsia="Times New Roman" w:hAnsi="Times New Roman"/>
                <w:sz w:val="13"/>
                <w:szCs w:val="13"/>
                <w:color w:val="auto"/>
              </w:rPr>
              <w:t>Carson City, NV</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1/30/2023*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Marijuana License</w:t>
            </w: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Integral Associates, LLC</w:t>
            </w:r>
          </w:p>
        </w:tc>
        <w:tc>
          <w:tcPr>
            <w:tcW w:w="1960" w:type="dxa"/>
            <w:vAlign w:val="bottom"/>
            <w:gridSpan w:val="3"/>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G67-00185</w:t>
            </w:r>
          </w:p>
        </w:tc>
        <w:tc>
          <w:tcPr>
            <w:tcW w:w="186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Henderson, NV</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7/1/2023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Business License - General Retail Sales/Paraphernalia Sales</w:t>
            </w: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Integral Associates, LLC</w:t>
            </w:r>
          </w:p>
        </w:tc>
        <w:tc>
          <w:tcPr>
            <w:tcW w:w="1960" w:type="dxa"/>
            <w:vAlign w:val="bottom"/>
            <w:gridSpan w:val="3"/>
          </w:tcPr>
          <w:p>
            <w:pPr>
              <w:ind w:left="340"/>
              <w:spacing w:after="0"/>
              <w:rPr>
                <w:sz w:val="20"/>
                <w:szCs w:val="20"/>
                <w:color w:val="auto"/>
              </w:rPr>
            </w:pPr>
            <w:r>
              <w:rPr>
                <w:rFonts w:ascii="Times New Roman" w:cs="Times New Roman" w:eastAsia="Times New Roman" w:hAnsi="Times New Roman"/>
                <w:sz w:val="13"/>
                <w:szCs w:val="13"/>
                <w:color w:val="auto"/>
              </w:rPr>
              <w:t>M67-00004</w:t>
            </w:r>
          </w:p>
        </w:tc>
        <w:tc>
          <w:tcPr>
            <w:tcW w:w="1860" w:type="dxa"/>
            <w:vAlign w:val="bottom"/>
            <w:gridSpan w:val="3"/>
          </w:tcPr>
          <w:p>
            <w:pPr>
              <w:ind w:left="300"/>
              <w:spacing w:after="0"/>
              <w:rPr>
                <w:sz w:val="20"/>
                <w:szCs w:val="20"/>
                <w:color w:val="auto"/>
              </w:rPr>
            </w:pPr>
            <w:r>
              <w:rPr>
                <w:rFonts w:ascii="Times New Roman" w:cs="Times New Roman" w:eastAsia="Times New Roman" w:hAnsi="Times New Roman"/>
                <w:sz w:val="13"/>
                <w:szCs w:val="13"/>
                <w:color w:val="auto"/>
              </w:rPr>
              <w:t>Las Vegas, NV</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7/1/2023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Business License - Medical Cannabis Dispensary</w:t>
            </w: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Integral Associates, LLC</w:t>
            </w:r>
          </w:p>
        </w:tc>
        <w:tc>
          <w:tcPr>
            <w:tcW w:w="1960" w:type="dxa"/>
            <w:vAlign w:val="bottom"/>
            <w:gridSpan w:val="3"/>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M67-00005</w:t>
            </w:r>
          </w:p>
        </w:tc>
        <w:tc>
          <w:tcPr>
            <w:tcW w:w="186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Las Vegas, NV</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7/1/2023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Business License - Retail Cannabis Store</w:t>
            </w: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CCLV Manufacturing Center, LLC</w:t>
            </w:r>
          </w:p>
        </w:tc>
        <w:tc>
          <w:tcPr>
            <w:tcW w:w="1960" w:type="dxa"/>
            <w:vAlign w:val="bottom"/>
            <w:gridSpan w:val="3"/>
          </w:tcPr>
          <w:p>
            <w:pPr>
              <w:ind w:left="340"/>
              <w:spacing w:after="0"/>
              <w:rPr>
                <w:sz w:val="20"/>
                <w:szCs w:val="20"/>
                <w:color w:val="auto"/>
              </w:rPr>
            </w:pPr>
            <w:r>
              <w:rPr>
                <w:rFonts w:ascii="Times New Roman" w:cs="Times New Roman" w:eastAsia="Times New Roman" w:hAnsi="Times New Roman"/>
                <w:sz w:val="13"/>
                <w:szCs w:val="13"/>
                <w:color w:val="auto"/>
              </w:rPr>
              <w:t>M67-00008</w:t>
            </w:r>
          </w:p>
        </w:tc>
        <w:tc>
          <w:tcPr>
            <w:tcW w:w="1860" w:type="dxa"/>
            <w:vAlign w:val="bottom"/>
            <w:gridSpan w:val="3"/>
          </w:tcPr>
          <w:p>
            <w:pPr>
              <w:ind w:left="300"/>
              <w:spacing w:after="0"/>
              <w:rPr>
                <w:sz w:val="20"/>
                <w:szCs w:val="20"/>
                <w:color w:val="auto"/>
              </w:rPr>
            </w:pPr>
            <w:r>
              <w:rPr>
                <w:rFonts w:ascii="Times New Roman" w:cs="Times New Roman" w:eastAsia="Times New Roman" w:hAnsi="Times New Roman"/>
                <w:sz w:val="13"/>
                <w:szCs w:val="13"/>
                <w:color w:val="auto"/>
              </w:rPr>
              <w:t>Las Vegas, NV</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7/1/2023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Business License - Cannabis Cultivation</w:t>
            </w: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GTI Nevada, LLC</w:t>
            </w:r>
          </w:p>
        </w:tc>
        <w:tc>
          <w:tcPr>
            <w:tcW w:w="1960" w:type="dxa"/>
            <w:vAlign w:val="bottom"/>
            <w:gridSpan w:val="3"/>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M67-00028</w:t>
            </w:r>
          </w:p>
        </w:tc>
        <w:tc>
          <w:tcPr>
            <w:tcW w:w="186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Las Vegas, NV</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7/1/2023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Business License - Cannabis Cultivation</w:t>
            </w: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Integral Cultivation, LLC</w:t>
            </w:r>
          </w:p>
        </w:tc>
        <w:tc>
          <w:tcPr>
            <w:tcW w:w="1960" w:type="dxa"/>
            <w:vAlign w:val="bottom"/>
            <w:gridSpan w:val="3"/>
          </w:tcPr>
          <w:p>
            <w:pPr>
              <w:ind w:left="340"/>
              <w:spacing w:after="0"/>
              <w:rPr>
                <w:sz w:val="20"/>
                <w:szCs w:val="20"/>
                <w:color w:val="auto"/>
              </w:rPr>
            </w:pPr>
            <w:r>
              <w:rPr>
                <w:rFonts w:ascii="Times New Roman" w:cs="Times New Roman" w:eastAsia="Times New Roman" w:hAnsi="Times New Roman"/>
                <w:sz w:val="13"/>
                <w:szCs w:val="13"/>
                <w:color w:val="auto"/>
              </w:rPr>
              <w:t>M67-00031</w:t>
            </w:r>
          </w:p>
        </w:tc>
        <w:tc>
          <w:tcPr>
            <w:tcW w:w="1860" w:type="dxa"/>
            <w:vAlign w:val="bottom"/>
            <w:gridSpan w:val="3"/>
          </w:tcPr>
          <w:p>
            <w:pPr>
              <w:ind w:left="300"/>
              <w:spacing w:after="0"/>
              <w:rPr>
                <w:sz w:val="20"/>
                <w:szCs w:val="20"/>
                <w:color w:val="auto"/>
              </w:rPr>
            </w:pPr>
            <w:r>
              <w:rPr>
                <w:rFonts w:ascii="Times New Roman" w:cs="Times New Roman" w:eastAsia="Times New Roman" w:hAnsi="Times New Roman"/>
                <w:sz w:val="13"/>
                <w:szCs w:val="13"/>
                <w:color w:val="auto"/>
              </w:rPr>
              <w:t>Las Vegas, NV</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1/16/2023*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Business License - Cannabis Distributor</w:t>
            </w: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Integral Production, LLC</w:t>
            </w:r>
          </w:p>
        </w:tc>
        <w:tc>
          <w:tcPr>
            <w:tcW w:w="1960" w:type="dxa"/>
            <w:vAlign w:val="bottom"/>
            <w:gridSpan w:val="3"/>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M67-00032</w:t>
            </w:r>
          </w:p>
        </w:tc>
        <w:tc>
          <w:tcPr>
            <w:tcW w:w="186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Las Vegas, NV</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1/1/2023*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Business License - Cannabis Cultivation</w:t>
            </w: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Integral Cultivation, LLC</w:t>
            </w:r>
          </w:p>
        </w:tc>
        <w:tc>
          <w:tcPr>
            <w:tcW w:w="1960" w:type="dxa"/>
            <w:vAlign w:val="bottom"/>
            <w:gridSpan w:val="3"/>
          </w:tcPr>
          <w:p>
            <w:pPr>
              <w:ind w:left="340"/>
              <w:spacing w:after="0"/>
              <w:rPr>
                <w:sz w:val="20"/>
                <w:szCs w:val="20"/>
                <w:color w:val="auto"/>
              </w:rPr>
            </w:pPr>
            <w:r>
              <w:rPr>
                <w:rFonts w:ascii="Times New Roman" w:cs="Times New Roman" w:eastAsia="Times New Roman" w:hAnsi="Times New Roman"/>
                <w:sz w:val="13"/>
                <w:szCs w:val="13"/>
                <w:color w:val="auto"/>
              </w:rPr>
              <w:t>M67-00033</w:t>
            </w:r>
          </w:p>
        </w:tc>
        <w:tc>
          <w:tcPr>
            <w:tcW w:w="1860" w:type="dxa"/>
            <w:vAlign w:val="bottom"/>
            <w:gridSpan w:val="3"/>
          </w:tcPr>
          <w:p>
            <w:pPr>
              <w:ind w:left="300"/>
              <w:spacing w:after="0"/>
              <w:rPr>
                <w:sz w:val="20"/>
                <w:szCs w:val="20"/>
                <w:color w:val="auto"/>
              </w:rPr>
            </w:pPr>
            <w:r>
              <w:rPr>
                <w:rFonts w:ascii="Times New Roman" w:cs="Times New Roman" w:eastAsia="Times New Roman" w:hAnsi="Times New Roman"/>
                <w:sz w:val="13"/>
                <w:szCs w:val="13"/>
                <w:color w:val="auto"/>
              </w:rPr>
              <w:t>Las Vegas, NV</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7/1/2023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Cannabis Cultivation Facility OLV</w:t>
            </w: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Essence Henderson, LLC</w:t>
            </w:r>
          </w:p>
        </w:tc>
        <w:tc>
          <w:tcPr>
            <w:tcW w:w="168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2018308604</w:t>
            </w:r>
          </w:p>
        </w:tc>
        <w:tc>
          <w:tcPr>
            <w:tcW w:w="280" w:type="dxa"/>
            <w:vAlign w:val="bottom"/>
            <w:shd w:val="clear" w:color="auto" w:fill="CFF0FC"/>
          </w:tcPr>
          <w:p>
            <w:pPr>
              <w:spacing w:after="0"/>
              <w:rPr>
                <w:sz w:val="14"/>
                <w:szCs w:val="14"/>
                <w:color w:val="auto"/>
              </w:rPr>
            </w:pPr>
          </w:p>
        </w:tc>
        <w:tc>
          <w:tcPr>
            <w:tcW w:w="186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Henderson, NV</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1/31/2023*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Business License Marijuana Retail</w:t>
            </w: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Essence Henderson, LLC</w:t>
            </w:r>
          </w:p>
        </w:tc>
        <w:tc>
          <w:tcPr>
            <w:tcW w:w="168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18482416987753786163</w:t>
            </w:r>
          </w:p>
        </w:tc>
        <w:tc>
          <w:tcPr>
            <w:tcW w:w="280" w:type="dxa"/>
            <w:vAlign w:val="bottom"/>
          </w:tcPr>
          <w:p>
            <w:pPr>
              <w:spacing w:after="0"/>
              <w:rPr>
                <w:sz w:val="14"/>
                <w:szCs w:val="14"/>
                <w:color w:val="auto"/>
              </w:rPr>
            </w:pPr>
          </w:p>
        </w:tc>
        <w:tc>
          <w:tcPr>
            <w:tcW w:w="1860" w:type="dxa"/>
            <w:vAlign w:val="bottom"/>
            <w:gridSpan w:val="3"/>
          </w:tcPr>
          <w:p>
            <w:pPr>
              <w:ind w:left="300"/>
              <w:spacing w:after="0"/>
              <w:rPr>
                <w:sz w:val="20"/>
                <w:szCs w:val="20"/>
                <w:color w:val="auto"/>
              </w:rPr>
            </w:pPr>
            <w:r>
              <w:rPr>
                <w:rFonts w:ascii="Times New Roman" w:cs="Times New Roman" w:eastAsia="Times New Roman" w:hAnsi="Times New Roman"/>
                <w:sz w:val="13"/>
                <w:szCs w:val="13"/>
                <w:color w:val="auto"/>
              </w:rPr>
              <w:t>TBD</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11/31/2023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Conditional Adult-Use Retail License</w:t>
            </w: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Essence Henderson, LLC</w:t>
            </w:r>
          </w:p>
        </w:tc>
        <w:tc>
          <w:tcPr>
            <w:tcW w:w="168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34299986630191194451</w:t>
            </w:r>
          </w:p>
        </w:tc>
        <w:tc>
          <w:tcPr>
            <w:tcW w:w="280" w:type="dxa"/>
            <w:vAlign w:val="bottom"/>
            <w:shd w:val="clear" w:color="auto" w:fill="CFF0FC"/>
          </w:tcPr>
          <w:p>
            <w:pPr>
              <w:spacing w:after="0"/>
              <w:rPr>
                <w:sz w:val="14"/>
                <w:szCs w:val="14"/>
                <w:color w:val="auto"/>
              </w:rPr>
            </w:pPr>
          </w:p>
        </w:tc>
        <w:tc>
          <w:tcPr>
            <w:tcW w:w="186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TBD</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11/31/2023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Conditional Adult-Use Retail License</w:t>
            </w: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Essence Tropicana, LLC</w:t>
            </w:r>
          </w:p>
        </w:tc>
        <w:tc>
          <w:tcPr>
            <w:tcW w:w="168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43490264137335866974</w:t>
            </w:r>
          </w:p>
        </w:tc>
        <w:tc>
          <w:tcPr>
            <w:tcW w:w="280" w:type="dxa"/>
            <w:vAlign w:val="bottom"/>
          </w:tcPr>
          <w:p>
            <w:pPr>
              <w:spacing w:after="0"/>
              <w:rPr>
                <w:sz w:val="14"/>
                <w:szCs w:val="14"/>
                <w:color w:val="auto"/>
              </w:rPr>
            </w:pPr>
          </w:p>
        </w:tc>
        <w:tc>
          <w:tcPr>
            <w:tcW w:w="1860" w:type="dxa"/>
            <w:vAlign w:val="bottom"/>
            <w:gridSpan w:val="3"/>
          </w:tcPr>
          <w:p>
            <w:pPr>
              <w:ind w:left="300"/>
              <w:spacing w:after="0"/>
              <w:rPr>
                <w:sz w:val="20"/>
                <w:szCs w:val="20"/>
                <w:color w:val="auto"/>
              </w:rPr>
            </w:pPr>
            <w:r>
              <w:rPr>
                <w:rFonts w:ascii="Times New Roman" w:cs="Times New Roman" w:eastAsia="Times New Roman" w:hAnsi="Times New Roman"/>
                <w:sz w:val="13"/>
                <w:szCs w:val="13"/>
                <w:color w:val="auto"/>
              </w:rPr>
              <w:t>TBD</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11/31/2023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Conditional Adult-Use Retail License</w:t>
            </w: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Essence Tropicana, LLC</w:t>
            </w:r>
          </w:p>
        </w:tc>
        <w:tc>
          <w:tcPr>
            <w:tcW w:w="168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48202177934598005793</w:t>
            </w:r>
          </w:p>
        </w:tc>
        <w:tc>
          <w:tcPr>
            <w:tcW w:w="280" w:type="dxa"/>
            <w:vAlign w:val="bottom"/>
            <w:shd w:val="clear" w:color="auto" w:fill="CFF0FC"/>
          </w:tcPr>
          <w:p>
            <w:pPr>
              <w:spacing w:after="0"/>
              <w:rPr>
                <w:sz w:val="14"/>
                <w:szCs w:val="14"/>
                <w:color w:val="auto"/>
              </w:rPr>
            </w:pPr>
          </w:p>
        </w:tc>
        <w:tc>
          <w:tcPr>
            <w:tcW w:w="186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TBD</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11/31/2023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Conditional Adult-Use Retail License</w:t>
            </w: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Essence Henderson, LLC</w:t>
            </w:r>
          </w:p>
        </w:tc>
        <w:tc>
          <w:tcPr>
            <w:tcW w:w="168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48470950795921214873</w:t>
            </w:r>
          </w:p>
        </w:tc>
        <w:tc>
          <w:tcPr>
            <w:tcW w:w="280" w:type="dxa"/>
            <w:vAlign w:val="bottom"/>
          </w:tcPr>
          <w:p>
            <w:pPr>
              <w:spacing w:after="0"/>
              <w:rPr>
                <w:sz w:val="14"/>
                <w:szCs w:val="14"/>
                <w:color w:val="auto"/>
              </w:rPr>
            </w:pPr>
          </w:p>
        </w:tc>
        <w:tc>
          <w:tcPr>
            <w:tcW w:w="1860" w:type="dxa"/>
            <w:vAlign w:val="bottom"/>
            <w:gridSpan w:val="3"/>
          </w:tcPr>
          <w:p>
            <w:pPr>
              <w:ind w:left="300"/>
              <w:spacing w:after="0"/>
              <w:rPr>
                <w:sz w:val="20"/>
                <w:szCs w:val="20"/>
                <w:color w:val="auto"/>
              </w:rPr>
            </w:pPr>
            <w:r>
              <w:rPr>
                <w:rFonts w:ascii="Times New Roman" w:cs="Times New Roman" w:eastAsia="Times New Roman" w:hAnsi="Times New Roman"/>
                <w:sz w:val="13"/>
                <w:szCs w:val="13"/>
                <w:color w:val="auto"/>
              </w:rPr>
              <w:t>TBD</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11/31/2023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Conditional Adult-Use Retail License</w:t>
            </w: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Integral Associates, LLC</w:t>
            </w:r>
          </w:p>
        </w:tc>
        <w:tc>
          <w:tcPr>
            <w:tcW w:w="168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06347213896566425206</w:t>
            </w:r>
          </w:p>
        </w:tc>
        <w:tc>
          <w:tcPr>
            <w:tcW w:w="280" w:type="dxa"/>
            <w:vAlign w:val="bottom"/>
            <w:shd w:val="clear" w:color="auto" w:fill="CFF0FC"/>
          </w:tcPr>
          <w:p>
            <w:pPr>
              <w:spacing w:after="0"/>
              <w:rPr>
                <w:sz w:val="14"/>
                <w:szCs w:val="14"/>
                <w:color w:val="auto"/>
              </w:rPr>
            </w:pPr>
          </w:p>
        </w:tc>
        <w:tc>
          <w:tcPr>
            <w:tcW w:w="186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Las Vegas, NV</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6/30/2023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Adult-Use Retail Store License</w:t>
            </w: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Integral Associates, LLC</w:t>
            </w:r>
          </w:p>
        </w:tc>
        <w:tc>
          <w:tcPr>
            <w:tcW w:w="168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10197329605365016654</w:t>
            </w:r>
          </w:p>
        </w:tc>
        <w:tc>
          <w:tcPr>
            <w:tcW w:w="280" w:type="dxa"/>
            <w:vAlign w:val="bottom"/>
          </w:tcPr>
          <w:p>
            <w:pPr>
              <w:spacing w:after="0"/>
              <w:rPr>
                <w:sz w:val="14"/>
                <w:szCs w:val="14"/>
                <w:color w:val="auto"/>
              </w:rPr>
            </w:pPr>
          </w:p>
        </w:tc>
        <w:tc>
          <w:tcPr>
            <w:tcW w:w="1860" w:type="dxa"/>
            <w:vAlign w:val="bottom"/>
            <w:gridSpan w:val="3"/>
          </w:tcPr>
          <w:p>
            <w:pPr>
              <w:ind w:left="300"/>
              <w:spacing w:after="0"/>
              <w:rPr>
                <w:sz w:val="20"/>
                <w:szCs w:val="20"/>
                <w:color w:val="auto"/>
              </w:rPr>
            </w:pPr>
            <w:r>
              <w:rPr>
                <w:rFonts w:ascii="Times New Roman" w:cs="Times New Roman" w:eastAsia="Times New Roman" w:hAnsi="Times New Roman"/>
                <w:sz w:val="13"/>
                <w:szCs w:val="13"/>
                <w:color w:val="auto"/>
              </w:rPr>
              <w:t>Las Vegas, NV</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6/30/2023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Medical Dispensary License</w:t>
            </w: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CCLV Manufacturing Center, LLC</w:t>
            </w:r>
          </w:p>
        </w:tc>
        <w:tc>
          <w:tcPr>
            <w:tcW w:w="168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14501073281263752947</w:t>
            </w:r>
          </w:p>
        </w:tc>
        <w:tc>
          <w:tcPr>
            <w:tcW w:w="280" w:type="dxa"/>
            <w:vAlign w:val="bottom"/>
            <w:shd w:val="clear" w:color="auto" w:fill="CFF0FC"/>
          </w:tcPr>
          <w:p>
            <w:pPr>
              <w:spacing w:after="0"/>
              <w:rPr>
                <w:sz w:val="14"/>
                <w:szCs w:val="14"/>
                <w:color w:val="auto"/>
              </w:rPr>
            </w:pPr>
          </w:p>
        </w:tc>
        <w:tc>
          <w:tcPr>
            <w:tcW w:w="186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Las Vegas, NV</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6/30/2023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Adult-Use Cultivation License</w:t>
            </w: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GTI Nevada, LLC</w:t>
            </w:r>
          </w:p>
        </w:tc>
        <w:tc>
          <w:tcPr>
            <w:tcW w:w="168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18900369179730863251</w:t>
            </w:r>
          </w:p>
        </w:tc>
        <w:tc>
          <w:tcPr>
            <w:tcW w:w="280" w:type="dxa"/>
            <w:vAlign w:val="bottom"/>
          </w:tcPr>
          <w:p>
            <w:pPr>
              <w:spacing w:after="0"/>
              <w:rPr>
                <w:sz w:val="14"/>
                <w:szCs w:val="14"/>
                <w:color w:val="auto"/>
              </w:rPr>
            </w:pPr>
          </w:p>
        </w:tc>
        <w:tc>
          <w:tcPr>
            <w:tcW w:w="1860" w:type="dxa"/>
            <w:vAlign w:val="bottom"/>
            <w:gridSpan w:val="3"/>
          </w:tcPr>
          <w:p>
            <w:pPr>
              <w:ind w:left="300"/>
              <w:spacing w:after="0"/>
              <w:rPr>
                <w:sz w:val="20"/>
                <w:szCs w:val="20"/>
                <w:color w:val="auto"/>
              </w:rPr>
            </w:pPr>
            <w:r>
              <w:rPr>
                <w:rFonts w:ascii="Times New Roman" w:cs="Times New Roman" w:eastAsia="Times New Roman" w:hAnsi="Times New Roman"/>
                <w:sz w:val="13"/>
                <w:szCs w:val="13"/>
                <w:color w:val="auto"/>
              </w:rPr>
              <w:t>Carson City, NV</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6/30/2023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Medical Dispensary License</w:t>
            </w: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Essence Henderson, LLC</w:t>
            </w:r>
          </w:p>
        </w:tc>
        <w:tc>
          <w:tcPr>
            <w:tcW w:w="168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19873661470522818141</w:t>
            </w:r>
          </w:p>
        </w:tc>
        <w:tc>
          <w:tcPr>
            <w:tcW w:w="280" w:type="dxa"/>
            <w:vAlign w:val="bottom"/>
            <w:shd w:val="clear" w:color="auto" w:fill="CFF0FC"/>
          </w:tcPr>
          <w:p>
            <w:pPr>
              <w:spacing w:after="0"/>
              <w:rPr>
                <w:sz w:val="14"/>
                <w:szCs w:val="14"/>
                <w:color w:val="auto"/>
              </w:rPr>
            </w:pPr>
          </w:p>
        </w:tc>
        <w:tc>
          <w:tcPr>
            <w:tcW w:w="186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Henderson, NV</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6/30/2023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Adult-Use Retail Store License</w:t>
            </w: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Essence Henderson, LLC</w:t>
            </w:r>
          </w:p>
        </w:tc>
        <w:tc>
          <w:tcPr>
            <w:tcW w:w="168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31687553825305698491</w:t>
            </w:r>
          </w:p>
        </w:tc>
        <w:tc>
          <w:tcPr>
            <w:tcW w:w="280" w:type="dxa"/>
            <w:vAlign w:val="bottom"/>
          </w:tcPr>
          <w:p>
            <w:pPr>
              <w:spacing w:after="0"/>
              <w:rPr>
                <w:sz w:val="14"/>
                <w:szCs w:val="14"/>
                <w:color w:val="auto"/>
              </w:rPr>
            </w:pPr>
          </w:p>
        </w:tc>
        <w:tc>
          <w:tcPr>
            <w:tcW w:w="1860" w:type="dxa"/>
            <w:vAlign w:val="bottom"/>
            <w:gridSpan w:val="3"/>
          </w:tcPr>
          <w:p>
            <w:pPr>
              <w:ind w:left="300"/>
              <w:spacing w:after="0"/>
              <w:rPr>
                <w:sz w:val="20"/>
                <w:szCs w:val="20"/>
                <w:color w:val="auto"/>
              </w:rPr>
            </w:pPr>
            <w:r>
              <w:rPr>
                <w:rFonts w:ascii="Times New Roman" w:cs="Times New Roman" w:eastAsia="Times New Roman" w:hAnsi="Times New Roman"/>
                <w:sz w:val="13"/>
                <w:szCs w:val="13"/>
                <w:color w:val="auto"/>
              </w:rPr>
              <w:t>Henderson, NV</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6/30/2023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Medical Dispensary License</w:t>
            </w: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Integral Cultivation, LLC</w:t>
            </w:r>
          </w:p>
        </w:tc>
        <w:tc>
          <w:tcPr>
            <w:tcW w:w="168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36793887579714409224</w:t>
            </w:r>
          </w:p>
        </w:tc>
        <w:tc>
          <w:tcPr>
            <w:tcW w:w="280" w:type="dxa"/>
            <w:vAlign w:val="bottom"/>
            <w:shd w:val="clear" w:color="auto" w:fill="CFF0FC"/>
          </w:tcPr>
          <w:p>
            <w:pPr>
              <w:spacing w:after="0"/>
              <w:rPr>
                <w:sz w:val="14"/>
                <w:szCs w:val="14"/>
                <w:color w:val="auto"/>
              </w:rPr>
            </w:pPr>
          </w:p>
        </w:tc>
        <w:tc>
          <w:tcPr>
            <w:tcW w:w="186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Las Vegas, NV</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6/30/2023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Medical Cultivation License</w:t>
            </w: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CCLV Manufacturing Center, LLC</w:t>
            </w:r>
          </w:p>
        </w:tc>
        <w:tc>
          <w:tcPr>
            <w:tcW w:w="168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4116840808916745728</w:t>
            </w:r>
          </w:p>
        </w:tc>
        <w:tc>
          <w:tcPr>
            <w:tcW w:w="280" w:type="dxa"/>
            <w:vAlign w:val="bottom"/>
          </w:tcPr>
          <w:p>
            <w:pPr>
              <w:spacing w:after="0"/>
              <w:rPr>
                <w:sz w:val="14"/>
                <w:szCs w:val="14"/>
                <w:color w:val="auto"/>
              </w:rPr>
            </w:pPr>
          </w:p>
        </w:tc>
        <w:tc>
          <w:tcPr>
            <w:tcW w:w="1860" w:type="dxa"/>
            <w:vAlign w:val="bottom"/>
            <w:gridSpan w:val="3"/>
          </w:tcPr>
          <w:p>
            <w:pPr>
              <w:ind w:left="300"/>
              <w:spacing w:after="0"/>
              <w:rPr>
                <w:sz w:val="20"/>
                <w:szCs w:val="20"/>
                <w:color w:val="auto"/>
              </w:rPr>
            </w:pPr>
            <w:r>
              <w:rPr>
                <w:rFonts w:ascii="Times New Roman" w:cs="Times New Roman" w:eastAsia="Times New Roman" w:hAnsi="Times New Roman"/>
                <w:sz w:val="13"/>
                <w:szCs w:val="13"/>
                <w:color w:val="auto"/>
              </w:rPr>
              <w:t>Las Vegas, NV</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6/30/2023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Adult-Use Production License</w:t>
            </w: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JG Retail Services NV, LLC</w:t>
            </w:r>
          </w:p>
        </w:tc>
        <w:tc>
          <w:tcPr>
            <w:tcW w:w="168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45491515276399795916</w:t>
            </w:r>
          </w:p>
        </w:tc>
        <w:tc>
          <w:tcPr>
            <w:tcW w:w="280" w:type="dxa"/>
            <w:vAlign w:val="bottom"/>
            <w:shd w:val="clear" w:color="auto" w:fill="CFF0FC"/>
          </w:tcPr>
          <w:p>
            <w:pPr>
              <w:spacing w:after="0"/>
              <w:rPr>
                <w:sz w:val="14"/>
                <w:szCs w:val="14"/>
                <w:color w:val="auto"/>
              </w:rPr>
            </w:pPr>
          </w:p>
        </w:tc>
        <w:tc>
          <w:tcPr>
            <w:tcW w:w="186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Spanish Springs, NV</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6/30/2023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Medical Dispensary License</w:t>
            </w: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CCLV Manufacturing Center, LLC</w:t>
            </w:r>
          </w:p>
        </w:tc>
        <w:tc>
          <w:tcPr>
            <w:tcW w:w="168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46723736766369616954</w:t>
            </w:r>
          </w:p>
        </w:tc>
        <w:tc>
          <w:tcPr>
            <w:tcW w:w="280" w:type="dxa"/>
            <w:vAlign w:val="bottom"/>
          </w:tcPr>
          <w:p>
            <w:pPr>
              <w:spacing w:after="0"/>
              <w:rPr>
                <w:sz w:val="14"/>
                <w:szCs w:val="14"/>
                <w:color w:val="auto"/>
              </w:rPr>
            </w:pPr>
          </w:p>
        </w:tc>
        <w:tc>
          <w:tcPr>
            <w:tcW w:w="1860" w:type="dxa"/>
            <w:vAlign w:val="bottom"/>
            <w:gridSpan w:val="3"/>
          </w:tcPr>
          <w:p>
            <w:pPr>
              <w:ind w:left="300"/>
              <w:spacing w:after="0"/>
              <w:rPr>
                <w:sz w:val="20"/>
                <w:szCs w:val="20"/>
                <w:color w:val="auto"/>
              </w:rPr>
            </w:pPr>
            <w:r>
              <w:rPr>
                <w:rFonts w:ascii="Times New Roman" w:cs="Times New Roman" w:eastAsia="Times New Roman" w:hAnsi="Times New Roman"/>
                <w:sz w:val="13"/>
                <w:szCs w:val="13"/>
                <w:color w:val="auto"/>
              </w:rPr>
              <w:t>Las Vegas, NV</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6/30/2023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Medical Cultivation License</w:t>
            </w: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Essence Tropicana, LLC</w:t>
            </w:r>
          </w:p>
        </w:tc>
        <w:tc>
          <w:tcPr>
            <w:tcW w:w="168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54135769938859220718</w:t>
            </w:r>
          </w:p>
        </w:tc>
        <w:tc>
          <w:tcPr>
            <w:tcW w:w="280" w:type="dxa"/>
            <w:vAlign w:val="bottom"/>
            <w:shd w:val="clear" w:color="auto" w:fill="CFF0FC"/>
          </w:tcPr>
          <w:p>
            <w:pPr>
              <w:spacing w:after="0"/>
              <w:rPr>
                <w:sz w:val="14"/>
                <w:szCs w:val="14"/>
                <w:color w:val="auto"/>
              </w:rPr>
            </w:pPr>
          </w:p>
        </w:tc>
        <w:tc>
          <w:tcPr>
            <w:tcW w:w="186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Las Vegas, NV</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6/30/2023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Adult-Use Retail Store License</w:t>
            </w: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Essence Tropicana, LLC</w:t>
            </w:r>
          </w:p>
        </w:tc>
        <w:tc>
          <w:tcPr>
            <w:tcW w:w="168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54732391061781763853</w:t>
            </w:r>
          </w:p>
        </w:tc>
        <w:tc>
          <w:tcPr>
            <w:tcW w:w="280" w:type="dxa"/>
            <w:vAlign w:val="bottom"/>
          </w:tcPr>
          <w:p>
            <w:pPr>
              <w:spacing w:after="0"/>
              <w:rPr>
                <w:sz w:val="14"/>
                <w:szCs w:val="14"/>
                <w:color w:val="auto"/>
              </w:rPr>
            </w:pPr>
          </w:p>
        </w:tc>
        <w:tc>
          <w:tcPr>
            <w:tcW w:w="1860" w:type="dxa"/>
            <w:vAlign w:val="bottom"/>
            <w:gridSpan w:val="3"/>
          </w:tcPr>
          <w:p>
            <w:pPr>
              <w:ind w:left="300"/>
              <w:spacing w:after="0"/>
              <w:rPr>
                <w:sz w:val="20"/>
                <w:szCs w:val="20"/>
                <w:color w:val="auto"/>
              </w:rPr>
            </w:pPr>
            <w:r>
              <w:rPr>
                <w:rFonts w:ascii="Times New Roman" w:cs="Times New Roman" w:eastAsia="Times New Roman" w:hAnsi="Times New Roman"/>
                <w:sz w:val="13"/>
                <w:szCs w:val="13"/>
                <w:color w:val="auto"/>
              </w:rPr>
              <w:t>Las Vegas, NV</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6/30/2023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Medical Dispensary License</w:t>
            </w: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Integral Production, LLC</w:t>
            </w:r>
          </w:p>
        </w:tc>
        <w:tc>
          <w:tcPr>
            <w:tcW w:w="168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54896246263684448089</w:t>
            </w:r>
          </w:p>
        </w:tc>
        <w:tc>
          <w:tcPr>
            <w:tcW w:w="280" w:type="dxa"/>
            <w:vAlign w:val="bottom"/>
            <w:shd w:val="clear" w:color="auto" w:fill="CFF0FC"/>
          </w:tcPr>
          <w:p>
            <w:pPr>
              <w:spacing w:after="0"/>
              <w:rPr>
                <w:sz w:val="14"/>
                <w:szCs w:val="14"/>
                <w:color w:val="auto"/>
              </w:rPr>
            </w:pPr>
          </w:p>
        </w:tc>
        <w:tc>
          <w:tcPr>
            <w:tcW w:w="186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Las Vegas, NV</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6/30/2023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Medical Production License</w:t>
            </w: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Integral Production, LLC</w:t>
            </w:r>
          </w:p>
        </w:tc>
        <w:tc>
          <w:tcPr>
            <w:tcW w:w="168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59239887350322215968</w:t>
            </w:r>
          </w:p>
        </w:tc>
        <w:tc>
          <w:tcPr>
            <w:tcW w:w="280" w:type="dxa"/>
            <w:vAlign w:val="bottom"/>
          </w:tcPr>
          <w:p>
            <w:pPr>
              <w:spacing w:after="0"/>
              <w:rPr>
                <w:sz w:val="14"/>
                <w:szCs w:val="14"/>
                <w:color w:val="auto"/>
              </w:rPr>
            </w:pPr>
          </w:p>
        </w:tc>
        <w:tc>
          <w:tcPr>
            <w:tcW w:w="1860" w:type="dxa"/>
            <w:vAlign w:val="bottom"/>
            <w:gridSpan w:val="3"/>
          </w:tcPr>
          <w:p>
            <w:pPr>
              <w:ind w:left="300"/>
              <w:spacing w:after="0"/>
              <w:rPr>
                <w:sz w:val="20"/>
                <w:szCs w:val="20"/>
                <w:color w:val="auto"/>
              </w:rPr>
            </w:pPr>
            <w:r>
              <w:rPr>
                <w:rFonts w:ascii="Times New Roman" w:cs="Times New Roman" w:eastAsia="Times New Roman" w:hAnsi="Times New Roman"/>
                <w:sz w:val="13"/>
                <w:szCs w:val="13"/>
                <w:color w:val="auto"/>
              </w:rPr>
              <w:t>Las Vegas, NV</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6/30/2023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Adult-Use Production License</w:t>
            </w: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Integral Cultivation, LLC</w:t>
            </w:r>
          </w:p>
        </w:tc>
        <w:tc>
          <w:tcPr>
            <w:tcW w:w="168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62340865056138997248</w:t>
            </w:r>
          </w:p>
        </w:tc>
        <w:tc>
          <w:tcPr>
            <w:tcW w:w="280" w:type="dxa"/>
            <w:vAlign w:val="bottom"/>
            <w:shd w:val="clear" w:color="auto" w:fill="CFF0FC"/>
          </w:tcPr>
          <w:p>
            <w:pPr>
              <w:spacing w:after="0"/>
              <w:rPr>
                <w:sz w:val="14"/>
                <w:szCs w:val="14"/>
                <w:color w:val="auto"/>
              </w:rPr>
            </w:pPr>
          </w:p>
        </w:tc>
        <w:tc>
          <w:tcPr>
            <w:tcW w:w="186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Las Vegas, NV</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6/30/2023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Adult-Use Distribution License</w:t>
            </w: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Integral Cultivation, LLC</w:t>
            </w:r>
          </w:p>
        </w:tc>
        <w:tc>
          <w:tcPr>
            <w:tcW w:w="168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70155083229545863037</w:t>
            </w:r>
          </w:p>
        </w:tc>
        <w:tc>
          <w:tcPr>
            <w:tcW w:w="280" w:type="dxa"/>
            <w:vAlign w:val="bottom"/>
          </w:tcPr>
          <w:p>
            <w:pPr>
              <w:spacing w:after="0"/>
              <w:rPr>
                <w:sz w:val="14"/>
                <w:szCs w:val="14"/>
                <w:color w:val="auto"/>
              </w:rPr>
            </w:pPr>
          </w:p>
        </w:tc>
        <w:tc>
          <w:tcPr>
            <w:tcW w:w="1860" w:type="dxa"/>
            <w:vAlign w:val="bottom"/>
            <w:gridSpan w:val="3"/>
          </w:tcPr>
          <w:p>
            <w:pPr>
              <w:ind w:left="300"/>
              <w:spacing w:after="0"/>
              <w:rPr>
                <w:sz w:val="20"/>
                <w:szCs w:val="20"/>
                <w:color w:val="auto"/>
              </w:rPr>
            </w:pPr>
            <w:r>
              <w:rPr>
                <w:rFonts w:ascii="Times New Roman" w:cs="Times New Roman" w:eastAsia="Times New Roman" w:hAnsi="Times New Roman"/>
                <w:sz w:val="13"/>
                <w:szCs w:val="13"/>
                <w:color w:val="auto"/>
              </w:rPr>
              <w:t>Las Vegas, NV</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6/30/2023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Adult-Use Cultivation License</w:t>
            </w: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GTI Nevada, LLC</w:t>
            </w:r>
          </w:p>
        </w:tc>
        <w:tc>
          <w:tcPr>
            <w:tcW w:w="168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83887504703736981918</w:t>
            </w:r>
          </w:p>
        </w:tc>
        <w:tc>
          <w:tcPr>
            <w:tcW w:w="280" w:type="dxa"/>
            <w:vAlign w:val="bottom"/>
            <w:shd w:val="clear" w:color="auto" w:fill="CFF0FC"/>
          </w:tcPr>
          <w:p>
            <w:pPr>
              <w:spacing w:after="0"/>
              <w:rPr>
                <w:sz w:val="14"/>
                <w:szCs w:val="14"/>
                <w:color w:val="auto"/>
              </w:rPr>
            </w:pPr>
          </w:p>
        </w:tc>
        <w:tc>
          <w:tcPr>
            <w:tcW w:w="186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Carson City, NV</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6/30/2023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Medical Cultivation License</w:t>
            </w: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CCLV Production, LLC</w:t>
            </w:r>
          </w:p>
        </w:tc>
        <w:tc>
          <w:tcPr>
            <w:tcW w:w="168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88867726382068964531</w:t>
            </w:r>
          </w:p>
        </w:tc>
        <w:tc>
          <w:tcPr>
            <w:tcW w:w="280" w:type="dxa"/>
            <w:vAlign w:val="bottom"/>
          </w:tcPr>
          <w:p>
            <w:pPr>
              <w:spacing w:after="0"/>
              <w:rPr>
                <w:sz w:val="14"/>
                <w:szCs w:val="14"/>
                <w:color w:val="auto"/>
              </w:rPr>
            </w:pPr>
          </w:p>
        </w:tc>
        <w:tc>
          <w:tcPr>
            <w:tcW w:w="1860" w:type="dxa"/>
            <w:vAlign w:val="bottom"/>
            <w:gridSpan w:val="3"/>
          </w:tcPr>
          <w:p>
            <w:pPr>
              <w:ind w:left="300"/>
              <w:spacing w:after="0"/>
              <w:rPr>
                <w:sz w:val="20"/>
                <w:szCs w:val="20"/>
                <w:color w:val="auto"/>
              </w:rPr>
            </w:pPr>
            <w:r>
              <w:rPr>
                <w:rFonts w:ascii="Times New Roman" w:cs="Times New Roman" w:eastAsia="Times New Roman" w:hAnsi="Times New Roman"/>
                <w:sz w:val="13"/>
                <w:szCs w:val="13"/>
                <w:color w:val="auto"/>
              </w:rPr>
              <w:t>Las Vegas, NV</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6/30/2023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Medical Production License</w:t>
            </w: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GTI Nevada, LLC</w:t>
            </w:r>
          </w:p>
        </w:tc>
        <w:tc>
          <w:tcPr>
            <w:tcW w:w="168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88939271215332828859</w:t>
            </w:r>
          </w:p>
        </w:tc>
        <w:tc>
          <w:tcPr>
            <w:tcW w:w="280" w:type="dxa"/>
            <w:vAlign w:val="bottom"/>
            <w:shd w:val="clear" w:color="auto" w:fill="CFF0FC"/>
          </w:tcPr>
          <w:p>
            <w:pPr>
              <w:spacing w:after="0"/>
              <w:rPr>
                <w:sz w:val="14"/>
                <w:szCs w:val="14"/>
                <w:color w:val="auto"/>
              </w:rPr>
            </w:pPr>
          </w:p>
        </w:tc>
        <w:tc>
          <w:tcPr>
            <w:tcW w:w="186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Carson City, NV</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6/30/2023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Medical Production License</w:t>
            </w: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Essence Henderson, LLC</w:t>
            </w:r>
          </w:p>
        </w:tc>
        <w:tc>
          <w:tcPr>
            <w:tcW w:w="168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09271842370730937488</w:t>
            </w:r>
          </w:p>
        </w:tc>
        <w:tc>
          <w:tcPr>
            <w:tcW w:w="280" w:type="dxa"/>
            <w:vAlign w:val="bottom"/>
          </w:tcPr>
          <w:p>
            <w:pPr>
              <w:spacing w:after="0"/>
              <w:rPr>
                <w:sz w:val="14"/>
                <w:szCs w:val="14"/>
                <w:color w:val="auto"/>
              </w:rPr>
            </w:pPr>
          </w:p>
        </w:tc>
        <w:tc>
          <w:tcPr>
            <w:tcW w:w="1860" w:type="dxa"/>
            <w:vAlign w:val="bottom"/>
            <w:gridSpan w:val="3"/>
          </w:tcPr>
          <w:p>
            <w:pPr>
              <w:ind w:left="300"/>
              <w:spacing w:after="0"/>
              <w:rPr>
                <w:sz w:val="20"/>
                <w:szCs w:val="20"/>
                <w:color w:val="auto"/>
              </w:rPr>
            </w:pPr>
            <w:r>
              <w:rPr>
                <w:rFonts w:ascii="Times New Roman" w:cs="Times New Roman" w:eastAsia="Times New Roman" w:hAnsi="Times New Roman"/>
                <w:sz w:val="13"/>
                <w:szCs w:val="13"/>
                <w:color w:val="auto"/>
              </w:rPr>
              <w:t>Las Vegas, NV</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11/30/2023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Adult-Use Retail Store License</w:t>
            </w: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Essence Tropicana, LLC</w:t>
            </w:r>
          </w:p>
        </w:tc>
        <w:tc>
          <w:tcPr>
            <w:tcW w:w="168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15464995890053145809</w:t>
            </w:r>
          </w:p>
        </w:tc>
        <w:tc>
          <w:tcPr>
            <w:tcW w:w="280" w:type="dxa"/>
            <w:vAlign w:val="bottom"/>
            <w:shd w:val="clear" w:color="auto" w:fill="CFF0FC"/>
          </w:tcPr>
          <w:p>
            <w:pPr>
              <w:spacing w:after="0"/>
              <w:rPr>
                <w:sz w:val="14"/>
                <w:szCs w:val="14"/>
                <w:color w:val="auto"/>
              </w:rPr>
            </w:pPr>
          </w:p>
        </w:tc>
        <w:tc>
          <w:tcPr>
            <w:tcW w:w="186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Las Vegas, NV</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11/30/2023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Adult-Use Retail Store License</w:t>
            </w: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Essence Tropicana, LLC</w:t>
            </w:r>
          </w:p>
        </w:tc>
        <w:tc>
          <w:tcPr>
            <w:tcW w:w="168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26849340152215972256</w:t>
            </w:r>
          </w:p>
        </w:tc>
        <w:tc>
          <w:tcPr>
            <w:tcW w:w="280" w:type="dxa"/>
            <w:vAlign w:val="bottom"/>
          </w:tcPr>
          <w:p>
            <w:pPr>
              <w:spacing w:after="0"/>
              <w:rPr>
                <w:sz w:val="14"/>
                <w:szCs w:val="14"/>
                <w:color w:val="auto"/>
              </w:rPr>
            </w:pPr>
          </w:p>
        </w:tc>
        <w:tc>
          <w:tcPr>
            <w:tcW w:w="1860" w:type="dxa"/>
            <w:vAlign w:val="bottom"/>
            <w:gridSpan w:val="3"/>
          </w:tcPr>
          <w:p>
            <w:pPr>
              <w:ind w:left="300"/>
              <w:spacing w:after="0"/>
              <w:rPr>
                <w:sz w:val="20"/>
                <w:szCs w:val="20"/>
                <w:color w:val="auto"/>
              </w:rPr>
            </w:pPr>
            <w:r>
              <w:rPr>
                <w:rFonts w:ascii="Times New Roman" w:cs="Times New Roman" w:eastAsia="Times New Roman" w:hAnsi="Times New Roman"/>
                <w:sz w:val="13"/>
                <w:szCs w:val="13"/>
                <w:color w:val="auto"/>
              </w:rPr>
              <w:t>Reno, NV</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11/30/2023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Adult-Use Retail Store License</w:t>
            </w: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JG Retail Services NV, LLC</w:t>
            </w:r>
          </w:p>
        </w:tc>
        <w:tc>
          <w:tcPr>
            <w:tcW w:w="168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52125541619394980552</w:t>
            </w:r>
          </w:p>
        </w:tc>
        <w:tc>
          <w:tcPr>
            <w:tcW w:w="280" w:type="dxa"/>
            <w:vAlign w:val="bottom"/>
            <w:shd w:val="clear" w:color="auto" w:fill="CFF0FC"/>
          </w:tcPr>
          <w:p>
            <w:pPr>
              <w:spacing w:after="0"/>
              <w:rPr>
                <w:sz w:val="14"/>
                <w:szCs w:val="14"/>
                <w:color w:val="auto"/>
              </w:rPr>
            </w:pPr>
          </w:p>
        </w:tc>
        <w:tc>
          <w:tcPr>
            <w:tcW w:w="186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Sparks, NV</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11/30/2023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Adult-Use Retail Store License</w:t>
            </w: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Integral Associates, LLC</w:t>
            </w:r>
          </w:p>
        </w:tc>
        <w:tc>
          <w:tcPr>
            <w:tcW w:w="1960" w:type="dxa"/>
            <w:vAlign w:val="bottom"/>
            <w:gridSpan w:val="3"/>
          </w:tcPr>
          <w:p>
            <w:pPr>
              <w:ind w:left="340"/>
              <w:spacing w:after="0"/>
              <w:rPr>
                <w:sz w:val="20"/>
                <w:szCs w:val="20"/>
                <w:color w:val="auto"/>
              </w:rPr>
            </w:pPr>
            <w:r>
              <w:rPr>
                <w:rFonts w:ascii="Times New Roman" w:cs="Times New Roman" w:eastAsia="Times New Roman" w:hAnsi="Times New Roman"/>
                <w:sz w:val="13"/>
                <w:szCs w:val="13"/>
                <w:color w:val="auto"/>
              </w:rPr>
              <w:t>PMT20-01470</w:t>
            </w:r>
          </w:p>
        </w:tc>
        <w:tc>
          <w:tcPr>
            <w:tcW w:w="1860" w:type="dxa"/>
            <w:vAlign w:val="bottom"/>
            <w:gridSpan w:val="3"/>
          </w:tcPr>
          <w:p>
            <w:pPr>
              <w:ind w:left="300"/>
              <w:spacing w:after="0"/>
              <w:rPr>
                <w:sz w:val="20"/>
                <w:szCs w:val="20"/>
                <w:color w:val="auto"/>
              </w:rPr>
            </w:pPr>
            <w:r>
              <w:rPr>
                <w:rFonts w:ascii="Times New Roman" w:cs="Times New Roman" w:eastAsia="Times New Roman" w:hAnsi="Times New Roman"/>
                <w:sz w:val="13"/>
                <w:szCs w:val="13"/>
                <w:color w:val="auto"/>
              </w:rPr>
              <w:t>Las Vegas, NV</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7/1/2023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Time Limited Cannabis Curbside Sales Permit</w:t>
            </w: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Integral Cultivation, LLC</w:t>
            </w:r>
          </w:p>
        </w:tc>
        <w:tc>
          <w:tcPr>
            <w:tcW w:w="1960" w:type="dxa"/>
            <w:vAlign w:val="bottom"/>
            <w:gridSpan w:val="3"/>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MB-000771-2022</w:t>
            </w:r>
          </w:p>
        </w:tc>
        <w:tc>
          <w:tcPr>
            <w:tcW w:w="186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Las Vegas, NV</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2/28/2023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Marijuana Business License (Distributor)</w:t>
            </w:r>
          </w:p>
        </w:tc>
      </w:tr>
      <w:tr>
        <w:trPr>
          <w:trHeight w:val="506"/>
        </w:trPr>
        <w:tc>
          <w:tcPr>
            <w:tcW w:w="9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66"/>
        </w:trPr>
        <w:tc>
          <w:tcPr>
            <w:tcW w:w="2520" w:type="dxa"/>
            <w:vAlign w:val="bottom"/>
            <w:gridSpan w:val="4"/>
          </w:tcPr>
          <w:p>
            <w:pPr>
              <w:ind w:left="20"/>
              <w:spacing w:after="0"/>
              <w:rPr>
                <w:sz w:val="20"/>
                <w:szCs w:val="20"/>
                <w:color w:val="auto"/>
              </w:rPr>
            </w:pPr>
            <w:r>
              <w:rPr>
                <w:rFonts w:ascii="Times New Roman" w:cs="Times New Roman" w:eastAsia="Times New Roman" w:hAnsi="Times New Roman"/>
                <w:sz w:val="13"/>
                <w:szCs w:val="13"/>
                <w:i w:val="1"/>
                <w:iCs w:val="1"/>
                <w:color w:val="auto"/>
              </w:rPr>
              <w:t>Licenses in the State of New Jersey</w:t>
            </w: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1620" w:type="dxa"/>
            <w:vAlign w:val="bottom"/>
            <w:gridSpan w:val="3"/>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Holding Entity</w:t>
            </w:r>
          </w:p>
        </w:tc>
        <w:tc>
          <w:tcPr>
            <w:tcW w:w="1780" w:type="dxa"/>
            <w:vAlign w:val="bottom"/>
            <w:gridSpan w:val="3"/>
          </w:tcPr>
          <w:p>
            <w:pPr>
              <w:ind w:left="640"/>
              <w:spacing w:after="0" w:line="138" w:lineRule="exact"/>
              <w:rPr>
                <w:sz w:val="20"/>
                <w:szCs w:val="20"/>
                <w:color w:val="auto"/>
              </w:rPr>
            </w:pPr>
            <w:r>
              <w:rPr>
                <w:rFonts w:ascii="Times New Roman" w:cs="Times New Roman" w:eastAsia="Times New Roman" w:hAnsi="Times New Roman"/>
                <w:sz w:val="13"/>
                <w:szCs w:val="13"/>
                <w:b w:val="1"/>
                <w:bCs w:val="1"/>
                <w:color w:val="auto"/>
              </w:rPr>
              <w:t>Permit/License</w:t>
            </w:r>
          </w:p>
        </w:tc>
        <w:tc>
          <w:tcPr>
            <w:tcW w:w="900" w:type="dxa"/>
            <w:vAlign w:val="bottom"/>
          </w:tcPr>
          <w:p>
            <w:pPr>
              <w:spacing w:after="0"/>
              <w:rPr>
                <w:sz w:val="11"/>
                <w:szCs w:val="11"/>
                <w:color w:val="auto"/>
              </w:rPr>
            </w:pPr>
          </w:p>
        </w:tc>
        <w:tc>
          <w:tcPr>
            <w:tcW w:w="900" w:type="dxa"/>
            <w:vAlign w:val="bottom"/>
            <w:gridSpan w:val="2"/>
          </w:tcPr>
          <w:p>
            <w:pPr>
              <w:jc w:val="center"/>
              <w:ind w:right="680"/>
              <w:spacing w:after="0" w:line="138" w:lineRule="exact"/>
              <w:rPr>
                <w:sz w:val="20"/>
                <w:szCs w:val="20"/>
                <w:color w:val="auto"/>
              </w:rPr>
            </w:pPr>
            <w:r>
              <w:rPr>
                <w:rFonts w:ascii="Times New Roman" w:cs="Times New Roman" w:eastAsia="Times New Roman" w:hAnsi="Times New Roman"/>
                <w:sz w:val="13"/>
                <w:szCs w:val="13"/>
                <w:b w:val="1"/>
                <w:bCs w:val="1"/>
                <w:color w:val="auto"/>
                <w:w w:val="92"/>
              </w:rPr>
              <w:t>City</w:t>
            </w:r>
          </w:p>
        </w:tc>
        <w:tc>
          <w:tcPr>
            <w:tcW w:w="1000" w:type="dxa"/>
            <w:vAlign w:val="bottom"/>
            <w:gridSpan w:val="3"/>
            <w:shd w:val="clear" w:color="auto" w:fill="CFF0FC"/>
          </w:tcPr>
          <w:p>
            <w:pPr>
              <w:ind w:left="120"/>
              <w:spacing w:after="0" w:line="138" w:lineRule="exact"/>
              <w:rPr>
                <w:sz w:val="20"/>
                <w:szCs w:val="20"/>
                <w:color w:val="auto"/>
              </w:rPr>
            </w:pPr>
            <w:r>
              <w:rPr>
                <w:rFonts w:ascii="Times New Roman" w:cs="Times New Roman" w:eastAsia="Times New Roman" w:hAnsi="Times New Roman"/>
                <w:sz w:val="13"/>
                <w:szCs w:val="13"/>
                <w:b w:val="1"/>
                <w:bCs w:val="1"/>
                <w:color w:val="auto"/>
              </w:rPr>
              <w:t>Renewal Date</w:t>
            </w:r>
          </w:p>
        </w:tc>
        <w:tc>
          <w:tcPr>
            <w:tcW w:w="4140" w:type="dxa"/>
            <w:vAlign w:val="bottom"/>
            <w:gridSpan w:val="3"/>
            <w:shd w:val="clear" w:color="auto" w:fill="CFF0FC"/>
          </w:tcPr>
          <w:p>
            <w:pPr>
              <w:ind w:left="1760"/>
              <w:spacing w:after="0" w:line="138" w:lineRule="exact"/>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76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7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5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Green Thumb Industries</w:t>
            </w:r>
          </w:p>
        </w:tc>
        <w:tc>
          <w:tcPr>
            <w:tcW w:w="17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M000003</w:t>
            </w:r>
          </w:p>
        </w:tc>
        <w:tc>
          <w:tcPr>
            <w:tcW w:w="180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Paterson, NJ</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4/17/2023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Class 2 - Manufacturer</w:t>
            </w:r>
          </w:p>
        </w:tc>
        <w:tc>
          <w:tcPr>
            <w:tcW w:w="0" w:type="dxa"/>
            <w:vAlign w:val="bottom"/>
          </w:tcPr>
          <w:p>
            <w:pPr>
              <w:spacing w:after="0"/>
              <w:rPr>
                <w:sz w:val="1"/>
                <w:szCs w:val="1"/>
                <w:color w:val="auto"/>
              </w:rPr>
            </w:pPr>
          </w:p>
        </w:tc>
      </w:tr>
      <w:tr>
        <w:trPr>
          <w:trHeight w:val="162"/>
        </w:trPr>
        <w:tc>
          <w:tcPr>
            <w:tcW w:w="25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Green Thumb Industries</w:t>
            </w:r>
          </w:p>
        </w:tc>
        <w:tc>
          <w:tcPr>
            <w:tcW w:w="178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C000004</w:t>
            </w:r>
          </w:p>
        </w:tc>
        <w:tc>
          <w:tcPr>
            <w:tcW w:w="1800" w:type="dxa"/>
            <w:vAlign w:val="bottom"/>
            <w:gridSpan w:val="3"/>
          </w:tcPr>
          <w:p>
            <w:pPr>
              <w:ind w:left="240"/>
              <w:spacing w:after="0"/>
              <w:rPr>
                <w:sz w:val="20"/>
                <w:szCs w:val="20"/>
                <w:color w:val="auto"/>
              </w:rPr>
            </w:pPr>
            <w:r>
              <w:rPr>
                <w:rFonts w:ascii="Times New Roman" w:cs="Times New Roman" w:eastAsia="Times New Roman" w:hAnsi="Times New Roman"/>
                <w:sz w:val="13"/>
                <w:szCs w:val="13"/>
                <w:color w:val="auto"/>
              </w:rPr>
              <w:t>Paterson, NJ</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4/17/2023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Class 1 - Cultivator</w:t>
            </w:r>
          </w:p>
        </w:tc>
        <w:tc>
          <w:tcPr>
            <w:tcW w:w="0" w:type="dxa"/>
            <w:vAlign w:val="bottom"/>
          </w:tcPr>
          <w:p>
            <w:pPr>
              <w:spacing w:after="0"/>
              <w:rPr>
                <w:sz w:val="1"/>
                <w:szCs w:val="1"/>
                <w:color w:val="auto"/>
              </w:rPr>
            </w:pPr>
          </w:p>
        </w:tc>
      </w:tr>
      <w:tr>
        <w:trPr>
          <w:trHeight w:val="162"/>
        </w:trPr>
        <w:tc>
          <w:tcPr>
            <w:tcW w:w="25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Green Thumb Industries</w:t>
            </w:r>
          </w:p>
        </w:tc>
        <w:tc>
          <w:tcPr>
            <w:tcW w:w="17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RE000006</w:t>
            </w:r>
          </w:p>
        </w:tc>
        <w:tc>
          <w:tcPr>
            <w:tcW w:w="180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Bloomfield, NJ</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4/20/2023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Class 5 - Cannabis Retailer</w:t>
            </w:r>
          </w:p>
        </w:tc>
        <w:tc>
          <w:tcPr>
            <w:tcW w:w="0" w:type="dxa"/>
            <w:vAlign w:val="bottom"/>
          </w:tcPr>
          <w:p>
            <w:pPr>
              <w:spacing w:after="0"/>
              <w:rPr>
                <w:sz w:val="1"/>
                <w:szCs w:val="1"/>
                <w:color w:val="auto"/>
              </w:rPr>
            </w:pPr>
          </w:p>
        </w:tc>
      </w:tr>
      <w:tr>
        <w:trPr>
          <w:trHeight w:val="162"/>
        </w:trPr>
        <w:tc>
          <w:tcPr>
            <w:tcW w:w="25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Green Thumb Industries</w:t>
            </w:r>
          </w:p>
        </w:tc>
        <w:tc>
          <w:tcPr>
            <w:tcW w:w="178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RE000005</w:t>
            </w:r>
          </w:p>
        </w:tc>
        <w:tc>
          <w:tcPr>
            <w:tcW w:w="1800" w:type="dxa"/>
            <w:vAlign w:val="bottom"/>
            <w:gridSpan w:val="3"/>
          </w:tcPr>
          <w:p>
            <w:pPr>
              <w:ind w:left="240"/>
              <w:spacing w:after="0"/>
              <w:rPr>
                <w:sz w:val="20"/>
                <w:szCs w:val="20"/>
                <w:color w:val="auto"/>
              </w:rPr>
            </w:pPr>
            <w:r>
              <w:rPr>
                <w:rFonts w:ascii="Times New Roman" w:cs="Times New Roman" w:eastAsia="Times New Roman" w:hAnsi="Times New Roman"/>
                <w:sz w:val="13"/>
                <w:szCs w:val="13"/>
                <w:color w:val="auto"/>
              </w:rPr>
              <w:t>Paterson, NJ</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4/20/2023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Class 5 - Cannabis Retailer</w:t>
            </w:r>
          </w:p>
        </w:tc>
        <w:tc>
          <w:tcPr>
            <w:tcW w:w="0" w:type="dxa"/>
            <w:vAlign w:val="bottom"/>
          </w:tcPr>
          <w:p>
            <w:pPr>
              <w:spacing w:after="0"/>
              <w:rPr>
                <w:sz w:val="1"/>
                <w:szCs w:val="1"/>
                <w:color w:val="auto"/>
              </w:rPr>
            </w:pPr>
          </w:p>
        </w:tc>
      </w:tr>
      <w:tr>
        <w:trPr>
          <w:trHeight w:val="162"/>
        </w:trPr>
        <w:tc>
          <w:tcPr>
            <w:tcW w:w="25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GTI New Jersey</w:t>
            </w:r>
          </w:p>
        </w:tc>
        <w:tc>
          <w:tcPr>
            <w:tcW w:w="17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MM000003</w:t>
            </w:r>
          </w:p>
        </w:tc>
        <w:tc>
          <w:tcPr>
            <w:tcW w:w="180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Paterson, NJ</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12/31/2023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Medical Manufacturing</w:t>
            </w:r>
          </w:p>
        </w:tc>
        <w:tc>
          <w:tcPr>
            <w:tcW w:w="0" w:type="dxa"/>
            <w:vAlign w:val="bottom"/>
          </w:tcPr>
          <w:p>
            <w:pPr>
              <w:spacing w:after="0"/>
              <w:rPr>
                <w:sz w:val="1"/>
                <w:szCs w:val="1"/>
                <w:color w:val="auto"/>
              </w:rPr>
            </w:pPr>
          </w:p>
        </w:tc>
      </w:tr>
      <w:tr>
        <w:trPr>
          <w:trHeight w:val="162"/>
        </w:trPr>
        <w:tc>
          <w:tcPr>
            <w:tcW w:w="25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Green Thumb Industries</w:t>
            </w:r>
          </w:p>
        </w:tc>
        <w:tc>
          <w:tcPr>
            <w:tcW w:w="178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MC000004</w:t>
            </w:r>
          </w:p>
        </w:tc>
        <w:tc>
          <w:tcPr>
            <w:tcW w:w="1800" w:type="dxa"/>
            <w:vAlign w:val="bottom"/>
            <w:gridSpan w:val="3"/>
          </w:tcPr>
          <w:p>
            <w:pPr>
              <w:ind w:left="240"/>
              <w:spacing w:after="0"/>
              <w:rPr>
                <w:sz w:val="20"/>
                <w:szCs w:val="20"/>
                <w:color w:val="auto"/>
              </w:rPr>
            </w:pPr>
            <w:r>
              <w:rPr>
                <w:rFonts w:ascii="Times New Roman" w:cs="Times New Roman" w:eastAsia="Times New Roman" w:hAnsi="Times New Roman"/>
                <w:sz w:val="13"/>
                <w:szCs w:val="13"/>
                <w:color w:val="auto"/>
              </w:rPr>
              <w:t>Paterson, NJ</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12/31/2023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Medical Cultivation/Processing</w:t>
            </w:r>
          </w:p>
        </w:tc>
        <w:tc>
          <w:tcPr>
            <w:tcW w:w="0" w:type="dxa"/>
            <w:vAlign w:val="bottom"/>
          </w:tcPr>
          <w:p>
            <w:pPr>
              <w:spacing w:after="0"/>
              <w:rPr>
                <w:sz w:val="1"/>
                <w:szCs w:val="1"/>
                <w:color w:val="auto"/>
              </w:rPr>
            </w:pPr>
          </w:p>
        </w:tc>
      </w:tr>
      <w:tr>
        <w:trPr>
          <w:trHeight w:val="162"/>
        </w:trPr>
        <w:tc>
          <w:tcPr>
            <w:tcW w:w="25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GTI New Jersey</w:t>
            </w:r>
          </w:p>
        </w:tc>
        <w:tc>
          <w:tcPr>
            <w:tcW w:w="17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MRE000005</w:t>
            </w:r>
          </w:p>
        </w:tc>
        <w:tc>
          <w:tcPr>
            <w:tcW w:w="180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Paterson, NJ</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12/31/2023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ATC - Medical Dispensing</w:t>
            </w:r>
          </w:p>
        </w:tc>
        <w:tc>
          <w:tcPr>
            <w:tcW w:w="0" w:type="dxa"/>
            <w:vAlign w:val="bottom"/>
          </w:tcPr>
          <w:p>
            <w:pPr>
              <w:spacing w:after="0"/>
              <w:rPr>
                <w:sz w:val="1"/>
                <w:szCs w:val="1"/>
                <w:color w:val="auto"/>
              </w:rPr>
            </w:pPr>
          </w:p>
        </w:tc>
      </w:tr>
      <w:tr>
        <w:trPr>
          <w:trHeight w:val="162"/>
        </w:trPr>
        <w:tc>
          <w:tcPr>
            <w:tcW w:w="25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GTI New Jersey</w:t>
            </w:r>
          </w:p>
        </w:tc>
        <w:tc>
          <w:tcPr>
            <w:tcW w:w="178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MRE000382</w:t>
            </w:r>
          </w:p>
        </w:tc>
        <w:tc>
          <w:tcPr>
            <w:tcW w:w="1800" w:type="dxa"/>
            <w:vAlign w:val="bottom"/>
            <w:gridSpan w:val="3"/>
          </w:tcPr>
          <w:p>
            <w:pPr>
              <w:ind w:left="240"/>
              <w:spacing w:after="0"/>
              <w:rPr>
                <w:sz w:val="20"/>
                <w:szCs w:val="20"/>
                <w:color w:val="auto"/>
              </w:rPr>
            </w:pPr>
            <w:r>
              <w:rPr>
                <w:rFonts w:ascii="Times New Roman" w:cs="Times New Roman" w:eastAsia="Times New Roman" w:hAnsi="Times New Roman"/>
                <w:sz w:val="13"/>
                <w:szCs w:val="13"/>
                <w:color w:val="auto"/>
              </w:rPr>
              <w:t>Paramus, NJ</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12/31/2023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ATC - Medical Dispensing</w:t>
            </w:r>
          </w:p>
        </w:tc>
        <w:tc>
          <w:tcPr>
            <w:tcW w:w="0" w:type="dxa"/>
            <w:vAlign w:val="bottom"/>
          </w:tcPr>
          <w:p>
            <w:pPr>
              <w:spacing w:after="0"/>
              <w:rPr>
                <w:sz w:val="1"/>
                <w:szCs w:val="1"/>
                <w:color w:val="auto"/>
              </w:rPr>
            </w:pPr>
          </w:p>
        </w:tc>
      </w:tr>
      <w:tr>
        <w:trPr>
          <w:trHeight w:val="162"/>
        </w:trPr>
        <w:tc>
          <w:tcPr>
            <w:tcW w:w="25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GTI New Jersey</w:t>
            </w:r>
          </w:p>
        </w:tc>
        <w:tc>
          <w:tcPr>
            <w:tcW w:w="17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MRE000006</w:t>
            </w:r>
          </w:p>
        </w:tc>
        <w:tc>
          <w:tcPr>
            <w:tcW w:w="180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Bloomfield, NJ</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12/31/2023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ATC - Medical Dispensing</w:t>
            </w:r>
          </w:p>
        </w:tc>
        <w:tc>
          <w:tcPr>
            <w:tcW w:w="0" w:type="dxa"/>
            <w:vAlign w:val="bottom"/>
          </w:tcPr>
          <w:p>
            <w:pPr>
              <w:spacing w:after="0"/>
              <w:rPr>
                <w:sz w:val="1"/>
                <w:szCs w:val="1"/>
                <w:color w:val="auto"/>
              </w:rPr>
            </w:pPr>
          </w:p>
        </w:tc>
      </w:tr>
      <w:tr>
        <w:trPr>
          <w:trHeight w:val="164"/>
        </w:trPr>
        <w:tc>
          <w:tcPr>
            <w:tcW w:w="252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Licenses in the State of New York</w:t>
            </w: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520" w:type="dxa"/>
            <w:vAlign w:val="bottom"/>
            <w:gridSpan w:val="4"/>
            <w:vMerge w:val="continue"/>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900" w:type="dxa"/>
            <w:vAlign w:val="bottom"/>
          </w:tcPr>
          <w:p>
            <w:pPr>
              <w:spacing w:after="0"/>
              <w:rPr>
                <w:sz w:val="11"/>
                <w:szCs w:val="11"/>
                <w:color w:val="auto"/>
              </w:rPr>
            </w:pPr>
          </w:p>
        </w:tc>
        <w:tc>
          <w:tcPr>
            <w:tcW w:w="1620" w:type="dxa"/>
            <w:vAlign w:val="bottom"/>
            <w:gridSpan w:val="3"/>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Holding Entity</w:t>
            </w:r>
          </w:p>
        </w:tc>
        <w:tc>
          <w:tcPr>
            <w:tcW w:w="1780" w:type="dxa"/>
            <w:vAlign w:val="bottom"/>
            <w:gridSpan w:val="3"/>
          </w:tcPr>
          <w:p>
            <w:pPr>
              <w:ind w:left="640"/>
              <w:spacing w:after="0" w:line="138" w:lineRule="exact"/>
              <w:rPr>
                <w:sz w:val="20"/>
                <w:szCs w:val="20"/>
                <w:color w:val="auto"/>
              </w:rPr>
            </w:pPr>
            <w:r>
              <w:rPr>
                <w:rFonts w:ascii="Times New Roman" w:cs="Times New Roman" w:eastAsia="Times New Roman" w:hAnsi="Times New Roman"/>
                <w:sz w:val="13"/>
                <w:szCs w:val="13"/>
                <w:b w:val="1"/>
                <w:bCs w:val="1"/>
                <w:color w:val="auto"/>
              </w:rPr>
              <w:t>Permit/License</w:t>
            </w:r>
          </w:p>
        </w:tc>
        <w:tc>
          <w:tcPr>
            <w:tcW w:w="900" w:type="dxa"/>
            <w:vAlign w:val="bottom"/>
          </w:tcPr>
          <w:p>
            <w:pPr>
              <w:spacing w:after="0"/>
              <w:rPr>
                <w:sz w:val="11"/>
                <w:szCs w:val="11"/>
                <w:color w:val="auto"/>
              </w:rPr>
            </w:pPr>
          </w:p>
        </w:tc>
        <w:tc>
          <w:tcPr>
            <w:tcW w:w="900" w:type="dxa"/>
            <w:vAlign w:val="bottom"/>
            <w:gridSpan w:val="2"/>
          </w:tcPr>
          <w:p>
            <w:pPr>
              <w:jc w:val="center"/>
              <w:ind w:right="680"/>
              <w:spacing w:after="0" w:line="138" w:lineRule="exact"/>
              <w:rPr>
                <w:sz w:val="20"/>
                <w:szCs w:val="20"/>
                <w:color w:val="auto"/>
              </w:rPr>
            </w:pPr>
            <w:r>
              <w:rPr>
                <w:rFonts w:ascii="Times New Roman" w:cs="Times New Roman" w:eastAsia="Times New Roman" w:hAnsi="Times New Roman"/>
                <w:sz w:val="13"/>
                <w:szCs w:val="13"/>
                <w:b w:val="1"/>
                <w:bCs w:val="1"/>
                <w:color w:val="auto"/>
                <w:w w:val="92"/>
              </w:rPr>
              <w:t>City</w:t>
            </w:r>
          </w:p>
        </w:tc>
        <w:tc>
          <w:tcPr>
            <w:tcW w:w="1000" w:type="dxa"/>
            <w:vAlign w:val="bottom"/>
            <w:gridSpan w:val="3"/>
            <w:shd w:val="clear" w:color="auto" w:fill="CFF0FC"/>
          </w:tcPr>
          <w:p>
            <w:pPr>
              <w:ind w:left="120"/>
              <w:spacing w:after="0" w:line="138" w:lineRule="exact"/>
              <w:rPr>
                <w:sz w:val="20"/>
                <w:szCs w:val="20"/>
                <w:color w:val="auto"/>
              </w:rPr>
            </w:pPr>
            <w:r>
              <w:rPr>
                <w:rFonts w:ascii="Times New Roman" w:cs="Times New Roman" w:eastAsia="Times New Roman" w:hAnsi="Times New Roman"/>
                <w:sz w:val="13"/>
                <w:szCs w:val="13"/>
                <w:b w:val="1"/>
                <w:bCs w:val="1"/>
                <w:color w:val="auto"/>
              </w:rPr>
              <w:t>Renewal Date</w:t>
            </w:r>
          </w:p>
        </w:tc>
        <w:tc>
          <w:tcPr>
            <w:tcW w:w="4140" w:type="dxa"/>
            <w:vAlign w:val="bottom"/>
            <w:gridSpan w:val="3"/>
            <w:shd w:val="clear" w:color="auto" w:fill="CFF0FC"/>
          </w:tcPr>
          <w:p>
            <w:pPr>
              <w:ind w:left="1760"/>
              <w:spacing w:after="0" w:line="138" w:lineRule="exact"/>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76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7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5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Fiorello Pharmaceuticals, Inc.</w:t>
            </w:r>
          </w:p>
        </w:tc>
        <w:tc>
          <w:tcPr>
            <w:tcW w:w="17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OMC-HMPR-22-00581-003</w:t>
            </w:r>
          </w:p>
        </w:tc>
        <w:tc>
          <w:tcPr>
            <w:tcW w:w="180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Rochester, NY</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3/3/2023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Cannabinoid Hemp Retail License</w:t>
            </w:r>
          </w:p>
        </w:tc>
        <w:tc>
          <w:tcPr>
            <w:tcW w:w="0" w:type="dxa"/>
            <w:vAlign w:val="bottom"/>
          </w:tcPr>
          <w:p>
            <w:pPr>
              <w:spacing w:after="0"/>
              <w:rPr>
                <w:sz w:val="1"/>
                <w:szCs w:val="1"/>
                <w:color w:val="auto"/>
              </w:rPr>
            </w:pPr>
          </w:p>
        </w:tc>
      </w:tr>
      <w:tr>
        <w:trPr>
          <w:trHeight w:val="162"/>
        </w:trPr>
        <w:tc>
          <w:tcPr>
            <w:tcW w:w="25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Fiorello Pharmaceuticals, Inc.</w:t>
            </w:r>
          </w:p>
        </w:tc>
        <w:tc>
          <w:tcPr>
            <w:tcW w:w="178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OMC-HMPR-22-00581-002</w:t>
            </w:r>
          </w:p>
        </w:tc>
        <w:tc>
          <w:tcPr>
            <w:tcW w:w="1800" w:type="dxa"/>
            <w:vAlign w:val="bottom"/>
            <w:gridSpan w:val="3"/>
          </w:tcPr>
          <w:p>
            <w:pPr>
              <w:ind w:left="240"/>
              <w:spacing w:after="0"/>
              <w:rPr>
                <w:sz w:val="20"/>
                <w:szCs w:val="20"/>
                <w:color w:val="auto"/>
              </w:rPr>
            </w:pPr>
            <w:r>
              <w:rPr>
                <w:rFonts w:ascii="Times New Roman" w:cs="Times New Roman" w:eastAsia="Times New Roman" w:hAnsi="Times New Roman"/>
                <w:sz w:val="13"/>
                <w:szCs w:val="13"/>
                <w:color w:val="auto"/>
              </w:rPr>
              <w:t>New York, NY</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3/3/2023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Cannabinoid Hemp Retail License</w:t>
            </w:r>
          </w:p>
        </w:tc>
        <w:tc>
          <w:tcPr>
            <w:tcW w:w="0" w:type="dxa"/>
            <w:vAlign w:val="bottom"/>
          </w:tcPr>
          <w:p>
            <w:pPr>
              <w:spacing w:after="0"/>
              <w:rPr>
                <w:sz w:val="1"/>
                <w:szCs w:val="1"/>
                <w:color w:val="auto"/>
              </w:rPr>
            </w:pPr>
          </w:p>
        </w:tc>
      </w:tr>
      <w:tr>
        <w:trPr>
          <w:trHeight w:val="162"/>
        </w:trPr>
        <w:tc>
          <w:tcPr>
            <w:tcW w:w="25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Fiorello Pharmaceuticals, Inc.</w:t>
            </w:r>
          </w:p>
        </w:tc>
        <w:tc>
          <w:tcPr>
            <w:tcW w:w="17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OCM-HMPR-22-00581-001</w:t>
            </w:r>
          </w:p>
        </w:tc>
        <w:tc>
          <w:tcPr>
            <w:tcW w:w="180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Clifton Park, NY</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3/3/2023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Cannabinoid Hemp Retail License</w:t>
            </w:r>
          </w:p>
        </w:tc>
        <w:tc>
          <w:tcPr>
            <w:tcW w:w="0" w:type="dxa"/>
            <w:vAlign w:val="bottom"/>
          </w:tcPr>
          <w:p>
            <w:pPr>
              <w:spacing w:after="0"/>
              <w:rPr>
                <w:sz w:val="1"/>
                <w:szCs w:val="1"/>
                <w:color w:val="auto"/>
              </w:rPr>
            </w:pPr>
          </w:p>
        </w:tc>
      </w:tr>
      <w:tr>
        <w:trPr>
          <w:trHeight w:val="162"/>
        </w:trPr>
        <w:tc>
          <w:tcPr>
            <w:tcW w:w="25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Fiorello Pharmaceuticals, Inc.</w:t>
            </w:r>
          </w:p>
        </w:tc>
        <w:tc>
          <w:tcPr>
            <w:tcW w:w="178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MM0705D</w:t>
            </w:r>
          </w:p>
        </w:tc>
        <w:tc>
          <w:tcPr>
            <w:tcW w:w="1800" w:type="dxa"/>
            <w:vAlign w:val="bottom"/>
            <w:gridSpan w:val="3"/>
          </w:tcPr>
          <w:p>
            <w:pPr>
              <w:ind w:left="240"/>
              <w:spacing w:after="0"/>
              <w:rPr>
                <w:sz w:val="20"/>
                <w:szCs w:val="20"/>
                <w:color w:val="auto"/>
              </w:rPr>
            </w:pPr>
            <w:r>
              <w:rPr>
                <w:rFonts w:ascii="Times New Roman" w:cs="Times New Roman" w:eastAsia="Times New Roman" w:hAnsi="Times New Roman"/>
                <w:sz w:val="13"/>
                <w:szCs w:val="13"/>
                <w:color w:val="auto"/>
              </w:rPr>
              <w:t>Halfmoon, NY</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7/31/2023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Medical Dispensary License</w:t>
            </w:r>
          </w:p>
        </w:tc>
        <w:tc>
          <w:tcPr>
            <w:tcW w:w="0" w:type="dxa"/>
            <w:vAlign w:val="bottom"/>
          </w:tcPr>
          <w:p>
            <w:pPr>
              <w:spacing w:after="0"/>
              <w:rPr>
                <w:sz w:val="1"/>
                <w:szCs w:val="1"/>
                <w:color w:val="auto"/>
              </w:rPr>
            </w:pPr>
          </w:p>
        </w:tc>
      </w:tr>
      <w:tr>
        <w:trPr>
          <w:trHeight w:val="162"/>
        </w:trPr>
        <w:tc>
          <w:tcPr>
            <w:tcW w:w="25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Fiorello Pharmaceuticals, Inc.</w:t>
            </w:r>
          </w:p>
        </w:tc>
        <w:tc>
          <w:tcPr>
            <w:tcW w:w="17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MM0704D</w:t>
            </w:r>
          </w:p>
        </w:tc>
        <w:tc>
          <w:tcPr>
            <w:tcW w:w="180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Rochester, NY</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7/31/2023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Medical Dispensary License</w:t>
            </w:r>
          </w:p>
        </w:tc>
        <w:tc>
          <w:tcPr>
            <w:tcW w:w="0" w:type="dxa"/>
            <w:vAlign w:val="bottom"/>
          </w:tcPr>
          <w:p>
            <w:pPr>
              <w:spacing w:after="0"/>
              <w:rPr>
                <w:sz w:val="1"/>
                <w:szCs w:val="1"/>
                <w:color w:val="auto"/>
              </w:rPr>
            </w:pPr>
          </w:p>
        </w:tc>
      </w:tr>
      <w:tr>
        <w:trPr>
          <w:trHeight w:val="162"/>
        </w:trPr>
        <w:tc>
          <w:tcPr>
            <w:tcW w:w="25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Fiorello Pharmaceuticals, Inc.</w:t>
            </w:r>
          </w:p>
        </w:tc>
        <w:tc>
          <w:tcPr>
            <w:tcW w:w="178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MM0703D</w:t>
            </w:r>
          </w:p>
        </w:tc>
        <w:tc>
          <w:tcPr>
            <w:tcW w:w="1800" w:type="dxa"/>
            <w:vAlign w:val="bottom"/>
            <w:gridSpan w:val="3"/>
          </w:tcPr>
          <w:p>
            <w:pPr>
              <w:ind w:left="240"/>
              <w:spacing w:after="0"/>
              <w:rPr>
                <w:sz w:val="20"/>
                <w:szCs w:val="20"/>
                <w:color w:val="auto"/>
              </w:rPr>
            </w:pPr>
            <w:r>
              <w:rPr>
                <w:rFonts w:ascii="Times New Roman" w:cs="Times New Roman" w:eastAsia="Times New Roman" w:hAnsi="Times New Roman"/>
                <w:sz w:val="13"/>
                <w:szCs w:val="13"/>
                <w:color w:val="auto"/>
              </w:rPr>
              <w:t>Nassau County, NY</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7/31/2023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Provisional Medical Dispensary License</w:t>
            </w:r>
          </w:p>
        </w:tc>
        <w:tc>
          <w:tcPr>
            <w:tcW w:w="0" w:type="dxa"/>
            <w:vAlign w:val="bottom"/>
          </w:tcPr>
          <w:p>
            <w:pPr>
              <w:spacing w:after="0"/>
              <w:rPr>
                <w:sz w:val="1"/>
                <w:szCs w:val="1"/>
                <w:color w:val="auto"/>
              </w:rPr>
            </w:pPr>
          </w:p>
        </w:tc>
      </w:tr>
      <w:tr>
        <w:trPr>
          <w:trHeight w:val="162"/>
        </w:trPr>
        <w:tc>
          <w:tcPr>
            <w:tcW w:w="25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Fiorello Pharmaceuticals, Inc.</w:t>
            </w:r>
          </w:p>
        </w:tc>
        <w:tc>
          <w:tcPr>
            <w:tcW w:w="17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MM0702D</w:t>
            </w:r>
          </w:p>
        </w:tc>
        <w:tc>
          <w:tcPr>
            <w:tcW w:w="180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New York, NY</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7/31/2023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Medical Dispensary License</w:t>
            </w:r>
          </w:p>
        </w:tc>
        <w:tc>
          <w:tcPr>
            <w:tcW w:w="0" w:type="dxa"/>
            <w:vAlign w:val="bottom"/>
          </w:tcPr>
          <w:p>
            <w:pPr>
              <w:spacing w:after="0"/>
              <w:rPr>
                <w:sz w:val="1"/>
                <w:szCs w:val="1"/>
                <w:color w:val="auto"/>
              </w:rPr>
            </w:pPr>
          </w:p>
        </w:tc>
      </w:tr>
      <w:tr>
        <w:trPr>
          <w:trHeight w:val="164"/>
        </w:trPr>
        <w:tc>
          <w:tcPr>
            <w:tcW w:w="25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Fiorello Pharmaceuticals, Inc.</w:t>
            </w:r>
          </w:p>
        </w:tc>
        <w:tc>
          <w:tcPr>
            <w:tcW w:w="178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MM0701M</w:t>
            </w:r>
          </w:p>
        </w:tc>
        <w:tc>
          <w:tcPr>
            <w:tcW w:w="1800" w:type="dxa"/>
            <w:vAlign w:val="bottom"/>
            <w:gridSpan w:val="3"/>
          </w:tcPr>
          <w:p>
            <w:pPr>
              <w:ind w:left="240"/>
              <w:spacing w:after="0"/>
              <w:rPr>
                <w:sz w:val="20"/>
                <w:szCs w:val="20"/>
                <w:color w:val="auto"/>
              </w:rPr>
            </w:pPr>
            <w:r>
              <w:rPr>
                <w:rFonts w:ascii="Times New Roman" w:cs="Times New Roman" w:eastAsia="Times New Roman" w:hAnsi="Times New Roman"/>
                <w:sz w:val="13"/>
                <w:szCs w:val="13"/>
                <w:color w:val="auto"/>
              </w:rPr>
              <w:t>Glenville, NY</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7/31/2023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Medical Manufacturing License</w:t>
            </w:r>
          </w:p>
        </w:tc>
        <w:tc>
          <w:tcPr>
            <w:tcW w:w="0" w:type="dxa"/>
            <w:vAlign w:val="bottom"/>
          </w:tcPr>
          <w:p>
            <w:pPr>
              <w:spacing w:after="0"/>
              <w:rPr>
                <w:sz w:val="1"/>
                <w:szCs w:val="1"/>
                <w:color w:val="auto"/>
              </w:rPr>
            </w:pPr>
          </w:p>
        </w:tc>
      </w:tr>
      <w:tr>
        <w:trPr>
          <w:trHeight w:val="369"/>
        </w:trPr>
        <w:tc>
          <w:tcPr>
            <w:tcW w:w="2520" w:type="dxa"/>
            <w:vAlign w:val="bottom"/>
            <w:gridSpan w:val="4"/>
          </w:tcPr>
          <w:p>
            <w:pPr>
              <w:ind w:left="20"/>
              <w:spacing w:after="0"/>
              <w:rPr>
                <w:sz w:val="20"/>
                <w:szCs w:val="20"/>
                <w:color w:val="auto"/>
              </w:rPr>
            </w:pPr>
            <w:r>
              <w:rPr>
                <w:rFonts w:ascii="Times New Roman" w:cs="Times New Roman" w:eastAsia="Times New Roman" w:hAnsi="Times New Roman"/>
                <w:sz w:val="13"/>
                <w:szCs w:val="13"/>
                <w:i w:val="1"/>
                <w:iCs w:val="1"/>
                <w:color w:val="auto"/>
              </w:rPr>
              <w:t>Licenses in the State of Ohio</w:t>
            </w: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620" w:type="dxa"/>
            <w:vAlign w:val="bottom"/>
            <w:gridSpan w:val="3"/>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Holding Entity</w:t>
            </w:r>
          </w:p>
        </w:tc>
        <w:tc>
          <w:tcPr>
            <w:tcW w:w="1780" w:type="dxa"/>
            <w:vAlign w:val="bottom"/>
            <w:gridSpan w:val="3"/>
          </w:tcPr>
          <w:p>
            <w:pPr>
              <w:ind w:left="640"/>
              <w:spacing w:after="0" w:line="142" w:lineRule="exact"/>
              <w:rPr>
                <w:sz w:val="20"/>
                <w:szCs w:val="20"/>
                <w:color w:val="auto"/>
              </w:rPr>
            </w:pPr>
            <w:r>
              <w:rPr>
                <w:rFonts w:ascii="Times New Roman" w:cs="Times New Roman" w:eastAsia="Times New Roman" w:hAnsi="Times New Roman"/>
                <w:sz w:val="13"/>
                <w:szCs w:val="13"/>
                <w:b w:val="1"/>
                <w:bCs w:val="1"/>
                <w:color w:val="auto"/>
              </w:rPr>
              <w:t>Permit/License</w:t>
            </w:r>
          </w:p>
        </w:tc>
        <w:tc>
          <w:tcPr>
            <w:tcW w:w="900" w:type="dxa"/>
            <w:vAlign w:val="bottom"/>
          </w:tcPr>
          <w:p>
            <w:pPr>
              <w:spacing w:after="0"/>
              <w:rPr>
                <w:sz w:val="12"/>
                <w:szCs w:val="12"/>
                <w:color w:val="auto"/>
              </w:rPr>
            </w:pPr>
          </w:p>
        </w:tc>
        <w:tc>
          <w:tcPr>
            <w:tcW w:w="900" w:type="dxa"/>
            <w:vAlign w:val="bottom"/>
            <w:gridSpan w:val="2"/>
          </w:tcPr>
          <w:p>
            <w:pPr>
              <w:jc w:val="center"/>
              <w:ind w:right="680"/>
              <w:spacing w:after="0" w:line="142" w:lineRule="exact"/>
              <w:rPr>
                <w:sz w:val="20"/>
                <w:szCs w:val="20"/>
                <w:color w:val="auto"/>
              </w:rPr>
            </w:pPr>
            <w:r>
              <w:rPr>
                <w:rFonts w:ascii="Times New Roman" w:cs="Times New Roman" w:eastAsia="Times New Roman" w:hAnsi="Times New Roman"/>
                <w:sz w:val="13"/>
                <w:szCs w:val="13"/>
                <w:b w:val="1"/>
                <w:bCs w:val="1"/>
                <w:color w:val="auto"/>
                <w:w w:val="92"/>
              </w:rPr>
              <w:t>City</w:t>
            </w:r>
          </w:p>
        </w:tc>
        <w:tc>
          <w:tcPr>
            <w:tcW w:w="1000" w:type="dxa"/>
            <w:vAlign w:val="bottom"/>
            <w:gridSpan w:val="3"/>
          </w:tcPr>
          <w:p>
            <w:pPr>
              <w:ind w:left="120"/>
              <w:spacing w:after="0" w:line="142" w:lineRule="exact"/>
              <w:rPr>
                <w:sz w:val="20"/>
                <w:szCs w:val="20"/>
                <w:color w:val="auto"/>
              </w:rPr>
            </w:pPr>
            <w:r>
              <w:rPr>
                <w:rFonts w:ascii="Times New Roman" w:cs="Times New Roman" w:eastAsia="Times New Roman" w:hAnsi="Times New Roman"/>
                <w:sz w:val="13"/>
                <w:szCs w:val="13"/>
                <w:b w:val="1"/>
                <w:bCs w:val="1"/>
                <w:color w:val="auto"/>
              </w:rPr>
              <w:t>Renewal Date</w:t>
            </w:r>
          </w:p>
        </w:tc>
        <w:tc>
          <w:tcPr>
            <w:tcW w:w="4140" w:type="dxa"/>
            <w:vAlign w:val="bottom"/>
            <w:gridSpan w:val="3"/>
          </w:tcPr>
          <w:p>
            <w:pPr>
              <w:ind w:left="1760"/>
              <w:spacing w:after="0" w:line="142" w:lineRule="exact"/>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GTI Ohio, LLC</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8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MMCPC00181</w:t>
            </w:r>
          </w:p>
        </w:tc>
        <w:tc>
          <w:tcPr>
            <w:tcW w:w="1800" w:type="dxa"/>
            <w:vAlign w:val="bottom"/>
            <w:gridSpan w:val="3"/>
          </w:tcPr>
          <w:p>
            <w:pPr>
              <w:ind w:left="240"/>
              <w:spacing w:after="0"/>
              <w:rPr>
                <w:sz w:val="20"/>
                <w:szCs w:val="20"/>
                <w:color w:val="auto"/>
              </w:rPr>
            </w:pPr>
            <w:r>
              <w:rPr>
                <w:rFonts w:ascii="Times New Roman" w:cs="Times New Roman" w:eastAsia="Times New Roman" w:hAnsi="Times New Roman"/>
                <w:sz w:val="13"/>
                <w:szCs w:val="13"/>
                <w:color w:val="auto"/>
              </w:rPr>
              <w:t>Toledo, OH</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12/6/2023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Medical Marijuana Cultivation Certificate of Operation</w:t>
            </w:r>
          </w:p>
        </w:tc>
        <w:tc>
          <w:tcPr>
            <w:tcW w:w="0" w:type="dxa"/>
            <w:vAlign w:val="bottom"/>
          </w:tcPr>
          <w:p>
            <w:pPr>
              <w:spacing w:after="0"/>
              <w:rPr>
                <w:sz w:val="1"/>
                <w:szCs w:val="1"/>
                <w:color w:val="auto"/>
              </w:rPr>
            </w:pPr>
          </w:p>
        </w:tc>
      </w:tr>
      <w:tr>
        <w:trPr>
          <w:trHeight w:val="163"/>
        </w:trPr>
        <w:tc>
          <w:tcPr>
            <w:tcW w:w="25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GTI Ohio, LLC</w:t>
            </w:r>
          </w:p>
        </w:tc>
        <w:tc>
          <w:tcPr>
            <w:tcW w:w="17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MMCPP00070</w:t>
            </w:r>
          </w:p>
        </w:tc>
        <w:tc>
          <w:tcPr>
            <w:tcW w:w="180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Toledo, OH</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5/18/2023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Medical Marijuana Processor Certificate of Operation</w:t>
            </w:r>
          </w:p>
        </w:tc>
        <w:tc>
          <w:tcPr>
            <w:tcW w:w="0" w:type="dxa"/>
            <w:vAlign w:val="bottom"/>
          </w:tcPr>
          <w:p>
            <w:pPr>
              <w:spacing w:after="0"/>
              <w:rPr>
                <w:sz w:val="1"/>
                <w:szCs w:val="1"/>
                <w:color w:val="auto"/>
              </w:rPr>
            </w:pPr>
          </w:p>
        </w:tc>
      </w:tr>
      <w:tr>
        <w:trPr>
          <w:trHeight w:val="162"/>
        </w:trPr>
        <w:tc>
          <w:tcPr>
            <w:tcW w:w="25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GTI Ohio, LLC</w:t>
            </w:r>
          </w:p>
        </w:tc>
        <w:tc>
          <w:tcPr>
            <w:tcW w:w="178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MMD20-000003</w:t>
            </w:r>
          </w:p>
        </w:tc>
        <w:tc>
          <w:tcPr>
            <w:tcW w:w="1800" w:type="dxa"/>
            <w:vAlign w:val="bottom"/>
            <w:gridSpan w:val="3"/>
          </w:tcPr>
          <w:p>
            <w:pPr>
              <w:ind w:left="240"/>
              <w:spacing w:after="0"/>
              <w:rPr>
                <w:sz w:val="20"/>
                <w:szCs w:val="20"/>
                <w:color w:val="auto"/>
              </w:rPr>
            </w:pPr>
            <w:r>
              <w:rPr>
                <w:rFonts w:ascii="Times New Roman" w:cs="Times New Roman" w:eastAsia="Times New Roman" w:hAnsi="Times New Roman"/>
                <w:sz w:val="13"/>
                <w:szCs w:val="13"/>
                <w:color w:val="auto"/>
              </w:rPr>
              <w:t>Lakewood, OH</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6/30/2023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Medical Marijuana Dispensary License</w:t>
            </w:r>
          </w:p>
        </w:tc>
        <w:tc>
          <w:tcPr>
            <w:tcW w:w="0" w:type="dxa"/>
            <w:vAlign w:val="bottom"/>
          </w:tcPr>
          <w:p>
            <w:pPr>
              <w:spacing w:after="0"/>
              <w:rPr>
                <w:sz w:val="1"/>
                <w:szCs w:val="1"/>
                <w:color w:val="auto"/>
              </w:rPr>
            </w:pPr>
          </w:p>
        </w:tc>
      </w:tr>
      <w:tr>
        <w:trPr>
          <w:trHeight w:val="162"/>
        </w:trPr>
        <w:tc>
          <w:tcPr>
            <w:tcW w:w="25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GTI Ohio, LLC</w:t>
            </w:r>
          </w:p>
        </w:tc>
        <w:tc>
          <w:tcPr>
            <w:tcW w:w="17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MMD20-000002</w:t>
            </w:r>
          </w:p>
        </w:tc>
        <w:tc>
          <w:tcPr>
            <w:tcW w:w="180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Lakewood, OH</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6/30/2023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Medical Marijuana Dispensary License</w:t>
            </w:r>
          </w:p>
        </w:tc>
        <w:tc>
          <w:tcPr>
            <w:tcW w:w="0" w:type="dxa"/>
            <w:vAlign w:val="bottom"/>
          </w:tcPr>
          <w:p>
            <w:pPr>
              <w:spacing w:after="0"/>
              <w:rPr>
                <w:sz w:val="1"/>
                <w:szCs w:val="1"/>
                <w:color w:val="auto"/>
              </w:rPr>
            </w:pPr>
          </w:p>
        </w:tc>
      </w:tr>
      <w:tr>
        <w:trPr>
          <w:trHeight w:val="162"/>
        </w:trPr>
        <w:tc>
          <w:tcPr>
            <w:tcW w:w="25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GTI Ohio, LLC</w:t>
            </w:r>
          </w:p>
        </w:tc>
        <w:tc>
          <w:tcPr>
            <w:tcW w:w="178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MMD.0700052</w:t>
            </w:r>
          </w:p>
        </w:tc>
        <w:tc>
          <w:tcPr>
            <w:tcW w:w="1800" w:type="dxa"/>
            <w:vAlign w:val="bottom"/>
            <w:gridSpan w:val="3"/>
          </w:tcPr>
          <w:p>
            <w:pPr>
              <w:ind w:left="240"/>
              <w:spacing w:after="0"/>
              <w:rPr>
                <w:sz w:val="20"/>
                <w:szCs w:val="20"/>
                <w:color w:val="auto"/>
              </w:rPr>
            </w:pPr>
            <w:r>
              <w:rPr>
                <w:rFonts w:ascii="Times New Roman" w:cs="Times New Roman" w:eastAsia="Times New Roman" w:hAnsi="Times New Roman"/>
                <w:sz w:val="13"/>
                <w:szCs w:val="13"/>
                <w:color w:val="auto"/>
              </w:rPr>
              <w:t>Lakewood, OH</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7/1/2023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Medical Marijuana Dispensary Certificate of Operation</w:t>
            </w:r>
          </w:p>
        </w:tc>
        <w:tc>
          <w:tcPr>
            <w:tcW w:w="0" w:type="dxa"/>
            <w:vAlign w:val="bottom"/>
          </w:tcPr>
          <w:p>
            <w:pPr>
              <w:spacing w:after="0"/>
              <w:rPr>
                <w:sz w:val="1"/>
                <w:szCs w:val="1"/>
                <w:color w:val="auto"/>
              </w:rPr>
            </w:pPr>
          </w:p>
        </w:tc>
      </w:tr>
      <w:tr>
        <w:trPr>
          <w:trHeight w:val="162"/>
        </w:trPr>
        <w:tc>
          <w:tcPr>
            <w:tcW w:w="25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GTI Ohio, LLC</w:t>
            </w:r>
          </w:p>
        </w:tc>
        <w:tc>
          <w:tcPr>
            <w:tcW w:w="17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MMD.0700047</w:t>
            </w:r>
          </w:p>
        </w:tc>
        <w:tc>
          <w:tcPr>
            <w:tcW w:w="180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Lakewood, OH</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7/1/2023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Medical Marijuana Dispensary Certificate of Operation</w:t>
            </w:r>
          </w:p>
        </w:tc>
        <w:tc>
          <w:tcPr>
            <w:tcW w:w="0" w:type="dxa"/>
            <w:vAlign w:val="bottom"/>
          </w:tcPr>
          <w:p>
            <w:pPr>
              <w:spacing w:after="0"/>
              <w:rPr>
                <w:sz w:val="1"/>
                <w:szCs w:val="1"/>
                <w:color w:val="auto"/>
              </w:rPr>
            </w:pPr>
          </w:p>
        </w:tc>
      </w:tr>
      <w:tr>
        <w:trPr>
          <w:trHeight w:val="162"/>
        </w:trPr>
        <w:tc>
          <w:tcPr>
            <w:tcW w:w="25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GTI Ohio, LLC</w:t>
            </w:r>
          </w:p>
        </w:tc>
        <w:tc>
          <w:tcPr>
            <w:tcW w:w="178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MMD.0700026</w:t>
            </w:r>
          </w:p>
        </w:tc>
        <w:tc>
          <w:tcPr>
            <w:tcW w:w="1800" w:type="dxa"/>
            <w:vAlign w:val="bottom"/>
            <w:gridSpan w:val="3"/>
          </w:tcPr>
          <w:p>
            <w:pPr>
              <w:ind w:left="240"/>
              <w:spacing w:after="0"/>
              <w:rPr>
                <w:sz w:val="20"/>
                <w:szCs w:val="20"/>
                <w:color w:val="auto"/>
              </w:rPr>
            </w:pPr>
            <w:r>
              <w:rPr>
                <w:rFonts w:ascii="Times New Roman" w:cs="Times New Roman" w:eastAsia="Times New Roman" w:hAnsi="Times New Roman"/>
                <w:sz w:val="13"/>
                <w:szCs w:val="13"/>
                <w:color w:val="auto"/>
              </w:rPr>
              <w:t>Cleveland, OH</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7/1/2023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Medical Marijuana Dispensary Certificate of Operation</w:t>
            </w:r>
          </w:p>
        </w:tc>
        <w:tc>
          <w:tcPr>
            <w:tcW w:w="0" w:type="dxa"/>
            <w:vAlign w:val="bottom"/>
          </w:tcPr>
          <w:p>
            <w:pPr>
              <w:spacing w:after="0"/>
              <w:rPr>
                <w:sz w:val="1"/>
                <w:szCs w:val="1"/>
                <w:color w:val="auto"/>
              </w:rPr>
            </w:pPr>
          </w:p>
        </w:tc>
      </w:tr>
      <w:tr>
        <w:trPr>
          <w:trHeight w:val="162"/>
        </w:trPr>
        <w:tc>
          <w:tcPr>
            <w:tcW w:w="25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GTI Ohio, LLC</w:t>
            </w:r>
          </w:p>
        </w:tc>
        <w:tc>
          <w:tcPr>
            <w:tcW w:w="17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MMD.0700016</w:t>
            </w:r>
          </w:p>
        </w:tc>
        <w:tc>
          <w:tcPr>
            <w:tcW w:w="180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Loraine, OH</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7/1/2023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Medical Marijuana Dispensary Certificate of Operation</w:t>
            </w:r>
          </w:p>
        </w:tc>
        <w:tc>
          <w:tcPr>
            <w:tcW w:w="0" w:type="dxa"/>
            <w:vAlign w:val="bottom"/>
          </w:tcPr>
          <w:p>
            <w:pPr>
              <w:spacing w:after="0"/>
              <w:rPr>
                <w:sz w:val="1"/>
                <w:szCs w:val="1"/>
                <w:color w:val="auto"/>
              </w:rPr>
            </w:pPr>
          </w:p>
        </w:tc>
      </w:tr>
      <w:tr>
        <w:trPr>
          <w:trHeight w:val="164"/>
        </w:trPr>
        <w:tc>
          <w:tcPr>
            <w:tcW w:w="25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GTI Ohio, LLC</w:t>
            </w:r>
          </w:p>
        </w:tc>
        <w:tc>
          <w:tcPr>
            <w:tcW w:w="178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MMD.0700015</w:t>
            </w:r>
          </w:p>
        </w:tc>
        <w:tc>
          <w:tcPr>
            <w:tcW w:w="1800" w:type="dxa"/>
            <w:vAlign w:val="bottom"/>
            <w:gridSpan w:val="3"/>
          </w:tcPr>
          <w:p>
            <w:pPr>
              <w:ind w:left="240"/>
              <w:spacing w:after="0"/>
              <w:rPr>
                <w:sz w:val="20"/>
                <w:szCs w:val="20"/>
                <w:color w:val="auto"/>
              </w:rPr>
            </w:pPr>
            <w:r>
              <w:rPr>
                <w:rFonts w:ascii="Times New Roman" w:cs="Times New Roman" w:eastAsia="Times New Roman" w:hAnsi="Times New Roman"/>
                <w:sz w:val="13"/>
                <w:szCs w:val="13"/>
                <w:color w:val="auto"/>
              </w:rPr>
              <w:t>Toledo, OH</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7/1/2023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Medical Marijuana Dispensary Certificate of Operation</w:t>
            </w:r>
          </w:p>
        </w:tc>
        <w:tc>
          <w:tcPr>
            <w:tcW w:w="0" w:type="dxa"/>
            <w:vAlign w:val="bottom"/>
          </w:tcPr>
          <w:p>
            <w:pPr>
              <w:spacing w:after="0"/>
              <w:rPr>
                <w:sz w:val="1"/>
                <w:szCs w:val="1"/>
                <w:color w:val="auto"/>
              </w:rPr>
            </w:pPr>
          </w:p>
        </w:tc>
      </w:tr>
      <w:tr>
        <w:trPr>
          <w:trHeight w:val="315"/>
        </w:trPr>
        <w:tc>
          <w:tcPr>
            <w:tcW w:w="2520" w:type="dxa"/>
            <w:vAlign w:val="bottom"/>
            <w:gridSpan w:val="4"/>
          </w:tcPr>
          <w:p>
            <w:pPr>
              <w:ind w:left="20"/>
              <w:spacing w:after="0"/>
              <w:rPr>
                <w:sz w:val="20"/>
                <w:szCs w:val="20"/>
                <w:color w:val="auto"/>
              </w:rPr>
            </w:pPr>
            <w:r>
              <w:rPr>
                <w:rFonts w:ascii="Times New Roman" w:cs="Times New Roman" w:eastAsia="Times New Roman" w:hAnsi="Times New Roman"/>
                <w:sz w:val="13"/>
                <w:szCs w:val="13"/>
                <w:i w:val="1"/>
                <w:iCs w:val="1"/>
                <w:color w:val="auto"/>
                <w:w w:val="99"/>
              </w:rPr>
              <w:t>Licenses in the Commonwealth of Pennsylvania</w:t>
            </w: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620" w:type="dxa"/>
            <w:vAlign w:val="bottom"/>
            <w:gridSpan w:val="3"/>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Holding Entity</w:t>
            </w:r>
          </w:p>
        </w:tc>
        <w:tc>
          <w:tcPr>
            <w:tcW w:w="1780" w:type="dxa"/>
            <w:vAlign w:val="bottom"/>
            <w:gridSpan w:val="3"/>
          </w:tcPr>
          <w:p>
            <w:pPr>
              <w:ind w:left="640"/>
              <w:spacing w:after="0" w:line="142" w:lineRule="exact"/>
              <w:rPr>
                <w:sz w:val="20"/>
                <w:szCs w:val="20"/>
                <w:color w:val="auto"/>
              </w:rPr>
            </w:pPr>
            <w:r>
              <w:rPr>
                <w:rFonts w:ascii="Times New Roman" w:cs="Times New Roman" w:eastAsia="Times New Roman" w:hAnsi="Times New Roman"/>
                <w:sz w:val="13"/>
                <w:szCs w:val="13"/>
                <w:b w:val="1"/>
                <w:bCs w:val="1"/>
                <w:color w:val="auto"/>
              </w:rPr>
              <w:t>Permit/License</w:t>
            </w:r>
          </w:p>
        </w:tc>
        <w:tc>
          <w:tcPr>
            <w:tcW w:w="900" w:type="dxa"/>
            <w:vAlign w:val="bottom"/>
          </w:tcPr>
          <w:p>
            <w:pPr>
              <w:spacing w:after="0"/>
              <w:rPr>
                <w:sz w:val="12"/>
                <w:szCs w:val="12"/>
                <w:color w:val="auto"/>
              </w:rPr>
            </w:pPr>
          </w:p>
        </w:tc>
        <w:tc>
          <w:tcPr>
            <w:tcW w:w="900" w:type="dxa"/>
            <w:vAlign w:val="bottom"/>
            <w:gridSpan w:val="2"/>
          </w:tcPr>
          <w:p>
            <w:pPr>
              <w:jc w:val="center"/>
              <w:ind w:right="680"/>
              <w:spacing w:after="0" w:line="142" w:lineRule="exact"/>
              <w:rPr>
                <w:sz w:val="20"/>
                <w:szCs w:val="20"/>
                <w:color w:val="auto"/>
              </w:rPr>
            </w:pPr>
            <w:r>
              <w:rPr>
                <w:rFonts w:ascii="Times New Roman" w:cs="Times New Roman" w:eastAsia="Times New Roman" w:hAnsi="Times New Roman"/>
                <w:sz w:val="13"/>
                <w:szCs w:val="13"/>
                <w:b w:val="1"/>
                <w:bCs w:val="1"/>
                <w:color w:val="auto"/>
                <w:w w:val="92"/>
              </w:rPr>
              <w:t>City</w:t>
            </w:r>
          </w:p>
        </w:tc>
        <w:tc>
          <w:tcPr>
            <w:tcW w:w="1000" w:type="dxa"/>
            <w:vAlign w:val="bottom"/>
            <w:gridSpan w:val="3"/>
          </w:tcPr>
          <w:p>
            <w:pPr>
              <w:ind w:left="120"/>
              <w:spacing w:after="0" w:line="142" w:lineRule="exact"/>
              <w:rPr>
                <w:sz w:val="20"/>
                <w:szCs w:val="20"/>
                <w:color w:val="auto"/>
              </w:rPr>
            </w:pPr>
            <w:r>
              <w:rPr>
                <w:rFonts w:ascii="Times New Roman" w:cs="Times New Roman" w:eastAsia="Times New Roman" w:hAnsi="Times New Roman"/>
                <w:sz w:val="13"/>
                <w:szCs w:val="13"/>
                <w:b w:val="1"/>
                <w:bCs w:val="1"/>
                <w:color w:val="auto"/>
              </w:rPr>
              <w:t>Renewal Date</w:t>
            </w:r>
          </w:p>
        </w:tc>
        <w:tc>
          <w:tcPr>
            <w:tcW w:w="4140" w:type="dxa"/>
            <w:vAlign w:val="bottom"/>
            <w:gridSpan w:val="3"/>
          </w:tcPr>
          <w:p>
            <w:pPr>
              <w:ind w:left="1760"/>
              <w:spacing w:after="0" w:line="142" w:lineRule="exact"/>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5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GTI Pennsylvania, LLC</w:t>
            </w:r>
          </w:p>
        </w:tc>
        <w:tc>
          <w:tcPr>
            <w:tcW w:w="178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D18-6019</w:t>
            </w:r>
          </w:p>
        </w:tc>
        <w:tc>
          <w:tcPr>
            <w:tcW w:w="1800" w:type="dxa"/>
            <w:vAlign w:val="bottom"/>
            <w:gridSpan w:val="3"/>
          </w:tcPr>
          <w:p>
            <w:pPr>
              <w:ind w:left="240"/>
              <w:spacing w:after="0"/>
              <w:rPr>
                <w:sz w:val="20"/>
                <w:szCs w:val="20"/>
                <w:color w:val="auto"/>
              </w:rPr>
            </w:pPr>
            <w:r>
              <w:rPr>
                <w:rFonts w:ascii="Times New Roman" w:cs="Times New Roman" w:eastAsia="Times New Roman" w:hAnsi="Times New Roman"/>
                <w:sz w:val="13"/>
                <w:szCs w:val="13"/>
                <w:color w:val="auto"/>
              </w:rPr>
              <w:t>Meadville, PA</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12/18/2023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Medical Marijuana Dispensary Facility</w:t>
            </w:r>
          </w:p>
        </w:tc>
        <w:tc>
          <w:tcPr>
            <w:tcW w:w="0" w:type="dxa"/>
            <w:vAlign w:val="bottom"/>
          </w:tcPr>
          <w:p>
            <w:pPr>
              <w:spacing w:after="0"/>
              <w:rPr>
                <w:sz w:val="1"/>
                <w:szCs w:val="1"/>
                <w:color w:val="auto"/>
              </w:rPr>
            </w:pPr>
          </w:p>
        </w:tc>
      </w:tr>
      <w:tr>
        <w:trPr>
          <w:trHeight w:val="163"/>
        </w:trPr>
        <w:tc>
          <w:tcPr>
            <w:tcW w:w="25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GTI Pennsylvania, LLC</w:t>
            </w:r>
          </w:p>
        </w:tc>
        <w:tc>
          <w:tcPr>
            <w:tcW w:w="17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D18-6019</w:t>
            </w:r>
          </w:p>
        </w:tc>
        <w:tc>
          <w:tcPr>
            <w:tcW w:w="180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Erie, PA</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12/18/2023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Medical Marijuana Dispensary Facility</w:t>
            </w:r>
          </w:p>
        </w:tc>
        <w:tc>
          <w:tcPr>
            <w:tcW w:w="0" w:type="dxa"/>
            <w:vAlign w:val="bottom"/>
          </w:tcPr>
          <w:p>
            <w:pPr>
              <w:spacing w:after="0"/>
              <w:rPr>
                <w:sz w:val="1"/>
                <w:szCs w:val="1"/>
                <w:color w:val="auto"/>
              </w:rPr>
            </w:pPr>
          </w:p>
        </w:tc>
      </w:tr>
      <w:tr>
        <w:trPr>
          <w:trHeight w:val="162"/>
        </w:trPr>
        <w:tc>
          <w:tcPr>
            <w:tcW w:w="25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GTI Pennsylvania, LLC</w:t>
            </w:r>
          </w:p>
        </w:tc>
        <w:tc>
          <w:tcPr>
            <w:tcW w:w="178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D18-5035</w:t>
            </w:r>
          </w:p>
        </w:tc>
        <w:tc>
          <w:tcPr>
            <w:tcW w:w="1800" w:type="dxa"/>
            <w:vAlign w:val="bottom"/>
            <w:gridSpan w:val="3"/>
          </w:tcPr>
          <w:p>
            <w:pPr>
              <w:ind w:left="240"/>
              <w:spacing w:after="0"/>
              <w:rPr>
                <w:sz w:val="20"/>
                <w:szCs w:val="20"/>
                <w:color w:val="auto"/>
              </w:rPr>
            </w:pPr>
            <w:r>
              <w:rPr>
                <w:rFonts w:ascii="Times New Roman" w:cs="Times New Roman" w:eastAsia="Times New Roman" w:hAnsi="Times New Roman"/>
                <w:sz w:val="13"/>
                <w:szCs w:val="13"/>
                <w:color w:val="auto"/>
              </w:rPr>
              <w:t>Latrobe, PA</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12/18/2023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Medical Marijuana Dispensary Facility</w:t>
            </w:r>
          </w:p>
        </w:tc>
        <w:tc>
          <w:tcPr>
            <w:tcW w:w="0" w:type="dxa"/>
            <w:vAlign w:val="bottom"/>
          </w:tcPr>
          <w:p>
            <w:pPr>
              <w:spacing w:after="0"/>
              <w:rPr>
                <w:sz w:val="1"/>
                <w:szCs w:val="1"/>
                <w:color w:val="auto"/>
              </w:rPr>
            </w:pPr>
          </w:p>
        </w:tc>
      </w:tr>
      <w:tr>
        <w:trPr>
          <w:trHeight w:val="162"/>
        </w:trPr>
        <w:tc>
          <w:tcPr>
            <w:tcW w:w="25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GTI Pennsylvania, LLC</w:t>
            </w:r>
          </w:p>
        </w:tc>
        <w:tc>
          <w:tcPr>
            <w:tcW w:w="17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D18-5035</w:t>
            </w:r>
          </w:p>
        </w:tc>
        <w:tc>
          <w:tcPr>
            <w:tcW w:w="180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Cranberry Township, PA</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12/18/2023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Medical Marijuana Dispensary Facility</w:t>
            </w:r>
          </w:p>
        </w:tc>
        <w:tc>
          <w:tcPr>
            <w:tcW w:w="0" w:type="dxa"/>
            <w:vAlign w:val="bottom"/>
          </w:tcPr>
          <w:p>
            <w:pPr>
              <w:spacing w:after="0"/>
              <w:rPr>
                <w:sz w:val="1"/>
                <w:szCs w:val="1"/>
                <w:color w:val="auto"/>
              </w:rPr>
            </w:pPr>
          </w:p>
        </w:tc>
      </w:tr>
      <w:tr>
        <w:trPr>
          <w:trHeight w:val="162"/>
        </w:trPr>
        <w:tc>
          <w:tcPr>
            <w:tcW w:w="25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GTI Pennsylvania, LLC</w:t>
            </w:r>
          </w:p>
        </w:tc>
        <w:tc>
          <w:tcPr>
            <w:tcW w:w="178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D18-5035</w:t>
            </w:r>
          </w:p>
        </w:tc>
        <w:tc>
          <w:tcPr>
            <w:tcW w:w="1800" w:type="dxa"/>
            <w:vAlign w:val="bottom"/>
            <w:gridSpan w:val="3"/>
          </w:tcPr>
          <w:p>
            <w:pPr>
              <w:ind w:left="240"/>
              <w:spacing w:after="0"/>
              <w:rPr>
                <w:sz w:val="20"/>
                <w:szCs w:val="20"/>
                <w:color w:val="auto"/>
              </w:rPr>
            </w:pPr>
            <w:r>
              <w:rPr>
                <w:rFonts w:ascii="Times New Roman" w:cs="Times New Roman" w:eastAsia="Times New Roman" w:hAnsi="Times New Roman"/>
                <w:sz w:val="13"/>
                <w:szCs w:val="13"/>
                <w:color w:val="auto"/>
              </w:rPr>
              <w:t>Monroeville, PA</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12/18/2023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Medical Marijuana Dispensary Facility</w:t>
            </w:r>
          </w:p>
        </w:tc>
        <w:tc>
          <w:tcPr>
            <w:tcW w:w="0" w:type="dxa"/>
            <w:vAlign w:val="bottom"/>
          </w:tcPr>
          <w:p>
            <w:pPr>
              <w:spacing w:after="0"/>
              <w:rPr>
                <w:sz w:val="1"/>
                <w:szCs w:val="1"/>
                <w:color w:val="auto"/>
              </w:rPr>
            </w:pPr>
          </w:p>
        </w:tc>
      </w:tr>
      <w:tr>
        <w:trPr>
          <w:trHeight w:val="162"/>
        </w:trPr>
        <w:tc>
          <w:tcPr>
            <w:tcW w:w="25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GTI Pennsylvania, LLC</w:t>
            </w:r>
          </w:p>
        </w:tc>
        <w:tc>
          <w:tcPr>
            <w:tcW w:w="17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D18-3019</w:t>
            </w:r>
          </w:p>
        </w:tc>
        <w:tc>
          <w:tcPr>
            <w:tcW w:w="180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Mechanicsburg, PA</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12/18/2023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Medical Marijuana Dispensary Facility</w:t>
            </w:r>
          </w:p>
        </w:tc>
        <w:tc>
          <w:tcPr>
            <w:tcW w:w="0" w:type="dxa"/>
            <w:vAlign w:val="bottom"/>
          </w:tcPr>
          <w:p>
            <w:pPr>
              <w:spacing w:after="0"/>
              <w:rPr>
                <w:sz w:val="1"/>
                <w:szCs w:val="1"/>
                <w:color w:val="auto"/>
              </w:rPr>
            </w:pPr>
          </w:p>
        </w:tc>
      </w:tr>
      <w:tr>
        <w:trPr>
          <w:trHeight w:val="162"/>
        </w:trPr>
        <w:tc>
          <w:tcPr>
            <w:tcW w:w="25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GTI Pennsylvania, LLC</w:t>
            </w:r>
          </w:p>
        </w:tc>
        <w:tc>
          <w:tcPr>
            <w:tcW w:w="178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D18-3019</w:t>
            </w:r>
          </w:p>
        </w:tc>
        <w:tc>
          <w:tcPr>
            <w:tcW w:w="1800" w:type="dxa"/>
            <w:vAlign w:val="bottom"/>
            <w:gridSpan w:val="3"/>
          </w:tcPr>
          <w:p>
            <w:pPr>
              <w:ind w:left="240"/>
              <w:spacing w:after="0"/>
              <w:rPr>
                <w:sz w:val="20"/>
                <w:szCs w:val="20"/>
                <w:color w:val="auto"/>
              </w:rPr>
            </w:pPr>
            <w:r>
              <w:rPr>
                <w:rFonts w:ascii="Times New Roman" w:cs="Times New Roman" w:eastAsia="Times New Roman" w:hAnsi="Times New Roman"/>
                <w:sz w:val="13"/>
                <w:szCs w:val="13"/>
                <w:color w:val="auto"/>
              </w:rPr>
              <w:t>Chambersburg, PA</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12/18/2023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Medical Marijuana Dispensary Facility</w:t>
            </w:r>
          </w:p>
        </w:tc>
        <w:tc>
          <w:tcPr>
            <w:tcW w:w="0" w:type="dxa"/>
            <w:vAlign w:val="bottom"/>
          </w:tcPr>
          <w:p>
            <w:pPr>
              <w:spacing w:after="0"/>
              <w:rPr>
                <w:sz w:val="1"/>
                <w:szCs w:val="1"/>
                <w:color w:val="auto"/>
              </w:rPr>
            </w:pPr>
          </w:p>
        </w:tc>
      </w:tr>
      <w:tr>
        <w:trPr>
          <w:trHeight w:val="162"/>
        </w:trPr>
        <w:tc>
          <w:tcPr>
            <w:tcW w:w="25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GTI Pennsylvania, LLC</w:t>
            </w:r>
          </w:p>
        </w:tc>
        <w:tc>
          <w:tcPr>
            <w:tcW w:w="17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D18-3019</w:t>
            </w:r>
          </w:p>
        </w:tc>
        <w:tc>
          <w:tcPr>
            <w:tcW w:w="180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Duncansville, PA</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12/18/2023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Medical Marijuana Dispensary Facility</w:t>
            </w:r>
          </w:p>
        </w:tc>
        <w:tc>
          <w:tcPr>
            <w:tcW w:w="0" w:type="dxa"/>
            <w:vAlign w:val="bottom"/>
          </w:tcPr>
          <w:p>
            <w:pPr>
              <w:spacing w:after="0"/>
              <w:rPr>
                <w:sz w:val="1"/>
                <w:szCs w:val="1"/>
                <w:color w:val="auto"/>
              </w:rPr>
            </w:pPr>
          </w:p>
        </w:tc>
      </w:tr>
      <w:tr>
        <w:trPr>
          <w:trHeight w:val="162"/>
        </w:trPr>
        <w:tc>
          <w:tcPr>
            <w:tcW w:w="25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GTI Pennsylvania, LLC</w:t>
            </w:r>
          </w:p>
        </w:tc>
        <w:tc>
          <w:tcPr>
            <w:tcW w:w="178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D18-1044</w:t>
            </w:r>
          </w:p>
        </w:tc>
        <w:tc>
          <w:tcPr>
            <w:tcW w:w="1800" w:type="dxa"/>
            <w:vAlign w:val="bottom"/>
            <w:gridSpan w:val="3"/>
          </w:tcPr>
          <w:p>
            <w:pPr>
              <w:ind w:left="260"/>
              <w:spacing w:after="0"/>
              <w:rPr>
                <w:sz w:val="20"/>
                <w:szCs w:val="20"/>
                <w:color w:val="auto"/>
              </w:rPr>
            </w:pPr>
            <w:r>
              <w:rPr>
                <w:rFonts w:ascii="Times New Roman" w:cs="Times New Roman" w:eastAsia="Times New Roman" w:hAnsi="Times New Roman"/>
                <w:sz w:val="13"/>
                <w:szCs w:val="13"/>
                <w:color w:val="auto"/>
              </w:rPr>
              <w:t>King of Prussia, PA</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12/18/2023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Medical Marijuana Dispensary Facility</w:t>
            </w:r>
          </w:p>
        </w:tc>
        <w:tc>
          <w:tcPr>
            <w:tcW w:w="0" w:type="dxa"/>
            <w:vAlign w:val="bottom"/>
          </w:tcPr>
          <w:p>
            <w:pPr>
              <w:spacing w:after="0"/>
              <w:rPr>
                <w:sz w:val="1"/>
                <w:szCs w:val="1"/>
                <w:color w:val="auto"/>
              </w:rPr>
            </w:pPr>
          </w:p>
        </w:tc>
      </w:tr>
      <w:tr>
        <w:trPr>
          <w:trHeight w:val="162"/>
        </w:trPr>
        <w:tc>
          <w:tcPr>
            <w:tcW w:w="25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GTI Pennsylvania, LLC</w:t>
            </w:r>
          </w:p>
        </w:tc>
        <w:tc>
          <w:tcPr>
            <w:tcW w:w="17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D18-1044</w:t>
            </w:r>
          </w:p>
        </w:tc>
        <w:tc>
          <w:tcPr>
            <w:tcW w:w="180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Warminster, PA</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12/18/2023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Medical Marijuana Dispensary Facility</w:t>
            </w:r>
          </w:p>
        </w:tc>
        <w:tc>
          <w:tcPr>
            <w:tcW w:w="0" w:type="dxa"/>
            <w:vAlign w:val="bottom"/>
          </w:tcPr>
          <w:p>
            <w:pPr>
              <w:spacing w:after="0"/>
              <w:rPr>
                <w:sz w:val="1"/>
                <w:szCs w:val="1"/>
                <w:color w:val="auto"/>
              </w:rPr>
            </w:pPr>
          </w:p>
        </w:tc>
      </w:tr>
      <w:tr>
        <w:trPr>
          <w:trHeight w:val="162"/>
        </w:trPr>
        <w:tc>
          <w:tcPr>
            <w:tcW w:w="25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GTI Pennsylvania, LLC</w:t>
            </w:r>
          </w:p>
        </w:tc>
        <w:tc>
          <w:tcPr>
            <w:tcW w:w="178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GP-4006-17</w:t>
            </w:r>
          </w:p>
        </w:tc>
        <w:tc>
          <w:tcPr>
            <w:tcW w:w="1800" w:type="dxa"/>
            <w:vAlign w:val="bottom"/>
            <w:gridSpan w:val="3"/>
          </w:tcPr>
          <w:p>
            <w:pPr>
              <w:ind w:left="240"/>
              <w:spacing w:after="0"/>
              <w:rPr>
                <w:sz w:val="20"/>
                <w:szCs w:val="20"/>
                <w:color w:val="auto"/>
              </w:rPr>
            </w:pPr>
            <w:r>
              <w:rPr>
                <w:rFonts w:ascii="Times New Roman" w:cs="Times New Roman" w:eastAsia="Times New Roman" w:hAnsi="Times New Roman"/>
                <w:sz w:val="13"/>
                <w:szCs w:val="13"/>
                <w:color w:val="auto"/>
              </w:rPr>
              <w:t>Danville, PA</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6/20/2023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Medicinal Grower/Processor Permit</w:t>
            </w:r>
          </w:p>
        </w:tc>
        <w:tc>
          <w:tcPr>
            <w:tcW w:w="0" w:type="dxa"/>
            <w:vAlign w:val="bottom"/>
          </w:tcPr>
          <w:p>
            <w:pPr>
              <w:spacing w:after="0"/>
              <w:rPr>
                <w:sz w:val="1"/>
                <w:szCs w:val="1"/>
                <w:color w:val="auto"/>
              </w:rPr>
            </w:pPr>
          </w:p>
        </w:tc>
      </w:tr>
      <w:tr>
        <w:trPr>
          <w:trHeight w:val="162"/>
        </w:trPr>
        <w:tc>
          <w:tcPr>
            <w:tcW w:w="25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GTI Pennsylvania, LLC</w:t>
            </w:r>
          </w:p>
        </w:tc>
        <w:tc>
          <w:tcPr>
            <w:tcW w:w="17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D-6002-17</w:t>
            </w:r>
          </w:p>
        </w:tc>
        <w:tc>
          <w:tcPr>
            <w:tcW w:w="180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Erie, PA</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6/29/2023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Medical Marijuana Dispensary Facility</w:t>
            </w:r>
          </w:p>
        </w:tc>
        <w:tc>
          <w:tcPr>
            <w:tcW w:w="0" w:type="dxa"/>
            <w:vAlign w:val="bottom"/>
          </w:tcPr>
          <w:p>
            <w:pPr>
              <w:spacing w:after="0"/>
              <w:rPr>
                <w:sz w:val="1"/>
                <w:szCs w:val="1"/>
                <w:color w:val="auto"/>
              </w:rPr>
            </w:pPr>
          </w:p>
        </w:tc>
      </w:tr>
      <w:tr>
        <w:trPr>
          <w:trHeight w:val="162"/>
        </w:trPr>
        <w:tc>
          <w:tcPr>
            <w:tcW w:w="25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GTI Pennsylvania, LLC</w:t>
            </w:r>
          </w:p>
        </w:tc>
        <w:tc>
          <w:tcPr>
            <w:tcW w:w="178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D-6002-17</w:t>
            </w:r>
          </w:p>
        </w:tc>
        <w:tc>
          <w:tcPr>
            <w:tcW w:w="1800" w:type="dxa"/>
            <w:vAlign w:val="bottom"/>
            <w:gridSpan w:val="3"/>
          </w:tcPr>
          <w:p>
            <w:pPr>
              <w:ind w:left="240"/>
              <w:spacing w:after="0"/>
              <w:rPr>
                <w:sz w:val="20"/>
                <w:szCs w:val="20"/>
                <w:color w:val="auto"/>
              </w:rPr>
            </w:pPr>
            <w:r>
              <w:rPr>
                <w:rFonts w:ascii="Times New Roman" w:cs="Times New Roman" w:eastAsia="Times New Roman" w:hAnsi="Times New Roman"/>
                <w:sz w:val="13"/>
                <w:szCs w:val="13"/>
                <w:color w:val="auto"/>
              </w:rPr>
              <w:t>Hermitage, PA</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6/29/2023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Medical Marijuana Dispensary Facility</w:t>
            </w:r>
          </w:p>
        </w:tc>
        <w:tc>
          <w:tcPr>
            <w:tcW w:w="0" w:type="dxa"/>
            <w:vAlign w:val="bottom"/>
          </w:tcPr>
          <w:p>
            <w:pPr>
              <w:spacing w:after="0"/>
              <w:rPr>
                <w:sz w:val="1"/>
                <w:szCs w:val="1"/>
                <w:color w:val="auto"/>
              </w:rPr>
            </w:pPr>
          </w:p>
        </w:tc>
      </w:tr>
      <w:tr>
        <w:trPr>
          <w:trHeight w:val="162"/>
        </w:trPr>
        <w:tc>
          <w:tcPr>
            <w:tcW w:w="25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GTI Pennsylvania, LLC</w:t>
            </w:r>
          </w:p>
        </w:tc>
        <w:tc>
          <w:tcPr>
            <w:tcW w:w="17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D-6002-17</w:t>
            </w:r>
          </w:p>
        </w:tc>
        <w:tc>
          <w:tcPr>
            <w:tcW w:w="180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New Castle, PA</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6/29/2023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Medical Marijuana Dispensary Facility</w:t>
            </w:r>
          </w:p>
        </w:tc>
        <w:tc>
          <w:tcPr>
            <w:tcW w:w="0" w:type="dxa"/>
            <w:vAlign w:val="bottom"/>
          </w:tcPr>
          <w:p>
            <w:pPr>
              <w:spacing w:after="0"/>
              <w:rPr>
                <w:sz w:val="1"/>
                <w:szCs w:val="1"/>
                <w:color w:val="auto"/>
              </w:rPr>
            </w:pPr>
          </w:p>
        </w:tc>
      </w:tr>
      <w:tr>
        <w:trPr>
          <w:trHeight w:val="162"/>
        </w:trPr>
        <w:tc>
          <w:tcPr>
            <w:tcW w:w="25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KW Ventures Holdings, LLC</w:t>
            </w:r>
          </w:p>
        </w:tc>
        <w:tc>
          <w:tcPr>
            <w:tcW w:w="178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D-3025-17</w:t>
            </w:r>
          </w:p>
        </w:tc>
        <w:tc>
          <w:tcPr>
            <w:tcW w:w="1800" w:type="dxa"/>
            <w:vAlign w:val="bottom"/>
            <w:gridSpan w:val="3"/>
          </w:tcPr>
          <w:p>
            <w:pPr>
              <w:ind w:left="240"/>
              <w:spacing w:after="0"/>
              <w:rPr>
                <w:sz w:val="20"/>
                <w:szCs w:val="20"/>
                <w:color w:val="auto"/>
              </w:rPr>
            </w:pPr>
            <w:r>
              <w:rPr>
                <w:rFonts w:ascii="Times New Roman" w:cs="Times New Roman" w:eastAsia="Times New Roman" w:hAnsi="Times New Roman"/>
                <w:sz w:val="13"/>
                <w:szCs w:val="13"/>
                <w:color w:val="auto"/>
              </w:rPr>
              <w:t>Steelton, PA</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6/29/2023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Medical Marijuana Dispensary Facility</w:t>
            </w:r>
          </w:p>
        </w:tc>
        <w:tc>
          <w:tcPr>
            <w:tcW w:w="0" w:type="dxa"/>
            <w:vAlign w:val="bottom"/>
          </w:tcPr>
          <w:p>
            <w:pPr>
              <w:spacing w:after="0"/>
              <w:rPr>
                <w:sz w:val="1"/>
                <w:szCs w:val="1"/>
                <w:color w:val="auto"/>
              </w:rPr>
            </w:pPr>
          </w:p>
        </w:tc>
      </w:tr>
      <w:tr>
        <w:trPr>
          <w:trHeight w:val="162"/>
        </w:trPr>
        <w:tc>
          <w:tcPr>
            <w:tcW w:w="25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KW Ventures Holdings, LLC</w:t>
            </w:r>
          </w:p>
        </w:tc>
        <w:tc>
          <w:tcPr>
            <w:tcW w:w="17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D-3025-17</w:t>
            </w:r>
          </w:p>
        </w:tc>
        <w:tc>
          <w:tcPr>
            <w:tcW w:w="180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Carlisle, PA</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6/29/2023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Medical Marijuana Dispensary Facility</w:t>
            </w:r>
          </w:p>
        </w:tc>
        <w:tc>
          <w:tcPr>
            <w:tcW w:w="0" w:type="dxa"/>
            <w:vAlign w:val="bottom"/>
          </w:tcPr>
          <w:p>
            <w:pPr>
              <w:spacing w:after="0"/>
              <w:rPr>
                <w:sz w:val="1"/>
                <w:szCs w:val="1"/>
                <w:color w:val="auto"/>
              </w:rPr>
            </w:pPr>
          </w:p>
        </w:tc>
      </w:tr>
      <w:tr>
        <w:trPr>
          <w:trHeight w:val="335"/>
        </w:trPr>
        <w:tc>
          <w:tcPr>
            <w:tcW w:w="2520" w:type="dxa"/>
            <w:vAlign w:val="bottom"/>
            <w:gridSpan w:val="4"/>
          </w:tcPr>
          <w:p>
            <w:pPr>
              <w:ind w:left="20"/>
              <w:spacing w:after="0"/>
              <w:rPr>
                <w:sz w:val="20"/>
                <w:szCs w:val="20"/>
                <w:color w:val="auto"/>
              </w:rPr>
            </w:pPr>
            <w:r>
              <w:rPr>
                <w:rFonts w:ascii="Times New Roman" w:cs="Times New Roman" w:eastAsia="Times New Roman" w:hAnsi="Times New Roman"/>
                <w:sz w:val="13"/>
                <w:szCs w:val="13"/>
                <w:i w:val="1"/>
                <w:iCs w:val="1"/>
                <w:color w:val="auto"/>
              </w:rPr>
              <w:t>Licenses in the State of Rhode Island</w:t>
            </w: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1620" w:type="dxa"/>
            <w:vAlign w:val="bottom"/>
            <w:gridSpan w:val="3"/>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Holding Entity</w:t>
            </w:r>
          </w:p>
        </w:tc>
        <w:tc>
          <w:tcPr>
            <w:tcW w:w="1780" w:type="dxa"/>
            <w:vAlign w:val="bottom"/>
            <w:gridSpan w:val="3"/>
          </w:tcPr>
          <w:p>
            <w:pPr>
              <w:ind w:left="640"/>
              <w:spacing w:after="0" w:line="138" w:lineRule="exact"/>
              <w:rPr>
                <w:sz w:val="20"/>
                <w:szCs w:val="20"/>
                <w:color w:val="auto"/>
              </w:rPr>
            </w:pPr>
            <w:r>
              <w:rPr>
                <w:rFonts w:ascii="Times New Roman" w:cs="Times New Roman" w:eastAsia="Times New Roman" w:hAnsi="Times New Roman"/>
                <w:sz w:val="13"/>
                <w:szCs w:val="13"/>
                <w:b w:val="1"/>
                <w:bCs w:val="1"/>
                <w:color w:val="auto"/>
              </w:rPr>
              <w:t>Permit/License</w:t>
            </w:r>
          </w:p>
        </w:tc>
        <w:tc>
          <w:tcPr>
            <w:tcW w:w="900" w:type="dxa"/>
            <w:vAlign w:val="bottom"/>
          </w:tcPr>
          <w:p>
            <w:pPr>
              <w:spacing w:after="0"/>
              <w:rPr>
                <w:sz w:val="11"/>
                <w:szCs w:val="11"/>
                <w:color w:val="auto"/>
              </w:rPr>
            </w:pPr>
          </w:p>
        </w:tc>
        <w:tc>
          <w:tcPr>
            <w:tcW w:w="900" w:type="dxa"/>
            <w:vAlign w:val="bottom"/>
            <w:gridSpan w:val="2"/>
          </w:tcPr>
          <w:p>
            <w:pPr>
              <w:jc w:val="center"/>
              <w:ind w:right="680"/>
              <w:spacing w:after="0" w:line="138" w:lineRule="exact"/>
              <w:rPr>
                <w:sz w:val="20"/>
                <w:szCs w:val="20"/>
                <w:color w:val="auto"/>
              </w:rPr>
            </w:pPr>
            <w:r>
              <w:rPr>
                <w:rFonts w:ascii="Times New Roman" w:cs="Times New Roman" w:eastAsia="Times New Roman" w:hAnsi="Times New Roman"/>
                <w:sz w:val="13"/>
                <w:szCs w:val="13"/>
                <w:b w:val="1"/>
                <w:bCs w:val="1"/>
                <w:color w:val="auto"/>
                <w:w w:val="92"/>
              </w:rPr>
              <w:t>City</w:t>
            </w:r>
          </w:p>
        </w:tc>
        <w:tc>
          <w:tcPr>
            <w:tcW w:w="1000" w:type="dxa"/>
            <w:vAlign w:val="bottom"/>
            <w:gridSpan w:val="3"/>
          </w:tcPr>
          <w:p>
            <w:pPr>
              <w:ind w:left="120"/>
              <w:spacing w:after="0" w:line="138" w:lineRule="exact"/>
              <w:rPr>
                <w:sz w:val="20"/>
                <w:szCs w:val="20"/>
                <w:color w:val="auto"/>
              </w:rPr>
            </w:pPr>
            <w:r>
              <w:rPr>
                <w:rFonts w:ascii="Times New Roman" w:cs="Times New Roman" w:eastAsia="Times New Roman" w:hAnsi="Times New Roman"/>
                <w:sz w:val="13"/>
                <w:szCs w:val="13"/>
                <w:b w:val="1"/>
                <w:bCs w:val="1"/>
                <w:color w:val="auto"/>
              </w:rPr>
              <w:t>Renewal Date</w:t>
            </w:r>
          </w:p>
        </w:tc>
        <w:tc>
          <w:tcPr>
            <w:tcW w:w="4140" w:type="dxa"/>
            <w:vAlign w:val="bottom"/>
            <w:gridSpan w:val="3"/>
            <w:shd w:val="clear" w:color="auto" w:fill="CFF0FC"/>
          </w:tcPr>
          <w:p>
            <w:pPr>
              <w:ind w:left="1760"/>
              <w:spacing w:after="0" w:line="138" w:lineRule="exact"/>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Borders>
              <w:bottom w:val="single" w:sz="8" w:color="CFF0FC"/>
            </w:tcBorders>
            <w:shd w:val="clear" w:color="auto" w:fill="CFF0FC"/>
          </w:tcPr>
          <w:p>
            <w:pPr>
              <w:spacing w:after="0" w:line="20" w:lineRule="exact"/>
              <w:rPr>
                <w:sz w:val="1"/>
                <w:szCs w:val="1"/>
                <w:color w:val="auto"/>
              </w:rPr>
            </w:pPr>
          </w:p>
        </w:tc>
        <w:tc>
          <w:tcPr>
            <w:tcW w:w="620" w:type="dxa"/>
            <w:vAlign w:val="bottom"/>
            <w:tcBorders>
              <w:bottom w:val="single" w:sz="8" w:color="CFF0FC"/>
            </w:tcBorders>
            <w:shd w:val="clear" w:color="auto" w:fill="000000"/>
          </w:tcPr>
          <w:p>
            <w:pPr>
              <w:spacing w:after="0" w:line="20" w:lineRule="exact"/>
              <w:rPr>
                <w:sz w:val="1"/>
                <w:szCs w:val="1"/>
                <w:color w:val="auto"/>
              </w:rPr>
            </w:pPr>
          </w:p>
        </w:tc>
        <w:tc>
          <w:tcPr>
            <w:tcW w:w="1760" w:type="dxa"/>
            <w:vAlign w:val="bottom"/>
            <w:tcBorders>
              <w:bottom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520" w:type="dxa"/>
            <w:vAlign w:val="bottom"/>
            <w:gridSpan w:val="4"/>
          </w:tcPr>
          <w:p>
            <w:pPr>
              <w:ind w:left="20"/>
              <w:spacing w:after="0" w:line="147" w:lineRule="exact"/>
              <w:rPr>
                <w:sz w:val="20"/>
                <w:szCs w:val="20"/>
                <w:color w:val="auto"/>
              </w:rPr>
            </w:pPr>
            <w:r>
              <w:rPr>
                <w:rFonts w:ascii="Times New Roman" w:cs="Times New Roman" w:eastAsia="Times New Roman" w:hAnsi="Times New Roman"/>
                <w:sz w:val="13"/>
                <w:szCs w:val="13"/>
                <w:color w:val="auto"/>
              </w:rPr>
              <w:t>Summit Medical Compassion Center, Inc.</w:t>
            </w:r>
          </w:p>
        </w:tc>
        <w:tc>
          <w:tcPr>
            <w:tcW w:w="1780" w:type="dxa"/>
            <w:vAlign w:val="bottom"/>
            <w:gridSpan w:val="3"/>
          </w:tcPr>
          <w:p>
            <w:pPr>
              <w:ind w:left="100"/>
              <w:spacing w:after="0" w:line="147" w:lineRule="exact"/>
              <w:rPr>
                <w:sz w:val="20"/>
                <w:szCs w:val="20"/>
                <w:color w:val="auto"/>
              </w:rPr>
            </w:pPr>
            <w:r>
              <w:rPr>
                <w:rFonts w:ascii="Times New Roman" w:cs="Times New Roman" w:eastAsia="Times New Roman" w:hAnsi="Times New Roman"/>
                <w:sz w:val="13"/>
                <w:szCs w:val="13"/>
                <w:color w:val="auto"/>
              </w:rPr>
              <w:t>MMP CC 003</w:t>
            </w:r>
          </w:p>
        </w:tc>
        <w:tc>
          <w:tcPr>
            <w:tcW w:w="1800" w:type="dxa"/>
            <w:vAlign w:val="bottom"/>
            <w:gridSpan w:val="3"/>
          </w:tcPr>
          <w:p>
            <w:pPr>
              <w:ind w:left="240"/>
              <w:spacing w:after="0" w:line="147" w:lineRule="exact"/>
              <w:rPr>
                <w:sz w:val="20"/>
                <w:szCs w:val="20"/>
                <w:color w:val="auto"/>
              </w:rPr>
            </w:pPr>
            <w:r>
              <w:rPr>
                <w:rFonts w:ascii="Times New Roman" w:cs="Times New Roman" w:eastAsia="Times New Roman" w:hAnsi="Times New Roman"/>
                <w:sz w:val="13"/>
                <w:szCs w:val="13"/>
                <w:color w:val="auto"/>
              </w:rPr>
              <w:t>Warwick, RI</w:t>
            </w:r>
          </w:p>
        </w:tc>
        <w:tc>
          <w:tcPr>
            <w:tcW w:w="86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3"/>
                <w:szCs w:val="13"/>
                <w:color w:val="auto"/>
              </w:rPr>
              <w:t>10/13/2023</w:t>
            </w:r>
          </w:p>
        </w:tc>
        <w:tc>
          <w:tcPr>
            <w:tcW w:w="140" w:type="dxa"/>
            <w:vAlign w:val="bottom"/>
          </w:tcPr>
          <w:p>
            <w:pPr>
              <w:spacing w:after="0"/>
              <w:rPr>
                <w:sz w:val="13"/>
                <w:szCs w:val="13"/>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Medical Marijuana Compassion Center (includes cultivation and dispensing)</w:t>
            </w:r>
          </w:p>
        </w:tc>
        <w:tc>
          <w:tcPr>
            <w:tcW w:w="0" w:type="dxa"/>
            <w:vAlign w:val="bottom"/>
          </w:tcPr>
          <w:p>
            <w:pPr>
              <w:spacing w:after="0"/>
              <w:rPr>
                <w:sz w:val="1"/>
                <w:szCs w:val="1"/>
                <w:color w:val="auto"/>
              </w:rPr>
            </w:pPr>
          </w:p>
        </w:tc>
      </w:tr>
      <w:tr>
        <w:trPr>
          <w:trHeight w:val="329"/>
        </w:trPr>
        <w:tc>
          <w:tcPr>
            <w:tcW w:w="2520" w:type="dxa"/>
            <w:vAlign w:val="bottom"/>
            <w:gridSpan w:val="4"/>
          </w:tcPr>
          <w:p>
            <w:pPr>
              <w:ind w:left="20"/>
              <w:spacing w:after="0"/>
              <w:rPr>
                <w:sz w:val="20"/>
                <w:szCs w:val="20"/>
                <w:color w:val="auto"/>
              </w:rPr>
            </w:pPr>
            <w:r>
              <w:rPr>
                <w:rFonts w:ascii="Times New Roman" w:cs="Times New Roman" w:eastAsia="Times New Roman" w:hAnsi="Times New Roman"/>
                <w:sz w:val="13"/>
                <w:szCs w:val="13"/>
                <w:i w:val="1"/>
                <w:iCs w:val="1"/>
                <w:color w:val="auto"/>
              </w:rPr>
              <w:t>Licenses in the State of Virginia</w:t>
            </w: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620" w:type="dxa"/>
            <w:vAlign w:val="bottom"/>
            <w:gridSpan w:val="3"/>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Holding Entity</w:t>
            </w:r>
          </w:p>
        </w:tc>
        <w:tc>
          <w:tcPr>
            <w:tcW w:w="1780" w:type="dxa"/>
            <w:vAlign w:val="bottom"/>
            <w:gridSpan w:val="3"/>
          </w:tcPr>
          <w:p>
            <w:pPr>
              <w:ind w:left="640"/>
              <w:spacing w:after="0" w:line="142" w:lineRule="exact"/>
              <w:rPr>
                <w:sz w:val="20"/>
                <w:szCs w:val="20"/>
                <w:color w:val="auto"/>
              </w:rPr>
            </w:pPr>
            <w:r>
              <w:rPr>
                <w:rFonts w:ascii="Times New Roman" w:cs="Times New Roman" w:eastAsia="Times New Roman" w:hAnsi="Times New Roman"/>
                <w:sz w:val="13"/>
                <w:szCs w:val="13"/>
                <w:b w:val="1"/>
                <w:bCs w:val="1"/>
                <w:color w:val="auto"/>
              </w:rPr>
              <w:t>Permit/License</w:t>
            </w:r>
          </w:p>
        </w:tc>
        <w:tc>
          <w:tcPr>
            <w:tcW w:w="900" w:type="dxa"/>
            <w:vAlign w:val="bottom"/>
          </w:tcPr>
          <w:p>
            <w:pPr>
              <w:spacing w:after="0"/>
              <w:rPr>
                <w:sz w:val="12"/>
                <w:szCs w:val="12"/>
                <w:color w:val="auto"/>
              </w:rPr>
            </w:pPr>
          </w:p>
        </w:tc>
        <w:tc>
          <w:tcPr>
            <w:tcW w:w="900" w:type="dxa"/>
            <w:vAlign w:val="bottom"/>
            <w:gridSpan w:val="2"/>
          </w:tcPr>
          <w:p>
            <w:pPr>
              <w:jc w:val="center"/>
              <w:ind w:right="680"/>
              <w:spacing w:after="0" w:line="142" w:lineRule="exact"/>
              <w:rPr>
                <w:sz w:val="20"/>
                <w:szCs w:val="20"/>
                <w:color w:val="auto"/>
              </w:rPr>
            </w:pPr>
            <w:r>
              <w:rPr>
                <w:rFonts w:ascii="Times New Roman" w:cs="Times New Roman" w:eastAsia="Times New Roman" w:hAnsi="Times New Roman"/>
                <w:sz w:val="13"/>
                <w:szCs w:val="13"/>
                <w:b w:val="1"/>
                <w:bCs w:val="1"/>
                <w:color w:val="auto"/>
                <w:w w:val="92"/>
              </w:rPr>
              <w:t>City</w:t>
            </w:r>
          </w:p>
        </w:tc>
        <w:tc>
          <w:tcPr>
            <w:tcW w:w="1000" w:type="dxa"/>
            <w:vAlign w:val="bottom"/>
            <w:gridSpan w:val="3"/>
          </w:tcPr>
          <w:p>
            <w:pPr>
              <w:ind w:left="120"/>
              <w:spacing w:after="0" w:line="142" w:lineRule="exact"/>
              <w:rPr>
                <w:sz w:val="20"/>
                <w:szCs w:val="20"/>
                <w:color w:val="auto"/>
              </w:rPr>
            </w:pPr>
            <w:r>
              <w:rPr>
                <w:rFonts w:ascii="Times New Roman" w:cs="Times New Roman" w:eastAsia="Times New Roman" w:hAnsi="Times New Roman"/>
                <w:sz w:val="13"/>
                <w:szCs w:val="13"/>
                <w:b w:val="1"/>
                <w:bCs w:val="1"/>
                <w:color w:val="auto"/>
              </w:rPr>
              <w:t>Renewal Date</w:t>
            </w:r>
          </w:p>
        </w:tc>
        <w:tc>
          <w:tcPr>
            <w:tcW w:w="4140" w:type="dxa"/>
            <w:vAlign w:val="bottom"/>
            <w:gridSpan w:val="3"/>
          </w:tcPr>
          <w:p>
            <w:pPr>
              <w:ind w:left="1760"/>
              <w:spacing w:after="0" w:line="142" w:lineRule="exact"/>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5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Dharma Pharmaceuticals, LLC</w:t>
            </w:r>
          </w:p>
        </w:tc>
        <w:tc>
          <w:tcPr>
            <w:tcW w:w="14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0240000001</w:t>
            </w:r>
          </w:p>
        </w:tc>
        <w:tc>
          <w:tcPr>
            <w:tcW w:w="340" w:type="dxa"/>
            <w:vAlign w:val="bottom"/>
            <w:shd w:val="clear" w:color="auto" w:fill="CFF0FC"/>
          </w:tcPr>
          <w:p>
            <w:pPr>
              <w:spacing w:after="0"/>
              <w:rPr>
                <w:sz w:val="14"/>
                <w:szCs w:val="14"/>
                <w:color w:val="auto"/>
              </w:rPr>
            </w:pPr>
          </w:p>
        </w:tc>
        <w:tc>
          <w:tcPr>
            <w:tcW w:w="180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Abington, VA</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1/31/2024</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Pharmaceutical Processor Permit</w:t>
            </w:r>
          </w:p>
        </w:tc>
        <w:tc>
          <w:tcPr>
            <w:tcW w:w="0" w:type="dxa"/>
            <w:vAlign w:val="bottom"/>
          </w:tcPr>
          <w:p>
            <w:pPr>
              <w:spacing w:after="0"/>
              <w:rPr>
                <w:sz w:val="1"/>
                <w:szCs w:val="1"/>
                <w:color w:val="auto"/>
              </w:rPr>
            </w:pPr>
          </w:p>
        </w:tc>
      </w:tr>
      <w:tr>
        <w:trPr>
          <w:trHeight w:val="162"/>
        </w:trPr>
        <w:tc>
          <w:tcPr>
            <w:tcW w:w="25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Dharma Pharmaceuticals, LLC</w:t>
            </w: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0247000006</w:t>
            </w:r>
          </w:p>
        </w:tc>
        <w:tc>
          <w:tcPr>
            <w:tcW w:w="340" w:type="dxa"/>
            <w:vAlign w:val="bottom"/>
          </w:tcPr>
          <w:p>
            <w:pPr>
              <w:spacing w:after="0"/>
              <w:rPr>
                <w:sz w:val="14"/>
                <w:szCs w:val="14"/>
                <w:color w:val="auto"/>
              </w:rPr>
            </w:pPr>
          </w:p>
        </w:tc>
        <w:tc>
          <w:tcPr>
            <w:tcW w:w="1800" w:type="dxa"/>
            <w:vAlign w:val="bottom"/>
            <w:gridSpan w:val="3"/>
          </w:tcPr>
          <w:p>
            <w:pPr>
              <w:ind w:left="240"/>
              <w:spacing w:after="0"/>
              <w:rPr>
                <w:sz w:val="20"/>
                <w:szCs w:val="20"/>
                <w:color w:val="auto"/>
              </w:rPr>
            </w:pPr>
            <w:r>
              <w:rPr>
                <w:rFonts w:ascii="Times New Roman" w:cs="Times New Roman" w:eastAsia="Times New Roman" w:hAnsi="Times New Roman"/>
                <w:sz w:val="13"/>
                <w:szCs w:val="13"/>
                <w:color w:val="auto"/>
              </w:rPr>
              <w:t>Lynchburg, VA</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2/28/2023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Cannabis Dispensing Facility</w:t>
            </w:r>
          </w:p>
        </w:tc>
        <w:tc>
          <w:tcPr>
            <w:tcW w:w="0" w:type="dxa"/>
            <w:vAlign w:val="bottom"/>
          </w:tcPr>
          <w:p>
            <w:pPr>
              <w:spacing w:after="0"/>
              <w:rPr>
                <w:sz w:val="1"/>
                <w:szCs w:val="1"/>
                <w:color w:val="auto"/>
              </w:rPr>
            </w:pPr>
          </w:p>
        </w:tc>
      </w:tr>
      <w:tr>
        <w:trPr>
          <w:trHeight w:val="162"/>
        </w:trPr>
        <w:tc>
          <w:tcPr>
            <w:tcW w:w="25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Dharma Pharmaceuticals, LLC</w:t>
            </w:r>
          </w:p>
        </w:tc>
        <w:tc>
          <w:tcPr>
            <w:tcW w:w="14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0247000005</w:t>
            </w:r>
          </w:p>
        </w:tc>
        <w:tc>
          <w:tcPr>
            <w:tcW w:w="340" w:type="dxa"/>
            <w:vAlign w:val="bottom"/>
            <w:shd w:val="clear" w:color="auto" w:fill="CFF0FC"/>
          </w:tcPr>
          <w:p>
            <w:pPr>
              <w:spacing w:after="0"/>
              <w:rPr>
                <w:sz w:val="14"/>
                <w:szCs w:val="14"/>
                <w:color w:val="auto"/>
              </w:rPr>
            </w:pPr>
          </w:p>
        </w:tc>
        <w:tc>
          <w:tcPr>
            <w:tcW w:w="180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Christiansburg, VA</w:t>
            </w:r>
          </w:p>
        </w:tc>
        <w:tc>
          <w:tcPr>
            <w:tcW w:w="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2/28/2023</w:t>
            </w:r>
          </w:p>
        </w:tc>
        <w:tc>
          <w:tcPr>
            <w:tcW w:w="14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Cannabis Dispensing Facility</w:t>
            </w:r>
          </w:p>
        </w:tc>
        <w:tc>
          <w:tcPr>
            <w:tcW w:w="0" w:type="dxa"/>
            <w:vAlign w:val="bottom"/>
          </w:tcPr>
          <w:p>
            <w:pPr>
              <w:spacing w:after="0"/>
              <w:rPr>
                <w:sz w:val="1"/>
                <w:szCs w:val="1"/>
                <w:color w:val="auto"/>
              </w:rPr>
            </w:pPr>
          </w:p>
        </w:tc>
      </w:tr>
      <w:tr>
        <w:trPr>
          <w:trHeight w:val="164"/>
        </w:trPr>
        <w:tc>
          <w:tcPr>
            <w:tcW w:w="25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Dharma Pharmaceuticals, LLC</w:t>
            </w: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0247000001</w:t>
            </w:r>
          </w:p>
        </w:tc>
        <w:tc>
          <w:tcPr>
            <w:tcW w:w="340" w:type="dxa"/>
            <w:vAlign w:val="bottom"/>
          </w:tcPr>
          <w:p>
            <w:pPr>
              <w:spacing w:after="0"/>
              <w:rPr>
                <w:sz w:val="14"/>
                <w:szCs w:val="14"/>
                <w:color w:val="auto"/>
              </w:rPr>
            </w:pPr>
          </w:p>
        </w:tc>
        <w:tc>
          <w:tcPr>
            <w:tcW w:w="1800" w:type="dxa"/>
            <w:vAlign w:val="bottom"/>
            <w:gridSpan w:val="3"/>
          </w:tcPr>
          <w:p>
            <w:pPr>
              <w:ind w:left="240"/>
              <w:spacing w:after="0"/>
              <w:rPr>
                <w:sz w:val="20"/>
                <w:szCs w:val="20"/>
                <w:color w:val="auto"/>
              </w:rPr>
            </w:pPr>
            <w:r>
              <w:rPr>
                <w:rFonts w:ascii="Times New Roman" w:cs="Times New Roman" w:eastAsia="Times New Roman" w:hAnsi="Times New Roman"/>
                <w:sz w:val="13"/>
                <w:szCs w:val="13"/>
                <w:color w:val="auto"/>
              </w:rPr>
              <w:t>Salem, VA</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7/31/2023</w:t>
            </w:r>
          </w:p>
        </w:tc>
        <w:tc>
          <w:tcPr>
            <w:tcW w:w="14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Cannabis Dispensing Facility</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460" w:hanging="439"/>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for renewal submitted and pending approval as of 12/31/2022.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74" w:name="page75"/>
    <w:bookmarkEnd w:id="7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5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i w:val="1"/>
          <w:iCs w:val="1"/>
          <w:color w:val="auto"/>
        </w:rPr>
        <w:t>/s/Benjamin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35560</wp:posOffset>
            </wp:positionV>
            <wp:extent cx="28289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8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By: Benjamin Kovler</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 2023</w:t>
      </w:r>
    </w:p>
    <w:p>
      <w:pPr>
        <w:spacing w:after="0" w:line="24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this report has been signed below by the following persons on behalf of the Registrant and in the capacity and on the dates indicated.</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Borders>
              <w:bottom w:val="single" w:sz="8" w:color="auto"/>
            </w:tcBorders>
          </w:tcPr>
          <w:p>
            <w:pPr>
              <w:spacing w:after="0"/>
              <w:rPr>
                <w:sz w:val="21"/>
                <w:szCs w:val="21"/>
                <w:color w:val="auto"/>
              </w:rPr>
            </w:pPr>
          </w:p>
        </w:tc>
        <w:tc>
          <w:tcPr>
            <w:tcW w:w="4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Signature</w:t>
            </w:r>
          </w:p>
        </w:tc>
        <w:tc>
          <w:tcPr>
            <w:tcW w:w="320" w:type="dxa"/>
            <w:vAlign w:val="bottom"/>
          </w:tcPr>
          <w:p>
            <w:pPr>
              <w:spacing w:after="0"/>
              <w:rPr>
                <w:sz w:val="21"/>
                <w:szCs w:val="21"/>
                <w:color w:val="auto"/>
              </w:rPr>
            </w:pPr>
          </w:p>
        </w:tc>
        <w:tc>
          <w:tcPr>
            <w:tcW w:w="440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00" w:type="dxa"/>
            <w:vAlign w:val="bottom"/>
          </w:tcPr>
          <w:p>
            <w:pPr>
              <w:spacing w:after="0"/>
              <w:rPr>
                <w:sz w:val="21"/>
                <w:szCs w:val="21"/>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/s/Benjamin Kovler</w:t>
            </w:r>
          </w:p>
        </w:tc>
        <w:tc>
          <w:tcPr>
            <w:tcW w:w="320" w:type="dxa"/>
            <w:vAlign w:val="bottom"/>
          </w:tcPr>
          <w:p>
            <w:pPr>
              <w:spacing w:after="0"/>
              <w:rPr>
                <w:sz w:val="24"/>
                <w:szCs w:val="24"/>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c>
          <w:tcPr>
            <w:tcW w:w="2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2023</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320" w:type="dxa"/>
            <w:vAlign w:val="bottom"/>
          </w:tcPr>
          <w:p>
            <w:pPr>
              <w:spacing w:after="0"/>
              <w:rPr>
                <w:sz w:val="2"/>
                <w:szCs w:val="2"/>
                <w:color w:val="auto"/>
              </w:rPr>
            </w:pPr>
          </w:p>
        </w:tc>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2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Benjamin Kovler</w:t>
            </w:r>
          </w:p>
        </w:tc>
        <w:tc>
          <w:tcPr>
            <w:tcW w:w="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44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/s/Mathew Faulkner</w:t>
            </w:r>
          </w:p>
        </w:tc>
        <w:tc>
          <w:tcPr>
            <w:tcW w:w="320" w:type="dxa"/>
            <w:vAlign w:val="bottom"/>
          </w:tcPr>
          <w:p>
            <w:pPr>
              <w:spacing w:after="0"/>
              <w:rPr>
                <w:sz w:val="24"/>
                <w:szCs w:val="24"/>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2023</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320" w:type="dxa"/>
            <w:vAlign w:val="bottom"/>
          </w:tcPr>
          <w:p>
            <w:pPr>
              <w:spacing w:after="0"/>
              <w:rPr>
                <w:sz w:val="2"/>
                <w:szCs w:val="2"/>
                <w:color w:val="auto"/>
              </w:rPr>
            </w:pPr>
          </w:p>
        </w:tc>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c>
          <w:tcPr>
            <w:tcW w:w="2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Matthew Faulkner</w:t>
            </w:r>
          </w:p>
        </w:tc>
        <w:tc>
          <w:tcPr>
            <w:tcW w:w="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44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/s/Anthony Georgiadis</w:t>
            </w:r>
          </w:p>
        </w:tc>
        <w:tc>
          <w:tcPr>
            <w:tcW w:w="320" w:type="dxa"/>
            <w:vAlign w:val="bottom"/>
          </w:tcPr>
          <w:p>
            <w:pPr>
              <w:spacing w:after="0"/>
              <w:rPr>
                <w:sz w:val="24"/>
                <w:szCs w:val="24"/>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Director</w:t>
            </w:r>
          </w:p>
        </w:tc>
        <w:tc>
          <w:tcPr>
            <w:tcW w:w="2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2023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Anthony Georgiadis</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/s/Wendy Berger</w:t>
            </w:r>
          </w:p>
        </w:tc>
        <w:tc>
          <w:tcPr>
            <w:tcW w:w="320" w:type="dxa"/>
            <w:vAlign w:val="bottom"/>
          </w:tcPr>
          <w:p>
            <w:pPr>
              <w:spacing w:after="0"/>
              <w:rPr>
                <w:sz w:val="24"/>
                <w:szCs w:val="24"/>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2023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Wendy Berger</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/s/Richard Drexler</w:t>
            </w:r>
          </w:p>
        </w:tc>
        <w:tc>
          <w:tcPr>
            <w:tcW w:w="320" w:type="dxa"/>
            <w:vAlign w:val="bottom"/>
          </w:tcPr>
          <w:p>
            <w:pPr>
              <w:spacing w:after="0"/>
              <w:rPr>
                <w:sz w:val="24"/>
                <w:szCs w:val="24"/>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2023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Drexler</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/s/Jeff Goldman</w:t>
            </w:r>
          </w:p>
        </w:tc>
        <w:tc>
          <w:tcPr>
            <w:tcW w:w="320" w:type="dxa"/>
            <w:vAlign w:val="bottom"/>
          </w:tcPr>
          <w:p>
            <w:pPr>
              <w:spacing w:after="0"/>
              <w:rPr>
                <w:sz w:val="24"/>
                <w:szCs w:val="24"/>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2023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Jeff Goldman</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/s/Dawn Wilson Barnes</w:t>
            </w:r>
          </w:p>
        </w:tc>
        <w:tc>
          <w:tcPr>
            <w:tcW w:w="320" w:type="dxa"/>
            <w:vAlign w:val="bottom"/>
          </w:tcPr>
          <w:p>
            <w:pPr>
              <w:spacing w:after="0"/>
              <w:rPr>
                <w:sz w:val="24"/>
                <w:szCs w:val="24"/>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2023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Dawn Wilson Barnes</w:t>
            </w:r>
          </w:p>
        </w:tc>
        <w:tc>
          <w:tcPr>
            <w:tcW w:w="3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5" w:name="page76"/>
    <w:bookmarkEnd w:id="7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of December 31, 2022 and December 31,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5"/>
                <w:szCs w:val="15"/>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8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345"/>
        </w:trPr>
        <w:tc>
          <w:tcPr>
            <w:tcW w:w="8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gridSpan w:val="5"/>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183"/>
        </w:trPr>
        <w:tc>
          <w:tcPr>
            <w:tcW w:w="8180" w:type="dxa"/>
            <w:vAlign w:val="bottom"/>
            <w:shd w:val="clear" w:color="auto" w:fill="CFF0FC"/>
          </w:tcPr>
          <w:p>
            <w:pPr>
              <w:ind w:left="374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80" w:type="dxa"/>
            <w:vAlign w:val="bottom"/>
            <w:tcBorders>
              <w:top w:val="single" w:sz="8" w:color="auto"/>
            </w:tcBorders>
            <w:shd w:val="clear" w:color="auto" w:fill="CFF0FC"/>
          </w:tcPr>
          <w:p>
            <w:pPr>
              <w:spacing w:after="0"/>
              <w:rPr>
                <w:sz w:val="15"/>
                <w:szCs w:val="15"/>
                <w:color w:val="auto"/>
              </w:rPr>
            </w:pPr>
          </w:p>
        </w:tc>
        <w:tc>
          <w:tcPr>
            <w:tcW w:w="1180" w:type="dxa"/>
            <w:vAlign w:val="bottom"/>
            <w:tcBorders>
              <w:top w:val="single" w:sz="8" w:color="auto"/>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1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177,682</w:t>
            </w: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230,420</w:t>
            </w:r>
          </w:p>
        </w:tc>
        <w:tc>
          <w:tcPr>
            <w:tcW w:w="100" w:type="dxa"/>
            <w:vAlign w:val="bottom"/>
            <w:shd w:val="clear" w:color="auto" w:fill="CFF0FC"/>
          </w:tcPr>
          <w:p>
            <w:pPr>
              <w:spacing w:after="0"/>
              <w:rPr>
                <w:sz w:val="16"/>
                <w:szCs w:val="16"/>
                <w:color w:val="auto"/>
              </w:rPr>
            </w:pPr>
          </w:p>
        </w:tc>
      </w:tr>
      <w:tr>
        <w:trPr>
          <w:trHeight w:val="189"/>
        </w:trPr>
        <w:tc>
          <w:tcPr>
            <w:tcW w:w="81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Accounts Receivable</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30,975</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22,099</w:t>
            </w:r>
          </w:p>
        </w:tc>
        <w:tc>
          <w:tcPr>
            <w:tcW w:w="100" w:type="dxa"/>
            <w:vAlign w:val="bottom"/>
          </w:tcPr>
          <w:p>
            <w:pPr>
              <w:spacing w:after="0"/>
              <w:rPr>
                <w:sz w:val="16"/>
                <w:szCs w:val="16"/>
                <w:color w:val="auto"/>
              </w:rPr>
            </w:pPr>
          </w:p>
        </w:tc>
      </w:tr>
      <w:tr>
        <w:trPr>
          <w:trHeight w:val="189"/>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Income Tax Receivable</w:t>
            </w:r>
          </w:p>
        </w:tc>
        <w:tc>
          <w:tcPr>
            <w:tcW w:w="18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7,473</w:t>
            </w: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81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Inventories</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115,675</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95,471</w:t>
            </w:r>
          </w:p>
        </w:tc>
        <w:tc>
          <w:tcPr>
            <w:tcW w:w="100" w:type="dxa"/>
            <w:vAlign w:val="bottom"/>
          </w:tcPr>
          <w:p>
            <w:pPr>
              <w:spacing w:after="0"/>
              <w:rPr>
                <w:sz w:val="16"/>
                <w:szCs w:val="16"/>
                <w:color w:val="auto"/>
              </w:rPr>
            </w:pPr>
          </w:p>
        </w:tc>
      </w:tr>
      <w:tr>
        <w:trPr>
          <w:trHeight w:val="189"/>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Prepaid Expenses</w:t>
            </w:r>
          </w:p>
        </w:tc>
        <w:tc>
          <w:tcPr>
            <w:tcW w:w="18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13,364</w:t>
            </w: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11,175</w:t>
            </w:r>
          </w:p>
        </w:tc>
        <w:tc>
          <w:tcPr>
            <w:tcW w:w="100" w:type="dxa"/>
            <w:vAlign w:val="bottom"/>
            <w:shd w:val="clear" w:color="auto" w:fill="CFF0FC"/>
          </w:tcPr>
          <w:p>
            <w:pPr>
              <w:spacing w:after="0"/>
              <w:rPr>
                <w:sz w:val="16"/>
                <w:szCs w:val="16"/>
                <w:color w:val="auto"/>
              </w:rPr>
            </w:pPr>
          </w:p>
        </w:tc>
      </w:tr>
      <w:tr>
        <w:trPr>
          <w:trHeight w:val="189"/>
        </w:trPr>
        <w:tc>
          <w:tcPr>
            <w:tcW w:w="81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Other Current Assets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6,182</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5,065</w:t>
            </w:r>
          </w:p>
        </w:tc>
        <w:tc>
          <w:tcPr>
            <w:tcW w:w="100" w:type="dxa"/>
            <w:vAlign w:val="bottom"/>
          </w:tcPr>
          <w:p>
            <w:pPr>
              <w:spacing w:after="0"/>
              <w:rPr>
                <w:sz w:val="16"/>
                <w:szCs w:val="16"/>
                <w:color w:val="auto"/>
              </w:rPr>
            </w:pPr>
          </w:p>
        </w:tc>
      </w:tr>
      <w:tr>
        <w:trPr>
          <w:trHeight w:val="183"/>
        </w:trPr>
        <w:tc>
          <w:tcPr>
            <w:tcW w:w="8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b w:val="1"/>
                <w:bCs w:val="1"/>
                <w:color w:val="auto"/>
              </w:rPr>
              <w:t>Total Current Assets</w:t>
            </w: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351,351</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364,230</w:t>
            </w:r>
          </w:p>
        </w:tc>
        <w:tc>
          <w:tcPr>
            <w:tcW w:w="100" w:type="dxa"/>
            <w:vAlign w:val="bottom"/>
            <w:shd w:val="clear" w:color="auto" w:fill="CFF0FC"/>
          </w:tcPr>
          <w:p>
            <w:pPr>
              <w:spacing w:after="0"/>
              <w:rPr>
                <w:sz w:val="15"/>
                <w:szCs w:val="15"/>
                <w:color w:val="auto"/>
              </w:rPr>
            </w:pP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557,873</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409,074</w:t>
            </w:r>
          </w:p>
        </w:tc>
        <w:tc>
          <w:tcPr>
            <w:tcW w:w="100" w:type="dxa"/>
            <w:vAlign w:val="bottom"/>
          </w:tcPr>
          <w:p>
            <w:pPr>
              <w:spacing w:after="0"/>
              <w:rPr>
                <w:sz w:val="16"/>
                <w:szCs w:val="16"/>
                <w:color w:val="auto"/>
              </w:rPr>
            </w:pPr>
          </w:p>
        </w:tc>
      </w:tr>
      <w:tr>
        <w:trPr>
          <w:trHeight w:val="189"/>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Right of Use Assets, Net</w:t>
            </w:r>
          </w:p>
        </w:tc>
        <w:tc>
          <w:tcPr>
            <w:tcW w:w="18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242,357</w:t>
            </w: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176,327</w:t>
            </w:r>
          </w:p>
        </w:tc>
        <w:tc>
          <w:tcPr>
            <w:tcW w:w="100" w:type="dxa"/>
            <w:vAlign w:val="bottom"/>
            <w:shd w:val="clear" w:color="auto" w:fill="CFF0FC"/>
          </w:tcPr>
          <w:p>
            <w:pPr>
              <w:spacing w:after="0"/>
              <w:rPr>
                <w:sz w:val="16"/>
                <w:szCs w:val="16"/>
                <w:color w:val="auto"/>
              </w:rPr>
            </w:pP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Investments</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74,169</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94,902</w:t>
            </w:r>
          </w:p>
        </w:tc>
        <w:tc>
          <w:tcPr>
            <w:tcW w:w="100" w:type="dxa"/>
            <w:vAlign w:val="bottom"/>
          </w:tcPr>
          <w:p>
            <w:pPr>
              <w:spacing w:after="0"/>
              <w:rPr>
                <w:sz w:val="16"/>
                <w:szCs w:val="16"/>
                <w:color w:val="auto"/>
              </w:rPr>
            </w:pPr>
          </w:p>
        </w:tc>
      </w:tr>
      <w:tr>
        <w:trPr>
          <w:trHeight w:val="189"/>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Investments in Associates</w:t>
            </w:r>
          </w:p>
        </w:tc>
        <w:tc>
          <w:tcPr>
            <w:tcW w:w="18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25,508</w:t>
            </w: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30,337</w:t>
            </w:r>
          </w:p>
        </w:tc>
        <w:tc>
          <w:tcPr>
            <w:tcW w:w="100" w:type="dxa"/>
            <w:vAlign w:val="bottom"/>
            <w:shd w:val="clear" w:color="auto" w:fill="CFF0FC"/>
          </w:tcPr>
          <w:p>
            <w:pPr>
              <w:spacing w:after="0"/>
              <w:rPr>
                <w:sz w:val="16"/>
                <w:szCs w:val="16"/>
                <w:color w:val="auto"/>
              </w:rPr>
            </w:pP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Intangible Assets, Net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589,519</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675,491</w:t>
            </w:r>
          </w:p>
        </w:tc>
        <w:tc>
          <w:tcPr>
            <w:tcW w:w="100" w:type="dxa"/>
            <w:vAlign w:val="bottom"/>
          </w:tcPr>
          <w:p>
            <w:pPr>
              <w:spacing w:after="0"/>
              <w:rPr>
                <w:sz w:val="16"/>
                <w:szCs w:val="16"/>
                <w:color w:val="auto"/>
              </w:rPr>
            </w:pPr>
          </w:p>
        </w:tc>
      </w:tr>
      <w:tr>
        <w:trPr>
          <w:trHeight w:val="189"/>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18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589,691</w:t>
            </w: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632,849</w:t>
            </w:r>
          </w:p>
        </w:tc>
        <w:tc>
          <w:tcPr>
            <w:tcW w:w="100" w:type="dxa"/>
            <w:vAlign w:val="bottom"/>
            <w:shd w:val="clear" w:color="auto" w:fill="CFF0FC"/>
          </w:tcPr>
          <w:p>
            <w:pPr>
              <w:spacing w:after="0"/>
              <w:rPr>
                <w:sz w:val="16"/>
                <w:szCs w:val="16"/>
                <w:color w:val="auto"/>
              </w:rPr>
            </w:pP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Deposits and Other Assets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3,060</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2,641</w:t>
            </w:r>
          </w:p>
        </w:tc>
        <w:tc>
          <w:tcPr>
            <w:tcW w:w="100" w:type="dxa"/>
            <w:vAlign w:val="bottom"/>
          </w:tcPr>
          <w:p>
            <w:pPr>
              <w:spacing w:after="0"/>
              <w:rPr>
                <w:sz w:val="16"/>
                <w:szCs w:val="16"/>
                <w:color w:val="auto"/>
              </w:rPr>
            </w:pPr>
          </w:p>
        </w:tc>
      </w:tr>
      <w:tr>
        <w:trPr>
          <w:trHeight w:val="223"/>
        </w:trPr>
        <w:tc>
          <w:tcPr>
            <w:tcW w:w="8180" w:type="dxa"/>
            <w:vAlign w:val="bottom"/>
            <w:tcBorders>
              <w:bottom w:val="single" w:sz="8" w:color="CFF0FC"/>
            </w:tcBorders>
            <w:shd w:val="clear" w:color="auto" w:fill="CFF0FC"/>
          </w:tcPr>
          <w:p>
            <w:pPr>
              <w:ind w:left="20"/>
              <w:spacing w:after="0" w:line="169" w:lineRule="exact"/>
              <w:rPr>
                <w:sz w:val="20"/>
                <w:szCs w:val="20"/>
                <w:color w:val="auto"/>
              </w:rPr>
            </w:pPr>
            <w:r>
              <w:rPr>
                <w:rFonts w:ascii="Times New Roman" w:cs="Times New Roman" w:eastAsia="Times New Roman" w:hAnsi="Times New Roman"/>
                <w:sz w:val="15"/>
                <w:szCs w:val="15"/>
                <w:b w:val="1"/>
                <w:bCs w:val="1"/>
                <w:color w:val="auto"/>
              </w:rPr>
              <w:t>TOTAL ASSETS</w:t>
            </w:r>
          </w:p>
        </w:tc>
        <w:tc>
          <w:tcPr>
            <w:tcW w:w="180" w:type="dxa"/>
            <w:vAlign w:val="bottom"/>
            <w:tcBorders>
              <w:bottom w:val="single" w:sz="8" w:color="auto"/>
            </w:tcBorders>
            <w:shd w:val="clear" w:color="auto" w:fill="CFF0FC"/>
          </w:tcPr>
          <w:p>
            <w:pPr>
              <w:jc w:val="right"/>
              <w:ind w:right="4"/>
              <w:spacing w:after="0" w:line="169"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2,433,528</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4"/>
              <w:spacing w:after="0" w:line="169"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2,385,851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70"/>
        </w:trPr>
        <w:tc>
          <w:tcPr>
            <w:tcW w:w="8180" w:type="dxa"/>
            <w:vAlign w:val="bottom"/>
          </w:tcPr>
          <w:p>
            <w:pPr>
              <w:ind w:left="2360"/>
              <w:spacing w:after="0" w:line="169" w:lineRule="exact"/>
              <w:rPr>
                <w:sz w:val="20"/>
                <w:szCs w:val="20"/>
                <w:color w:val="auto"/>
              </w:rPr>
            </w:pPr>
            <w:r>
              <w:rPr>
                <w:rFonts w:ascii="Times New Roman" w:cs="Times New Roman" w:eastAsia="Times New Roman" w:hAnsi="Times New Roman"/>
                <w:sz w:val="15"/>
                <w:szCs w:val="15"/>
                <w:b w:val="1"/>
                <w:bCs w:val="1"/>
                <w:color w:val="auto"/>
              </w:rPr>
              <w:t>LIABILITIES AND SHAREHOLDERS' EQUITY</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LIABILITIES</w:t>
            </w:r>
          </w:p>
        </w:tc>
        <w:tc>
          <w:tcPr>
            <w:tcW w:w="18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Accounts Payable</w:t>
            </w:r>
          </w:p>
        </w:tc>
        <w:tc>
          <w:tcPr>
            <w:tcW w:w="1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18,423</w:t>
            </w: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14,086</w:t>
            </w:r>
          </w:p>
        </w:tc>
        <w:tc>
          <w:tcPr>
            <w:tcW w:w="100" w:type="dxa"/>
            <w:vAlign w:val="bottom"/>
            <w:shd w:val="clear" w:color="auto" w:fill="CFF0FC"/>
          </w:tcPr>
          <w:p>
            <w:pPr>
              <w:spacing w:after="0"/>
              <w:rPr>
                <w:sz w:val="16"/>
                <w:szCs w:val="16"/>
                <w:color w:val="auto"/>
              </w:rPr>
            </w:pPr>
          </w:p>
        </w:tc>
      </w:tr>
      <w:tr>
        <w:trPr>
          <w:trHeight w:val="189"/>
        </w:trPr>
        <w:tc>
          <w:tcPr>
            <w:tcW w:w="81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Accrued Liabilities</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86,971</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84,724</w:t>
            </w:r>
          </w:p>
        </w:tc>
        <w:tc>
          <w:tcPr>
            <w:tcW w:w="100" w:type="dxa"/>
            <w:vAlign w:val="bottom"/>
          </w:tcPr>
          <w:p>
            <w:pPr>
              <w:spacing w:after="0"/>
              <w:rPr>
                <w:sz w:val="16"/>
                <w:szCs w:val="16"/>
                <w:color w:val="auto"/>
              </w:rPr>
            </w:pPr>
          </w:p>
        </w:tc>
      </w:tr>
      <w:tr>
        <w:trPr>
          <w:trHeight w:val="189"/>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Acquisition Consideration Payable</w:t>
            </w:r>
          </w:p>
        </w:tc>
        <w:tc>
          <w:tcPr>
            <w:tcW w:w="18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31,732</w:t>
            </w:r>
          </w:p>
        </w:tc>
        <w:tc>
          <w:tcPr>
            <w:tcW w:w="100" w:type="dxa"/>
            <w:vAlign w:val="bottom"/>
            <w:shd w:val="clear" w:color="auto" w:fill="CFF0FC"/>
          </w:tcPr>
          <w:p>
            <w:pPr>
              <w:spacing w:after="0"/>
              <w:rPr>
                <w:sz w:val="16"/>
                <w:szCs w:val="16"/>
                <w:color w:val="auto"/>
              </w:rPr>
            </w:pPr>
          </w:p>
        </w:tc>
      </w:tr>
      <w:tr>
        <w:trPr>
          <w:trHeight w:val="189"/>
        </w:trPr>
        <w:tc>
          <w:tcPr>
            <w:tcW w:w="81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Compensation Payable</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13,476</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12,022</w:t>
            </w:r>
          </w:p>
        </w:tc>
        <w:tc>
          <w:tcPr>
            <w:tcW w:w="100" w:type="dxa"/>
            <w:vAlign w:val="bottom"/>
          </w:tcPr>
          <w:p>
            <w:pPr>
              <w:spacing w:after="0"/>
              <w:rPr>
                <w:sz w:val="16"/>
                <w:szCs w:val="16"/>
                <w:color w:val="auto"/>
              </w:rPr>
            </w:pPr>
          </w:p>
        </w:tc>
      </w:tr>
      <w:tr>
        <w:trPr>
          <w:trHeight w:val="189"/>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Current Portion of Notes Payable</w:t>
            </w:r>
          </w:p>
        </w:tc>
        <w:tc>
          <w:tcPr>
            <w:tcW w:w="18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1,037</w:t>
            </w: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783</w:t>
            </w:r>
          </w:p>
        </w:tc>
        <w:tc>
          <w:tcPr>
            <w:tcW w:w="100" w:type="dxa"/>
            <w:vAlign w:val="bottom"/>
            <w:shd w:val="clear" w:color="auto" w:fill="CFF0FC"/>
          </w:tcPr>
          <w:p>
            <w:pPr>
              <w:spacing w:after="0"/>
              <w:rPr>
                <w:sz w:val="16"/>
                <w:szCs w:val="16"/>
                <w:color w:val="auto"/>
              </w:rPr>
            </w:pPr>
          </w:p>
        </w:tc>
      </w:tr>
      <w:tr>
        <w:trPr>
          <w:trHeight w:val="189"/>
        </w:trPr>
        <w:tc>
          <w:tcPr>
            <w:tcW w:w="81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Current Portion of Lease Liabilities</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10,906</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9,221</w:t>
            </w:r>
          </w:p>
        </w:tc>
        <w:tc>
          <w:tcPr>
            <w:tcW w:w="100" w:type="dxa"/>
            <w:vAlign w:val="bottom"/>
          </w:tcPr>
          <w:p>
            <w:pPr>
              <w:spacing w:after="0"/>
              <w:rPr>
                <w:sz w:val="16"/>
                <w:szCs w:val="16"/>
                <w:color w:val="auto"/>
              </w:rPr>
            </w:pPr>
          </w:p>
        </w:tc>
      </w:tr>
      <w:tr>
        <w:trPr>
          <w:trHeight w:val="189"/>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Contingent Consideration Payable</w:t>
            </w:r>
          </w:p>
        </w:tc>
        <w:tc>
          <w:tcPr>
            <w:tcW w:w="18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11,400</w:t>
            </w: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50,284</w:t>
            </w:r>
          </w:p>
        </w:tc>
        <w:tc>
          <w:tcPr>
            <w:tcW w:w="100" w:type="dxa"/>
            <w:vAlign w:val="bottom"/>
            <w:shd w:val="clear" w:color="auto" w:fill="CFF0FC"/>
          </w:tcPr>
          <w:p>
            <w:pPr>
              <w:spacing w:after="0"/>
              <w:rPr>
                <w:sz w:val="16"/>
                <w:szCs w:val="16"/>
                <w:color w:val="auto"/>
              </w:rPr>
            </w:pPr>
          </w:p>
        </w:tc>
      </w:tr>
      <w:tr>
        <w:trPr>
          <w:trHeight w:val="189"/>
        </w:trPr>
        <w:tc>
          <w:tcPr>
            <w:tcW w:w="81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Income Tax Payable</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4,358</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1,527</w:t>
            </w:r>
          </w:p>
        </w:tc>
        <w:tc>
          <w:tcPr>
            <w:tcW w:w="100" w:type="dxa"/>
            <w:vAlign w:val="bottom"/>
          </w:tcPr>
          <w:p>
            <w:pPr>
              <w:spacing w:after="0"/>
              <w:rPr>
                <w:sz w:val="16"/>
                <w:szCs w:val="16"/>
                <w:color w:val="auto"/>
              </w:rPr>
            </w:pPr>
          </w:p>
        </w:tc>
      </w:tr>
      <w:tr>
        <w:trPr>
          <w:trHeight w:val="183"/>
        </w:trPr>
        <w:tc>
          <w:tcPr>
            <w:tcW w:w="8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b w:val="1"/>
                <w:bCs w:val="1"/>
                <w:color w:val="auto"/>
              </w:rPr>
              <w:t>Total Current Liabilities</w:t>
            </w: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146,571</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204,379</w:t>
            </w:r>
          </w:p>
        </w:tc>
        <w:tc>
          <w:tcPr>
            <w:tcW w:w="100" w:type="dxa"/>
            <w:vAlign w:val="bottom"/>
            <w:shd w:val="clear" w:color="auto" w:fill="CFF0FC"/>
          </w:tcPr>
          <w:p>
            <w:pPr>
              <w:spacing w:after="0"/>
              <w:rPr>
                <w:sz w:val="15"/>
                <w:szCs w:val="15"/>
                <w:color w:val="auto"/>
              </w:rPr>
            </w:pP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Long-Term Liabilities:</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Lease Liabilities, Net of Current Portion</w:t>
            </w:r>
          </w:p>
        </w:tc>
        <w:tc>
          <w:tcPr>
            <w:tcW w:w="18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249,281</w:t>
            </w: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182,539</w:t>
            </w:r>
          </w:p>
        </w:tc>
        <w:tc>
          <w:tcPr>
            <w:tcW w:w="100" w:type="dxa"/>
            <w:vAlign w:val="bottom"/>
            <w:shd w:val="clear" w:color="auto" w:fill="CFF0FC"/>
          </w:tcPr>
          <w:p>
            <w:pPr>
              <w:spacing w:after="0"/>
              <w:rPr>
                <w:sz w:val="16"/>
                <w:szCs w:val="16"/>
                <w:color w:val="auto"/>
              </w:rPr>
            </w:pPr>
          </w:p>
        </w:tc>
      </w:tr>
      <w:tr>
        <w:trPr>
          <w:trHeight w:val="189"/>
        </w:trPr>
        <w:tc>
          <w:tcPr>
            <w:tcW w:w="81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Notes Payable, Net of Current Portion and Debt Discount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274,631</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239,151</w:t>
            </w:r>
          </w:p>
        </w:tc>
        <w:tc>
          <w:tcPr>
            <w:tcW w:w="100" w:type="dxa"/>
            <w:vAlign w:val="bottom"/>
          </w:tcPr>
          <w:p>
            <w:pPr>
              <w:spacing w:after="0"/>
              <w:rPr>
                <w:sz w:val="16"/>
                <w:szCs w:val="16"/>
                <w:color w:val="auto"/>
              </w:rPr>
            </w:pPr>
          </w:p>
        </w:tc>
      </w:tr>
      <w:tr>
        <w:trPr>
          <w:trHeight w:val="189"/>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Contingent Consideration Payable</w:t>
            </w:r>
          </w:p>
        </w:tc>
        <w:tc>
          <w:tcPr>
            <w:tcW w:w="18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30,543</w:t>
            </w: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33,581</w:t>
            </w:r>
          </w:p>
        </w:tc>
        <w:tc>
          <w:tcPr>
            <w:tcW w:w="100" w:type="dxa"/>
            <w:vAlign w:val="bottom"/>
            <w:shd w:val="clear" w:color="auto" w:fill="CFF0FC"/>
          </w:tcPr>
          <w:p>
            <w:pPr>
              <w:spacing w:after="0"/>
              <w:rPr>
                <w:sz w:val="16"/>
                <w:szCs w:val="16"/>
                <w:color w:val="auto"/>
              </w:rPr>
            </w:pPr>
          </w:p>
        </w:tc>
      </w:tr>
      <w:tr>
        <w:trPr>
          <w:trHeight w:val="189"/>
        </w:trPr>
        <w:tc>
          <w:tcPr>
            <w:tcW w:w="81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Warrant Liability</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4,520</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24,877</w:t>
            </w:r>
          </w:p>
        </w:tc>
        <w:tc>
          <w:tcPr>
            <w:tcW w:w="100" w:type="dxa"/>
            <w:vAlign w:val="bottom"/>
          </w:tcPr>
          <w:p>
            <w:pPr>
              <w:spacing w:after="0"/>
              <w:rPr>
                <w:sz w:val="16"/>
                <w:szCs w:val="16"/>
                <w:color w:val="auto"/>
              </w:rPr>
            </w:pPr>
          </w:p>
        </w:tc>
      </w:tr>
      <w:tr>
        <w:trPr>
          <w:trHeight w:val="189"/>
        </w:trPr>
        <w:tc>
          <w:tcPr>
            <w:tcW w:w="8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Deferred Income Taxes</w:t>
            </w:r>
          </w:p>
        </w:tc>
        <w:tc>
          <w:tcPr>
            <w:tcW w:w="18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62,550</w:t>
            </w:r>
          </w:p>
        </w:tc>
        <w:tc>
          <w:tcPr>
            <w:tcW w:w="26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81,846</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768,096</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766,373</w:t>
            </w:r>
          </w:p>
        </w:tc>
        <w:tc>
          <w:tcPr>
            <w:tcW w:w="100" w:type="dxa"/>
            <w:vAlign w:val="bottom"/>
          </w:tcPr>
          <w:p>
            <w:pPr>
              <w:spacing w:after="0"/>
              <w:rPr>
                <w:sz w:val="15"/>
                <w:szCs w:val="15"/>
                <w:color w:val="auto"/>
              </w:rPr>
            </w:pPr>
          </w:p>
        </w:tc>
      </w:tr>
      <w:tr>
        <w:trPr>
          <w:trHeight w:val="189"/>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w:t>
            </w:r>
          </w:p>
        </w:tc>
        <w:tc>
          <w:tcPr>
            <w:tcW w:w="18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SHAREHOLDERS' EQUITY</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8180" w:type="dxa"/>
            <w:vAlign w:val="bottom"/>
            <w:shd w:val="clear" w:color="auto" w:fill="CFF0FC"/>
          </w:tcPr>
          <w:p>
            <w:pPr>
              <w:ind w:left="20"/>
              <w:spacing w:after="0" w:line="159" w:lineRule="exact"/>
              <w:rPr>
                <w:sz w:val="20"/>
                <w:szCs w:val="20"/>
                <w:color w:val="auto"/>
              </w:rPr>
            </w:pPr>
            <w:r>
              <w:rPr>
                <w:rFonts w:ascii="Times New Roman" w:cs="Times New Roman" w:eastAsia="Times New Roman" w:hAnsi="Times New Roman"/>
                <w:sz w:val="15"/>
                <w:szCs w:val="15"/>
                <w:color w:val="auto"/>
              </w:rPr>
              <w:t>Subordinate Voting Shares (Shares Authorized, Issued and Outstanding at December 31, 2022:</w:t>
            </w:r>
          </w:p>
        </w:tc>
        <w:tc>
          <w:tcPr>
            <w:tcW w:w="1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818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Unlimited, 206,991,275, and 206,991,275, respectively, at December 31, 2021:</w:t>
            </w:r>
          </w:p>
        </w:tc>
        <w:tc>
          <w:tcPr>
            <w:tcW w:w="1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93"/>
        </w:trPr>
        <w:tc>
          <w:tcPr>
            <w:tcW w:w="8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Unlimited, 201,768,312, and 201,768,312, respectively)</w:t>
            </w:r>
          </w:p>
        </w:tc>
        <w:tc>
          <w:tcPr>
            <w:tcW w:w="18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58"/>
        </w:trPr>
        <w:tc>
          <w:tcPr>
            <w:tcW w:w="8180" w:type="dxa"/>
            <w:vAlign w:val="bottom"/>
          </w:tcPr>
          <w:p>
            <w:pPr>
              <w:ind w:left="20"/>
              <w:spacing w:after="0" w:line="159" w:lineRule="exact"/>
              <w:rPr>
                <w:sz w:val="20"/>
                <w:szCs w:val="20"/>
                <w:color w:val="auto"/>
              </w:rPr>
            </w:pPr>
            <w:r>
              <w:rPr>
                <w:rFonts w:ascii="Times New Roman" w:cs="Times New Roman" w:eastAsia="Times New Roman" w:hAnsi="Times New Roman"/>
                <w:sz w:val="15"/>
                <w:szCs w:val="15"/>
                <w:color w:val="auto"/>
              </w:rPr>
              <w:t>Multiple Voting Shares (Shares Authorized, Issued and Outstanding at December 31, 2022:</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818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Unlimited, 38,531 and 38,531, respectively, at December 31, 2021:</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3"/>
        </w:trPr>
        <w:tc>
          <w:tcPr>
            <w:tcW w:w="81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Unlimited, 38,531 and 38,531, respectively)</w:t>
            </w:r>
          </w:p>
        </w:tc>
        <w:tc>
          <w:tcPr>
            <w:tcW w:w="180" w:type="dxa"/>
            <w:vAlign w:val="bottom"/>
          </w:tcPr>
          <w:p>
            <w:pPr>
              <w:spacing w:after="0"/>
              <w:rPr>
                <w:sz w:val="16"/>
                <w:szCs w:val="16"/>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58"/>
        </w:trPr>
        <w:tc>
          <w:tcPr>
            <w:tcW w:w="8180" w:type="dxa"/>
            <w:vAlign w:val="bottom"/>
            <w:shd w:val="clear" w:color="auto" w:fill="CFF0FC"/>
          </w:tcPr>
          <w:p>
            <w:pPr>
              <w:ind w:left="20"/>
              <w:spacing w:after="0" w:line="159" w:lineRule="exact"/>
              <w:rPr>
                <w:sz w:val="20"/>
                <w:szCs w:val="20"/>
                <w:color w:val="auto"/>
              </w:rPr>
            </w:pPr>
            <w:r>
              <w:rPr>
                <w:rFonts w:ascii="Times New Roman" w:cs="Times New Roman" w:eastAsia="Times New Roman" w:hAnsi="Times New Roman"/>
                <w:sz w:val="15"/>
                <w:szCs w:val="15"/>
                <w:color w:val="auto"/>
              </w:rPr>
              <w:t>Super Voting Shares (Shares Authorized, Issued and Outstanding at December 31, 2022:</w:t>
            </w:r>
          </w:p>
        </w:tc>
        <w:tc>
          <w:tcPr>
            <w:tcW w:w="1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818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Unlimited, 251,690 and 251,690, respectively, at December 31, 2021:</w:t>
            </w:r>
          </w:p>
        </w:tc>
        <w:tc>
          <w:tcPr>
            <w:tcW w:w="1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93"/>
        </w:trPr>
        <w:tc>
          <w:tcPr>
            <w:tcW w:w="8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Unlimited, 285,031 and 285,031, respectively)</w:t>
            </w:r>
          </w:p>
        </w:tc>
        <w:tc>
          <w:tcPr>
            <w:tcW w:w="18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81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Share Capital</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1,663,557</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1,633,672</w:t>
            </w:r>
          </w:p>
        </w:tc>
        <w:tc>
          <w:tcPr>
            <w:tcW w:w="100" w:type="dxa"/>
            <w:vAlign w:val="bottom"/>
          </w:tcPr>
          <w:p>
            <w:pPr>
              <w:spacing w:after="0"/>
              <w:rPr>
                <w:sz w:val="16"/>
                <w:szCs w:val="16"/>
                <w:color w:val="auto"/>
              </w:rPr>
            </w:pPr>
          </w:p>
        </w:tc>
      </w:tr>
      <w:tr>
        <w:trPr>
          <w:trHeight w:val="189"/>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Contributed Surplus</w:t>
            </w:r>
          </w:p>
        </w:tc>
        <w:tc>
          <w:tcPr>
            <w:tcW w:w="18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23,233</w:t>
            </w: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21,245</w:t>
            </w:r>
          </w:p>
        </w:tc>
        <w:tc>
          <w:tcPr>
            <w:tcW w:w="100" w:type="dxa"/>
            <w:vAlign w:val="bottom"/>
            <w:shd w:val="clear" w:color="auto" w:fill="CFF0FC"/>
          </w:tcPr>
          <w:p>
            <w:pPr>
              <w:spacing w:after="0"/>
              <w:rPr>
                <w:sz w:val="16"/>
                <w:szCs w:val="16"/>
                <w:color w:val="auto"/>
              </w:rPr>
            </w:pPr>
          </w:p>
        </w:tc>
      </w:tr>
      <w:tr>
        <w:trPr>
          <w:trHeight w:val="189"/>
        </w:trPr>
        <w:tc>
          <w:tcPr>
            <w:tcW w:w="81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Deferred Share Issuances</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36,211</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36,262</w:t>
            </w:r>
          </w:p>
        </w:tc>
        <w:tc>
          <w:tcPr>
            <w:tcW w:w="100" w:type="dxa"/>
            <w:vAlign w:val="bottom"/>
          </w:tcPr>
          <w:p>
            <w:pPr>
              <w:spacing w:after="0"/>
              <w:rPr>
                <w:sz w:val="16"/>
                <w:szCs w:val="16"/>
                <w:color w:val="auto"/>
              </w:rPr>
            </w:pPr>
          </w:p>
        </w:tc>
      </w:tr>
      <w:tr>
        <w:trPr>
          <w:trHeight w:val="189"/>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Accumulated Deficit</w:t>
            </w:r>
          </w:p>
        </w:tc>
        <w:tc>
          <w:tcPr>
            <w:tcW w:w="18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(58,085 )</w:t>
            </w:r>
          </w:p>
        </w:tc>
        <w:tc>
          <w:tcPr>
            <w:tcW w:w="18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(70,063 )</w:t>
            </w:r>
          </w:p>
        </w:tc>
      </w:tr>
      <w:tr>
        <w:trPr>
          <w:trHeight w:val="183"/>
        </w:trPr>
        <w:tc>
          <w:tcPr>
            <w:tcW w:w="818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5"/>
                <w:szCs w:val="15"/>
                <w:color w:val="auto"/>
              </w:rPr>
              <w:t>Equity of Green Thumb Industries Inc.</w:t>
            </w: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1,664,916</w:t>
            </w:r>
          </w:p>
        </w:tc>
        <w:tc>
          <w:tcPr>
            <w:tcW w:w="26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1,621,116</w:t>
            </w:r>
          </w:p>
        </w:tc>
        <w:tc>
          <w:tcPr>
            <w:tcW w:w="100" w:type="dxa"/>
            <w:vAlign w:val="bottom"/>
            <w:tcBorders>
              <w:top w:val="single" w:sz="8" w:color="CFF0FC"/>
            </w:tcBorders>
          </w:tcPr>
          <w:p>
            <w:pPr>
              <w:spacing w:after="0"/>
              <w:rPr>
                <w:sz w:val="15"/>
                <w:szCs w:val="15"/>
                <w:color w:val="auto"/>
              </w:rPr>
            </w:pPr>
          </w:p>
        </w:tc>
      </w:tr>
      <w:tr>
        <w:trPr>
          <w:trHeight w:val="189"/>
        </w:trPr>
        <w:tc>
          <w:tcPr>
            <w:tcW w:w="8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Noncontrolling interests</w:t>
            </w:r>
          </w:p>
        </w:tc>
        <w:tc>
          <w:tcPr>
            <w:tcW w:w="18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516</w:t>
            </w: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(1,638 )</w:t>
            </w:r>
          </w:p>
        </w:tc>
      </w:tr>
      <w:tr>
        <w:trPr>
          <w:trHeight w:val="183"/>
        </w:trPr>
        <w:tc>
          <w:tcPr>
            <w:tcW w:w="81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TOTAL SHAREHOLDERS' EQUITY</w:t>
            </w:r>
          </w:p>
        </w:tc>
        <w:tc>
          <w:tcPr>
            <w:tcW w:w="18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1,665,432</w:t>
            </w:r>
          </w:p>
        </w:tc>
        <w:tc>
          <w:tcPr>
            <w:tcW w:w="260" w:type="dxa"/>
            <w:vAlign w:val="bottom"/>
            <w:tcBorders>
              <w:top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1,619,478</w:t>
            </w:r>
          </w:p>
        </w:tc>
        <w:tc>
          <w:tcPr>
            <w:tcW w:w="100" w:type="dxa"/>
            <w:vAlign w:val="bottom"/>
            <w:tcBorders>
              <w:top w:val="single" w:sz="8" w:color="CFF0FC"/>
            </w:tcBorders>
          </w:tcPr>
          <w:p>
            <w:pPr>
              <w:spacing w:after="0"/>
              <w:rPr>
                <w:sz w:val="15"/>
                <w:szCs w:val="15"/>
                <w:color w:val="auto"/>
              </w:rPr>
            </w:pPr>
          </w:p>
        </w:tc>
      </w:tr>
      <w:tr>
        <w:trPr>
          <w:trHeight w:val="223"/>
        </w:trPr>
        <w:tc>
          <w:tcPr>
            <w:tcW w:w="8180" w:type="dxa"/>
            <w:vAlign w:val="bottom"/>
            <w:tcBorders>
              <w:bottom w:val="single" w:sz="8" w:color="CFF0FC"/>
            </w:tcBorders>
            <w:shd w:val="clear" w:color="auto" w:fill="CFF0FC"/>
          </w:tcPr>
          <w:p>
            <w:pPr>
              <w:ind w:left="20"/>
              <w:spacing w:after="0" w:line="169" w:lineRule="exact"/>
              <w:rPr>
                <w:sz w:val="20"/>
                <w:szCs w:val="20"/>
                <w:color w:val="auto"/>
              </w:rPr>
            </w:pPr>
            <w:r>
              <w:rPr>
                <w:rFonts w:ascii="Times New Roman" w:cs="Times New Roman" w:eastAsia="Times New Roman" w:hAnsi="Times New Roman"/>
                <w:sz w:val="15"/>
                <w:szCs w:val="15"/>
                <w:b w:val="1"/>
                <w:bCs w:val="1"/>
                <w:color w:val="auto"/>
              </w:rPr>
              <w:t>TOTAL LIABILITIES AND SHAREHOLDERS' EQUITY</w:t>
            </w:r>
          </w:p>
        </w:tc>
        <w:tc>
          <w:tcPr>
            <w:tcW w:w="180" w:type="dxa"/>
            <w:vAlign w:val="bottom"/>
            <w:tcBorders>
              <w:bottom w:val="single" w:sz="8" w:color="auto"/>
            </w:tcBorders>
            <w:shd w:val="clear" w:color="auto" w:fill="CFF0FC"/>
          </w:tcPr>
          <w:p>
            <w:pPr>
              <w:jc w:val="right"/>
              <w:ind w:right="4"/>
              <w:spacing w:after="0" w:line="169"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2,433,528</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4"/>
              <w:spacing w:after="0" w:line="169"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2,385,851</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-4551045</wp:posOffset>
            </wp:positionV>
            <wp:extent cx="1080135" cy="146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5">
                      <a:extLst>
                        <a:ext uri="{28A0092B-C50C-407E-A947-70E740481C1C}"/>
                      </a:extLst>
                    </a:blip>
                    <a:srcRect/>
                    <a:stretch>
                      <a:fillRect/>
                    </a:stretch>
                  </pic:blipFill>
                  <pic:spPr bwMode="auto">
                    <a:xfrm>
                      <a:off x="0" y="0"/>
                      <a:ext cx="1080135" cy="14605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-2356485</wp:posOffset>
            </wp:positionV>
            <wp:extent cx="76835" cy="1289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6">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-2356485</wp:posOffset>
            </wp:positionV>
            <wp:extent cx="68580" cy="1289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-530860</wp:posOffset>
            </wp:positionV>
            <wp:extent cx="76835" cy="1289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8">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-530860</wp:posOffset>
            </wp:positionV>
            <wp:extent cx="68580" cy="128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-281940</wp:posOffset>
            </wp:positionV>
            <wp:extent cx="76835"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0">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768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6" w:name="page77"/>
    <w:bookmarkEnd w:id="76"/>
    <w:p>
      <w:pPr>
        <w:ind w:left="448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Years Ended December 31, 2022, 2021 and 2020</w:t>
      </w:r>
    </w:p>
    <w:p>
      <w:pPr>
        <w:spacing w:after="0" w:line="9"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tbl>
      <w:tblPr>
        <w:tblLayout w:type="fixed"/>
        <w:tblInd w:w="80" w:type="dxa"/>
        <w:tblCellMar>
          <w:top w:w="0" w:type="dxa"/>
          <w:left w:w="0" w:type="dxa"/>
          <w:bottom w:w="0" w:type="dxa"/>
          <w:right w:w="0" w:type="dxa"/>
        </w:tblCellMar>
      </w:tblPr>
      <w:tr>
        <w:trPr>
          <w:trHeight w:val="245"/>
        </w:trPr>
        <w:tc>
          <w:tcPr>
            <w:tcW w:w="5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34"/>
        </w:trPr>
        <w:tc>
          <w:tcPr>
            <w:tcW w:w="5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188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14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Pr>
          <w:p>
            <w:pPr>
              <w:spacing w:after="0"/>
              <w:rPr>
                <w:sz w:val="20"/>
                <w:szCs w:val="20"/>
                <w:color w:val="auto"/>
              </w:rPr>
            </w:pPr>
          </w:p>
        </w:tc>
      </w:tr>
      <w:tr>
        <w:trPr>
          <w:trHeight w:val="245"/>
        </w:trPr>
        <w:tc>
          <w:tcPr>
            <w:tcW w:w="5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 Net of Discounts</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1,017,375</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893,560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556,573</w:t>
            </w:r>
          </w:p>
        </w:tc>
        <w:tc>
          <w:tcPr>
            <w:tcW w:w="160" w:type="dxa"/>
            <w:vAlign w:val="bottom"/>
            <w:shd w:val="clear" w:color="auto" w:fill="CFF0FC"/>
          </w:tcPr>
          <w:p>
            <w:pPr>
              <w:spacing w:after="0"/>
              <w:rPr>
                <w:sz w:val="21"/>
                <w:szCs w:val="21"/>
                <w:color w:val="auto"/>
              </w:rPr>
            </w:pPr>
          </w:p>
        </w:tc>
      </w:tr>
      <w:tr>
        <w:trPr>
          <w:trHeight w:val="24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Net</w:t>
            </w:r>
          </w:p>
        </w:tc>
        <w:tc>
          <w:tcPr>
            <w:tcW w:w="240" w:type="dxa"/>
            <w:vAlign w:val="bottom"/>
          </w:tcPr>
          <w:p>
            <w:pPr>
              <w:spacing w:after="0"/>
              <w:rPr>
                <w:sz w:val="21"/>
                <w:szCs w:val="21"/>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(513,412)</w:t>
            </w:r>
          </w:p>
        </w:tc>
        <w:tc>
          <w:tcPr>
            <w:tcW w:w="220" w:type="dxa"/>
            <w:vAlign w:val="bottom"/>
          </w:tcPr>
          <w:p>
            <w:pPr>
              <w:spacing w:after="0"/>
              <w:rPr>
                <w:sz w:val="21"/>
                <w:szCs w:val="21"/>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(401,631)</w:t>
            </w:r>
          </w:p>
        </w:tc>
        <w:tc>
          <w:tcPr>
            <w:tcW w:w="220" w:type="dxa"/>
            <w:vAlign w:val="bottom"/>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(252,404)</w:t>
            </w:r>
          </w:p>
        </w:tc>
        <w:tc>
          <w:tcPr>
            <w:tcW w:w="160" w:type="dxa"/>
            <w:vAlign w:val="bottom"/>
          </w:tcPr>
          <w:p>
            <w:pPr>
              <w:spacing w:after="0"/>
              <w:rPr>
                <w:sz w:val="21"/>
                <w:szCs w:val="21"/>
                <w:color w:val="auto"/>
              </w:rPr>
            </w:pPr>
          </w:p>
        </w:tc>
      </w:tr>
      <w:tr>
        <w:trPr>
          <w:trHeight w:val="237"/>
        </w:trPr>
        <w:tc>
          <w:tcPr>
            <w:tcW w:w="5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CFF0FC"/>
            </w:tcBorders>
            <w:shd w:val="clear" w:color="auto" w:fill="CFF0FC"/>
          </w:tcPr>
          <w:p>
            <w:pPr>
              <w:spacing w:after="0"/>
              <w:rPr>
                <w:sz w:val="20"/>
                <w:szCs w:val="20"/>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503,963</w:t>
            </w:r>
          </w:p>
        </w:tc>
        <w:tc>
          <w:tcPr>
            <w:tcW w:w="220" w:type="dxa"/>
            <w:vAlign w:val="bottom"/>
            <w:tcBorders>
              <w:bottom w:val="single" w:sz="8" w:color="CFF0FC"/>
            </w:tcBorders>
            <w:shd w:val="clear" w:color="auto" w:fill="CFF0FC"/>
          </w:tcPr>
          <w:p>
            <w:pPr>
              <w:spacing w:after="0"/>
              <w:rPr>
                <w:sz w:val="20"/>
                <w:szCs w:val="20"/>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491,929</w:t>
            </w:r>
          </w:p>
        </w:tc>
        <w:tc>
          <w:tcPr>
            <w:tcW w:w="22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304,169</w:t>
            </w:r>
          </w:p>
        </w:tc>
        <w:tc>
          <w:tcPr>
            <w:tcW w:w="160" w:type="dxa"/>
            <w:vAlign w:val="bottom"/>
            <w:tcBorders>
              <w:bottom w:val="single" w:sz="8" w:color="CFF0FC"/>
            </w:tcBorders>
            <w:shd w:val="clear" w:color="auto" w:fill="CFF0FC"/>
          </w:tcPr>
          <w:p>
            <w:pPr>
              <w:spacing w:after="0"/>
              <w:rPr>
                <w:sz w:val="20"/>
                <w:szCs w:val="20"/>
                <w:color w:val="auto"/>
              </w:rPr>
            </w:pPr>
          </w:p>
        </w:tc>
      </w:t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5"/>
        </w:trPr>
        <w:tc>
          <w:tcPr>
            <w:tcW w:w="5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294,396</w:t>
            </w:r>
          </w:p>
        </w:tc>
        <w:tc>
          <w:tcPr>
            <w:tcW w:w="22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277,087</w:t>
            </w:r>
          </w:p>
        </w:tc>
        <w:tc>
          <w:tcPr>
            <w:tcW w:w="22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198,062</w:t>
            </w:r>
          </w:p>
        </w:tc>
        <w:tc>
          <w:tcPr>
            <w:tcW w:w="160" w:type="dxa"/>
            <w:vAlign w:val="bottom"/>
            <w:shd w:val="clear" w:color="auto" w:fill="CFF0FC"/>
          </w:tcPr>
          <w:p>
            <w:pPr>
              <w:spacing w:after="0"/>
              <w:rPr>
                <w:sz w:val="21"/>
                <w:szCs w:val="21"/>
                <w:color w:val="auto"/>
              </w:rPr>
            </w:pPr>
          </w:p>
        </w:tc>
      </w:tr>
      <w:tr>
        <w:trPr>
          <w:trHeight w:val="243"/>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Goodwill and Intangible Assets</w:t>
            </w:r>
          </w:p>
        </w:tc>
        <w:tc>
          <w:tcPr>
            <w:tcW w:w="240" w:type="dxa"/>
            <w:vAlign w:val="bottom"/>
          </w:tcPr>
          <w:p>
            <w:pPr>
              <w:spacing w:after="0"/>
              <w:rPr>
                <w:sz w:val="21"/>
                <w:szCs w:val="21"/>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88,503</w:t>
            </w:r>
          </w:p>
        </w:tc>
        <w:tc>
          <w:tcPr>
            <w:tcW w:w="220" w:type="dxa"/>
            <w:vAlign w:val="bottom"/>
          </w:tcPr>
          <w:p>
            <w:pPr>
              <w:spacing w:after="0"/>
              <w:rPr>
                <w:sz w:val="21"/>
                <w:szCs w:val="21"/>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r>
      <w:tr>
        <w:trPr>
          <w:trHeight w:val="237"/>
        </w:trPr>
        <w:tc>
          <w:tcPr>
            <w:tcW w:w="50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240" w:type="dxa"/>
            <w:vAlign w:val="bottom"/>
            <w:tcBorders>
              <w:bottom w:val="single" w:sz="8" w:color="CFF0FC"/>
            </w:tcBorders>
            <w:shd w:val="clear" w:color="auto" w:fill="CFF0FC"/>
          </w:tcPr>
          <w:p>
            <w:pPr>
              <w:spacing w:after="0"/>
              <w:rPr>
                <w:sz w:val="20"/>
                <w:szCs w:val="20"/>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382,899</w:t>
            </w:r>
          </w:p>
        </w:tc>
        <w:tc>
          <w:tcPr>
            <w:tcW w:w="220" w:type="dxa"/>
            <w:vAlign w:val="bottom"/>
            <w:tcBorders>
              <w:bottom w:val="single" w:sz="8" w:color="CFF0FC"/>
            </w:tcBorders>
            <w:shd w:val="clear" w:color="auto" w:fill="CFF0FC"/>
          </w:tcPr>
          <w:p>
            <w:pPr>
              <w:spacing w:after="0"/>
              <w:rPr>
                <w:sz w:val="20"/>
                <w:szCs w:val="20"/>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277,087</w:t>
            </w:r>
          </w:p>
        </w:tc>
        <w:tc>
          <w:tcPr>
            <w:tcW w:w="22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198,062</w:t>
            </w:r>
          </w:p>
        </w:tc>
        <w:tc>
          <w:tcPr>
            <w:tcW w:w="160" w:type="dxa"/>
            <w:vAlign w:val="bottom"/>
            <w:tcBorders>
              <w:bottom w:val="single" w:sz="8" w:color="CFF0FC"/>
            </w:tcBorders>
            <w:shd w:val="clear" w:color="auto" w:fill="CFF0FC"/>
          </w:tcPr>
          <w:p>
            <w:pPr>
              <w:spacing w:after="0"/>
              <w:rPr>
                <w:sz w:val="20"/>
                <w:szCs w:val="20"/>
                <w:color w:val="auto"/>
              </w:rPr>
            </w:pPr>
          </w:p>
        </w:tc>
      </w:tr>
      <w:tr>
        <w:trPr>
          <w:trHeight w:val="237"/>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40" w:type="dxa"/>
            <w:vAlign w:val="bottom"/>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121,064</w:t>
            </w:r>
          </w:p>
        </w:tc>
        <w:tc>
          <w:tcPr>
            <w:tcW w:w="220" w:type="dxa"/>
            <w:vAlign w:val="bottom"/>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214,842</w:t>
            </w:r>
          </w:p>
        </w:tc>
        <w:tc>
          <w:tcPr>
            <w:tcW w:w="220" w:type="dxa"/>
            <w:vAlign w:val="bottom"/>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106,107</w:t>
            </w:r>
          </w:p>
        </w:tc>
        <w:tc>
          <w:tcPr>
            <w:tcW w:w="160" w:type="dxa"/>
            <w:vAlign w:val="bottom"/>
          </w:tcPr>
          <w:p>
            <w:pPr>
              <w:spacing w:after="0"/>
              <w:rPr>
                <w:sz w:val="20"/>
                <w:szCs w:val="20"/>
                <w:color w:val="auto"/>
              </w:rPr>
            </w:pPr>
          </w:p>
        </w:tc>
      </w:tr>
      <w:tr>
        <w:trPr>
          <w:trHeight w:val="237"/>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shd w:val="clear" w:color="auto" w:fill="CFF0FC"/>
          </w:tcPr>
          <w:p>
            <w:pPr>
              <w:spacing w:after="0"/>
              <w:rPr>
                <w:sz w:val="20"/>
                <w:szCs w:val="20"/>
                <w:color w:val="auto"/>
              </w:rPr>
            </w:pPr>
          </w:p>
        </w:tc>
        <w:tc>
          <w:tcPr>
            <w:tcW w:w="1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r>
      <w:tr>
        <w:trPr>
          <w:trHeight w:val="239"/>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4,499</w:t>
            </w:r>
          </w:p>
        </w:tc>
        <w:tc>
          <w:tcPr>
            <w:tcW w:w="2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10,677</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15,377</w:t>
            </w:r>
          </w:p>
        </w:tc>
        <w:tc>
          <w:tcPr>
            <w:tcW w:w="160" w:type="dxa"/>
            <w:vAlign w:val="bottom"/>
          </w:tcPr>
          <w:p>
            <w:pPr>
              <w:spacing w:after="0"/>
              <w:rPr>
                <w:sz w:val="20"/>
                <w:szCs w:val="20"/>
                <w:color w:val="auto"/>
              </w:rPr>
            </w:pPr>
          </w:p>
        </w:tc>
      </w:tr>
      <w:tr>
        <w:trPr>
          <w:trHeight w:val="247"/>
        </w:trPr>
        <w:tc>
          <w:tcPr>
            <w:tcW w:w="5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Income, Net</w:t>
            </w:r>
          </w:p>
        </w:tc>
        <w:tc>
          <w:tcPr>
            <w:tcW w:w="24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22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22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shd w:val="clear" w:color="auto" w:fill="CFF0FC"/>
          </w:tcPr>
          <w:p>
            <w:pPr>
              <w:spacing w:after="0"/>
              <w:rPr>
                <w:sz w:val="21"/>
                <w:szCs w:val="21"/>
                <w:color w:val="auto"/>
              </w:rPr>
            </w:pPr>
          </w:p>
        </w:tc>
      </w:tr>
      <w:tr>
        <w:trPr>
          <w:trHeight w:val="243"/>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21"/>
                <w:szCs w:val="21"/>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(21,201)</w:t>
            </w:r>
          </w:p>
        </w:tc>
        <w:tc>
          <w:tcPr>
            <w:tcW w:w="220" w:type="dxa"/>
            <w:vAlign w:val="bottom"/>
          </w:tcPr>
          <w:p>
            <w:pPr>
              <w:spacing w:after="0"/>
              <w:rPr>
                <w:sz w:val="21"/>
                <w:szCs w:val="21"/>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(21,976)</w:t>
            </w:r>
          </w:p>
        </w:tc>
        <w:tc>
          <w:tcPr>
            <w:tcW w:w="220" w:type="dxa"/>
            <w:vAlign w:val="bottom"/>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(18,667)</w:t>
            </w:r>
          </w:p>
        </w:tc>
        <w:tc>
          <w:tcPr>
            <w:tcW w:w="160" w:type="dxa"/>
            <w:vAlign w:val="bottom"/>
          </w:tcPr>
          <w:p>
            <w:pPr>
              <w:spacing w:after="0"/>
              <w:rPr>
                <w:sz w:val="21"/>
                <w:szCs w:val="21"/>
                <w:color w:val="auto"/>
              </w:rPr>
            </w:pPr>
          </w:p>
        </w:tc>
      </w:tr>
      <w:tr>
        <w:trPr>
          <w:trHeight w:val="236"/>
        </w:trPr>
        <w:tc>
          <w:tcPr>
            <w:tcW w:w="50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b w:val="1"/>
                <w:bCs w:val="1"/>
                <w:color w:val="auto"/>
              </w:rPr>
              <w:t>Total Other Expense</w:t>
            </w:r>
          </w:p>
        </w:tc>
        <w:tc>
          <w:tcPr>
            <w:tcW w:w="240" w:type="dxa"/>
            <w:vAlign w:val="bottom"/>
            <w:tcBorders>
              <w:bottom w:val="single" w:sz="8" w:color="CFF0FC"/>
            </w:tcBorders>
            <w:shd w:val="clear" w:color="auto" w:fill="CFF0FC"/>
          </w:tcPr>
          <w:p>
            <w:pPr>
              <w:spacing w:after="0"/>
              <w:rPr>
                <w:sz w:val="20"/>
                <w:szCs w:val="20"/>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(12,632)</w:t>
            </w:r>
          </w:p>
        </w:tc>
        <w:tc>
          <w:tcPr>
            <w:tcW w:w="220" w:type="dxa"/>
            <w:vAlign w:val="bottom"/>
            <w:tcBorders>
              <w:bottom w:val="single" w:sz="8" w:color="CFF0FC"/>
            </w:tcBorders>
            <w:shd w:val="clear" w:color="auto" w:fill="CFF0FC"/>
          </w:tcPr>
          <w:p>
            <w:pPr>
              <w:spacing w:after="0"/>
              <w:rPr>
                <w:sz w:val="20"/>
                <w:szCs w:val="20"/>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(9,867)</w:t>
            </w:r>
          </w:p>
        </w:tc>
        <w:tc>
          <w:tcPr>
            <w:tcW w:w="22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160" w:type="dxa"/>
            <w:vAlign w:val="bottom"/>
            <w:tcBorders>
              <w:bottom w:val="single" w:sz="8" w:color="CFF0FC"/>
            </w:tcBorders>
            <w:shd w:val="clear" w:color="auto" w:fill="CFF0FC"/>
          </w:tcPr>
          <w:p>
            <w:pPr>
              <w:spacing w:after="0"/>
              <w:rPr>
                <w:sz w:val="20"/>
                <w:szCs w:val="20"/>
                <w:color w:val="auto"/>
              </w:rPr>
            </w:pPr>
          </w:p>
        </w:tc>
      </w:tr>
      <w:tr>
        <w:trPr>
          <w:trHeight w:val="201"/>
        </w:trPr>
        <w:tc>
          <w:tcPr>
            <w:tcW w:w="502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Income Before Provision for Income Taxes And Non-Controlling</w:t>
            </w:r>
          </w:p>
        </w:tc>
        <w:tc>
          <w:tcPr>
            <w:tcW w:w="2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45"/>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4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108,432</w:t>
            </w:r>
          </w:p>
        </w:tc>
        <w:tc>
          <w:tcPr>
            <w:tcW w:w="2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204,975</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102,931</w:t>
            </w:r>
          </w:p>
        </w:tc>
        <w:tc>
          <w:tcPr>
            <w:tcW w:w="160" w:type="dxa"/>
            <w:vAlign w:val="bottom"/>
          </w:tcPr>
          <w:p>
            <w:pPr>
              <w:spacing w:after="0"/>
              <w:rPr>
                <w:sz w:val="21"/>
                <w:szCs w:val="21"/>
                <w:color w:val="auto"/>
              </w:rPr>
            </w:pPr>
          </w:p>
        </w:tc>
      </w:tr>
      <w:tr>
        <w:trPr>
          <w:trHeight w:val="250"/>
        </w:trPr>
        <w:tc>
          <w:tcPr>
            <w:tcW w:w="5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240" w:type="dxa"/>
            <w:vAlign w:val="bottom"/>
            <w:tcBorders>
              <w:bottom w:val="single" w:sz="8" w:color="CFF0FC"/>
            </w:tcBorders>
            <w:shd w:val="clear" w:color="auto" w:fill="CFF0FC"/>
          </w:tcPr>
          <w:p>
            <w:pPr>
              <w:spacing w:after="0"/>
              <w:rPr>
                <w:sz w:val="21"/>
                <w:szCs w:val="21"/>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94,777</w:t>
            </w:r>
          </w:p>
        </w:tc>
        <w:tc>
          <w:tcPr>
            <w:tcW w:w="220" w:type="dxa"/>
            <w:vAlign w:val="bottom"/>
            <w:tcBorders>
              <w:bottom w:val="single" w:sz="8" w:color="CFF0FC"/>
            </w:tcBorders>
            <w:shd w:val="clear" w:color="auto" w:fill="CFF0FC"/>
          </w:tcPr>
          <w:p>
            <w:pPr>
              <w:spacing w:after="0"/>
              <w:rPr>
                <w:sz w:val="21"/>
                <w:szCs w:val="21"/>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124,612</w:t>
            </w:r>
          </w:p>
        </w:tc>
        <w:tc>
          <w:tcPr>
            <w:tcW w:w="2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83,853</w:t>
            </w:r>
          </w:p>
        </w:tc>
        <w:tc>
          <w:tcPr>
            <w:tcW w:w="160" w:type="dxa"/>
            <w:vAlign w:val="bottom"/>
            <w:tcBorders>
              <w:bottom w:val="single" w:sz="8" w:color="CFF0FC"/>
            </w:tcBorders>
            <w:shd w:val="clear" w:color="auto" w:fill="CFF0FC"/>
          </w:tcPr>
          <w:p>
            <w:pPr>
              <w:spacing w:after="0"/>
              <w:rPr>
                <w:sz w:val="21"/>
                <w:szCs w:val="21"/>
                <w:color w:val="auto"/>
              </w:rPr>
            </w:pPr>
          </w:p>
        </w:tc>
      </w:t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Before Non-Controlling Interest</w:t>
            </w:r>
          </w:p>
        </w:tc>
        <w:tc>
          <w:tcPr>
            <w:tcW w:w="24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13,655</w:t>
            </w:r>
          </w:p>
        </w:tc>
        <w:tc>
          <w:tcPr>
            <w:tcW w:w="2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80,363</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19,078</w:t>
            </w:r>
          </w:p>
        </w:tc>
        <w:tc>
          <w:tcPr>
            <w:tcW w:w="160" w:type="dxa"/>
            <w:vAlign w:val="bottom"/>
          </w:tcPr>
          <w:p>
            <w:pPr>
              <w:spacing w:after="0"/>
              <w:rPr>
                <w:sz w:val="20"/>
                <w:szCs w:val="20"/>
                <w:color w:val="auto"/>
              </w:rPr>
            </w:pPr>
          </w:p>
        </w:tc>
      </w:tr>
      <w:tr>
        <w:trPr>
          <w:trHeight w:val="245"/>
        </w:trPr>
        <w:tc>
          <w:tcPr>
            <w:tcW w:w="5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Non-Controlling Interest</w:t>
            </w:r>
          </w:p>
        </w:tc>
        <w:tc>
          <w:tcPr>
            <w:tcW w:w="240" w:type="dxa"/>
            <w:vAlign w:val="bottom"/>
            <w:tcBorders>
              <w:bottom w:val="single" w:sz="8" w:color="CFF0FC"/>
            </w:tcBorders>
            <w:shd w:val="clear" w:color="auto" w:fill="CFF0FC"/>
          </w:tcPr>
          <w:p>
            <w:pPr>
              <w:spacing w:after="0"/>
              <w:rPr>
                <w:sz w:val="21"/>
                <w:szCs w:val="21"/>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220" w:type="dxa"/>
            <w:vAlign w:val="bottom"/>
            <w:tcBorders>
              <w:bottom w:val="single" w:sz="8" w:color="CFF0FC"/>
            </w:tcBorders>
            <w:shd w:val="clear" w:color="auto" w:fill="CFF0FC"/>
          </w:tcPr>
          <w:p>
            <w:pPr>
              <w:spacing w:after="0"/>
              <w:rPr>
                <w:sz w:val="21"/>
                <w:szCs w:val="21"/>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2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160" w:type="dxa"/>
            <w:vAlign w:val="bottom"/>
            <w:tcBorders>
              <w:bottom w:val="single" w:sz="8" w:color="CFF0FC"/>
            </w:tcBorders>
            <w:shd w:val="clear" w:color="auto" w:fill="CFF0FC"/>
          </w:tcPr>
          <w:p>
            <w:pPr>
              <w:spacing w:after="0"/>
              <w:rPr>
                <w:sz w:val="21"/>
                <w:szCs w:val="21"/>
                <w:color w:val="auto"/>
              </w:rPr>
            </w:pPr>
          </w:p>
        </w:tc>
      </w:tr>
      <w:tr>
        <w:trPr>
          <w:trHeight w:val="237"/>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Green Thumb Industries Inc.</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75,436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14,993</w:t>
            </w:r>
          </w:p>
        </w:tc>
        <w:tc>
          <w:tcPr>
            <w:tcW w:w="160" w:type="dxa"/>
            <w:vAlign w:val="bottom"/>
          </w:tcPr>
          <w:p>
            <w:pPr>
              <w:spacing w:after="0"/>
              <w:rPr>
                <w:sz w:val="20"/>
                <w:szCs w:val="20"/>
                <w:color w:val="auto"/>
              </w:rPr>
            </w:pPr>
          </w:p>
        </w:tc>
      </w:tr>
      <w:tr>
        <w:trPr>
          <w:trHeight w:val="20"/>
        </w:trPr>
        <w:tc>
          <w:tcPr>
            <w:tcW w:w="5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3"/>
        </w:trPr>
        <w:tc>
          <w:tcPr>
            <w:tcW w:w="5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Per Share - Basic</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60" w:type="dxa"/>
            <w:vAlign w:val="bottom"/>
            <w:tcBorders>
              <w:bottom w:val="single" w:sz="8" w:color="CFF0FC"/>
            </w:tcBorders>
            <w:shd w:val="clear" w:color="auto" w:fill="CFF0FC"/>
          </w:tcPr>
          <w:p>
            <w:pPr>
              <w:spacing w:after="0"/>
              <w:rPr>
                <w:sz w:val="22"/>
                <w:szCs w:val="22"/>
                <w:color w:val="auto"/>
              </w:rPr>
            </w:pPr>
          </w:p>
        </w:tc>
      </w:tr>
      <w:tr>
        <w:trPr>
          <w:trHeight w:val="224"/>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Per Share - Diluted</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60" w:type="dxa"/>
            <w:vAlign w:val="bottom"/>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3"/>
        </w:trPr>
        <w:tc>
          <w:tcPr>
            <w:tcW w:w="5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 - Basic</w:t>
            </w:r>
          </w:p>
        </w:tc>
        <w:tc>
          <w:tcPr>
            <w:tcW w:w="240" w:type="dxa"/>
            <w:vAlign w:val="bottom"/>
            <w:tcBorders>
              <w:bottom w:val="single" w:sz="8" w:color="CFF0FC"/>
            </w:tcBorders>
            <w:shd w:val="clear" w:color="auto" w:fill="CFF0FC"/>
          </w:tcPr>
          <w:p>
            <w:pPr>
              <w:spacing w:after="0"/>
              <w:rPr>
                <w:sz w:val="22"/>
                <w:szCs w:val="22"/>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236,713,056</w:t>
            </w:r>
          </w:p>
        </w:tc>
        <w:tc>
          <w:tcPr>
            <w:tcW w:w="220" w:type="dxa"/>
            <w:vAlign w:val="bottom"/>
            <w:tcBorders>
              <w:bottom w:val="single" w:sz="8" w:color="CFF0FC"/>
            </w:tcBorders>
            <w:shd w:val="clear" w:color="auto" w:fill="CFF0FC"/>
          </w:tcPr>
          <w:p>
            <w:pPr>
              <w:spacing w:after="0"/>
              <w:rPr>
                <w:sz w:val="22"/>
                <w:szCs w:val="22"/>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223,192,326</w:t>
            </w:r>
          </w:p>
        </w:tc>
        <w:tc>
          <w:tcPr>
            <w:tcW w:w="220" w:type="dxa"/>
            <w:vAlign w:val="bottom"/>
            <w:tcBorders>
              <w:bottom w:val="single" w:sz="8" w:color="CFF0FC"/>
            </w:tcBorders>
            <w:shd w:val="clear" w:color="auto" w:fill="CFF0FC"/>
          </w:tcPr>
          <w:p>
            <w:pPr>
              <w:spacing w:after="0"/>
              <w:rPr>
                <w:sz w:val="22"/>
                <w:szCs w:val="22"/>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210,988,259</w:t>
            </w:r>
          </w:p>
        </w:tc>
        <w:tc>
          <w:tcPr>
            <w:tcW w:w="160" w:type="dxa"/>
            <w:vAlign w:val="bottom"/>
            <w:tcBorders>
              <w:bottom w:val="single" w:sz="8" w:color="CFF0FC"/>
            </w:tcBorders>
            <w:shd w:val="clear" w:color="auto" w:fill="CFF0FC"/>
          </w:tcPr>
          <w:p>
            <w:pPr>
              <w:spacing w:after="0"/>
              <w:rPr>
                <w:sz w:val="22"/>
                <w:szCs w:val="22"/>
                <w:color w:val="auto"/>
              </w:rPr>
            </w:pPr>
          </w:p>
        </w:tc>
      </w:tr>
      <w:tr>
        <w:trPr>
          <w:trHeight w:val="223"/>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 - Diluted</w:t>
            </w:r>
          </w:p>
        </w:tc>
        <w:tc>
          <w:tcPr>
            <w:tcW w:w="240" w:type="dxa"/>
            <w:vAlign w:val="bottom"/>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238,080,030</w:t>
            </w:r>
          </w:p>
        </w:tc>
        <w:tc>
          <w:tcPr>
            <w:tcW w:w="22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226,758,882</w:t>
            </w:r>
          </w:p>
        </w:tc>
        <w:tc>
          <w:tcPr>
            <w:tcW w:w="22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212,531,188</w:t>
            </w:r>
          </w:p>
        </w:tc>
        <w:tc>
          <w:tcPr>
            <w:tcW w:w="160" w:type="dxa"/>
            <w:vAlign w:val="bottom"/>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-3265170</wp:posOffset>
            </wp:positionV>
            <wp:extent cx="137160" cy="1625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9">
                      <a:extLst>
                        <a:ext uri="{28A0092B-C50C-407E-A947-70E740481C1C}"/>
                      </a:extLst>
                    </a:blip>
                    <a:srcRect/>
                    <a:stretch>
                      <a:fillRect/>
                    </a:stretch>
                  </pic:blipFill>
                  <pic:spPr bwMode="auto">
                    <a:xfrm>
                      <a:off x="0" y="0"/>
                      <a:ext cx="137160" cy="16256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-3265170</wp:posOffset>
            </wp:positionV>
            <wp:extent cx="128905" cy="1625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0">
                      <a:extLst>
                        <a:ext uri="{28A0092B-C50C-407E-A947-70E740481C1C}"/>
                      </a:extLst>
                    </a:blip>
                    <a:srcRect/>
                    <a:stretch>
                      <a:fillRect/>
                    </a:stretch>
                  </pic:blipFill>
                  <pic:spPr bwMode="auto">
                    <a:xfrm>
                      <a:off x="0" y="0"/>
                      <a:ext cx="128905" cy="16256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-3265170</wp:posOffset>
            </wp:positionV>
            <wp:extent cx="111125" cy="1625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1">
                      <a:extLst>
                        <a:ext uri="{28A0092B-C50C-407E-A947-70E740481C1C}"/>
                      </a:extLst>
                    </a:blip>
                    <a:srcRect/>
                    <a:stretch>
                      <a:fillRect/>
                    </a:stretch>
                  </pic:blipFill>
                  <pic:spPr bwMode="auto">
                    <a:xfrm>
                      <a:off x="0" y="0"/>
                      <a:ext cx="111125" cy="16256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-2631440</wp:posOffset>
            </wp:positionV>
            <wp:extent cx="137160"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2">
                      <a:extLst>
                        <a:ext uri="{28A0092B-C50C-407E-A947-70E740481C1C}"/>
                      </a:extLst>
                    </a:blip>
                    <a:srcRect/>
                    <a:stretch>
                      <a:fillRect/>
                    </a:stretch>
                  </pic:blipFill>
                  <pic:spPr bwMode="auto">
                    <a:xfrm>
                      <a:off x="0" y="0"/>
                      <a:ext cx="137160" cy="17145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-2631440</wp:posOffset>
            </wp:positionV>
            <wp:extent cx="128905"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3">
                      <a:extLst>
                        <a:ext uri="{28A0092B-C50C-407E-A947-70E740481C1C}"/>
                      </a:extLst>
                    </a:blip>
                    <a:srcRect/>
                    <a:stretch>
                      <a:fillRect/>
                    </a:stretch>
                  </pic:blipFill>
                  <pic:spPr bwMode="auto">
                    <a:xfrm>
                      <a:off x="0" y="0"/>
                      <a:ext cx="128905" cy="17145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-2631440</wp:posOffset>
            </wp:positionV>
            <wp:extent cx="111125"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4">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-1679575</wp:posOffset>
            </wp:positionV>
            <wp:extent cx="137160" cy="3003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5">
                      <a:extLst>
                        <a:ext uri="{28A0092B-C50C-407E-A947-70E740481C1C}"/>
                      </a:extLst>
                    </a:blip>
                    <a:srcRect/>
                    <a:stretch>
                      <a:fillRect/>
                    </a:stretch>
                  </pic:blipFill>
                  <pic:spPr bwMode="auto">
                    <a:xfrm>
                      <a:off x="0" y="0"/>
                      <a:ext cx="137160" cy="3003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-1679575</wp:posOffset>
            </wp:positionV>
            <wp:extent cx="128905" cy="3003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6">
                      <a:extLst>
                        <a:ext uri="{28A0092B-C50C-407E-A947-70E740481C1C}"/>
                      </a:extLst>
                    </a:blip>
                    <a:srcRect/>
                    <a:stretch>
                      <a:fillRect/>
                    </a:stretch>
                  </pic:blipFill>
                  <pic:spPr bwMode="auto">
                    <a:xfrm>
                      <a:off x="0" y="0"/>
                      <a:ext cx="128905" cy="3003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-1679575</wp:posOffset>
            </wp:positionV>
            <wp:extent cx="111125" cy="3003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7">
                      <a:extLst>
                        <a:ext uri="{28A0092B-C50C-407E-A947-70E740481C1C}"/>
                      </a:extLst>
                    </a:blip>
                    <a:srcRect/>
                    <a:stretch>
                      <a:fillRect/>
                    </a:stretch>
                  </pic:blipFill>
                  <pic:spPr bwMode="auto">
                    <a:xfrm>
                      <a:off x="0" y="0"/>
                      <a:ext cx="111125" cy="3003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-1224915</wp:posOffset>
            </wp:positionV>
            <wp:extent cx="137160" cy="1631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8">
                      <a:extLst>
                        <a:ext uri="{28A0092B-C50C-407E-A947-70E740481C1C}"/>
                      </a:extLst>
                    </a:blip>
                    <a:srcRect/>
                    <a:stretch>
                      <a:fillRect/>
                    </a:stretch>
                  </pic:blipFill>
                  <pic:spPr bwMode="auto">
                    <a:xfrm>
                      <a:off x="0" y="0"/>
                      <a:ext cx="137160" cy="16319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-1224915</wp:posOffset>
            </wp:positionV>
            <wp:extent cx="128905" cy="1631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9">
                      <a:extLst>
                        <a:ext uri="{28A0092B-C50C-407E-A947-70E740481C1C}"/>
                      </a:extLst>
                    </a:blip>
                    <a:srcRect/>
                    <a:stretch>
                      <a:fillRect/>
                    </a:stretch>
                  </pic:blipFill>
                  <pic:spPr bwMode="auto">
                    <a:xfrm>
                      <a:off x="0" y="0"/>
                      <a:ext cx="128905" cy="16319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-1224915</wp:posOffset>
            </wp:positionV>
            <wp:extent cx="111125" cy="1631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0">
                      <a:extLst>
                        <a:ext uri="{28A0092B-C50C-407E-A947-70E740481C1C}"/>
                      </a:extLst>
                    </a:blip>
                    <a:srcRect/>
                    <a:stretch>
                      <a:fillRect/>
                    </a:stretch>
                  </pic:blipFill>
                  <pic:spPr bwMode="auto">
                    <a:xfrm>
                      <a:off x="0" y="0"/>
                      <a:ext cx="111125" cy="16319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-908050</wp:posOffset>
            </wp:positionV>
            <wp:extent cx="137160" cy="1885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1">
                      <a:extLst>
                        <a:ext uri="{28A0092B-C50C-407E-A947-70E740481C1C}"/>
                      </a:extLst>
                    </a:blip>
                    <a:srcRect/>
                    <a:stretch>
                      <a:fillRect/>
                    </a:stretch>
                  </pic:blipFill>
                  <pic:spPr bwMode="auto">
                    <a:xfrm>
                      <a:off x="0" y="0"/>
                      <a:ext cx="137160" cy="18859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-908050</wp:posOffset>
            </wp:positionV>
            <wp:extent cx="128905" cy="1885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2">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-908050</wp:posOffset>
            </wp:positionV>
            <wp:extent cx="111125" cy="1885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3">
                      <a:extLst>
                        <a:ext uri="{28A0092B-C50C-407E-A947-70E740481C1C}"/>
                      </a:extLst>
                    </a:blip>
                    <a:srcRect/>
                    <a:stretch>
                      <a:fillRect/>
                    </a:stretch>
                  </pic:blipFill>
                  <pic:spPr bwMode="auto">
                    <a:xfrm>
                      <a:off x="0" y="0"/>
                      <a:ext cx="111125" cy="18859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-565150</wp:posOffset>
            </wp:positionV>
            <wp:extent cx="2503170" cy="2057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4">
                      <a:extLst>
                        <a:ext uri="{28A0092B-C50C-407E-A947-70E740481C1C}"/>
                      </a:extLst>
                    </a:blip>
                    <a:srcRect/>
                    <a:stretch>
                      <a:fillRect/>
                    </a:stretch>
                  </pic:blipFill>
                  <pic:spPr bwMode="auto">
                    <a:xfrm>
                      <a:off x="0" y="0"/>
                      <a:ext cx="2503170" cy="20574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-205105</wp:posOffset>
            </wp:positionV>
            <wp:extent cx="2503170" cy="2057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5">
                      <a:extLst>
                        <a:ext uri="{28A0092B-C50C-407E-A947-70E740481C1C}"/>
                      </a:extLst>
                    </a:blip>
                    <a:srcRect/>
                    <a:stretch>
                      <a:fillRect/>
                    </a:stretch>
                  </pic:blipFill>
                  <pic:spPr bwMode="auto">
                    <a:xfrm>
                      <a:off x="0" y="0"/>
                      <a:ext cx="250317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0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77" w:name="page78"/>
    <w:bookmarkEnd w:id="7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Shareholders’ Equity</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2022, 2021 and 2020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1" w:lineRule="exact"/>
        <w:rPr>
          <w:sz w:val="20"/>
          <w:szCs w:val="20"/>
          <w:color w:val="auto"/>
        </w:rPr>
      </w:pPr>
    </w:p>
    <w:tbl>
      <w:tblPr>
        <w:tblLayout w:type="fixed"/>
        <w:tblInd w:w="3780" w:type="dxa"/>
        <w:tblCellMar>
          <w:top w:w="0" w:type="dxa"/>
          <w:left w:w="0" w:type="dxa"/>
          <w:bottom w:w="0" w:type="dxa"/>
          <w:right w:w="0" w:type="dxa"/>
        </w:tblCellMar>
      </w:tblPr>
      <w:tr>
        <w:trPr>
          <w:trHeight w:val="203"/>
        </w:trPr>
        <w:tc>
          <w:tcPr>
            <w:tcW w:w="860" w:type="dxa"/>
            <w:vAlign w:val="bottom"/>
            <w:vMerge w:val="restart"/>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Contributed</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3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Non-</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860" w:type="dxa"/>
            <w:vAlign w:val="bottom"/>
            <w:vMerge w:val="continue"/>
          </w:tcPr>
          <w:p>
            <w:pPr>
              <w:spacing w:after="0"/>
              <w:rPr>
                <w:sz w:val="8"/>
                <w:szCs w:val="8"/>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Surplus</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360" w:type="dxa"/>
            <w:vAlign w:val="bottom"/>
            <w:vMerge w:val="restart"/>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720" w:type="dxa"/>
            <w:vAlign w:val="bottom"/>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08"/>
        </w:trPr>
        <w:tc>
          <w:tcPr>
            <w:tcW w:w="860" w:type="dxa"/>
            <w:vAlign w:val="bottom"/>
            <w:vMerge w:val="restart"/>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860" w:type="dxa"/>
            <w:vAlign w:val="bottom"/>
            <w:vMerge w:val="continue"/>
          </w:tcPr>
          <w:p>
            <w:pPr>
              <w:spacing w:after="0"/>
              <w:rPr>
                <w:sz w:val="9"/>
                <w:szCs w:val="9"/>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(Deficit)</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Issuance</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(Deficit)</w:t>
            </w:r>
          </w:p>
        </w:tc>
        <w:tc>
          <w:tcPr>
            <w:tcW w:w="136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6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12065</wp:posOffset>
            </wp:positionV>
            <wp:extent cx="485203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9">
                      <a:extLst>
                        <a:ext uri="{28A0092B-C50C-407E-A947-70E740481C1C}"/>
                      </a:extLst>
                    </a:blip>
                    <a:srcRect/>
                    <a:stretch>
                      <a:fillRect/>
                    </a:stretch>
                  </pic:blipFill>
                  <pic:spPr bwMode="auto">
                    <a:xfrm>
                      <a:off x="0" y="0"/>
                      <a:ext cx="4852035" cy="8890"/>
                    </a:xfrm>
                    <a:prstGeom prst="rect">
                      <a:avLst/>
                    </a:prstGeom>
                    <a:noFill/>
                  </pic:spPr>
                </pic:pic>
              </a:graphicData>
            </a:graphic>
          </wp:anchor>
        </w:drawing>
      </w:r>
    </w:p>
    <w:p>
      <w:pPr>
        <w:spacing w:after="0" w:line="1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6"/>
          <w:szCs w:val="16"/>
          <w:b w:val="1"/>
          <w:bCs w:val="1"/>
          <w:color w:val="auto"/>
        </w:rPr>
        <w:t>(in thousands)</w:t>
      </w:r>
    </w:p>
    <w:p>
      <w:pPr>
        <w:sectPr>
          <w:pgSz w:w="11900" w:h="16838" w:orient="portrait"/>
          <w:cols w:equalWidth="0" w:num="1">
            <w:col w:w="11180"/>
          </w:cols>
          <w:pgMar w:left="340" w:top="333" w:right="379" w:bottom="1440" w:gutter="0" w:footer="0" w:header="0"/>
        </w:sectPr>
      </w:pPr>
    </w:p>
    <w:p>
      <w:pPr>
        <w:spacing w:after="0" w:line="59" w:lineRule="exact"/>
        <w:rPr>
          <w:sz w:val="20"/>
          <w:szCs w:val="20"/>
          <w:color w:val="auto"/>
        </w:rPr>
      </w:pPr>
    </w:p>
    <w:p>
      <w:pPr>
        <w:spacing w:after="0"/>
        <w:tabs>
          <w:tab w:leader="none" w:pos="3340" w:val="left"/>
        </w:tabs>
        <w:rPr>
          <w:sz w:val="20"/>
          <w:szCs w:val="20"/>
          <w:color w:val="auto"/>
        </w:rPr>
      </w:pPr>
      <w:r>
        <w:rPr>
          <w:rFonts w:ascii="Times New Roman" w:cs="Times New Roman" w:eastAsia="Times New Roman" w:hAnsi="Times New Roman"/>
          <w:sz w:val="16"/>
          <w:szCs w:val="16"/>
          <w:b w:val="1"/>
          <w:bCs w:val="1"/>
          <w:color w:val="auto"/>
        </w:rPr>
        <w:t>Balance, January 1, 2020</w:t>
      </w:r>
      <w:r>
        <w:rPr>
          <w:sz w:val="20"/>
          <w:szCs w:val="20"/>
          <w:color w:val="auto"/>
        </w:rPr>
        <w:tab/>
      </w:r>
      <w:r>
        <w:rPr>
          <w:rFonts w:ascii="Times New Roman" w:cs="Times New Roman" w:eastAsia="Times New Roman" w:hAnsi="Times New Roman"/>
          <w:sz w:val="16"/>
          <w:szCs w:val="16"/>
          <w:color w:val="auto"/>
        </w:rPr>
        <w:t>$</w:t>
      </w:r>
    </w:p>
    <w:p>
      <w:pPr>
        <w:spacing w:after="0" w:line="48"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6"/>
          <w:szCs w:val="16"/>
          <w:color w:val="auto"/>
        </w:rPr>
        <w:t>Noncontrolling interests adjustment for change in ownership</w:t>
      </w:r>
    </w:p>
    <w:p>
      <w:pPr>
        <w:spacing w:after="0" w:line="1" w:lineRule="exact"/>
        <w:rPr>
          <w:sz w:val="20"/>
          <w:szCs w:val="20"/>
          <w:color w:val="auto"/>
        </w:rPr>
      </w:pPr>
    </w:p>
    <w:p>
      <w:pPr>
        <w:ind w:left="120" w:right="540" w:hanging="121"/>
        <w:spacing w:after="0" w:line="281" w:lineRule="auto"/>
        <w:rPr>
          <w:sz w:val="20"/>
          <w:szCs w:val="20"/>
          <w:color w:val="auto"/>
        </w:rPr>
      </w:pPr>
      <w:r>
        <w:rPr>
          <w:rFonts w:ascii="Times New Roman" w:cs="Times New Roman" w:eastAsia="Times New Roman" w:hAnsi="Times New Roman"/>
          <w:sz w:val="16"/>
          <w:szCs w:val="16"/>
          <w:color w:val="auto"/>
        </w:rPr>
        <w:t>Contributions from limited liability company unit holders</w:t>
      </w:r>
    </w:p>
    <w:p>
      <w:pPr>
        <w:spacing w:after="0" w:line="1"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6"/>
          <w:szCs w:val="16"/>
          <w:color w:val="auto"/>
        </w:rPr>
        <w:t>Issuance of shares under business combinations and investments</w:t>
      </w:r>
    </w:p>
    <w:p>
      <w:pPr>
        <w:spacing w:after="0" w:line="1" w:lineRule="exact"/>
        <w:rPr>
          <w:sz w:val="20"/>
          <w:szCs w:val="20"/>
          <w:color w:val="auto"/>
        </w:rPr>
      </w:pPr>
    </w:p>
    <w:p>
      <w:pPr>
        <w:ind w:left="120" w:right="160" w:hanging="121"/>
        <w:spacing w:after="0" w:line="281" w:lineRule="auto"/>
        <w:rPr>
          <w:sz w:val="20"/>
          <w:szCs w:val="20"/>
          <w:color w:val="auto"/>
        </w:rPr>
      </w:pPr>
      <w:r>
        <w:rPr>
          <w:rFonts w:ascii="Times New Roman" w:cs="Times New Roman" w:eastAsia="Times New Roman" w:hAnsi="Times New Roman"/>
          <w:sz w:val="16"/>
          <w:szCs w:val="16"/>
          <w:color w:val="auto"/>
        </w:rPr>
        <w:t>Contingent consideration, and other adjustments to purchase accounting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Issuance of deferred shares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Distribution of deferred shares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Issuance of warrants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Exercise of options, RSUs and warrants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Distributions to third party and limited liability</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company unit holders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income</w:t>
      </w:r>
    </w:p>
    <w:p>
      <w:pPr>
        <w:spacing w:after="0" w:line="71" w:lineRule="exact"/>
        <w:rPr>
          <w:sz w:val="20"/>
          <w:szCs w:val="20"/>
          <w:color w:val="auto"/>
        </w:rPr>
      </w:pPr>
    </w:p>
    <w:p>
      <w:pPr>
        <w:spacing w:after="0"/>
        <w:tabs>
          <w:tab w:leader="none" w:pos="3340" w:val="left"/>
        </w:tabs>
        <w:rPr>
          <w:sz w:val="20"/>
          <w:szCs w:val="20"/>
          <w:color w:val="auto"/>
        </w:rPr>
      </w:pPr>
      <w:r>
        <w:rPr>
          <w:rFonts w:ascii="Times New Roman" w:cs="Times New Roman" w:eastAsia="Times New Roman" w:hAnsi="Times New Roman"/>
          <w:sz w:val="16"/>
          <w:szCs w:val="16"/>
          <w:b w:val="1"/>
          <w:bCs w:val="1"/>
          <w:color w:val="auto"/>
        </w:rPr>
        <w:t>Balance, December 31, 2020</w:t>
      </w:r>
      <w:r>
        <w:rPr>
          <w:sz w:val="20"/>
          <w:szCs w:val="20"/>
          <w:color w:val="auto"/>
        </w:rPr>
        <w:tab/>
      </w:r>
      <w:r>
        <w:rPr>
          <w:rFonts w:ascii="Times New Roman" w:cs="Times New Roman" w:eastAsia="Times New Roman" w:hAnsi="Times New Roman"/>
          <w:sz w:val="16"/>
          <w:szCs w:val="16"/>
          <w:color w:val="auto"/>
        </w:rPr>
        <w:t>$</w:t>
      </w:r>
    </w:p>
    <w:p>
      <w:pPr>
        <w:spacing w:after="0" w:line="73" w:lineRule="exact"/>
        <w:rPr>
          <w:sz w:val="20"/>
          <w:szCs w:val="20"/>
          <w:color w:val="auto"/>
        </w:rPr>
      </w:pPr>
    </w:p>
    <w:p>
      <w:pPr>
        <w:spacing w:after="0"/>
        <w:tabs>
          <w:tab w:leader="none" w:pos="3340" w:val="left"/>
        </w:tabs>
        <w:rPr>
          <w:sz w:val="20"/>
          <w:szCs w:val="20"/>
          <w:color w:val="auto"/>
        </w:rPr>
      </w:pPr>
      <w:r>
        <w:rPr>
          <w:rFonts w:ascii="Times New Roman" w:cs="Times New Roman" w:eastAsia="Times New Roman" w:hAnsi="Times New Roman"/>
          <w:sz w:val="16"/>
          <w:szCs w:val="16"/>
          <w:b w:val="1"/>
          <w:bCs w:val="1"/>
          <w:color w:val="auto"/>
        </w:rPr>
        <w:t>Balance, January 1, 2021</w:t>
      </w:r>
      <w:r>
        <w:rPr>
          <w:sz w:val="20"/>
          <w:szCs w:val="20"/>
          <w:color w:val="auto"/>
        </w:rPr>
        <w:tab/>
      </w:r>
      <w:r>
        <w:rPr>
          <w:rFonts w:ascii="Times New Roman" w:cs="Times New Roman" w:eastAsia="Times New Roman" w:hAnsi="Times New Roman"/>
          <w:sz w:val="16"/>
          <w:szCs w:val="16"/>
          <w:color w:val="auto"/>
        </w:rPr>
        <w:t>$</w:t>
      </w:r>
    </w:p>
    <w:p>
      <w:pPr>
        <w:spacing w:after="0" w:line="48" w:lineRule="exact"/>
        <w:rPr>
          <w:sz w:val="20"/>
          <w:szCs w:val="20"/>
          <w:color w:val="auto"/>
        </w:rPr>
      </w:pPr>
    </w:p>
    <w:p>
      <w:pPr>
        <w:ind w:right="1100"/>
        <w:spacing w:after="0" w:line="281" w:lineRule="auto"/>
        <w:rPr>
          <w:sz w:val="20"/>
          <w:szCs w:val="20"/>
          <w:color w:val="auto"/>
        </w:rPr>
      </w:pPr>
      <w:r>
        <w:rPr>
          <w:rFonts w:ascii="Times New Roman" w:cs="Times New Roman" w:eastAsia="Times New Roman" w:hAnsi="Times New Roman"/>
          <w:sz w:val="16"/>
          <w:szCs w:val="16"/>
          <w:color w:val="auto"/>
        </w:rPr>
        <w:t>Issuance of shares for redemption of noncontrolling interest</w:t>
      </w:r>
    </w:p>
    <w:p>
      <w:pPr>
        <w:spacing w:after="0" w:line="1"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6"/>
          <w:szCs w:val="16"/>
          <w:color w:val="auto"/>
        </w:rPr>
        <w:t>Issuance of shares under business combinations and investments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Shares issued as contingent consideration</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Issuance of deferred shares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Distribution of deferred shares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Issuance of registered shares pursuant to Form S-1</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Exercise of options, RSUs and warrants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46"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6"/>
          <w:szCs w:val="16"/>
          <w:color w:val="auto"/>
        </w:rPr>
        <w:t>Warrants and shares issued in association with note payable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Shares issued for settlement of business obligation</w:t>
      </w:r>
    </w:p>
    <w:p>
      <w:pPr>
        <w:spacing w:after="0" w:line="46"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6"/>
          <w:szCs w:val="16"/>
          <w:color w:val="auto"/>
        </w:rPr>
        <w:t>Distributions to limited liability company unit holders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income</w:t>
      </w:r>
    </w:p>
    <w:p>
      <w:pPr>
        <w:spacing w:after="0" w:line="71" w:lineRule="exact"/>
        <w:rPr>
          <w:sz w:val="20"/>
          <w:szCs w:val="20"/>
          <w:color w:val="auto"/>
        </w:rPr>
      </w:pPr>
    </w:p>
    <w:p>
      <w:pPr>
        <w:spacing w:after="0"/>
        <w:tabs>
          <w:tab w:leader="none" w:pos="3340" w:val="left"/>
        </w:tabs>
        <w:rPr>
          <w:sz w:val="20"/>
          <w:szCs w:val="20"/>
          <w:color w:val="auto"/>
        </w:rPr>
      </w:pPr>
      <w:r>
        <w:rPr>
          <w:rFonts w:ascii="Times New Roman" w:cs="Times New Roman" w:eastAsia="Times New Roman" w:hAnsi="Times New Roman"/>
          <w:sz w:val="16"/>
          <w:szCs w:val="16"/>
          <w:b w:val="1"/>
          <w:bCs w:val="1"/>
          <w:color w:val="auto"/>
        </w:rPr>
        <w:t>Balance, December 31, 2021</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980,638</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3,961</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16,587</w:t>
            </w: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(160,492 ) $</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2,513</w:t>
            </w: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843,207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26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(322 )</w:t>
            </w:r>
          </w:p>
        </w:tc>
        <w:tc>
          <w:tcPr>
            <w:tcW w:w="18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32"/>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27,223</w:t>
            </w:r>
          </w:p>
        </w:tc>
        <w:tc>
          <w:tcPr>
            <w:tcW w:w="260" w:type="dxa"/>
            <w:vAlign w:val="bottom"/>
          </w:tcPr>
          <w:p>
            <w:pPr>
              <w:spacing w:after="0"/>
              <w:rPr>
                <w:sz w:val="24"/>
                <w:szCs w:val="24"/>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(17,407 )</w:t>
            </w:r>
          </w:p>
        </w:tc>
        <w:tc>
          <w:tcPr>
            <w:tcW w:w="16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22,886</w:t>
            </w:r>
          </w:p>
        </w:tc>
        <w:tc>
          <w:tcPr>
            <w:tcW w:w="26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22,886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14,752</w:t>
            </w:r>
          </w:p>
        </w:tc>
        <w:tc>
          <w:tcPr>
            <w:tcW w:w="2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(14,752 )</w:t>
            </w:r>
          </w:p>
        </w:tc>
        <w:tc>
          <w:tcPr>
            <w:tcW w:w="180" w:type="dxa"/>
            <w:vAlign w:val="bottom"/>
          </w:tcPr>
          <w:p>
            <w:pPr>
              <w:spacing w:after="0"/>
              <w:rPr>
                <w:sz w:val="19"/>
                <w:szCs w:val="19"/>
                <w:color w:val="auto"/>
              </w:rPr>
            </w:pP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2,819</w:t>
            </w: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(1,179 )</w:t>
            </w:r>
          </w:p>
        </w:tc>
        <w:tc>
          <w:tcPr>
            <w:tcW w:w="1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(2,789 )</w:t>
            </w:r>
          </w:p>
        </w:tc>
        <w:tc>
          <w:tcPr>
            <w:tcW w:w="18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(2,789 )</w:t>
            </w:r>
          </w:p>
        </w:tc>
        <w:tc>
          <w:tcPr>
            <w:tcW w:w="0" w:type="dxa"/>
            <w:vAlign w:val="bottom"/>
          </w:tcPr>
          <w:p>
            <w:pPr>
              <w:spacing w:after="0"/>
              <w:rPr>
                <w:sz w:val="1"/>
                <w:szCs w:val="1"/>
                <w:color w:val="auto"/>
              </w:rPr>
            </w:pPr>
          </w:p>
        </w:tc>
      </w:tr>
      <w:tr>
        <w:trPr>
          <w:trHeight w:val="350"/>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14,993</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19,078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1,048,640</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(145,499</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914,158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1,048,640</w:t>
            </w:r>
          </w:p>
        </w:tc>
        <w:tc>
          <w:tcPr>
            <w:tcW w:w="260" w:type="dxa"/>
            <w:vAlign w:val="bottom"/>
            <w:vMerge w:val="continue"/>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4,893</w:t>
            </w:r>
          </w:p>
        </w:tc>
        <w:tc>
          <w:tcPr>
            <w:tcW w:w="1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1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(145,499</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3,537</w:t>
            </w:r>
          </w:p>
        </w:tc>
        <w:tc>
          <w:tcPr>
            <w:tcW w:w="1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914,158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4,070</w:t>
            </w:r>
          </w:p>
        </w:tc>
        <w:tc>
          <w:tcPr>
            <w:tcW w:w="260" w:type="dxa"/>
            <w:vAlign w:val="bottom"/>
          </w:tcPr>
          <w:p>
            <w:pPr>
              <w:spacing w:after="0"/>
              <w:rPr>
                <w:sz w:val="24"/>
                <w:szCs w:val="24"/>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(4,996 )</w:t>
            </w:r>
          </w:p>
        </w:tc>
        <w:tc>
          <w:tcPr>
            <w:tcW w:w="16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32"/>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343,281</w:t>
            </w: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343,303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23,818</w:t>
            </w: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33,472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3,896</w:t>
            </w:r>
          </w:p>
        </w:tc>
        <w:tc>
          <w:tcPr>
            <w:tcW w:w="2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(3,890 )</w:t>
            </w:r>
          </w:p>
        </w:tc>
        <w:tc>
          <w:tcPr>
            <w:tcW w:w="180" w:type="dxa"/>
            <w:vAlign w:val="bottom"/>
          </w:tcPr>
          <w:p>
            <w:pPr>
              <w:spacing w:after="0"/>
              <w:rPr>
                <w:sz w:val="19"/>
                <w:szCs w:val="19"/>
                <w:color w:val="auto"/>
              </w:rPr>
            </w:pP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155,803</w:t>
            </w: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(305 )</w:t>
            </w:r>
          </w:p>
        </w:tc>
        <w:tc>
          <w:tcPr>
            <w:tcW w:w="1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46,758</w:t>
            </w: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(32,498 )</w:t>
            </w:r>
          </w:p>
        </w:tc>
        <w:tc>
          <w:tcPr>
            <w:tcW w:w="1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24,875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25,146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7,135</w:t>
            </w:r>
          </w:p>
        </w:tc>
        <w:tc>
          <w:tcPr>
            <w:tcW w:w="26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(11,028 )</w:t>
            </w:r>
          </w:p>
        </w:tc>
        <w:tc>
          <w:tcPr>
            <w:tcW w:w="18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(11,028 )</w:t>
            </w:r>
          </w:p>
        </w:tc>
        <w:tc>
          <w:tcPr>
            <w:tcW w:w="0" w:type="dxa"/>
            <w:vAlign w:val="bottom"/>
          </w:tcPr>
          <w:p>
            <w:pPr>
              <w:spacing w:after="0"/>
              <w:rPr>
                <w:sz w:val="1"/>
                <w:szCs w:val="1"/>
                <w:color w:val="auto"/>
              </w:rPr>
            </w:pPr>
          </w:p>
        </w:tc>
      </w:tr>
      <w:tr>
        <w:trPr>
          <w:trHeight w:val="351"/>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75,436</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80,363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1,633,672</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21,245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36,262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(70,063</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1,619,478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-5160010</wp:posOffset>
            </wp:positionV>
            <wp:extent cx="7132320" cy="146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-4739640</wp:posOffset>
            </wp:positionV>
            <wp:extent cx="7132320" cy="2743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-4191000</wp:posOffset>
            </wp:positionV>
            <wp:extent cx="7132320" cy="2743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-3771265</wp:posOffset>
            </wp:positionV>
            <wp:extent cx="7132320" cy="146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-3479800</wp:posOffset>
            </wp:positionV>
            <wp:extent cx="7132320" cy="146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-3188335</wp:posOffset>
            </wp:positionV>
            <wp:extent cx="7132320" cy="2743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-2759710</wp:posOffset>
            </wp:positionV>
            <wp:extent cx="7132320" cy="5911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6">
                      <a:extLst>
                        <a:ext uri="{28A0092B-C50C-407E-A947-70E740481C1C}"/>
                      </a:extLst>
                    </a:blip>
                    <a:srcRect/>
                    <a:stretch>
                      <a:fillRect/>
                    </a:stretch>
                  </pic:blipFill>
                  <pic:spPr bwMode="auto">
                    <a:xfrm>
                      <a:off x="0" y="0"/>
                      <a:ext cx="7132320" cy="59118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-1893570</wp:posOffset>
            </wp:positionV>
            <wp:extent cx="7132320" cy="146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-1602740</wp:posOffset>
            </wp:positionV>
            <wp:extent cx="7132320" cy="146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-1310640</wp:posOffset>
            </wp:positionV>
            <wp:extent cx="7132320" cy="1460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-1019810</wp:posOffset>
            </wp:positionV>
            <wp:extent cx="7132320" cy="2743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-599440</wp:posOffset>
            </wp:positionV>
            <wp:extent cx="7132320" cy="2743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-170815</wp:posOffset>
            </wp:positionV>
            <wp:extent cx="7132320" cy="1714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60" w:space="20"/>
            <w:col w:w="7700"/>
          </w:cols>
          <w:pgMar w:left="340" w:top="333" w:right="379" w:bottom="1440" w:gutter="0" w:footer="0" w:header="0"/>
          <w:type w:val="continuous"/>
        </w:sectPr>
      </w:pP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80645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333" w:right="37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10139"/>
          </w:cols>
          <w:pgMar w:left="320" w:top="33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type w:val="continuous"/>
        </w:sectPr>
      </w:pPr>
    </w:p>
    <w:bookmarkStart w:id="79" w:name="page80"/>
    <w:bookmarkEnd w:id="7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Shareholders’ Equity</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2022, 2021 and 2020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1" w:lineRule="exact"/>
        <w:rPr>
          <w:sz w:val="20"/>
          <w:szCs w:val="20"/>
          <w:color w:val="auto"/>
        </w:rPr>
      </w:pPr>
    </w:p>
    <w:tbl>
      <w:tblPr>
        <w:tblLayout w:type="fixed"/>
        <w:tblInd w:w="3780" w:type="dxa"/>
        <w:tblCellMar>
          <w:top w:w="0" w:type="dxa"/>
          <w:left w:w="0" w:type="dxa"/>
          <w:bottom w:w="0" w:type="dxa"/>
          <w:right w:w="0" w:type="dxa"/>
        </w:tblCellMar>
      </w:tblPr>
      <w:tr>
        <w:trPr>
          <w:trHeight w:val="203"/>
        </w:trPr>
        <w:tc>
          <w:tcPr>
            <w:tcW w:w="860" w:type="dxa"/>
            <w:vAlign w:val="bottom"/>
            <w:vMerge w:val="restart"/>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Contributed</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3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Non-</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860" w:type="dxa"/>
            <w:vAlign w:val="bottom"/>
            <w:vMerge w:val="continue"/>
          </w:tcPr>
          <w:p>
            <w:pPr>
              <w:spacing w:after="0"/>
              <w:rPr>
                <w:sz w:val="8"/>
                <w:szCs w:val="8"/>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Surplus</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136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Controlling</w:t>
            </w:r>
          </w:p>
        </w:tc>
        <w:tc>
          <w:tcPr>
            <w:tcW w:w="720" w:type="dxa"/>
            <w:vAlign w:val="bottom"/>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08"/>
        </w:trPr>
        <w:tc>
          <w:tcPr>
            <w:tcW w:w="860" w:type="dxa"/>
            <w:vAlign w:val="bottom"/>
            <w:vMerge w:val="restart"/>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8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860" w:type="dxa"/>
            <w:vAlign w:val="bottom"/>
            <w:vMerge w:val="continue"/>
          </w:tcPr>
          <w:p>
            <w:pPr>
              <w:spacing w:after="0"/>
              <w:rPr>
                <w:sz w:val="9"/>
                <w:szCs w:val="9"/>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Issuance</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(Deficit)</w:t>
            </w:r>
          </w:p>
        </w:tc>
        <w:tc>
          <w:tcPr>
            <w:tcW w:w="136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6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12065</wp:posOffset>
            </wp:positionV>
            <wp:extent cx="48520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7">
                      <a:extLst>
                        <a:ext uri="{28A0092B-C50C-407E-A947-70E740481C1C}"/>
                      </a:extLst>
                    </a:blip>
                    <a:srcRect/>
                    <a:stretch>
                      <a:fillRect/>
                    </a:stretch>
                  </pic:blipFill>
                  <pic:spPr bwMode="auto">
                    <a:xfrm>
                      <a:off x="0" y="0"/>
                      <a:ext cx="4852035" cy="8255"/>
                    </a:xfrm>
                    <a:prstGeom prst="rect">
                      <a:avLst/>
                    </a:prstGeom>
                    <a:noFill/>
                  </pic:spPr>
                </pic:pic>
              </a:graphicData>
            </a:graphic>
          </wp:anchor>
        </w:drawing>
      </w:r>
    </w:p>
    <w:p>
      <w:pPr>
        <w:spacing w:after="0" w:line="1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6"/>
          <w:szCs w:val="16"/>
          <w:b w:val="1"/>
          <w:bCs w:val="1"/>
          <w:color w:val="auto"/>
        </w:rPr>
        <w:t>(in thousands)</w:t>
      </w:r>
    </w:p>
    <w:p>
      <w:pPr>
        <w:sectPr>
          <w:pgSz w:w="11900" w:h="16838" w:orient="portrait"/>
          <w:cols w:equalWidth="0" w:num="1">
            <w:col w:w="11180"/>
          </w:cols>
          <w:pgMar w:left="340" w:top="333" w:right="379" w:bottom="1440" w:gutter="0" w:footer="0" w:header="0"/>
        </w:sectPr>
      </w:pPr>
    </w:p>
    <w:p>
      <w:pPr>
        <w:spacing w:after="0" w:line="59" w:lineRule="exact"/>
        <w:rPr>
          <w:sz w:val="20"/>
          <w:szCs w:val="20"/>
          <w:color w:val="auto"/>
        </w:rPr>
      </w:pPr>
    </w:p>
    <w:p>
      <w:pPr>
        <w:spacing w:after="0"/>
        <w:tabs>
          <w:tab w:leader="none" w:pos="3340" w:val="left"/>
        </w:tabs>
        <w:rPr>
          <w:sz w:val="20"/>
          <w:szCs w:val="20"/>
          <w:color w:val="auto"/>
        </w:rPr>
      </w:pPr>
      <w:r>
        <w:rPr>
          <w:rFonts w:ascii="Times New Roman" w:cs="Times New Roman" w:eastAsia="Times New Roman" w:hAnsi="Times New Roman"/>
          <w:sz w:val="16"/>
          <w:szCs w:val="16"/>
          <w:b w:val="1"/>
          <w:bCs w:val="1"/>
          <w:color w:val="auto"/>
        </w:rPr>
        <w:t>Balance, January 1, 2022</w:t>
      </w:r>
      <w:r>
        <w:rPr>
          <w:sz w:val="20"/>
          <w:szCs w:val="20"/>
          <w:color w:val="auto"/>
        </w:rPr>
        <w:tab/>
      </w:r>
      <w:r>
        <w:rPr>
          <w:rFonts w:ascii="Times New Roman" w:cs="Times New Roman" w:eastAsia="Times New Roman" w:hAnsi="Times New Roman"/>
          <w:sz w:val="16"/>
          <w:szCs w:val="16"/>
          <w:color w:val="auto"/>
        </w:rPr>
        <w:t>$</w:t>
      </w:r>
    </w:p>
    <w:p>
      <w:pPr>
        <w:spacing w:after="0" w:line="48"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6"/>
          <w:szCs w:val="16"/>
          <w:color w:val="auto"/>
        </w:rPr>
        <w:t>Noncontrolling interests adjustment for change in ownership</w:t>
      </w:r>
    </w:p>
    <w:p>
      <w:pPr>
        <w:spacing w:after="0" w:line="1"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6"/>
          <w:szCs w:val="16"/>
          <w:color w:val="auto"/>
        </w:rPr>
        <w:t>Issuance of shares under business combinations and investments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Shares issued as contingent consideration</w:t>
      </w:r>
    </w:p>
    <w:p>
      <w:pPr>
        <w:spacing w:after="0" w:line="46"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6"/>
          <w:szCs w:val="16"/>
          <w:color w:val="auto"/>
        </w:rPr>
        <w:t>Indemnification of deferred shares associated with post acquisition costs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Exercise of options, RSUs and warrants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Shares issued for settlement of business obligation</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46"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6"/>
          <w:szCs w:val="16"/>
          <w:color w:val="auto"/>
        </w:rPr>
        <w:t>Distributions to limited liability company unit holders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income</w:t>
      </w:r>
    </w:p>
    <w:p>
      <w:pPr>
        <w:spacing w:after="0" w:line="71" w:lineRule="exact"/>
        <w:rPr>
          <w:sz w:val="20"/>
          <w:szCs w:val="20"/>
          <w:color w:val="auto"/>
        </w:rPr>
      </w:pPr>
    </w:p>
    <w:p>
      <w:pPr>
        <w:spacing w:after="0"/>
        <w:tabs>
          <w:tab w:leader="none" w:pos="3340" w:val="left"/>
        </w:tabs>
        <w:rPr>
          <w:sz w:val="20"/>
          <w:szCs w:val="20"/>
          <w:color w:val="auto"/>
        </w:rPr>
      </w:pPr>
      <w:r>
        <w:rPr>
          <w:rFonts w:ascii="Times New Roman" w:cs="Times New Roman" w:eastAsia="Times New Roman" w:hAnsi="Times New Roman"/>
          <w:sz w:val="16"/>
          <w:szCs w:val="16"/>
          <w:b w:val="1"/>
          <w:bCs w:val="1"/>
          <w:color w:val="auto"/>
        </w:rPr>
        <w:t>Balance, December 31, 2022</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1,633,672</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21,245</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36,262</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(70,063 ) $</w:t>
            </w:r>
          </w:p>
        </w:tc>
        <w:tc>
          <w:tcPr>
            <w:tcW w:w="112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(1,638 )</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1,619,478</w:t>
            </w:r>
          </w:p>
        </w:tc>
        <w:tc>
          <w:tcPr>
            <w:tcW w:w="60" w:type="dxa"/>
            <w:vAlign w:val="bottom"/>
          </w:tcPr>
          <w:p>
            <w:pPr>
              <w:spacing w:after="0"/>
              <w:rPr>
                <w:sz w:val="19"/>
                <w:szCs w:val="19"/>
                <w:color w:val="auto"/>
              </w:rPr>
            </w:pPr>
          </w:p>
        </w:tc>
      </w:tr>
      <w:tr>
        <w:trPr>
          <w:trHeight w:val="324"/>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2,379</w:t>
            </w:r>
          </w:p>
        </w:tc>
        <w:tc>
          <w:tcPr>
            <w:tcW w:w="260" w:type="dxa"/>
            <w:vAlign w:val="bottom"/>
          </w:tcPr>
          <w:p>
            <w:pPr>
              <w:spacing w:after="0"/>
              <w:rPr>
                <w:sz w:val="24"/>
                <w:szCs w:val="24"/>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(17,735 )</w:t>
            </w:r>
          </w:p>
        </w:tc>
        <w:tc>
          <w:tcPr>
            <w:tcW w:w="16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15,356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432"/>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26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60" w:type="dxa"/>
            <w:vAlign w:val="bottom"/>
          </w:tcPr>
          <w:p>
            <w:pPr>
              <w:spacing w:after="0"/>
              <w:rPr>
                <w:sz w:val="24"/>
                <w:szCs w:val="24"/>
                <w:color w:val="auto"/>
              </w:rPr>
            </w:pPr>
          </w:p>
        </w:tc>
      </w:tr>
      <w:tr>
        <w:trPr>
          <w:trHeight w:val="338"/>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13,111</w:t>
            </w:r>
          </w:p>
        </w:tc>
        <w:tc>
          <w:tcPr>
            <w:tcW w:w="26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13,111</w:t>
            </w:r>
          </w:p>
        </w:tc>
        <w:tc>
          <w:tcPr>
            <w:tcW w:w="60" w:type="dxa"/>
            <w:vAlign w:val="bottom"/>
          </w:tcPr>
          <w:p>
            <w:pPr>
              <w:spacing w:after="0"/>
              <w:rPr>
                <w:sz w:val="24"/>
                <w:szCs w:val="24"/>
                <w:color w:val="auto"/>
              </w:rPr>
            </w:pPr>
          </w:p>
        </w:tc>
      </w:tr>
      <w:tr>
        <w:trPr>
          <w:trHeight w:val="324"/>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(51 )</w:t>
            </w:r>
          </w:p>
        </w:tc>
        <w:tc>
          <w:tcPr>
            <w:tcW w:w="160" w:type="dxa"/>
            <w:vAlign w:val="bottom"/>
          </w:tcPr>
          <w:p>
            <w:pPr>
              <w:spacing w:after="0"/>
              <w:rPr>
                <w:sz w:val="24"/>
                <w:szCs w:val="24"/>
                <w:color w:val="auto"/>
              </w:rPr>
            </w:pP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(51 )</w:t>
            </w:r>
          </w:p>
        </w:tc>
      </w:tr>
      <w:tr>
        <w:trPr>
          <w:trHeight w:val="338"/>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11,215</w:t>
            </w:r>
          </w:p>
        </w:tc>
        <w:tc>
          <w:tcPr>
            <w:tcW w:w="260" w:type="dxa"/>
            <w:vAlign w:val="bottom"/>
          </w:tcPr>
          <w:p>
            <w:pPr>
              <w:spacing w:after="0"/>
              <w:rPr>
                <w:sz w:val="24"/>
                <w:szCs w:val="24"/>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(7,393 )</w:t>
            </w:r>
          </w:p>
        </w:tc>
        <w:tc>
          <w:tcPr>
            <w:tcW w:w="16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3,822</w:t>
            </w:r>
          </w:p>
        </w:tc>
        <w:tc>
          <w:tcPr>
            <w:tcW w:w="60" w:type="dxa"/>
            <w:vAlign w:val="bottom"/>
          </w:tcPr>
          <w:p>
            <w:pPr>
              <w:spacing w:after="0"/>
              <w:rPr>
                <w:sz w:val="24"/>
                <w:szCs w:val="24"/>
                <w:color w:val="auto"/>
              </w:rPr>
            </w:pPr>
          </w:p>
        </w:tc>
      </w:tr>
      <w:tr>
        <w:trPr>
          <w:trHeight w:val="229"/>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1,774</w:t>
            </w:r>
          </w:p>
        </w:tc>
        <w:tc>
          <w:tcPr>
            <w:tcW w:w="2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(24 )</w:t>
            </w:r>
          </w:p>
        </w:tc>
        <w:tc>
          <w:tcPr>
            <w:tcW w:w="1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60" w:type="dxa"/>
            <w:vAlign w:val="bottom"/>
          </w:tcPr>
          <w:p>
            <w:pPr>
              <w:spacing w:after="0"/>
              <w:rPr>
                <w:sz w:val="19"/>
                <w:szCs w:val="19"/>
                <w:color w:val="auto"/>
              </w:rPr>
            </w:pPr>
          </w:p>
        </w:tc>
      </w:tr>
      <w:tr>
        <w:trPr>
          <w:trHeight w:val="229"/>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27,140</w:t>
            </w:r>
          </w:p>
        </w:tc>
        <w:tc>
          <w:tcPr>
            <w:tcW w:w="60" w:type="dxa"/>
            <w:vAlign w:val="bottom"/>
          </w:tcPr>
          <w:p>
            <w:pPr>
              <w:spacing w:after="0"/>
              <w:rPr>
                <w:sz w:val="19"/>
                <w:szCs w:val="19"/>
                <w:color w:val="auto"/>
              </w:rPr>
            </w:pPr>
          </w:p>
        </w:tc>
      </w:tr>
      <w:tr>
        <w:trPr>
          <w:trHeight w:val="324"/>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(14,879 )</w:t>
            </w:r>
          </w:p>
        </w:tc>
        <w:tc>
          <w:tcPr>
            <w:tcW w:w="16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(14,879 )</w:t>
            </w:r>
          </w:p>
        </w:tc>
      </w:tr>
      <w:tr>
        <w:trPr>
          <w:trHeight w:val="350"/>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11,978</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13,655</w:t>
            </w:r>
          </w:p>
        </w:tc>
        <w:tc>
          <w:tcPr>
            <w:tcW w:w="60" w:type="dxa"/>
            <w:vAlign w:val="bottom"/>
          </w:tcPr>
          <w:p>
            <w:pPr>
              <w:spacing w:after="0"/>
              <w:rPr>
                <w:sz w:val="24"/>
                <w:szCs w:val="24"/>
                <w:color w:val="auto"/>
              </w:rPr>
            </w:pPr>
          </w:p>
        </w:tc>
      </w:tr>
      <w:tr>
        <w:trPr>
          <w:trHeight w:val="227"/>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1,663,557</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23,233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36,211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(58,085</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1,665,432</w:t>
            </w:r>
          </w:p>
        </w:tc>
        <w:tc>
          <w:tcPr>
            <w:tcW w:w="60" w:type="dxa"/>
            <w:vAlign w:val="bottom"/>
          </w:tcPr>
          <w:p>
            <w:pPr>
              <w:spacing w:after="0"/>
              <w:rPr>
                <w:sz w:val="19"/>
                <w:szCs w:val="19"/>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-2150745</wp:posOffset>
            </wp:positionV>
            <wp:extent cx="7132320" cy="1460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-1731010</wp:posOffset>
            </wp:positionV>
            <wp:extent cx="7132320" cy="2743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-1310640</wp:posOffset>
            </wp:positionV>
            <wp:extent cx="7132320" cy="2743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-890905</wp:posOffset>
            </wp:positionV>
            <wp:extent cx="7132320" cy="1454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-599440</wp:posOffset>
            </wp:positionV>
            <wp:extent cx="7132320" cy="2743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-170815</wp:posOffset>
            </wp:positionV>
            <wp:extent cx="7132320" cy="1714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03" w:lineRule="exact"/>
        <w:rPr>
          <w:sz w:val="20"/>
          <w:szCs w:val="20"/>
          <w:color w:val="auto"/>
        </w:rPr>
      </w:pPr>
    </w:p>
    <w:p>
      <w:pPr>
        <w:sectPr>
          <w:pgSz w:w="11900" w:h="16838" w:orient="portrait"/>
          <w:cols w:equalWidth="0" w:num="2">
            <w:col w:w="3460" w:space="20"/>
            <w:col w:w="7700"/>
          </w:cols>
          <w:pgMar w:left="340" w:top="333" w:right="379" w:bottom="1440" w:gutter="0" w:footer="0" w:header="0"/>
          <w:type w:val="continuous"/>
        </w:sectPr>
      </w:pPr>
    </w:p>
    <w:p>
      <w:pPr>
        <w:ind w:left="5480" w:right="4960" w:hanging="5490"/>
        <w:spacing w:after="0" w:line="276" w:lineRule="auto"/>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 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199390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333" w:right="379" w:bottom="1440" w:gutter="0" w:footer="0" w:header="0"/>
          <w:type w:val="continuous"/>
        </w:sectPr>
      </w:pPr>
    </w:p>
    <w:bookmarkStart w:id="80" w:name="page81"/>
    <w:bookmarkEnd w:id="80"/>
    <w:p>
      <w:pPr>
        <w:ind w:left="448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Years Ended December 31, 2022, 2021 and 2020</w:t>
      </w:r>
    </w:p>
    <w:p>
      <w:pPr>
        <w:spacing w:after="0" w:line="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880" w:type="dxa"/>
            <w:vAlign w:val="bottom"/>
            <w:tcBorders>
              <w:top w:val="single" w:sz="8" w:color="auto"/>
            </w:tcBorders>
            <w:gridSpan w:val="6"/>
          </w:tcPr>
          <w:p>
            <w:pPr>
              <w:jc w:val="center"/>
              <w:ind w:left="59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r>
      <w:tr>
        <w:trPr>
          <w:trHeight w:val="240"/>
        </w:trPr>
        <w:tc>
          <w:tcPr>
            <w:tcW w:w="70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20"/>
                <w:szCs w:val="20"/>
                <w:color w:val="auto"/>
              </w:rPr>
            </w:pPr>
          </w:p>
        </w:tc>
      </w:tr>
      <w:tr>
        <w:trPr>
          <w:trHeight w:val="223"/>
        </w:trPr>
        <w:tc>
          <w:tcPr>
            <w:tcW w:w="70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OPERATING ACTIVITIES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 attributable to Green Thumb Industries Inc.</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11,978</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75,436</w:t>
            </w:r>
          </w:p>
        </w:tc>
        <w:tc>
          <w:tcPr>
            <w:tcW w:w="24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14,993</w:t>
            </w:r>
          </w:p>
        </w:tc>
        <w:tc>
          <w:tcPr>
            <w:tcW w:w="100" w:type="dxa"/>
            <w:vAlign w:val="bottom"/>
          </w:tcPr>
          <w:p>
            <w:pPr>
              <w:spacing w:after="0"/>
              <w:rPr>
                <w:sz w:val="19"/>
                <w:szCs w:val="19"/>
                <w:color w:val="auto"/>
              </w:rPr>
            </w:pPr>
          </w:p>
        </w:tc>
      </w:tr>
      <w:tr>
        <w:trPr>
          <w:trHeight w:val="239"/>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income attributable to non-controlling interest</w:t>
            </w: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1,677</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4,927</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4,085</w:t>
            </w:r>
          </w:p>
        </w:tc>
        <w:tc>
          <w:tcPr>
            <w:tcW w:w="100" w:type="dxa"/>
            <w:vAlign w:val="bottom"/>
            <w:shd w:val="clear" w:color="auto" w:fill="CFF0FC"/>
          </w:tcPr>
          <w:p>
            <w:pPr>
              <w:spacing w:after="0"/>
              <w:rPr>
                <w:sz w:val="20"/>
                <w:szCs w:val="20"/>
                <w:color w:val="auto"/>
              </w:rPr>
            </w:pPr>
          </w:p>
        </w:tc>
      </w:tr>
      <w:tr>
        <w:trPr>
          <w:trHeight w:val="220"/>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96,664</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68,458</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52,506</w:t>
            </w:r>
          </w:p>
        </w:tc>
        <w:tc>
          <w:tcPr>
            <w:tcW w:w="100" w:type="dxa"/>
            <w:vAlign w:val="bottom"/>
            <w:shd w:val="clear" w:color="auto" w:fill="CFF0FC"/>
          </w:tcPr>
          <w:p>
            <w:pPr>
              <w:spacing w:after="0"/>
              <w:rPr>
                <w:sz w:val="20"/>
                <w:szCs w:val="20"/>
                <w:color w:val="auto"/>
              </w:rPr>
            </w:pPr>
          </w:p>
        </w:tc>
      </w:tr>
      <w:tr>
        <w:trPr>
          <w:trHeight w:val="220"/>
        </w:trPr>
        <w:tc>
          <w:tcPr>
            <w:tcW w:w="7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operating lease assets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43,985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34,124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26,287</w:t>
            </w:r>
          </w:p>
        </w:tc>
        <w:tc>
          <w:tcPr>
            <w:tcW w:w="100" w:type="dxa"/>
            <w:vAlign w:val="bottom"/>
          </w:tcPr>
          <w:p>
            <w:pPr>
              <w:spacing w:after="0"/>
              <w:rPr>
                <w:sz w:val="19"/>
                <w:szCs w:val="19"/>
                <w:color w:val="auto"/>
              </w:rPr>
            </w:pPr>
          </w:p>
        </w:tc>
      </w:tr>
      <w:tr>
        <w:trPr>
          <w:trHeight w:val="239"/>
        </w:trPr>
        <w:tc>
          <w:tcPr>
            <w:tcW w:w="7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10,645</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9"/>
                <w:szCs w:val="19"/>
                <w:color w:val="auto"/>
              </w:rPr>
            </w:pPr>
          </w:p>
        </w:tc>
      </w:tr>
      <w:tr>
        <w:trPr>
          <w:trHeight w:val="239"/>
        </w:trPr>
        <w:tc>
          <w:tcPr>
            <w:tcW w:w="7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Impairment of goodwill and intangible assets</w:t>
            </w: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88,503</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Impairment of long-lived property and equipment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Loss (earnings) on equity method investment</w:t>
            </w: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4,259</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(1,799 )</w:t>
            </w:r>
          </w:p>
        </w:tc>
        <w:tc>
          <w:tcPr>
            <w:tcW w:w="2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(2,320 )</w:t>
            </w:r>
          </w:p>
        </w:tc>
      </w:tr>
      <w:tr>
        <w:trPr>
          <w:trHeight w:val="220"/>
        </w:trPr>
        <w:tc>
          <w:tcPr>
            <w:tcW w:w="7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Gain from lease modification</w:t>
            </w:r>
          </w:p>
        </w:tc>
        <w:tc>
          <w:tcPr>
            <w:tcW w:w="260" w:type="dxa"/>
            <w:vAlign w:val="bottom"/>
          </w:tcPr>
          <w:p>
            <w:pPr>
              <w:spacing w:after="0"/>
              <w:rPr>
                <w:sz w:val="19"/>
                <w:szCs w:val="19"/>
                <w:color w:val="auto"/>
              </w:rPr>
            </w:pPr>
          </w:p>
        </w:tc>
        <w:tc>
          <w:tcPr>
            <w:tcW w:w="12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(3,330 )</w:t>
            </w:r>
          </w:p>
        </w:tc>
        <w:tc>
          <w:tcPr>
            <w:tcW w:w="100" w:type="dxa"/>
            <w:vAlign w:val="bottom"/>
          </w:tcPr>
          <w:p>
            <w:pPr>
              <w:spacing w:after="0"/>
              <w:rPr>
                <w:sz w:val="19"/>
                <w:szCs w:val="19"/>
                <w:color w:val="auto"/>
              </w:rPr>
            </w:pPr>
          </w:p>
        </w:tc>
        <w:tc>
          <w:tcPr>
            <w:tcW w:w="132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Bad debt expense</w:t>
            </w: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shd w:val="clear" w:color="auto" w:fill="CFF0FC"/>
          </w:tcPr>
          <w:p>
            <w:pPr>
              <w:spacing w:after="0"/>
              <w:rPr>
                <w:sz w:val="20"/>
                <w:szCs w:val="20"/>
                <w:color w:val="auto"/>
              </w:rPr>
            </w:pPr>
          </w:p>
        </w:tc>
      </w:tr>
      <w:tr>
        <w:trPr>
          <w:trHeight w:val="220"/>
        </w:trPr>
        <w:tc>
          <w:tcPr>
            <w:tcW w:w="7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Pr>
          <w:p>
            <w:pPr>
              <w:spacing w:after="0"/>
              <w:rPr>
                <w:sz w:val="19"/>
                <w:szCs w:val="19"/>
                <w:color w:val="auto"/>
              </w:rPr>
            </w:pPr>
          </w:p>
        </w:tc>
        <w:tc>
          <w:tcPr>
            <w:tcW w:w="12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(17,477 )</w:t>
            </w:r>
          </w:p>
        </w:tc>
        <w:tc>
          <w:tcPr>
            <w:tcW w:w="100" w:type="dxa"/>
            <w:vAlign w:val="bottom"/>
          </w:tcPr>
          <w:p>
            <w:pPr>
              <w:spacing w:after="0"/>
              <w:rPr>
                <w:sz w:val="19"/>
                <w:szCs w:val="19"/>
                <w:color w:val="auto"/>
              </w:rPr>
            </w:pPr>
          </w:p>
        </w:tc>
        <w:tc>
          <w:tcPr>
            <w:tcW w:w="13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(4,763 )</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2,095</w:t>
            </w:r>
          </w:p>
        </w:tc>
        <w:tc>
          <w:tcPr>
            <w:tcW w:w="100" w:type="dxa"/>
            <w:vAlign w:val="bottom"/>
          </w:tcPr>
          <w:p>
            <w:pPr>
              <w:spacing w:after="0"/>
              <w:rPr>
                <w:sz w:val="19"/>
                <w:szCs w:val="19"/>
                <w:color w:val="auto"/>
              </w:rPr>
            </w:pPr>
          </w:p>
        </w:tc>
      </w:tr>
      <w:tr>
        <w:trPr>
          <w:trHeight w:val="239"/>
        </w:trPr>
        <w:tc>
          <w:tcPr>
            <w:tcW w:w="7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Stock-based compensation</w:t>
            </w: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27,140</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19,600</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19,337</w:t>
            </w:r>
          </w:p>
        </w:tc>
        <w:tc>
          <w:tcPr>
            <w:tcW w:w="100" w:type="dxa"/>
            <w:vAlign w:val="bottom"/>
            <w:shd w:val="clear" w:color="auto" w:fill="CFF0FC"/>
          </w:tcPr>
          <w:p>
            <w:pPr>
              <w:spacing w:after="0"/>
              <w:rPr>
                <w:sz w:val="20"/>
                <w:szCs w:val="20"/>
                <w:color w:val="auto"/>
              </w:rPr>
            </w:pPr>
          </w:p>
        </w:tc>
      </w:tr>
      <w:tr>
        <w:trPr>
          <w:trHeight w:val="220"/>
        </w:trPr>
        <w:tc>
          <w:tcPr>
            <w:tcW w:w="7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Decrease (increase) in fair value of investments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(6,377 )</w:t>
            </w:r>
          </w:p>
        </w:tc>
        <w:tc>
          <w:tcPr>
            <w:tcW w:w="2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(26,371 )</w:t>
            </w:r>
          </w:p>
        </w:tc>
      </w:tr>
      <w:tr>
        <w:trPr>
          <w:trHeight w:val="239"/>
        </w:trPr>
        <w:tc>
          <w:tcPr>
            <w:tcW w:w="7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Decrease in fair value of contingent consideration</w:t>
            </w:r>
          </w:p>
        </w:tc>
        <w:tc>
          <w:tcPr>
            <w:tcW w:w="2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(29,012 )</w:t>
            </w:r>
          </w:p>
        </w:tc>
        <w:tc>
          <w:tcPr>
            <w:tcW w:w="1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(8,273 )</w:t>
            </w:r>
          </w:p>
        </w:tc>
        <w:tc>
          <w:tcPr>
            <w:tcW w:w="2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(8,642 )</w:t>
            </w:r>
          </w:p>
        </w:tc>
      </w:tr>
      <w:tr>
        <w:trPr>
          <w:trHeight w:val="220"/>
        </w:trPr>
        <w:tc>
          <w:tcPr>
            <w:tcW w:w="7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(Decrease) increase in fair value of warrants</w:t>
            </w:r>
          </w:p>
        </w:tc>
        <w:tc>
          <w:tcPr>
            <w:tcW w:w="260" w:type="dxa"/>
            <w:vAlign w:val="bottom"/>
          </w:tcPr>
          <w:p>
            <w:pPr>
              <w:spacing w:after="0"/>
              <w:rPr>
                <w:sz w:val="19"/>
                <w:szCs w:val="19"/>
                <w:color w:val="auto"/>
              </w:rPr>
            </w:pPr>
          </w:p>
        </w:tc>
        <w:tc>
          <w:tcPr>
            <w:tcW w:w="12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(20,357 )</w:t>
            </w:r>
          </w:p>
        </w:tc>
        <w:tc>
          <w:tcPr>
            <w:tcW w:w="100" w:type="dxa"/>
            <w:vAlign w:val="bottom"/>
          </w:tcPr>
          <w:p>
            <w:pPr>
              <w:spacing w:after="0"/>
              <w:rPr>
                <w:sz w:val="19"/>
                <w:szCs w:val="19"/>
                <w:color w:val="auto"/>
              </w:rPr>
            </w:pPr>
          </w:p>
        </w:tc>
        <w:tc>
          <w:tcPr>
            <w:tcW w:w="13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(14,577 )</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23,002</w:t>
            </w:r>
          </w:p>
        </w:tc>
        <w:tc>
          <w:tcPr>
            <w:tcW w:w="100" w:type="dxa"/>
            <w:vAlign w:val="bottom"/>
          </w:tcPr>
          <w:p>
            <w:pPr>
              <w:spacing w:after="0"/>
              <w:rPr>
                <w:sz w:val="19"/>
                <w:szCs w:val="19"/>
                <w:color w:val="auto"/>
              </w:rPr>
            </w:pPr>
          </w:p>
        </w:tc>
      </w:tr>
      <w:tr>
        <w:trPr>
          <w:trHeight w:val="239"/>
        </w:trPr>
        <w:tc>
          <w:tcPr>
            <w:tcW w:w="7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Shares issued for settlement of business obligation</w:t>
            </w: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7,135</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Fair value adjustment on note receivable</w:t>
            </w:r>
          </w:p>
        </w:tc>
        <w:tc>
          <w:tcPr>
            <w:tcW w:w="260" w:type="dxa"/>
            <w:vAlign w:val="bottom"/>
          </w:tcPr>
          <w:p>
            <w:pPr>
              <w:spacing w:after="0"/>
              <w:rPr>
                <w:sz w:val="19"/>
                <w:szCs w:val="19"/>
                <w:color w:val="auto"/>
              </w:rPr>
            </w:pPr>
          </w:p>
        </w:tc>
        <w:tc>
          <w:tcPr>
            <w:tcW w:w="12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32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100" w:type="dxa"/>
            <w:vAlign w:val="bottom"/>
          </w:tcPr>
          <w:p>
            <w:pPr>
              <w:spacing w:after="0"/>
              <w:rPr>
                <w:sz w:val="19"/>
                <w:szCs w:val="19"/>
                <w:color w:val="auto"/>
              </w:rPr>
            </w:pPr>
          </w:p>
        </w:tc>
      </w:tr>
      <w:tr>
        <w:trPr>
          <w:trHeight w:val="239"/>
        </w:trPr>
        <w:tc>
          <w:tcPr>
            <w:tcW w:w="7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Amortization of debt discount</w:t>
            </w: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9,174</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7,235</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5,159</w:t>
            </w:r>
          </w:p>
        </w:tc>
        <w:tc>
          <w:tcPr>
            <w:tcW w:w="100" w:type="dxa"/>
            <w:vAlign w:val="bottom"/>
            <w:shd w:val="clear" w:color="auto" w:fill="CFF0FC"/>
          </w:tcPr>
          <w:p>
            <w:pPr>
              <w:spacing w:after="0"/>
              <w:rPr>
                <w:sz w:val="20"/>
                <w:szCs w:val="20"/>
                <w:color w:val="auto"/>
              </w:rPr>
            </w:pPr>
          </w:p>
        </w:tc>
      </w:tr>
      <w:tr>
        <w:trPr>
          <w:trHeight w:val="220"/>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(9,264 )</w:t>
            </w:r>
          </w:p>
        </w:tc>
        <w:tc>
          <w:tcPr>
            <w:tcW w:w="1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(646 )</w:t>
            </w:r>
          </w:p>
        </w:tc>
        <w:tc>
          <w:tcPr>
            <w:tcW w:w="2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(14,252 )</w:t>
            </w:r>
          </w:p>
        </w:tc>
      </w:tr>
      <w:tr>
        <w:trPr>
          <w:trHeight w:val="220"/>
        </w:trPr>
        <w:tc>
          <w:tcPr>
            <w:tcW w:w="7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tcPr>
          <w:p>
            <w:pPr>
              <w:spacing w:after="0"/>
              <w:rPr>
                <w:sz w:val="19"/>
                <w:szCs w:val="19"/>
                <w:color w:val="auto"/>
              </w:rPr>
            </w:pPr>
          </w:p>
        </w:tc>
        <w:tc>
          <w:tcPr>
            <w:tcW w:w="12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(19,791 )</w:t>
            </w:r>
          </w:p>
        </w:tc>
        <w:tc>
          <w:tcPr>
            <w:tcW w:w="100" w:type="dxa"/>
            <w:vAlign w:val="bottom"/>
          </w:tcPr>
          <w:p>
            <w:pPr>
              <w:spacing w:after="0"/>
              <w:rPr>
                <w:sz w:val="19"/>
                <w:szCs w:val="19"/>
                <w:color w:val="auto"/>
              </w:rPr>
            </w:pPr>
          </w:p>
        </w:tc>
        <w:tc>
          <w:tcPr>
            <w:tcW w:w="13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(16,439 )</w:t>
            </w:r>
          </w:p>
        </w:tc>
        <w:tc>
          <w:tcPr>
            <w:tcW w:w="2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(23,377 )</w:t>
            </w:r>
          </w:p>
        </w:tc>
      </w:tr>
      <w:tr>
        <w:trPr>
          <w:trHeight w:val="239"/>
        </w:trPr>
        <w:tc>
          <w:tcPr>
            <w:tcW w:w="7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(3,222 )</w:t>
            </w:r>
          </w:p>
        </w:tc>
        <w:tc>
          <w:tcPr>
            <w:tcW w:w="1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(4,863 )</w:t>
            </w: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shd w:val="clear" w:color="auto" w:fill="CFF0FC"/>
          </w:tcPr>
          <w:p>
            <w:pPr>
              <w:spacing w:after="0"/>
              <w:rPr>
                <w:sz w:val="20"/>
                <w:szCs w:val="20"/>
                <w:color w:val="auto"/>
              </w:rPr>
            </w:pPr>
          </w:p>
        </w:tc>
      </w:tr>
      <w:tr>
        <w:trPr>
          <w:trHeight w:val="220"/>
        </w:trPr>
        <w:tc>
          <w:tcPr>
            <w:tcW w:w="7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Deposits and other assets</w:t>
            </w:r>
          </w:p>
        </w:tc>
        <w:tc>
          <w:tcPr>
            <w:tcW w:w="260" w:type="dxa"/>
            <w:vAlign w:val="bottom"/>
          </w:tcPr>
          <w:p>
            <w:pPr>
              <w:spacing w:after="0"/>
              <w:rPr>
                <w:sz w:val="19"/>
                <w:szCs w:val="19"/>
                <w:color w:val="auto"/>
              </w:rPr>
            </w:pPr>
          </w:p>
        </w:tc>
        <w:tc>
          <w:tcPr>
            <w:tcW w:w="12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(419 )</w:t>
            </w:r>
          </w:p>
        </w:tc>
        <w:tc>
          <w:tcPr>
            <w:tcW w:w="100" w:type="dxa"/>
            <w:vAlign w:val="bottom"/>
          </w:tcPr>
          <w:p>
            <w:pPr>
              <w:spacing w:after="0"/>
              <w:rPr>
                <w:sz w:val="19"/>
                <w:szCs w:val="19"/>
                <w:color w:val="auto"/>
              </w:rPr>
            </w:pPr>
          </w:p>
        </w:tc>
        <w:tc>
          <w:tcPr>
            <w:tcW w:w="13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(749 )</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00" w:type="dxa"/>
            <w:vAlign w:val="bottom"/>
          </w:tcPr>
          <w:p>
            <w:pPr>
              <w:spacing w:after="0"/>
              <w:rPr>
                <w:sz w:val="19"/>
                <w:szCs w:val="19"/>
                <w:color w:val="auto"/>
              </w:rPr>
            </w:pPr>
          </w:p>
        </w:tc>
      </w:tr>
      <w:tr>
        <w:trPr>
          <w:trHeight w:val="239"/>
        </w:trPr>
        <w:tc>
          <w:tcPr>
            <w:tcW w:w="7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3,571</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(9,525 )</w:t>
            </w: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11,674</w:t>
            </w:r>
          </w:p>
        </w:tc>
        <w:tc>
          <w:tcPr>
            <w:tcW w:w="100" w:type="dxa"/>
            <w:vAlign w:val="bottom"/>
            <w:shd w:val="clear" w:color="auto" w:fill="CFF0FC"/>
          </w:tcPr>
          <w:p>
            <w:pPr>
              <w:spacing w:after="0"/>
              <w:rPr>
                <w:sz w:val="20"/>
                <w:szCs w:val="20"/>
                <w:color w:val="auto"/>
              </w:rPr>
            </w:pPr>
          </w:p>
        </w:tc>
      </w:tr>
      <w:tr>
        <w:trPr>
          <w:trHeight w:val="220"/>
        </w:trPr>
        <w:tc>
          <w:tcPr>
            <w:tcW w:w="7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liabilities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18,684</w:t>
            </w:r>
          </w:p>
        </w:tc>
        <w:tc>
          <w:tcPr>
            <w:tcW w:w="100" w:type="dxa"/>
            <w:vAlign w:val="bottom"/>
          </w:tcPr>
          <w:p>
            <w:pPr>
              <w:spacing w:after="0"/>
              <w:rPr>
                <w:sz w:val="19"/>
                <w:szCs w:val="19"/>
                <w:color w:val="auto"/>
              </w:rPr>
            </w:pPr>
          </w:p>
        </w:tc>
      </w:tr>
      <w:tr>
        <w:trPr>
          <w:trHeight w:val="239"/>
        </w:trPr>
        <w:tc>
          <w:tcPr>
            <w:tcW w:w="7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(38,258 )</w:t>
            </w:r>
          </w:p>
        </w:tc>
        <w:tc>
          <w:tcPr>
            <w:tcW w:w="1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(28,597 )</w:t>
            </w:r>
          </w:p>
        </w:tc>
        <w:tc>
          <w:tcPr>
            <w:tcW w:w="2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(17,682 )</w:t>
            </w:r>
          </w:p>
        </w:tc>
      </w:tr>
      <w:tr>
        <w:trPr>
          <w:trHeight w:val="223"/>
        </w:trPr>
        <w:tc>
          <w:tcPr>
            <w:tcW w:w="7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Income tax receivable and payable, net</w:t>
            </w:r>
          </w:p>
        </w:tc>
        <w:tc>
          <w:tcPr>
            <w:tcW w:w="260" w:type="dxa"/>
            <w:vAlign w:val="bottom"/>
          </w:tcPr>
          <w:p>
            <w:pPr>
              <w:spacing w:after="0"/>
              <w:rPr>
                <w:sz w:val="19"/>
                <w:szCs w:val="19"/>
                <w:color w:val="auto"/>
              </w:rPr>
            </w:pPr>
          </w:p>
        </w:tc>
        <w:tc>
          <w:tcPr>
            <w:tcW w:w="12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(5,244 )</w:t>
            </w:r>
          </w:p>
        </w:tc>
        <w:tc>
          <w:tcPr>
            <w:tcW w:w="100" w:type="dxa"/>
            <w:vAlign w:val="bottom"/>
          </w:tcPr>
          <w:p>
            <w:pPr>
              <w:spacing w:after="0"/>
              <w:rPr>
                <w:sz w:val="19"/>
                <w:szCs w:val="19"/>
                <w:color w:val="auto"/>
              </w:rPr>
            </w:pPr>
          </w:p>
        </w:tc>
        <w:tc>
          <w:tcPr>
            <w:tcW w:w="13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(14,615 )</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8,540</w:t>
            </w:r>
          </w:p>
        </w:tc>
        <w:tc>
          <w:tcPr>
            <w:tcW w:w="100" w:type="dxa"/>
            <w:vAlign w:val="bottom"/>
          </w:tcPr>
          <w:p>
            <w:pPr>
              <w:spacing w:after="0"/>
              <w:rPr>
                <w:sz w:val="19"/>
                <w:szCs w:val="19"/>
                <w:color w:val="auto"/>
              </w:rPr>
            </w:pPr>
          </w:p>
        </w:tc>
      </w:tr>
      <w:tr>
        <w:trPr>
          <w:trHeight w:val="223"/>
        </w:trPr>
        <w:tc>
          <w:tcPr>
            <w:tcW w:w="70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158,564</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132,048</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95,918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1"/>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INVESTING ACTIVITIES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(179,500 )</w:t>
            </w:r>
          </w:p>
        </w:tc>
        <w:tc>
          <w:tcPr>
            <w:tcW w:w="1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(187,850 )</w:t>
            </w:r>
          </w:p>
        </w:tc>
        <w:tc>
          <w:tcPr>
            <w:tcW w:w="2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(59,797 )</w:t>
            </w:r>
          </w:p>
        </w:tc>
      </w:tr>
      <w:tr>
        <w:trPr>
          <w:trHeight w:val="220"/>
        </w:trPr>
        <w:tc>
          <w:tcPr>
            <w:tcW w:w="7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disposal of property and equipment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11,799</w:t>
            </w:r>
          </w:p>
        </w:tc>
        <w:tc>
          <w:tcPr>
            <w:tcW w:w="100" w:type="dxa"/>
            <w:vAlign w:val="bottom"/>
          </w:tcPr>
          <w:p>
            <w:pPr>
              <w:spacing w:after="0"/>
              <w:rPr>
                <w:sz w:val="19"/>
                <w:szCs w:val="19"/>
                <w:color w:val="auto"/>
              </w:rPr>
            </w:pPr>
          </w:p>
        </w:tc>
      </w:tr>
      <w:tr>
        <w:trPr>
          <w:trHeight w:val="239"/>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Investments in securities and associates</w:t>
            </w:r>
          </w:p>
        </w:tc>
        <w:tc>
          <w:tcPr>
            <w:tcW w:w="2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(5,804 )</w:t>
            </w:r>
          </w:p>
        </w:tc>
        <w:tc>
          <w:tcPr>
            <w:tcW w:w="1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(79,050 )</w:t>
            </w:r>
          </w:p>
        </w:tc>
        <w:tc>
          <w:tcPr>
            <w:tcW w:w="2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(525 )</w:t>
            </w:r>
          </w:p>
        </w:tc>
      </w:tr>
      <w:tr>
        <w:trPr>
          <w:trHeight w:val="220"/>
        </w:trPr>
        <w:tc>
          <w:tcPr>
            <w:tcW w:w="7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equity investments and notes receivable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18,417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Pr>
          <w:p>
            <w:pPr>
              <w:spacing w:after="0"/>
              <w:rPr>
                <w:sz w:val="19"/>
                <w:szCs w:val="19"/>
                <w:color w:val="auto"/>
              </w:rPr>
            </w:pPr>
          </w:p>
        </w:tc>
      </w:tr>
      <w:tr>
        <w:trPr>
          <w:trHeight w:val="239"/>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Settlement of acquisition consideration payable</w:t>
            </w:r>
          </w:p>
        </w:tc>
        <w:tc>
          <w:tcPr>
            <w:tcW w:w="2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(31,732 )</w:t>
            </w:r>
          </w:p>
        </w:tc>
        <w:tc>
          <w:tcPr>
            <w:tcW w:w="1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7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 of businesses, net of cash acquired</w:t>
            </w:r>
          </w:p>
        </w:tc>
        <w:tc>
          <w:tcPr>
            <w:tcW w:w="260" w:type="dxa"/>
            <w:vAlign w:val="bottom"/>
          </w:tcPr>
          <w:p>
            <w:pPr>
              <w:spacing w:after="0"/>
              <w:rPr>
                <w:sz w:val="19"/>
                <w:szCs w:val="19"/>
                <w:color w:val="auto"/>
              </w:rPr>
            </w:pPr>
          </w:p>
        </w:tc>
        <w:tc>
          <w:tcPr>
            <w:tcW w:w="12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(7,350 )</w:t>
            </w:r>
          </w:p>
        </w:tc>
        <w:tc>
          <w:tcPr>
            <w:tcW w:w="100" w:type="dxa"/>
            <w:vAlign w:val="bottom"/>
          </w:tcPr>
          <w:p>
            <w:pPr>
              <w:spacing w:after="0"/>
              <w:rPr>
                <w:sz w:val="19"/>
                <w:szCs w:val="19"/>
                <w:color w:val="auto"/>
              </w:rPr>
            </w:pPr>
          </w:p>
        </w:tc>
        <w:tc>
          <w:tcPr>
            <w:tcW w:w="13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(32,356 )</w:t>
            </w:r>
          </w:p>
        </w:tc>
        <w:tc>
          <w:tcPr>
            <w:tcW w:w="2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(8,921 )</w:t>
            </w:r>
          </w:p>
        </w:tc>
      </w:tr>
      <w:tr>
        <w:trPr>
          <w:trHeight w:val="223"/>
        </w:trPr>
        <w:tc>
          <w:tcPr>
            <w:tcW w:w="70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(219,946</w:t>
            </w:r>
          </w:p>
        </w:tc>
        <w:tc>
          <w:tcPr>
            <w:tcW w:w="260" w:type="dxa"/>
            <w:vAlign w:val="bottom"/>
            <w:tcBorders>
              <w:bottom w:val="single" w:sz="8" w:color="CFF0FC"/>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(280,730</w:t>
            </w:r>
          </w:p>
        </w:tc>
        <w:tc>
          <w:tcPr>
            <w:tcW w:w="240" w:type="dxa"/>
            <w:vAlign w:val="bottom"/>
            <w:tcBorders>
              <w:bottom w:val="single" w:sz="8" w:color="CFF0FC"/>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(57,274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21"/>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FINANCING ACTIVITIES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Contributions from limited liability company unit holders</w:t>
            </w:r>
          </w:p>
        </w:tc>
        <w:tc>
          <w:tcPr>
            <w:tcW w:w="2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1,675</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FF0FC"/>
          </w:tcPr>
          <w:p>
            <w:pPr>
              <w:spacing w:after="0"/>
              <w:rPr>
                <w:sz w:val="20"/>
                <w:szCs w:val="20"/>
                <w:color w:val="auto"/>
              </w:rPr>
            </w:pPr>
          </w:p>
        </w:tc>
      </w:tr>
      <w:tr>
        <w:trPr>
          <w:trHeight w:val="220"/>
        </w:trPr>
        <w:tc>
          <w:tcPr>
            <w:tcW w:w="7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Distributions to limited liability company unit holders</w:t>
            </w:r>
          </w:p>
        </w:tc>
        <w:tc>
          <w:tcPr>
            <w:tcW w:w="260" w:type="dxa"/>
            <w:vAlign w:val="bottom"/>
          </w:tcPr>
          <w:p>
            <w:pPr>
              <w:spacing w:after="0"/>
              <w:rPr>
                <w:sz w:val="19"/>
                <w:szCs w:val="19"/>
                <w:color w:val="auto"/>
              </w:rPr>
            </w:pPr>
          </w:p>
        </w:tc>
        <w:tc>
          <w:tcPr>
            <w:tcW w:w="12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(14,879 )</w:t>
            </w:r>
          </w:p>
        </w:tc>
        <w:tc>
          <w:tcPr>
            <w:tcW w:w="100" w:type="dxa"/>
            <w:vAlign w:val="bottom"/>
          </w:tcPr>
          <w:p>
            <w:pPr>
              <w:spacing w:after="0"/>
              <w:rPr>
                <w:sz w:val="19"/>
                <w:szCs w:val="19"/>
                <w:color w:val="auto"/>
              </w:rPr>
            </w:pPr>
          </w:p>
        </w:tc>
        <w:tc>
          <w:tcPr>
            <w:tcW w:w="13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(11,028 )</w:t>
            </w:r>
          </w:p>
        </w:tc>
        <w:tc>
          <w:tcPr>
            <w:tcW w:w="2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(2,789 )</w:t>
            </w:r>
          </w:p>
        </w:tc>
      </w:tr>
      <w:tr>
        <w:trPr>
          <w:trHeight w:val="239"/>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Contributions from unconsolidated subsidiaries</w:t>
            </w: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proceeds from issuance of registered shares pursuant to Form S-1</w:t>
            </w:r>
          </w:p>
        </w:tc>
        <w:tc>
          <w:tcPr>
            <w:tcW w:w="260" w:type="dxa"/>
            <w:vAlign w:val="bottom"/>
          </w:tcPr>
          <w:p>
            <w:pPr>
              <w:spacing w:after="0"/>
              <w:rPr>
                <w:sz w:val="19"/>
                <w:szCs w:val="19"/>
                <w:color w:val="auto"/>
              </w:rPr>
            </w:pPr>
          </w:p>
        </w:tc>
        <w:tc>
          <w:tcPr>
            <w:tcW w:w="12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155,498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exercise of options and warrants</w:t>
            </w: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3,822</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14,260</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1,640</w:t>
            </w:r>
          </w:p>
        </w:tc>
        <w:tc>
          <w:tcPr>
            <w:tcW w:w="100" w:type="dxa"/>
            <w:vAlign w:val="bottom"/>
            <w:shd w:val="clear" w:color="auto" w:fill="CFF0FC"/>
          </w:tcPr>
          <w:p>
            <w:pPr>
              <w:spacing w:after="0"/>
              <w:rPr>
                <w:sz w:val="20"/>
                <w:szCs w:val="20"/>
                <w:color w:val="auto"/>
              </w:rPr>
            </w:pPr>
          </w:p>
        </w:tc>
      </w:tr>
      <w:tr>
        <w:trPr>
          <w:trHeight w:val="220"/>
        </w:trPr>
        <w:tc>
          <w:tcPr>
            <w:tcW w:w="7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 for purchase of noncontrolling interest</w:t>
            </w:r>
          </w:p>
        </w:tc>
        <w:tc>
          <w:tcPr>
            <w:tcW w:w="260" w:type="dxa"/>
            <w:vAlign w:val="bottom"/>
          </w:tcPr>
          <w:p>
            <w:pPr>
              <w:spacing w:after="0"/>
              <w:rPr>
                <w:sz w:val="19"/>
                <w:szCs w:val="19"/>
                <w:color w:val="auto"/>
              </w:rPr>
            </w:pPr>
          </w:p>
        </w:tc>
        <w:tc>
          <w:tcPr>
            <w:tcW w:w="12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32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(150 )</w:t>
            </w:r>
          </w:p>
        </w:tc>
      </w:tr>
      <w:tr>
        <w:trPr>
          <w:trHeight w:val="239"/>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issuance of notes payable</w:t>
            </w: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20,101</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208,700</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Principal repayment of notes payable</w:t>
            </w:r>
          </w:p>
        </w:tc>
        <w:tc>
          <w:tcPr>
            <w:tcW w:w="260" w:type="dxa"/>
            <w:vAlign w:val="bottom"/>
          </w:tcPr>
          <w:p>
            <w:pPr>
              <w:spacing w:after="0"/>
              <w:rPr>
                <w:sz w:val="19"/>
                <w:szCs w:val="19"/>
                <w:color w:val="auto"/>
              </w:rPr>
            </w:pPr>
          </w:p>
        </w:tc>
        <w:tc>
          <w:tcPr>
            <w:tcW w:w="12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(950 )</w:t>
            </w:r>
          </w:p>
        </w:tc>
        <w:tc>
          <w:tcPr>
            <w:tcW w:w="100" w:type="dxa"/>
            <w:vAlign w:val="bottom"/>
          </w:tcPr>
          <w:p>
            <w:pPr>
              <w:spacing w:after="0"/>
              <w:rPr>
                <w:sz w:val="19"/>
                <w:szCs w:val="19"/>
                <w:color w:val="auto"/>
              </w:rPr>
            </w:pPr>
          </w:p>
        </w:tc>
        <w:tc>
          <w:tcPr>
            <w:tcW w:w="13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(70,507 )</w:t>
            </w:r>
          </w:p>
        </w:tc>
        <w:tc>
          <w:tcPr>
            <w:tcW w:w="2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(304 )</w:t>
            </w:r>
          </w:p>
        </w:tc>
      </w:tr>
      <w:tr>
        <w:trPr>
          <w:trHeight w:val="229"/>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Prepayment penalty and other costs associated with refinancing</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(3,254 )</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
        </w:trPr>
        <w:tc>
          <w:tcPr>
            <w:tcW w:w="704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704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8,644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295,344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(1,553 )</w:t>
            </w:r>
          </w:p>
        </w:tc>
      </w:tr>
      <w:tr>
        <w:trPr>
          <w:trHeight w:val="229"/>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w:t>
            </w: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0"/>
        </w:trPr>
        <w:tc>
          <w:tcPr>
            <w:tcW w:w="704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NET (DECREASE) INCREASE IN CASH AND CASH EQUIVALENTS AND</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704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RESTRICTED CASH</w:t>
            </w:r>
          </w:p>
        </w:tc>
        <w:tc>
          <w:tcPr>
            <w:tcW w:w="260" w:type="dxa"/>
            <w:vAlign w:val="bottom"/>
          </w:tcPr>
          <w:p>
            <w:pPr>
              <w:spacing w:after="0"/>
              <w:rPr>
                <w:sz w:val="19"/>
                <w:szCs w:val="19"/>
                <w:color w:val="auto"/>
              </w:rPr>
            </w:pPr>
          </w:p>
        </w:tc>
        <w:tc>
          <w:tcPr>
            <w:tcW w:w="12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(52,738 )</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146,662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37,091</w:t>
            </w:r>
          </w:p>
        </w:tc>
        <w:tc>
          <w:tcPr>
            <w:tcW w:w="100" w:type="dxa"/>
            <w:vAlign w:val="bottom"/>
          </w:tcPr>
          <w:p>
            <w:pPr>
              <w:spacing w:after="0"/>
              <w:rPr>
                <w:sz w:val="19"/>
                <w:szCs w:val="19"/>
                <w:color w:val="auto"/>
              </w:rPr>
            </w:pPr>
          </w:p>
        </w:tc>
      </w:tr>
      <w:tr>
        <w:trPr>
          <w:trHeight w:val="233"/>
        </w:trPr>
        <w:tc>
          <w:tcPr>
            <w:tcW w:w="70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BEGINNING OF PERIOD</w:t>
            </w:r>
          </w:p>
        </w:tc>
        <w:tc>
          <w:tcPr>
            <w:tcW w:w="26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230,420</w:t>
            </w:r>
          </w:p>
        </w:tc>
        <w:tc>
          <w:tcPr>
            <w:tcW w:w="2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83,758</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46,667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04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END OF PERIOD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177,682</w:t>
            </w:r>
          </w:p>
        </w:tc>
        <w:tc>
          <w:tcPr>
            <w:tcW w:w="2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230,420</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83,758</w:t>
            </w:r>
          </w:p>
        </w:tc>
        <w:tc>
          <w:tcPr>
            <w:tcW w:w="100" w:type="dxa"/>
            <w:vAlign w:val="bottom"/>
          </w:tcPr>
          <w:p>
            <w:pPr>
              <w:spacing w:after="0"/>
              <w:rPr>
                <w:sz w:val="19"/>
                <w:szCs w:val="19"/>
                <w:color w:val="auto"/>
              </w:rPr>
            </w:pPr>
          </w:p>
        </w:tc>
      </w:tr>
      <w:tr>
        <w:trPr>
          <w:trHeight w:val="20"/>
        </w:trPr>
        <w:tc>
          <w:tcPr>
            <w:tcW w:w="7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-3565525</wp:posOffset>
            </wp:positionV>
            <wp:extent cx="76835" cy="1543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6">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-3565525</wp:posOffset>
            </wp:positionV>
            <wp:extent cx="68580" cy="1543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-3565525</wp:posOffset>
            </wp:positionV>
            <wp:extent cx="68580" cy="1543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-2382520</wp:posOffset>
            </wp:positionV>
            <wp:extent cx="76835" cy="1543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9">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-2382520</wp:posOffset>
            </wp:positionV>
            <wp:extent cx="68580" cy="1543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-2382520</wp:posOffset>
            </wp:positionV>
            <wp:extent cx="68580" cy="1543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-916305</wp:posOffset>
            </wp:positionV>
            <wp:extent cx="76835" cy="1625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2">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-916305</wp:posOffset>
            </wp:positionV>
            <wp:extent cx="68580" cy="1625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1625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-187960</wp:posOffset>
            </wp:positionV>
            <wp:extent cx="76835" cy="1803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5">
                      <a:extLst>
                        <a:ext uri="{28A0092B-C50C-407E-A947-70E740481C1C}"/>
                      </a:extLst>
                    </a:blip>
                    <a:srcRect/>
                    <a:stretch>
                      <a:fillRect/>
                    </a:stretch>
                  </pic:blipFill>
                  <pic:spPr bwMode="auto">
                    <a:xfrm>
                      <a:off x="0" y="0"/>
                      <a:ext cx="76835" cy="18034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-187960</wp:posOffset>
            </wp:positionV>
            <wp:extent cx="68580" cy="1803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6">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03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7">
                      <a:extLst>
                        <a:ext uri="{28A0092B-C50C-407E-A947-70E740481C1C}"/>
                      </a:extLst>
                    </a:blip>
                    <a:srcRect/>
                    <a:stretch>
                      <a:fillRect/>
                    </a:stretch>
                  </pic:blipFill>
                  <pic:spPr bwMode="auto">
                    <a:xfrm>
                      <a:off x="0" y="0"/>
                      <a:ext cx="68580" cy="1803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839" w:gutter="0" w:footer="0" w:header="0"/>
        </w:sectPr>
      </w:pPr>
    </w:p>
    <w:bookmarkStart w:id="81" w:name="page82"/>
    <w:bookmarkEnd w:id="81"/>
    <w:p>
      <w:pPr>
        <w:ind w:left="448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Years Ended December 31, 2022, 2021 and 2020</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4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2900" w:type="dxa"/>
            <w:vAlign w:val="bottom"/>
            <w:tcBorders>
              <w:top w:val="single" w:sz="8" w:color="auto"/>
              <w:bottom w:val="single" w:sz="8" w:color="auto"/>
            </w:tcBorders>
            <w:gridSpan w:val="6"/>
          </w:tcPr>
          <w:p>
            <w:pPr>
              <w:jc w:val="center"/>
              <w:ind w:left="57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r>
      <w:tr>
        <w:trPr>
          <w:trHeight w:val="223"/>
        </w:trPr>
        <w:tc>
          <w:tcPr>
            <w:tcW w:w="70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9"/>
                <w:szCs w:val="19"/>
                <w:color w:val="auto"/>
              </w:rPr>
            </w:pPr>
          </w:p>
        </w:tc>
      </w:tr>
      <w:tr>
        <w:trPr>
          <w:trHeight w:val="223"/>
        </w:trPr>
        <w:tc>
          <w:tcPr>
            <w:tcW w:w="70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paid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18,552</w:t>
            </w:r>
          </w:p>
        </w:tc>
        <w:tc>
          <w:tcPr>
            <w:tcW w:w="280" w:type="dxa"/>
            <w:vAlign w:val="bottom"/>
          </w:tcPr>
          <w:p>
            <w:pPr>
              <w:spacing w:after="0"/>
              <w:rPr>
                <w:sz w:val="19"/>
                <w:szCs w:val="19"/>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15,311</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12,762</w:t>
            </w:r>
          </w:p>
        </w:tc>
        <w:tc>
          <w:tcPr>
            <w:tcW w:w="100" w:type="dxa"/>
            <w:vAlign w:val="bottom"/>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capital expenditures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280" w:type="dxa"/>
            <w:vAlign w:val="bottom"/>
          </w:tcPr>
          <w:p>
            <w:pPr>
              <w:spacing w:after="0"/>
              <w:rPr>
                <w:sz w:val="19"/>
                <w:szCs w:val="19"/>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22,096</w:t>
            </w:r>
          </w:p>
        </w:tc>
        <w:tc>
          <w:tcPr>
            <w:tcW w:w="260" w:type="dxa"/>
            <w:vAlign w:val="bottom"/>
          </w:tcPr>
          <w:p>
            <w:pPr>
              <w:spacing w:after="0"/>
              <w:rPr>
                <w:sz w:val="19"/>
                <w:szCs w:val="19"/>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(2,029 )</w:t>
            </w:r>
          </w:p>
        </w:tc>
      </w:tr>
      <w:tr>
        <w:trPr>
          <w:trHeight w:val="20"/>
        </w:trPr>
        <w:tc>
          <w:tcPr>
            <w:tcW w:w="7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Noncash increase in right of use asset</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(74,996</w:t>
            </w:r>
          </w:p>
        </w:tc>
        <w:tc>
          <w:tcPr>
            <w:tcW w:w="280" w:type="dxa"/>
            <w:vAlign w:val="bottom"/>
            <w:tcBorders>
              <w:bottom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(27,035</w:t>
            </w:r>
          </w:p>
        </w:tc>
        <w:tc>
          <w:tcPr>
            <w:tcW w:w="260" w:type="dxa"/>
            <w:vAlign w:val="bottom"/>
            <w:tcBorders>
              <w:bottom w:val="single" w:sz="8" w:color="CFF0FC"/>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(79,085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increase in lease liability</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74,996</w:t>
            </w: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27,035</w:t>
            </w:r>
          </w:p>
        </w:tc>
        <w:tc>
          <w:tcPr>
            <w:tcW w:w="260" w:type="dxa"/>
            <w:vAlign w:val="bottom"/>
          </w:tcPr>
          <w:p>
            <w:pPr>
              <w:spacing w:after="0"/>
              <w:rPr>
                <w:sz w:val="18"/>
                <w:szCs w:val="18"/>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79,085</w:t>
            </w:r>
          </w:p>
        </w:tc>
        <w:tc>
          <w:tcPr>
            <w:tcW w:w="100" w:type="dxa"/>
            <w:vAlign w:val="bottom"/>
          </w:tcPr>
          <w:p>
            <w:pPr>
              <w:spacing w:after="0"/>
              <w:rPr>
                <w:sz w:val="18"/>
                <w:szCs w:val="18"/>
                <w:color w:val="auto"/>
              </w:rPr>
            </w:pPr>
          </w:p>
        </w:tc>
      </w:tr>
      <w:tr>
        <w:trPr>
          <w:trHeight w:val="20"/>
        </w:trPr>
        <w:tc>
          <w:tcPr>
            <w:tcW w:w="7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Warrant issuance associated with note payable</w:t>
            </w:r>
          </w:p>
        </w:tc>
        <w:tc>
          <w:tcPr>
            <w:tcW w:w="26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25,145</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0"/>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Mortgages associated with operating properties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7,350</w:t>
            </w: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6,830</w:t>
            </w:r>
          </w:p>
        </w:tc>
        <w:tc>
          <w:tcPr>
            <w:tcW w:w="260" w:type="dxa"/>
            <w:vAlign w:val="bottom"/>
          </w:tcPr>
          <w:p>
            <w:pPr>
              <w:spacing w:after="0"/>
              <w:rPr>
                <w:sz w:val="18"/>
                <w:szCs w:val="18"/>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3,607</w:t>
            </w:r>
          </w:p>
        </w:tc>
        <w:tc>
          <w:tcPr>
            <w:tcW w:w="100" w:type="dxa"/>
            <w:vAlign w:val="bottom"/>
          </w:tcPr>
          <w:p>
            <w:pPr>
              <w:spacing w:after="0"/>
              <w:rPr>
                <w:sz w:val="18"/>
                <w:szCs w:val="18"/>
                <w:color w:val="auto"/>
              </w:rPr>
            </w:pPr>
          </w:p>
        </w:tc>
      </w:tr>
      <w:tr>
        <w:trPr>
          <w:trHeight w:val="20"/>
        </w:trPr>
        <w:tc>
          <w:tcPr>
            <w:tcW w:w="7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250"/>
        </w:trPr>
        <w:tc>
          <w:tcPr>
            <w:tcW w:w="7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Liability for purchase of noncontrolling interest</w:t>
            </w:r>
          </w:p>
        </w:tc>
        <w:tc>
          <w:tcPr>
            <w:tcW w:w="26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(5,350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Liability associated with acquisition agreement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tcPr>
          <w:p>
            <w:pPr>
              <w:spacing w:after="0"/>
              <w:rPr>
                <w:sz w:val="18"/>
                <w:szCs w:val="18"/>
                <w:color w:val="auto"/>
              </w:rPr>
            </w:pPr>
          </w:p>
        </w:tc>
      </w:tr>
      <w:tr>
        <w:trPr>
          <w:trHeight w:val="20"/>
        </w:trPr>
        <w:tc>
          <w:tcPr>
            <w:tcW w:w="7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250"/>
        </w:trPr>
        <w:tc>
          <w:tcPr>
            <w:tcW w:w="7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Shares issued for purchase of noncontrolling interest</w:t>
            </w:r>
          </w:p>
        </w:tc>
        <w:tc>
          <w:tcPr>
            <w:tcW w:w="26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2,379</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4,070</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0"/>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shares associated with contingent consideration</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13,111</w:t>
            </w: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33,472</w:t>
            </w:r>
          </w:p>
        </w:tc>
        <w:tc>
          <w:tcPr>
            <w:tcW w:w="260" w:type="dxa"/>
            <w:vAlign w:val="bottom"/>
          </w:tcPr>
          <w:p>
            <w:pPr>
              <w:spacing w:after="0"/>
              <w:rPr>
                <w:sz w:val="18"/>
                <w:szCs w:val="18"/>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22,486</w:t>
            </w:r>
          </w:p>
        </w:tc>
        <w:tc>
          <w:tcPr>
            <w:tcW w:w="100" w:type="dxa"/>
            <w:vAlign w:val="bottom"/>
          </w:tcPr>
          <w:p>
            <w:pPr>
              <w:spacing w:after="0"/>
              <w:rPr>
                <w:sz w:val="18"/>
                <w:szCs w:val="18"/>
                <w:color w:val="auto"/>
              </w:rPr>
            </w:pPr>
          </w:p>
        </w:tc>
      </w:tr>
      <w:tr>
        <w:trPr>
          <w:trHeight w:val="20"/>
        </w:trPr>
        <w:tc>
          <w:tcPr>
            <w:tcW w:w="7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share issuances</w:t>
            </w:r>
          </w:p>
        </w:tc>
        <w:tc>
          <w:tcPr>
            <w:tcW w:w="26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37,565</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0"/>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share distributions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(3,890 )</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(14,752 )</w:t>
            </w:r>
          </w:p>
        </w:tc>
      </w:tr>
      <w:tr>
        <w:trPr>
          <w:trHeight w:val="20"/>
        </w:trPr>
        <w:tc>
          <w:tcPr>
            <w:tcW w:w="7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shares under business combinations</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343,303</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4,619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0"/>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Acquisitions</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9,489</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shd w:val="clear" w:color="auto" w:fill="CFF0FC"/>
          </w:tcPr>
          <w:p>
            <w:pPr>
              <w:spacing w:after="0"/>
              <w:rPr>
                <w:sz w:val="20"/>
                <w:szCs w:val="20"/>
                <w:color w:val="auto"/>
              </w:rPr>
            </w:pPr>
          </w:p>
        </w:tc>
      </w:tr>
      <w:tr>
        <w:trPr>
          <w:trHeight w:val="220"/>
        </w:trPr>
        <w:tc>
          <w:tcPr>
            <w:tcW w:w="7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Prepaid expenses</w:t>
            </w: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FF0FC"/>
          </w:tcPr>
          <w:p>
            <w:pPr>
              <w:spacing w:after="0"/>
              <w:rPr>
                <w:sz w:val="20"/>
                <w:szCs w:val="20"/>
                <w:color w:val="auto"/>
              </w:rPr>
            </w:pPr>
          </w:p>
        </w:tc>
      </w:tr>
      <w:tr>
        <w:trPr>
          <w:trHeight w:val="220"/>
        </w:trPr>
        <w:tc>
          <w:tcPr>
            <w:tcW w:w="7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Property and equipment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30,789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tcPr>
          <w:p>
            <w:pPr>
              <w:spacing w:after="0"/>
              <w:rPr>
                <w:sz w:val="19"/>
                <w:szCs w:val="19"/>
                <w:color w:val="auto"/>
              </w:rPr>
            </w:pPr>
          </w:p>
        </w:tc>
      </w:tr>
      <w:tr>
        <w:trPr>
          <w:trHeight w:val="239"/>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Right of use assets</w:t>
            </w: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19,003</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shd w:val="clear" w:color="auto" w:fill="CFF0FC"/>
          </w:tcPr>
          <w:p>
            <w:pPr>
              <w:spacing w:after="0"/>
              <w:rPr>
                <w:sz w:val="20"/>
                <w:szCs w:val="20"/>
                <w:color w:val="auto"/>
              </w:rPr>
            </w:pPr>
          </w:p>
        </w:tc>
      </w:tr>
      <w:tr>
        <w:trPr>
          <w:trHeight w:val="220"/>
        </w:trPr>
        <w:tc>
          <w:tcPr>
            <w:tcW w:w="7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Identifiable Intangible assets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4,816</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314,457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6,182</w:t>
            </w:r>
          </w:p>
        </w:tc>
        <w:tc>
          <w:tcPr>
            <w:tcW w:w="100" w:type="dxa"/>
            <w:vAlign w:val="bottom"/>
          </w:tcPr>
          <w:p>
            <w:pPr>
              <w:spacing w:after="0"/>
              <w:rPr>
                <w:sz w:val="19"/>
                <w:szCs w:val="19"/>
                <w:color w:val="auto"/>
              </w:rPr>
            </w:pPr>
          </w:p>
        </w:tc>
      </w:tr>
      <w:tr>
        <w:trPr>
          <w:trHeight w:val="239"/>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14,214</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250,152</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7,612</w:t>
            </w:r>
          </w:p>
        </w:tc>
        <w:tc>
          <w:tcPr>
            <w:tcW w:w="100" w:type="dxa"/>
            <w:vAlign w:val="bottom"/>
            <w:shd w:val="clear" w:color="auto" w:fill="CFF0FC"/>
          </w:tcPr>
          <w:p>
            <w:pPr>
              <w:spacing w:after="0"/>
              <w:rPr>
                <w:sz w:val="20"/>
                <w:szCs w:val="20"/>
                <w:color w:val="auto"/>
              </w:rPr>
            </w:pPr>
          </w:p>
        </w:tc>
      </w:tr>
      <w:tr>
        <w:trPr>
          <w:trHeight w:val="220"/>
        </w:trPr>
        <w:tc>
          <w:tcPr>
            <w:tcW w:w="7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Deposits and other assets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tcPr>
          <w:p>
            <w:pPr>
              <w:spacing w:after="0"/>
              <w:rPr>
                <w:sz w:val="19"/>
                <w:szCs w:val="19"/>
                <w:color w:val="auto"/>
              </w:rPr>
            </w:pPr>
          </w:p>
        </w:tc>
      </w:tr>
      <w:tr>
        <w:trPr>
          <w:trHeight w:val="239"/>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Liabilities assumed</w:t>
            </w:r>
          </w:p>
        </w:tc>
        <w:tc>
          <w:tcPr>
            <w:tcW w:w="2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(1,222 )</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(13,692 )</w:t>
            </w:r>
          </w:p>
        </w:tc>
        <w:tc>
          <w:tcPr>
            <w:tcW w:w="2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(1,520 )</w:t>
            </w:r>
          </w:p>
        </w:tc>
      </w:tr>
      <w:tr>
        <w:trPr>
          <w:trHeight w:val="220"/>
        </w:trPr>
        <w:tc>
          <w:tcPr>
            <w:tcW w:w="7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Lease liabilities</w:t>
            </w:r>
          </w:p>
        </w:tc>
        <w:tc>
          <w:tcPr>
            <w:tcW w:w="260" w:type="dxa"/>
            <w:vAlign w:val="bottom"/>
          </w:tcPr>
          <w:p>
            <w:pPr>
              <w:spacing w:after="0"/>
              <w:rPr>
                <w:sz w:val="19"/>
                <w:szCs w:val="19"/>
                <w:color w:val="auto"/>
              </w:rPr>
            </w:pPr>
          </w:p>
        </w:tc>
        <w:tc>
          <w:tcPr>
            <w:tcW w:w="12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(743 )</w:t>
            </w:r>
          </w:p>
        </w:tc>
        <w:tc>
          <w:tcPr>
            <w:tcW w:w="260" w:type="dxa"/>
            <w:vAlign w:val="bottom"/>
          </w:tcPr>
          <w:p>
            <w:pPr>
              <w:spacing w:after="0"/>
              <w:rPr>
                <w:sz w:val="19"/>
                <w:szCs w:val="19"/>
                <w:color w:val="auto"/>
              </w:rPr>
            </w:pPr>
          </w:p>
        </w:tc>
        <w:tc>
          <w:tcPr>
            <w:tcW w:w="11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(19,003 )</w:t>
            </w:r>
          </w:p>
        </w:tc>
        <w:tc>
          <w:tcPr>
            <w:tcW w:w="2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(119 )</w:t>
            </w:r>
          </w:p>
        </w:tc>
      </w:tr>
      <w:tr>
        <w:trPr>
          <w:trHeight w:val="239"/>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Notes Payable</w:t>
            </w:r>
          </w:p>
        </w:tc>
        <w:tc>
          <w:tcPr>
            <w:tcW w:w="2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(5,627 )</w:t>
            </w:r>
          </w:p>
        </w:tc>
        <w:tc>
          <w:tcPr>
            <w:tcW w:w="2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17,735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Contingent liabilities</w:t>
            </w:r>
          </w:p>
        </w:tc>
        <w:tc>
          <w:tcPr>
            <w:tcW w:w="2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(200 )</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(98,500 )</w:t>
            </w:r>
          </w:p>
        </w:tc>
        <w:tc>
          <w:tcPr>
            <w:tcW w:w="2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Equity interests issued</w:t>
            </w:r>
          </w:p>
        </w:tc>
        <w:tc>
          <w:tcPr>
            <w:tcW w:w="260" w:type="dxa"/>
            <w:vAlign w:val="bottom"/>
          </w:tcPr>
          <w:p>
            <w:pPr>
              <w:spacing w:after="0"/>
              <w:rPr>
                <w:sz w:val="19"/>
                <w:szCs w:val="19"/>
                <w:color w:val="auto"/>
              </w:rPr>
            </w:pPr>
          </w:p>
        </w:tc>
        <w:tc>
          <w:tcPr>
            <w:tcW w:w="12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(3,785 )</w:t>
            </w:r>
          </w:p>
        </w:tc>
        <w:tc>
          <w:tcPr>
            <w:tcW w:w="260" w:type="dxa"/>
            <w:vAlign w:val="bottom"/>
          </w:tcPr>
          <w:p>
            <w:pPr>
              <w:spacing w:after="0"/>
              <w:rPr>
                <w:sz w:val="19"/>
                <w:szCs w:val="19"/>
                <w:color w:val="auto"/>
              </w:rPr>
            </w:pPr>
          </w:p>
        </w:tc>
        <w:tc>
          <w:tcPr>
            <w:tcW w:w="11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(374,244 )</w:t>
            </w:r>
          </w:p>
        </w:tc>
        <w:tc>
          <w:tcPr>
            <w:tcW w:w="2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(5,097 )</w:t>
            </w:r>
          </w:p>
        </w:tc>
      </w:tr>
      <w:tr>
        <w:trPr>
          <w:trHeight w:val="239"/>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Fair value of previously held equity interest</w:t>
            </w:r>
          </w:p>
        </w:tc>
        <w:tc>
          <w:tcPr>
            <w:tcW w:w="2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(11,336 )</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consideration payable</w:t>
            </w:r>
          </w:p>
        </w:tc>
        <w:tc>
          <w:tcPr>
            <w:tcW w:w="260" w:type="dxa"/>
            <w:vAlign w:val="bottom"/>
          </w:tcPr>
          <w:p>
            <w:pPr>
              <w:spacing w:after="0"/>
              <w:rPr>
                <w:sz w:val="19"/>
                <w:szCs w:val="19"/>
                <w:color w:val="auto"/>
              </w:rPr>
            </w:pPr>
          </w:p>
        </w:tc>
        <w:tc>
          <w:tcPr>
            <w:tcW w:w="122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1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(32,092 )</w:t>
            </w:r>
          </w:p>
        </w:tc>
        <w:tc>
          <w:tcPr>
            <w:tcW w:w="260" w:type="dxa"/>
            <w:vAlign w:val="bottom"/>
          </w:tcPr>
          <w:p>
            <w:pPr>
              <w:spacing w:after="0"/>
              <w:rPr>
                <w:sz w:val="19"/>
                <w:szCs w:val="19"/>
                <w:color w:val="auto"/>
              </w:rPr>
            </w:pPr>
          </w:p>
        </w:tc>
        <w:tc>
          <w:tcPr>
            <w:tcW w:w="10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(51,051 )</w:t>
            </w: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100" w:type="dxa"/>
            <w:vAlign w:val="bottom"/>
            <w:shd w:val="clear" w:color="auto" w:fill="CFF0FC"/>
          </w:tcPr>
          <w:p>
            <w:pPr>
              <w:spacing w:after="0"/>
              <w:rPr>
                <w:sz w:val="20"/>
                <w:szCs w:val="20"/>
                <w:color w:val="auto"/>
              </w:rPr>
            </w:pPr>
          </w:p>
        </w:tc>
      </w:tr>
      <w:tr>
        <w:trPr>
          <w:trHeight w:val="227"/>
        </w:trPr>
        <w:tc>
          <w:tcPr>
            <w:tcW w:w="7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Settlement of noncontrolling interests</w:t>
            </w:r>
          </w:p>
        </w:tc>
        <w:tc>
          <w:tcPr>
            <w:tcW w:w="260" w:type="dxa"/>
            <w:vAlign w:val="bottom"/>
          </w:tcPr>
          <w:p>
            <w:pPr>
              <w:spacing w:after="0"/>
              <w:rPr>
                <w:sz w:val="19"/>
                <w:szCs w:val="19"/>
                <w:color w:val="auto"/>
              </w:rPr>
            </w:pPr>
          </w:p>
        </w:tc>
        <w:tc>
          <w:tcPr>
            <w:tcW w:w="12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(15,356 )</w:t>
            </w:r>
          </w:p>
        </w:tc>
        <w:tc>
          <w:tcPr>
            <w:tcW w:w="260" w:type="dxa"/>
            <w:vAlign w:val="bottom"/>
          </w:tcPr>
          <w:p>
            <w:pPr>
              <w:spacing w:after="0"/>
              <w:rPr>
                <w:sz w:val="19"/>
                <w:szCs w:val="19"/>
                <w:color w:val="auto"/>
              </w:rPr>
            </w:pPr>
          </w:p>
        </w:tc>
        <w:tc>
          <w:tcPr>
            <w:tcW w:w="11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59"/>
        </w:trPr>
        <w:tc>
          <w:tcPr>
            <w:tcW w:w="70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7,350</w:t>
            </w:r>
          </w:p>
        </w:tc>
        <w:tc>
          <w:tcPr>
            <w:tcW w:w="2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32,356</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8,920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8"/>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 SUPPLEMENTAL INFORMATION</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Decrease (increase) in fair value of investments</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22,606</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(6,377 )</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(26,371 )</w:t>
            </w:r>
          </w:p>
        </w:tc>
      </w:tr>
      <w:tr>
        <w:trPr>
          <w:trHeight w:val="226"/>
        </w:trPr>
        <w:tc>
          <w:tcPr>
            <w:tcW w:w="7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Increase in fair value of equity method investments</w:t>
            </w:r>
          </w:p>
        </w:tc>
        <w:tc>
          <w:tcPr>
            <w:tcW w:w="260" w:type="dxa"/>
            <w:vAlign w:val="bottom"/>
          </w:tcPr>
          <w:p>
            <w:pPr>
              <w:spacing w:after="0"/>
              <w:rPr>
                <w:sz w:val="19"/>
                <w:szCs w:val="19"/>
                <w:color w:val="auto"/>
              </w:rPr>
            </w:pPr>
          </w:p>
        </w:tc>
        <w:tc>
          <w:tcPr>
            <w:tcW w:w="12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(10,955 )</w:t>
            </w:r>
          </w:p>
        </w:tc>
        <w:tc>
          <w:tcPr>
            <w:tcW w:w="260" w:type="dxa"/>
            <w:vAlign w:val="bottom"/>
          </w:tcPr>
          <w:p>
            <w:pPr>
              <w:spacing w:after="0"/>
              <w:rPr>
                <w:sz w:val="19"/>
                <w:szCs w:val="19"/>
                <w:color w:val="auto"/>
              </w:rPr>
            </w:pPr>
          </w:p>
        </w:tc>
        <w:tc>
          <w:tcPr>
            <w:tcW w:w="11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51"/>
        </w:trPr>
        <w:tc>
          <w:tcPr>
            <w:tcW w:w="7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DECREASE (INCREASE) IN FAIR VALUE OF INVESTMENTS</w:t>
            </w:r>
          </w:p>
        </w:tc>
        <w:tc>
          <w:tcPr>
            <w:tcW w:w="26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11,651</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(6,377</w:t>
            </w:r>
          </w:p>
        </w:tc>
        <w:tc>
          <w:tcPr>
            <w:tcW w:w="260" w:type="dxa"/>
            <w:vAlign w:val="bottom"/>
            <w:tcBorders>
              <w:bottom w:val="single" w:sz="8" w:color="CFF0FC"/>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(26,371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7040" w:type="dxa"/>
            <w:vAlign w:val="bottom"/>
            <w:tcBorders>
              <w:top w:val="single" w:sz="8" w:color="CFF0FC"/>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000000"/>
          </w:tcPr>
          <w:p>
            <w:pPr>
              <w:spacing w:after="0" w:line="20" w:lineRule="exact"/>
              <w:rPr>
                <w:sz w:val="1"/>
                <w:szCs w:val="1"/>
                <w:color w:val="auto"/>
              </w:rPr>
            </w:pPr>
          </w:p>
        </w:tc>
        <w:tc>
          <w:tcPr>
            <w:tcW w:w="940" w:type="dxa"/>
            <w:vAlign w:val="bottom"/>
            <w:tcBorders>
              <w:top w:val="single" w:sz="8" w:color="CFF0FC"/>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000000"/>
          </w:tcPr>
          <w:p>
            <w:pPr>
              <w:spacing w:after="0" w:line="20" w:lineRule="exact"/>
              <w:rPr>
                <w:sz w:val="1"/>
                <w:szCs w:val="1"/>
                <w:color w:val="auto"/>
              </w:rPr>
            </w:pPr>
          </w:p>
        </w:tc>
        <w:tc>
          <w:tcPr>
            <w:tcW w:w="900" w:type="dxa"/>
            <w:vAlign w:val="bottom"/>
            <w:tcBorders>
              <w:top w:val="single" w:sz="8" w:color="CFF0FC"/>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000000"/>
          </w:tcPr>
          <w:p>
            <w:pPr>
              <w:spacing w:after="0" w:line="20" w:lineRule="exact"/>
              <w:rPr>
                <w:sz w:val="1"/>
                <w:szCs w:val="1"/>
                <w:color w:val="auto"/>
              </w:rPr>
            </w:pPr>
          </w:p>
        </w:tc>
        <w:tc>
          <w:tcPr>
            <w:tcW w:w="940" w:type="dxa"/>
            <w:vAlign w:val="bottom"/>
            <w:tcBorders>
              <w:top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-5314315</wp:posOffset>
            </wp:positionV>
            <wp:extent cx="1903095" cy="1968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9">
                      <a:extLst>
                        <a:ext uri="{28A0092B-C50C-407E-A947-70E740481C1C}"/>
                      </a:extLst>
                    </a:blip>
                    <a:srcRect/>
                    <a:stretch>
                      <a:fillRect/>
                    </a:stretch>
                  </pic:blipFill>
                  <pic:spPr bwMode="auto">
                    <a:xfrm>
                      <a:off x="0" y="0"/>
                      <a:ext cx="1903095" cy="19685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-4971415</wp:posOffset>
            </wp:positionV>
            <wp:extent cx="1903095" cy="1968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0">
                      <a:extLst>
                        <a:ext uri="{28A0092B-C50C-407E-A947-70E740481C1C}"/>
                      </a:extLst>
                    </a:blip>
                    <a:srcRect/>
                    <a:stretch>
                      <a:fillRect/>
                    </a:stretch>
                  </pic:blipFill>
                  <pic:spPr bwMode="auto">
                    <a:xfrm>
                      <a:off x="0" y="0"/>
                      <a:ext cx="1903095" cy="19685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-4628515</wp:posOffset>
            </wp:positionV>
            <wp:extent cx="1903095" cy="1968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1">
                      <a:extLst>
                        <a:ext uri="{28A0092B-C50C-407E-A947-70E740481C1C}"/>
                      </a:extLst>
                    </a:blip>
                    <a:srcRect/>
                    <a:stretch>
                      <a:fillRect/>
                    </a:stretch>
                  </pic:blipFill>
                  <pic:spPr bwMode="auto">
                    <a:xfrm>
                      <a:off x="0" y="0"/>
                      <a:ext cx="1903095" cy="19685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-4285615</wp:posOffset>
            </wp:positionV>
            <wp:extent cx="1903095" cy="1968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2">
                      <a:extLst>
                        <a:ext uri="{28A0092B-C50C-407E-A947-70E740481C1C}"/>
                      </a:extLst>
                    </a:blip>
                    <a:srcRect/>
                    <a:stretch>
                      <a:fillRect/>
                    </a:stretch>
                  </pic:blipFill>
                  <pic:spPr bwMode="auto">
                    <a:xfrm>
                      <a:off x="0" y="0"/>
                      <a:ext cx="1903095" cy="19685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-3942715</wp:posOffset>
            </wp:positionV>
            <wp:extent cx="1903095" cy="1968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3">
                      <a:extLst>
                        <a:ext uri="{28A0092B-C50C-407E-A947-70E740481C1C}"/>
                      </a:extLst>
                    </a:blip>
                    <a:srcRect/>
                    <a:stretch>
                      <a:fillRect/>
                    </a:stretch>
                  </pic:blipFill>
                  <pic:spPr bwMode="auto">
                    <a:xfrm>
                      <a:off x="0" y="0"/>
                      <a:ext cx="1903095" cy="19685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-3599815</wp:posOffset>
            </wp:positionV>
            <wp:extent cx="1903095" cy="1714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4">
                      <a:extLst>
                        <a:ext uri="{28A0092B-C50C-407E-A947-70E740481C1C}"/>
                      </a:extLst>
                    </a:blip>
                    <a:srcRect/>
                    <a:stretch>
                      <a:fillRect/>
                    </a:stretch>
                  </pic:blipFill>
                  <pic:spPr bwMode="auto">
                    <a:xfrm>
                      <a:off x="0" y="0"/>
                      <a:ext cx="1903095" cy="17145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-650875</wp:posOffset>
            </wp:positionV>
            <wp:extent cx="1903095" cy="1714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5">
                      <a:extLst>
                        <a:ext uri="{28A0092B-C50C-407E-A947-70E740481C1C}"/>
                      </a:extLst>
                    </a:blip>
                    <a:srcRect/>
                    <a:stretch>
                      <a:fillRect/>
                    </a:stretch>
                  </pic:blipFill>
                  <pic:spPr bwMode="auto">
                    <a:xfrm>
                      <a:off x="0" y="0"/>
                      <a:ext cx="1903095" cy="17145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-33655</wp:posOffset>
            </wp:positionV>
            <wp:extent cx="768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-16510</wp:posOffset>
            </wp:positionV>
            <wp:extent cx="7683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-33655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-16510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-33655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-16510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2" w:name="page83"/>
    <w:bookmarkEnd w:id="8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03" w:lineRule="exact"/>
        <w:rPr>
          <w:sz w:val="20"/>
          <w:szCs w:val="20"/>
          <w:color w:val="auto"/>
        </w:rPr>
      </w:pPr>
    </w:p>
    <w:p>
      <w:pPr>
        <w:ind w:left="540" w:hanging="532"/>
        <w:spacing w:after="0"/>
        <w:tabs>
          <w:tab w:leader="none" w:pos="5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7"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Green Thumb Industries Inc. (“Green Thumb” or the “Company”), a national cannabis consumer packaged goods company and retailer, promotes well-being through the power of cannabis while being committed to community and sustainable profitable growth. Green Thumb owns, manufactures, and distributes a portfolio of cannabis consumer packaged goods brands including &amp;Shine, Beboe, Dogwalkers, Doctor Solomon’s, Good Green, incredibles, and RYTHM, to third-party retail stores across the United States as well as to Green Thumb owned retail stores. The Company also owns and operates retail cannabis stores that include a rapidly growing national chain named RISE, which sell our products and third-party products. As of December 31, 2022, Green Thumb has revenue in fifteen markets (California, Colorado, Connecticut, Florida, Illinois, Maryland, Massachusetts, Minnesota, Nevada, New Jersey, New York, Ohio, Pennsylvania, Rhode Island and Virginia), employs approximately 3,800 people and serves millions of patients and customers annually.</w:t>
      </w:r>
    </w:p>
    <w:p>
      <w:pPr>
        <w:spacing w:after="0" w:line="198" w:lineRule="exact"/>
        <w:rPr>
          <w:sz w:val="20"/>
          <w:szCs w:val="20"/>
          <w:color w:val="auto"/>
        </w:rPr>
      </w:pPr>
    </w:p>
    <w:p>
      <w:pPr>
        <w:ind w:right="140"/>
        <w:spacing w:after="0" w:line="227" w:lineRule="auto"/>
        <w:rPr>
          <w:sz w:val="20"/>
          <w:szCs w:val="20"/>
          <w:color w:val="auto"/>
        </w:rPr>
      </w:pPr>
      <w:r>
        <w:rPr>
          <w:rFonts w:ascii="Times New Roman" w:cs="Times New Roman" w:eastAsia="Times New Roman" w:hAnsi="Times New Roman"/>
          <w:sz w:val="18"/>
          <w:szCs w:val="18"/>
          <w:color w:val="auto"/>
        </w:rPr>
        <w:t>The Company’s registered office is located at 250 Howe Street, 20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Vancouver, British Columbia, V6C 3R8. The Company’s U.S. headquarters are at 325 W. Huron St., Suite 700, Chicago, IL 60654.</w:t>
      </w:r>
    </w:p>
    <w:p>
      <w:pPr>
        <w:spacing w:after="0" w:line="194" w:lineRule="exact"/>
        <w:rPr>
          <w:sz w:val="20"/>
          <w:szCs w:val="20"/>
          <w:color w:val="auto"/>
        </w:rPr>
      </w:pPr>
    </w:p>
    <w:p>
      <w:pPr>
        <w:ind w:left="540" w:hanging="532"/>
        <w:spacing w:after="0"/>
        <w:tabs>
          <w:tab w:leader="none" w:pos="5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 and Statement of Compliance</w:t>
      </w:r>
    </w:p>
    <w:p>
      <w:pPr>
        <w:spacing w:after="0" w:line="256" w:lineRule="exact"/>
        <w:rPr>
          <w:sz w:val="20"/>
          <w:szCs w:val="20"/>
          <w:color w:val="auto"/>
        </w:rPr>
      </w:pPr>
    </w:p>
    <w:p>
      <w:pPr>
        <w:ind w:left="520" w:right="24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as of December 31, 2022, 2021 and 2020 (the “Consolidated Financial Statements”), have been prepared in accordance with accounting principles generally accepted in the United States of America (“GAAP”).</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Certain previously reported amounts have been reclassified between line items to conform to the current period presentation.</w:t>
      </w:r>
    </w:p>
    <w:p>
      <w:pPr>
        <w:spacing w:after="0" w:line="113"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Measurement</w:t>
      </w:r>
    </w:p>
    <w:p>
      <w:pPr>
        <w:spacing w:after="0" w:line="256" w:lineRule="exact"/>
        <w:rPr>
          <w:sz w:val="20"/>
          <w:szCs w:val="20"/>
          <w:color w:val="auto"/>
        </w:rPr>
      </w:pPr>
    </w:p>
    <w:p>
      <w:pPr>
        <w:ind w:left="520" w:right="440"/>
        <w:spacing w:after="0" w:line="282"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on the going concern basis, under the historical cost convention, except for certain financial instruments that are measured at fair value as described herein.</w:t>
      </w:r>
    </w:p>
    <w:p>
      <w:pPr>
        <w:spacing w:after="0" w:line="50"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Functional and Presentation Currency</w:t>
      </w:r>
    </w:p>
    <w:p>
      <w:pPr>
        <w:spacing w:after="0" w:line="256" w:lineRule="exact"/>
        <w:rPr>
          <w:sz w:val="20"/>
          <w:szCs w:val="20"/>
          <w:color w:val="auto"/>
        </w:rPr>
      </w:pPr>
    </w:p>
    <w:p>
      <w:pPr>
        <w:ind w:left="520" w:right="140"/>
        <w:spacing w:after="0" w:line="282" w:lineRule="auto"/>
        <w:rPr>
          <w:sz w:val="20"/>
          <w:szCs w:val="20"/>
          <w:color w:val="auto"/>
        </w:rPr>
      </w:pPr>
      <w:r>
        <w:rPr>
          <w:rFonts w:ascii="Times New Roman" w:cs="Times New Roman" w:eastAsia="Times New Roman" w:hAnsi="Times New Roman"/>
          <w:sz w:val="18"/>
          <w:szCs w:val="18"/>
          <w:color w:val="auto"/>
        </w:rPr>
        <w:t>The Company’s functional currency, as determined by management, is the United States (“US”) dollar. These consolidated financial statements are presented in U.S. dollars.</w:t>
      </w:r>
    </w:p>
    <w:p>
      <w:pPr>
        <w:spacing w:after="0" w:line="50"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Consolidation</w:t>
      </w:r>
    </w:p>
    <w:p>
      <w:pPr>
        <w:spacing w:after="0" w:line="229" w:lineRule="exact"/>
        <w:rPr>
          <w:sz w:val="20"/>
          <w:szCs w:val="20"/>
          <w:color w:val="auto"/>
        </w:rPr>
      </w:pPr>
    </w:p>
    <w:p>
      <w:pPr>
        <w:jc w:val="both"/>
        <w:ind w:left="520" w:right="34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for the years ended December 31, 2022, 2021 and 2020 include the accounts of the Company, its wholly-owned subsidiaries, its partially-owned subsidiaries, and those controlled by the Company by virtue of agreements, on a consolidated basis after elimination of intercompany transactions and balances.</w:t>
      </w:r>
    </w:p>
    <w:p>
      <w:pPr>
        <w:spacing w:after="0" w:line="176" w:lineRule="exact"/>
        <w:rPr>
          <w:sz w:val="20"/>
          <w:szCs w:val="20"/>
          <w:color w:val="auto"/>
        </w:rPr>
      </w:pPr>
    </w:p>
    <w:p>
      <w:pPr>
        <w:ind w:left="520" w:right="100"/>
        <w:spacing w:after="0" w:line="289" w:lineRule="auto"/>
        <w:rPr>
          <w:sz w:val="20"/>
          <w:szCs w:val="20"/>
          <w:color w:val="auto"/>
        </w:rPr>
      </w:pPr>
      <w:r>
        <w:rPr>
          <w:rFonts w:ascii="Times New Roman" w:cs="Times New Roman" w:eastAsia="Times New Roman" w:hAnsi="Times New Roman"/>
          <w:sz w:val="17"/>
          <w:szCs w:val="17"/>
          <w:color w:val="auto"/>
        </w:rPr>
        <w:t>Control exists when the Company has power over an investee, when the Company is exposed, or has rights, to variable returns from the investee, and when the Company has the ability to affect those returns through its power over the investee. The financial statements of entities controlled by the Company by virtue of agreements are fully consolidated from the date that control commences and deconsolidated from the date control ceases.</w:t>
      </w:r>
    </w:p>
    <w:p>
      <w:pPr>
        <w:spacing w:after="0" w:line="158" w:lineRule="exact"/>
        <w:rPr>
          <w:sz w:val="20"/>
          <w:szCs w:val="20"/>
          <w:color w:val="auto"/>
        </w:rPr>
      </w:pPr>
    </w:p>
    <w:p>
      <w:pPr>
        <w:ind w:left="520" w:right="420"/>
        <w:spacing w:after="0" w:line="282" w:lineRule="auto"/>
        <w:rPr>
          <w:sz w:val="20"/>
          <w:szCs w:val="20"/>
          <w:color w:val="auto"/>
        </w:rPr>
      </w:pPr>
      <w:r>
        <w:rPr>
          <w:rFonts w:ascii="Times New Roman" w:cs="Times New Roman" w:eastAsia="Times New Roman" w:hAnsi="Times New Roman"/>
          <w:sz w:val="18"/>
          <w:szCs w:val="18"/>
          <w:color w:val="auto"/>
        </w:rPr>
        <w:t>The following are the Company’s wholly owned subsidiaries that are included in these consolidated financial statements as of and for the years ended December 31, 2022 and 2021: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4620" w:type="dxa"/>
            <w:vAlign w:val="bottom"/>
            <w:tcBorders>
              <w:bottom w:val="single" w:sz="8" w:color="auto"/>
            </w:tcBorders>
          </w:tcPr>
          <w:p>
            <w:pPr>
              <w:jc w:val="center"/>
              <w:ind w:left="2570"/>
              <w:spacing w:after="0"/>
              <w:rPr>
                <w:sz w:val="20"/>
                <w:szCs w:val="20"/>
                <w:color w:val="auto"/>
              </w:rPr>
            </w:pPr>
            <w:r>
              <w:rPr>
                <w:rFonts w:ascii="Times New Roman" w:cs="Times New Roman" w:eastAsia="Times New Roman" w:hAnsi="Times New Roman"/>
                <w:sz w:val="18"/>
                <w:szCs w:val="18"/>
                <w:b w:val="1"/>
                <w:bCs w:val="1"/>
                <w:color w:val="auto"/>
                <w:w w:val="99"/>
              </w:rPr>
              <w:t>Jurisdiction</w:t>
            </w:r>
          </w:p>
        </w:tc>
        <w:tc>
          <w:tcPr>
            <w:tcW w:w="700" w:type="dxa"/>
            <w:vAlign w:val="bottom"/>
          </w:tcPr>
          <w:p>
            <w:pPr>
              <w:spacing w:after="0"/>
              <w:rPr>
                <w:sz w:val="21"/>
                <w:szCs w:val="21"/>
                <w:color w:val="auto"/>
              </w:rPr>
            </w:pPr>
          </w:p>
        </w:tc>
        <w:tc>
          <w:tcPr>
            <w:tcW w:w="26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Interest</w:t>
            </w:r>
          </w:p>
        </w:tc>
      </w:tr>
      <w:tr>
        <w:trPr>
          <w:trHeight w:val="24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GTI23, Inc.</w:t>
            </w:r>
          </w:p>
        </w:tc>
        <w:tc>
          <w:tcPr>
            <w:tcW w:w="4620" w:type="dxa"/>
            <w:vAlign w:val="bottom"/>
            <w:shd w:val="clear" w:color="auto" w:fill="CCEEFF"/>
          </w:tcPr>
          <w:p>
            <w:pPr>
              <w:jc w:val="center"/>
              <w:ind w:left="2590"/>
              <w:spacing w:after="0"/>
              <w:rPr>
                <w:sz w:val="20"/>
                <w:szCs w:val="20"/>
                <w:color w:val="auto"/>
              </w:rPr>
            </w:pPr>
            <w:r>
              <w:rPr>
                <w:rFonts w:ascii="Times New Roman" w:cs="Times New Roman" w:eastAsia="Times New Roman" w:hAnsi="Times New Roman"/>
                <w:sz w:val="18"/>
                <w:szCs w:val="18"/>
                <w:color w:val="auto"/>
              </w:rPr>
              <w:t>Delaware</w:t>
            </w:r>
          </w:p>
        </w:tc>
        <w:tc>
          <w:tcPr>
            <w:tcW w:w="700" w:type="dxa"/>
            <w:vAlign w:val="bottom"/>
            <w:shd w:val="clear" w:color="auto" w:fill="CCEEFF"/>
          </w:tcPr>
          <w:p>
            <w:pPr>
              <w:spacing w:after="0"/>
              <w:rPr>
                <w:sz w:val="21"/>
                <w:szCs w:val="21"/>
                <w:color w:val="auto"/>
              </w:rPr>
            </w:pPr>
          </w:p>
        </w:tc>
        <w:tc>
          <w:tcPr>
            <w:tcW w:w="26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100 %</w:t>
            </w:r>
          </w:p>
        </w:tc>
      </w:tr>
      <w:tr>
        <w:trPr>
          <w:trHeight w:val="23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VCP23, LLC</w:t>
            </w:r>
          </w:p>
        </w:tc>
        <w:tc>
          <w:tcPr>
            <w:tcW w:w="4620" w:type="dxa"/>
            <w:vAlign w:val="bottom"/>
          </w:tcPr>
          <w:p>
            <w:pPr>
              <w:jc w:val="center"/>
              <w:ind w:left="2590"/>
              <w:spacing w:after="0"/>
              <w:rPr>
                <w:sz w:val="20"/>
                <w:szCs w:val="20"/>
                <w:color w:val="auto"/>
              </w:rPr>
            </w:pPr>
            <w:r>
              <w:rPr>
                <w:rFonts w:ascii="Times New Roman" w:cs="Times New Roman" w:eastAsia="Times New Roman" w:hAnsi="Times New Roman"/>
                <w:sz w:val="18"/>
                <w:szCs w:val="18"/>
                <w:color w:val="auto"/>
              </w:rPr>
              <w:t>Delaware</w:t>
            </w:r>
          </w:p>
        </w:tc>
        <w:tc>
          <w:tcPr>
            <w:tcW w:w="33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100 %</w:t>
            </w:r>
          </w:p>
        </w:tc>
      </w:tr>
      <w:tr>
        <w:trPr>
          <w:trHeight w:val="247"/>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GTI Core, LLC</w:t>
            </w:r>
          </w:p>
        </w:tc>
        <w:tc>
          <w:tcPr>
            <w:tcW w:w="4620" w:type="dxa"/>
            <w:vAlign w:val="bottom"/>
            <w:shd w:val="clear" w:color="auto" w:fill="CCEEFF"/>
          </w:tcPr>
          <w:p>
            <w:pPr>
              <w:jc w:val="center"/>
              <w:ind w:left="2590"/>
              <w:spacing w:after="0"/>
              <w:rPr>
                <w:sz w:val="20"/>
                <w:szCs w:val="20"/>
                <w:color w:val="auto"/>
              </w:rPr>
            </w:pPr>
            <w:r>
              <w:rPr>
                <w:rFonts w:ascii="Times New Roman" w:cs="Times New Roman" w:eastAsia="Times New Roman" w:hAnsi="Times New Roman"/>
                <w:sz w:val="18"/>
                <w:szCs w:val="18"/>
                <w:color w:val="auto"/>
              </w:rPr>
              <w:t>Delaware</w:t>
            </w:r>
          </w:p>
        </w:tc>
        <w:tc>
          <w:tcPr>
            <w:tcW w:w="33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100 %</w:t>
            </w:r>
          </w:p>
        </w:tc>
      </w:tr>
      <w:tr>
        <w:trPr>
          <w:trHeight w:val="648"/>
        </w:trPr>
        <w:tc>
          <w:tcPr>
            <w:tcW w:w="3320" w:type="dxa"/>
            <w:vAlign w:val="bottom"/>
          </w:tcPr>
          <w:p>
            <w:pPr>
              <w:spacing w:after="0"/>
              <w:rPr>
                <w:sz w:val="24"/>
                <w:szCs w:val="24"/>
                <w:color w:val="auto"/>
              </w:rPr>
            </w:pPr>
          </w:p>
        </w:tc>
        <w:tc>
          <w:tcPr>
            <w:tcW w:w="462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F-7</w:t>
            </w:r>
          </w:p>
        </w:tc>
        <w:tc>
          <w:tcPr>
            <w:tcW w:w="70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88"/>
        </w:trPr>
        <w:tc>
          <w:tcPr>
            <w:tcW w:w="3320" w:type="dxa"/>
            <w:vAlign w:val="bottom"/>
            <w:tcBorders>
              <w:bottom w:val="single" w:sz="8" w:color="9A9A9A"/>
            </w:tcBorders>
          </w:tcPr>
          <w:p>
            <w:pPr>
              <w:spacing w:after="0"/>
              <w:rPr>
                <w:sz w:val="7"/>
                <w:szCs w:val="7"/>
                <w:color w:val="auto"/>
              </w:rPr>
            </w:pPr>
          </w:p>
        </w:tc>
        <w:tc>
          <w:tcPr>
            <w:tcW w:w="46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26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03" w:lineRule="exact"/>
        <w:rPr>
          <w:sz w:val="20"/>
          <w:szCs w:val="20"/>
          <w:color w:val="auto"/>
        </w:rPr>
      </w:pPr>
    </w:p>
    <w:p>
      <w:pPr>
        <w:ind w:left="460" w:hanging="452"/>
        <w:spacing w:after="0"/>
        <w:tabs>
          <w:tab w:leader="none" w:pos="4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3" w:lineRule="exact"/>
        <w:rPr>
          <w:sz w:val="20"/>
          <w:szCs w:val="20"/>
          <w:color w:val="auto"/>
        </w:rPr>
      </w:pPr>
    </w:p>
    <w:p>
      <w:pPr>
        <w:ind w:left="960" w:hanging="443"/>
        <w:spacing w:after="0"/>
        <w:tabs>
          <w:tab w:leader="none" w:pos="9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Basis of Consolidation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ind w:left="520" w:right="560"/>
        <w:spacing w:after="0" w:line="282" w:lineRule="auto"/>
        <w:rPr>
          <w:sz w:val="20"/>
          <w:szCs w:val="20"/>
          <w:color w:val="auto"/>
        </w:rPr>
      </w:pPr>
      <w:r>
        <w:rPr>
          <w:rFonts w:ascii="Times New Roman" w:cs="Times New Roman" w:eastAsia="Times New Roman" w:hAnsi="Times New Roman"/>
          <w:sz w:val="18"/>
          <w:szCs w:val="18"/>
          <w:color w:val="auto"/>
        </w:rPr>
        <w:t>The following are VCP23, LLC’s and GTI Core, LLC’s wholly owned subsidiaries and entities over which the Company has control, that are included in these consolidated financial statements for the year ended December 31, 2022: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2720" w:type="dxa"/>
            <w:vAlign w:val="bottom"/>
            <w:gridSpan w:val="2"/>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6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340" w:type="dxa"/>
            <w:vAlign w:val="bottom"/>
          </w:tcPr>
          <w:p>
            <w:pPr>
              <w:spacing w:after="0"/>
              <w:rPr>
                <w:sz w:val="21"/>
                <w:szCs w:val="21"/>
                <w:color w:val="auto"/>
              </w:rPr>
            </w:pPr>
          </w:p>
        </w:tc>
        <w:tc>
          <w:tcPr>
            <w:tcW w:w="268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Purpose</w:t>
            </w:r>
          </w:p>
        </w:tc>
      </w:tr>
      <w:tr>
        <w:trPr>
          <w:trHeight w:val="243"/>
        </w:trPr>
        <w:tc>
          <w:tcPr>
            <w:tcW w:w="3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JB17, LLC</w:t>
            </w: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5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93"/>
              </w:rPr>
              <w:t>%</w:t>
            </w:r>
          </w:p>
        </w:tc>
        <w:tc>
          <w:tcPr>
            <w:tcW w:w="1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340" w:type="dxa"/>
            <w:vAlign w:val="bottom"/>
            <w:shd w:val="clear" w:color="auto" w:fill="CCEEFF"/>
          </w:tcPr>
          <w:p>
            <w:pPr>
              <w:spacing w:after="0"/>
              <w:rPr>
                <w:sz w:val="21"/>
                <w:szCs w:val="21"/>
                <w:color w:val="auto"/>
              </w:rPr>
            </w:pPr>
          </w:p>
        </w:tc>
        <w:tc>
          <w:tcPr>
            <w:tcW w:w="2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company</w:t>
            </w:r>
          </w:p>
        </w:tc>
      </w:tr>
      <w:tr>
        <w:trPr>
          <w:trHeight w:val="23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GTI-Clinic Illinois Holdings, LLC</w:t>
            </w:r>
          </w:p>
        </w:tc>
        <w:tc>
          <w:tcPr>
            <w:tcW w:w="27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340" w:type="dxa"/>
            <w:vAlign w:val="bottom"/>
          </w:tcPr>
          <w:p>
            <w:pPr>
              <w:spacing w:after="0"/>
              <w:rPr>
                <w:sz w:val="20"/>
                <w:szCs w:val="20"/>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47"/>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ILDISP, LLC</w:t>
            </w:r>
          </w:p>
        </w:tc>
        <w:tc>
          <w:tcPr>
            <w:tcW w:w="27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340" w:type="dxa"/>
            <w:vAlign w:val="bottom"/>
            <w:shd w:val="clear" w:color="auto" w:fill="CCEEFF"/>
          </w:tcPr>
          <w:p>
            <w:pPr>
              <w:spacing w:after="0"/>
              <w:rPr>
                <w:sz w:val="21"/>
                <w:szCs w:val="21"/>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3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RISE Holdings, Inc.</w:t>
            </w:r>
          </w:p>
        </w:tc>
        <w:tc>
          <w:tcPr>
            <w:tcW w:w="27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Massachusetts</w:t>
            </w:r>
          </w:p>
        </w:tc>
        <w:tc>
          <w:tcPr>
            <w:tcW w:w="340" w:type="dxa"/>
            <w:vAlign w:val="bottom"/>
          </w:tcPr>
          <w:p>
            <w:pPr>
              <w:spacing w:after="0"/>
              <w:rPr>
                <w:sz w:val="20"/>
                <w:szCs w:val="20"/>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47"/>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Liberty Compassion Inc.</w:t>
            </w:r>
          </w:p>
        </w:tc>
        <w:tc>
          <w:tcPr>
            <w:tcW w:w="27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Massachusetts</w:t>
            </w:r>
          </w:p>
        </w:tc>
        <w:tc>
          <w:tcPr>
            <w:tcW w:w="340" w:type="dxa"/>
            <w:vAlign w:val="bottom"/>
            <w:shd w:val="clear" w:color="auto" w:fill="CCEEFF"/>
          </w:tcPr>
          <w:p>
            <w:pPr>
              <w:spacing w:after="0"/>
              <w:rPr>
                <w:sz w:val="21"/>
                <w:szCs w:val="21"/>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3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GTI Maryland, LLC</w:t>
            </w:r>
          </w:p>
        </w:tc>
        <w:tc>
          <w:tcPr>
            <w:tcW w:w="27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340" w:type="dxa"/>
            <w:vAlign w:val="bottom"/>
          </w:tcPr>
          <w:p>
            <w:pPr>
              <w:spacing w:after="0"/>
              <w:rPr>
                <w:sz w:val="20"/>
                <w:szCs w:val="20"/>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47"/>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Ohio Investors 2017, LLC</w:t>
            </w:r>
          </w:p>
        </w:tc>
        <w:tc>
          <w:tcPr>
            <w:tcW w:w="27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340" w:type="dxa"/>
            <w:vAlign w:val="bottom"/>
            <w:shd w:val="clear" w:color="auto" w:fill="CCEEFF"/>
          </w:tcPr>
          <w:p>
            <w:pPr>
              <w:spacing w:after="0"/>
              <w:rPr>
                <w:sz w:val="21"/>
                <w:szCs w:val="21"/>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Holding Company</w:t>
            </w:r>
          </w:p>
        </w:tc>
      </w:tr>
      <w:tr>
        <w:trPr>
          <w:trHeight w:val="23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GTI Ohio, LLC</w:t>
            </w:r>
          </w:p>
        </w:tc>
        <w:tc>
          <w:tcPr>
            <w:tcW w:w="27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340" w:type="dxa"/>
            <w:vAlign w:val="bottom"/>
          </w:tcPr>
          <w:p>
            <w:pPr>
              <w:spacing w:after="0"/>
              <w:rPr>
                <w:sz w:val="20"/>
                <w:szCs w:val="20"/>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47"/>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GTI Nevada, LLC</w:t>
            </w:r>
          </w:p>
        </w:tc>
        <w:tc>
          <w:tcPr>
            <w:tcW w:w="27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340" w:type="dxa"/>
            <w:vAlign w:val="bottom"/>
            <w:shd w:val="clear" w:color="auto" w:fill="CCEEFF"/>
          </w:tcPr>
          <w:p>
            <w:pPr>
              <w:spacing w:after="0"/>
              <w:rPr>
                <w:sz w:val="21"/>
                <w:szCs w:val="21"/>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3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GTI Pennsylvania, LLC</w:t>
            </w:r>
          </w:p>
        </w:tc>
        <w:tc>
          <w:tcPr>
            <w:tcW w:w="27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340" w:type="dxa"/>
            <w:vAlign w:val="bottom"/>
          </w:tcPr>
          <w:p>
            <w:pPr>
              <w:spacing w:after="0"/>
              <w:rPr>
                <w:sz w:val="20"/>
                <w:szCs w:val="20"/>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47"/>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GTI Florida, LLC</w:t>
            </w:r>
          </w:p>
        </w:tc>
        <w:tc>
          <w:tcPr>
            <w:tcW w:w="27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340" w:type="dxa"/>
            <w:vAlign w:val="bottom"/>
            <w:shd w:val="clear" w:color="auto" w:fill="CCEEFF"/>
          </w:tcPr>
          <w:p>
            <w:pPr>
              <w:spacing w:after="0"/>
              <w:rPr>
                <w:sz w:val="21"/>
                <w:szCs w:val="21"/>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Holding company</w:t>
            </w:r>
          </w:p>
        </w:tc>
      </w:tr>
      <w:tr>
        <w:trPr>
          <w:trHeight w:val="23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KSGNF, LLC</w:t>
            </w:r>
          </w:p>
        </w:tc>
        <w:tc>
          <w:tcPr>
            <w:tcW w:w="27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340" w:type="dxa"/>
            <w:vAlign w:val="bottom"/>
          </w:tcPr>
          <w:p>
            <w:pPr>
              <w:spacing w:after="0"/>
              <w:rPr>
                <w:sz w:val="20"/>
                <w:szCs w:val="20"/>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47"/>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GTI New Jersey, LLC</w:t>
            </w:r>
          </w:p>
        </w:tc>
        <w:tc>
          <w:tcPr>
            <w:tcW w:w="27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340" w:type="dxa"/>
            <w:vAlign w:val="bottom"/>
            <w:shd w:val="clear" w:color="auto" w:fill="CCEEFF"/>
          </w:tcPr>
          <w:p>
            <w:pPr>
              <w:spacing w:after="0"/>
              <w:rPr>
                <w:sz w:val="21"/>
                <w:szCs w:val="21"/>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3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KW Ventures Holdings, LLC</w:t>
            </w:r>
          </w:p>
        </w:tc>
        <w:tc>
          <w:tcPr>
            <w:tcW w:w="27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340" w:type="dxa"/>
            <w:vAlign w:val="bottom"/>
          </w:tcPr>
          <w:p>
            <w:pPr>
              <w:spacing w:after="0"/>
              <w:rPr>
                <w:sz w:val="20"/>
                <w:szCs w:val="20"/>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47"/>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Chesapeake Alternatives, LLC</w:t>
            </w:r>
          </w:p>
        </w:tc>
        <w:tc>
          <w:tcPr>
            <w:tcW w:w="27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340" w:type="dxa"/>
            <w:vAlign w:val="bottom"/>
            <w:shd w:val="clear" w:color="auto" w:fill="CCEEFF"/>
          </w:tcPr>
          <w:p>
            <w:pPr>
              <w:spacing w:after="0"/>
              <w:rPr>
                <w:sz w:val="21"/>
                <w:szCs w:val="21"/>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3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Meshow, LLC</w:t>
            </w:r>
          </w:p>
        </w:tc>
        <w:tc>
          <w:tcPr>
            <w:tcW w:w="27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340" w:type="dxa"/>
            <w:vAlign w:val="bottom"/>
          </w:tcPr>
          <w:p>
            <w:pPr>
              <w:spacing w:after="0"/>
              <w:rPr>
                <w:sz w:val="20"/>
                <w:szCs w:val="20"/>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47"/>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Maryland Health and Wellness Center, Inc.</w:t>
            </w:r>
          </w:p>
        </w:tc>
        <w:tc>
          <w:tcPr>
            <w:tcW w:w="27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340" w:type="dxa"/>
            <w:vAlign w:val="bottom"/>
            <w:shd w:val="clear" w:color="auto" w:fill="CCEEFF"/>
          </w:tcPr>
          <w:p>
            <w:pPr>
              <w:spacing w:after="0"/>
              <w:rPr>
                <w:sz w:val="21"/>
                <w:szCs w:val="21"/>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3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Advanced Grow Labs, LLC</w:t>
            </w:r>
          </w:p>
        </w:tc>
        <w:tc>
          <w:tcPr>
            <w:tcW w:w="27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Connecticut</w:t>
            </w:r>
          </w:p>
        </w:tc>
        <w:tc>
          <w:tcPr>
            <w:tcW w:w="340" w:type="dxa"/>
            <w:vAlign w:val="bottom"/>
          </w:tcPr>
          <w:p>
            <w:pPr>
              <w:spacing w:after="0"/>
              <w:rPr>
                <w:sz w:val="20"/>
                <w:szCs w:val="20"/>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47"/>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Bluepoint Wellness of Westport, LLC</w:t>
            </w:r>
          </w:p>
        </w:tc>
        <w:tc>
          <w:tcPr>
            <w:tcW w:w="27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46 %</w:t>
            </w: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Connecticut</w:t>
            </w:r>
          </w:p>
        </w:tc>
        <w:tc>
          <w:tcPr>
            <w:tcW w:w="340" w:type="dxa"/>
            <w:vAlign w:val="bottom"/>
            <w:shd w:val="clear" w:color="auto" w:fill="CCEEFF"/>
          </w:tcPr>
          <w:p>
            <w:pPr>
              <w:spacing w:after="0"/>
              <w:rPr>
                <w:sz w:val="21"/>
                <w:szCs w:val="21"/>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3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Bluepoint Apothecary, LLC</w:t>
            </w:r>
          </w:p>
        </w:tc>
        <w:tc>
          <w:tcPr>
            <w:tcW w:w="27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Connecticut</w:t>
            </w:r>
          </w:p>
        </w:tc>
        <w:tc>
          <w:tcPr>
            <w:tcW w:w="340" w:type="dxa"/>
            <w:vAlign w:val="bottom"/>
          </w:tcPr>
          <w:p>
            <w:pPr>
              <w:spacing w:after="0"/>
              <w:rPr>
                <w:sz w:val="20"/>
                <w:szCs w:val="20"/>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47"/>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Southern CT Wellness and Healing</w:t>
            </w:r>
          </w:p>
        </w:tc>
        <w:tc>
          <w:tcPr>
            <w:tcW w:w="27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Connecticut</w:t>
            </w:r>
          </w:p>
        </w:tc>
        <w:tc>
          <w:tcPr>
            <w:tcW w:w="340" w:type="dxa"/>
            <w:vAlign w:val="bottom"/>
            <w:shd w:val="clear" w:color="auto" w:fill="CCEEFF"/>
          </w:tcPr>
          <w:p>
            <w:pPr>
              <w:spacing w:after="0"/>
              <w:rPr>
                <w:sz w:val="21"/>
                <w:szCs w:val="21"/>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3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Integral Associates, LLC</w:t>
            </w:r>
          </w:p>
        </w:tc>
        <w:tc>
          <w:tcPr>
            <w:tcW w:w="27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340" w:type="dxa"/>
            <w:vAlign w:val="bottom"/>
          </w:tcPr>
          <w:p>
            <w:pPr>
              <w:spacing w:after="0"/>
              <w:rPr>
                <w:sz w:val="20"/>
                <w:szCs w:val="20"/>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47"/>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Integral Associates CA, LLC</w:t>
            </w:r>
          </w:p>
        </w:tc>
        <w:tc>
          <w:tcPr>
            <w:tcW w:w="27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340" w:type="dxa"/>
            <w:vAlign w:val="bottom"/>
            <w:shd w:val="clear" w:color="auto" w:fill="CCEEFF"/>
          </w:tcPr>
          <w:p>
            <w:pPr>
              <w:spacing w:after="0"/>
              <w:rPr>
                <w:sz w:val="21"/>
                <w:szCs w:val="21"/>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3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Fiorello Pharmaceuticals, Inc.</w:t>
            </w:r>
          </w:p>
        </w:tc>
        <w:tc>
          <w:tcPr>
            <w:tcW w:w="27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340" w:type="dxa"/>
            <w:vAlign w:val="bottom"/>
          </w:tcPr>
          <w:p>
            <w:pPr>
              <w:spacing w:after="0"/>
              <w:rPr>
                <w:sz w:val="20"/>
                <w:szCs w:val="20"/>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47"/>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Dharma Pharmaceuticals, LLC</w:t>
            </w:r>
          </w:p>
        </w:tc>
        <w:tc>
          <w:tcPr>
            <w:tcW w:w="27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Virginia</w:t>
            </w:r>
          </w:p>
        </w:tc>
        <w:tc>
          <w:tcPr>
            <w:tcW w:w="340" w:type="dxa"/>
            <w:vAlign w:val="bottom"/>
            <w:shd w:val="clear" w:color="auto" w:fill="CCEEFF"/>
          </w:tcPr>
          <w:p>
            <w:pPr>
              <w:spacing w:after="0"/>
              <w:rPr>
                <w:sz w:val="21"/>
                <w:szCs w:val="21"/>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3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Summit Medical Compassion Center, Inc.</w:t>
            </w:r>
          </w:p>
        </w:tc>
        <w:tc>
          <w:tcPr>
            <w:tcW w:w="27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0 %</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Rhode Island</w:t>
            </w:r>
          </w:p>
        </w:tc>
        <w:tc>
          <w:tcPr>
            <w:tcW w:w="340" w:type="dxa"/>
            <w:vAlign w:val="bottom"/>
          </w:tcPr>
          <w:p>
            <w:pPr>
              <w:spacing w:after="0"/>
              <w:rPr>
                <w:sz w:val="20"/>
                <w:szCs w:val="20"/>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47"/>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LeafLine Industries, LLC</w:t>
            </w:r>
          </w:p>
        </w:tc>
        <w:tc>
          <w:tcPr>
            <w:tcW w:w="27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Minnesota</w:t>
            </w:r>
          </w:p>
        </w:tc>
        <w:tc>
          <w:tcPr>
            <w:tcW w:w="340" w:type="dxa"/>
            <w:vAlign w:val="bottom"/>
            <w:shd w:val="clear" w:color="auto" w:fill="CCEEFF"/>
          </w:tcPr>
          <w:p>
            <w:pPr>
              <w:spacing w:after="0"/>
              <w:rPr>
                <w:sz w:val="21"/>
                <w:szCs w:val="21"/>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holder</w:t>
            </w:r>
          </w:p>
        </w:tc>
      </w:tr>
      <w:tr>
        <w:trPr>
          <w:trHeight w:val="23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MC Brands, LLC</w:t>
            </w:r>
          </w:p>
        </w:tc>
        <w:tc>
          <w:tcPr>
            <w:tcW w:w="27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Colorado</w:t>
            </w:r>
          </w:p>
        </w:tc>
        <w:tc>
          <w:tcPr>
            <w:tcW w:w="340" w:type="dxa"/>
            <w:vAlign w:val="bottom"/>
          </w:tcPr>
          <w:p>
            <w:pPr>
              <w:spacing w:after="0"/>
              <w:rPr>
                <w:sz w:val="20"/>
                <w:szCs w:val="20"/>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Intellectual property</w:t>
            </w:r>
          </w:p>
        </w:tc>
      </w:tr>
      <w:tr>
        <w:trPr>
          <w:trHeight w:val="247"/>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Success Holding Company</w:t>
            </w:r>
          </w:p>
        </w:tc>
        <w:tc>
          <w:tcPr>
            <w:tcW w:w="27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340" w:type="dxa"/>
            <w:vAlign w:val="bottom"/>
            <w:shd w:val="clear" w:color="auto" w:fill="CCEEFF"/>
          </w:tcPr>
          <w:p>
            <w:pPr>
              <w:spacing w:after="0"/>
              <w:rPr>
                <w:sz w:val="21"/>
                <w:szCs w:val="21"/>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Intellectual property</w:t>
            </w:r>
          </w:p>
        </w:tc>
      </w:tr>
      <w:tr>
        <w:trPr>
          <w:trHeight w:val="23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VCP IP Holdings, LLC</w:t>
            </w:r>
          </w:p>
        </w:tc>
        <w:tc>
          <w:tcPr>
            <w:tcW w:w="27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340" w:type="dxa"/>
            <w:vAlign w:val="bottom"/>
          </w:tcPr>
          <w:p>
            <w:pPr>
              <w:spacing w:after="0"/>
              <w:rPr>
                <w:sz w:val="20"/>
                <w:szCs w:val="20"/>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Intellectual property</w:t>
            </w:r>
          </w:p>
        </w:tc>
      </w:tr>
      <w:tr>
        <w:trPr>
          <w:trHeight w:val="247"/>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Vision Management Services, LLC</w:t>
            </w:r>
          </w:p>
        </w:tc>
        <w:tc>
          <w:tcPr>
            <w:tcW w:w="27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340" w:type="dxa"/>
            <w:vAlign w:val="bottom"/>
            <w:shd w:val="clear" w:color="auto" w:fill="CCEEFF"/>
          </w:tcPr>
          <w:p>
            <w:pPr>
              <w:spacing w:after="0"/>
              <w:rPr>
                <w:sz w:val="21"/>
                <w:szCs w:val="21"/>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company</w:t>
            </w:r>
          </w:p>
        </w:tc>
      </w:tr>
      <w:tr>
        <w:trPr>
          <w:trHeight w:val="23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TWD18, LLC</w:t>
            </w:r>
          </w:p>
        </w:tc>
        <w:tc>
          <w:tcPr>
            <w:tcW w:w="27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340" w:type="dxa"/>
            <w:vAlign w:val="bottom"/>
          </w:tcPr>
          <w:p>
            <w:pPr>
              <w:spacing w:after="0"/>
              <w:rPr>
                <w:sz w:val="20"/>
                <w:szCs w:val="20"/>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company</w:t>
            </w:r>
          </w:p>
        </w:tc>
      </w:tr>
      <w:tr>
        <w:trPr>
          <w:trHeight w:val="247"/>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VCP Real Estate Holdings, LLC</w:t>
            </w:r>
          </w:p>
        </w:tc>
        <w:tc>
          <w:tcPr>
            <w:tcW w:w="27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340" w:type="dxa"/>
            <w:vAlign w:val="bottom"/>
            <w:shd w:val="clear" w:color="auto" w:fill="CCEEFF"/>
          </w:tcPr>
          <w:p>
            <w:pPr>
              <w:spacing w:after="0"/>
              <w:rPr>
                <w:sz w:val="21"/>
                <w:szCs w:val="21"/>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holding company</w:t>
            </w:r>
          </w:p>
        </w:tc>
      </w:tr>
      <w:tr>
        <w:trPr>
          <w:trHeight w:val="648"/>
        </w:trPr>
        <w:tc>
          <w:tcPr>
            <w:tcW w:w="3860" w:type="dxa"/>
            <w:vAlign w:val="bottom"/>
          </w:tcPr>
          <w:p>
            <w:pPr>
              <w:spacing w:after="0"/>
              <w:rPr>
                <w:sz w:val="24"/>
                <w:szCs w:val="24"/>
                <w:color w:val="auto"/>
              </w:rPr>
            </w:pPr>
          </w:p>
        </w:tc>
        <w:tc>
          <w:tcPr>
            <w:tcW w:w="272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F-8</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01"/>
        </w:trPr>
        <w:tc>
          <w:tcPr>
            <w:tcW w:w="3860" w:type="dxa"/>
            <w:vAlign w:val="bottom"/>
            <w:tcBorders>
              <w:bottom w:val="single" w:sz="8" w:color="9A9A9A"/>
            </w:tcBorders>
          </w:tcPr>
          <w:p>
            <w:pPr>
              <w:spacing w:after="0"/>
              <w:rPr>
                <w:sz w:val="8"/>
                <w:szCs w:val="8"/>
                <w:color w:val="auto"/>
              </w:rPr>
            </w:pPr>
          </w:p>
        </w:tc>
        <w:tc>
          <w:tcPr>
            <w:tcW w:w="218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6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03" w:lineRule="exact"/>
        <w:rPr>
          <w:sz w:val="20"/>
          <w:szCs w:val="20"/>
          <w:color w:val="auto"/>
        </w:rPr>
      </w:pPr>
    </w:p>
    <w:p>
      <w:pPr>
        <w:ind w:left="460" w:hanging="452"/>
        <w:spacing w:after="0"/>
        <w:tabs>
          <w:tab w:leader="none" w:pos="4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in Associates</w:t>
      </w:r>
    </w:p>
    <w:p>
      <w:pPr>
        <w:spacing w:after="0" w:line="229" w:lineRule="exact"/>
        <w:rPr>
          <w:sz w:val="20"/>
          <w:szCs w:val="20"/>
          <w:color w:val="auto"/>
        </w:rPr>
      </w:pPr>
    </w:p>
    <w:p>
      <w:pPr>
        <w:ind w:left="520" w:right="340"/>
        <w:spacing w:after="0" w:line="266" w:lineRule="auto"/>
        <w:rPr>
          <w:sz w:val="20"/>
          <w:szCs w:val="20"/>
          <w:color w:val="auto"/>
        </w:rPr>
      </w:pPr>
      <w:r>
        <w:rPr>
          <w:rFonts w:ascii="Times New Roman" w:cs="Times New Roman" w:eastAsia="Times New Roman" w:hAnsi="Times New Roman"/>
          <w:sz w:val="18"/>
          <w:szCs w:val="18"/>
          <w:color w:val="auto"/>
        </w:rPr>
        <w:t>Associates are all entities over which the Company has significant influence but not control, generally accompanying a shareholding of between 20% and 50% of the voting rights. Investments in associates are accounted for using the equity method and are initially recognized at cost. Accounting policies of associates have been adjusted where necessary to ensure consistency with the policies adopted by the Company.</w:t>
      </w:r>
    </w:p>
    <w:p>
      <w:pPr>
        <w:spacing w:after="0" w:line="176" w:lineRule="exact"/>
        <w:rPr>
          <w:sz w:val="20"/>
          <w:szCs w:val="20"/>
          <w:color w:val="auto"/>
        </w:rPr>
      </w:pPr>
    </w:p>
    <w:p>
      <w:pPr>
        <w:ind w:left="520" w:right="100"/>
        <w:spacing w:after="0" w:line="258" w:lineRule="auto"/>
        <w:rPr>
          <w:sz w:val="20"/>
          <w:szCs w:val="20"/>
          <w:color w:val="auto"/>
        </w:rPr>
      </w:pPr>
      <w:r>
        <w:rPr>
          <w:rFonts w:ascii="Times New Roman" w:cs="Times New Roman" w:eastAsia="Times New Roman" w:hAnsi="Times New Roman"/>
          <w:sz w:val="18"/>
          <w:szCs w:val="18"/>
          <w:color w:val="auto"/>
        </w:rPr>
        <w:t>The Company assesses annually whether there is any objective evidence that its interest in associates is impaired. If impaired, the carrying value of the Company’s share of the underlying assets of associates is written down to its estimated recoverable amount (being the higher of fair value less costs of disposal or value in use) and charged to the consolidated statement of operations. If the financial statements of an associate are prepared on a date different from that used by the Company, adjustments are made for the effects of significant transactions or events that occur between that date and the date of these consolidated financial statements.</w:t>
      </w:r>
    </w:p>
    <w:p>
      <w:pPr>
        <w:spacing w:after="0" w:line="287"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Non-controlling Interests</w:t>
      </w:r>
    </w:p>
    <w:p>
      <w:pPr>
        <w:spacing w:after="0" w:line="256" w:lineRule="exact"/>
        <w:rPr>
          <w:sz w:val="20"/>
          <w:szCs w:val="20"/>
          <w:color w:val="auto"/>
        </w:rPr>
      </w:pPr>
    </w:p>
    <w:p>
      <w:pPr>
        <w:ind w:left="520" w:right="120"/>
        <w:spacing w:after="0" w:line="256" w:lineRule="auto"/>
        <w:rPr>
          <w:sz w:val="20"/>
          <w:szCs w:val="20"/>
          <w:color w:val="auto"/>
        </w:rPr>
      </w:pPr>
      <w:r>
        <w:rPr>
          <w:rFonts w:ascii="Times New Roman" w:cs="Times New Roman" w:eastAsia="Times New Roman" w:hAnsi="Times New Roman"/>
          <w:sz w:val="18"/>
          <w:szCs w:val="18"/>
          <w:color w:val="auto"/>
        </w:rPr>
        <w:t>Non-controlling interests (“NCI”) represent equity interests owned by outside parties. NCI may be initially measured at fair value or at the NCI’s proportionate share of the recognized amounts of the acquiree’s identifiable net assets. The choice of measurement is made on a transaction by transaction basis. Green Thumb elected to measure each NCI at its proportionate share of the recognized amounts of the acquiree’s identifiable net assets. The share of net assets attributable to NCI are presented as a component of equity. Their share of net income or loss and comprehensive income or loss is recognized directly in equity. Total comprehensive income or loss of subsidiaries is attributed to the shareholders of the Company and to the NCI, even if this results in the NCI having a deficit balance.</w:t>
      </w:r>
    </w:p>
    <w:p>
      <w:pPr>
        <w:spacing w:after="0" w:line="291"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w:t>
      </w:r>
    </w:p>
    <w:p>
      <w:pPr>
        <w:spacing w:after="0" w:line="256"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cash deposits in financial institutions, other deposits that are readily convertible into cash, with original maturities of three months or less, and cash held at retail locations.</w:t>
      </w:r>
    </w:p>
    <w:p>
      <w:pPr>
        <w:spacing w:after="0" w:line="266"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w:t>
      </w:r>
    </w:p>
    <w:p>
      <w:pPr>
        <w:spacing w:after="0" w:line="256" w:lineRule="exact"/>
        <w:rPr>
          <w:sz w:val="20"/>
          <w:szCs w:val="20"/>
          <w:color w:val="auto"/>
        </w:rPr>
      </w:pPr>
    </w:p>
    <w:p>
      <w:pPr>
        <w:jc w:val="both"/>
        <w:ind w:left="520" w:right="80"/>
        <w:spacing w:after="0" w:line="272" w:lineRule="auto"/>
        <w:rPr>
          <w:sz w:val="20"/>
          <w:szCs w:val="20"/>
          <w:color w:val="auto"/>
        </w:rPr>
      </w:pPr>
      <w:r>
        <w:rPr>
          <w:rFonts w:ascii="Times New Roman" w:cs="Times New Roman" w:eastAsia="Times New Roman" w:hAnsi="Times New Roman"/>
          <w:sz w:val="17"/>
          <w:szCs w:val="17"/>
          <w:color w:val="auto"/>
        </w:rPr>
        <w:t>Accounts receivable are recorded net of an allowance for doubtful accounts. The Company estimates the allowance for doubtful accounts based on existing contractual payment terms, actual payment patterns of its customers and individual customer circumstances. For the years ended December 31, 2022 and 2021 the Company recorded approximately $928 thousand and $643 thousand, respectively, in allowance for doubtful accounts.</w:t>
      </w:r>
    </w:p>
    <w:p>
      <w:pPr>
        <w:spacing w:after="0" w:line="2" w:lineRule="exact"/>
        <w:rPr>
          <w:sz w:val="20"/>
          <w:szCs w:val="20"/>
          <w:color w:val="auto"/>
        </w:rPr>
      </w:pPr>
    </w:p>
    <w:p>
      <w:pPr>
        <w:ind w:left="520" w:right="260"/>
        <w:spacing w:after="0" w:line="260" w:lineRule="auto"/>
        <w:rPr>
          <w:sz w:val="20"/>
          <w:szCs w:val="20"/>
          <w:color w:val="auto"/>
        </w:rPr>
      </w:pPr>
      <w:r>
        <w:rPr>
          <w:rFonts w:ascii="Times New Roman" w:cs="Times New Roman" w:eastAsia="Times New Roman" w:hAnsi="Times New Roman"/>
          <w:sz w:val="18"/>
          <w:szCs w:val="18"/>
          <w:color w:val="auto"/>
        </w:rPr>
        <w:t>During the years ended December 31, 2022, 2021 and 2020, the Company recorded bad debt expense of $423 thousand, $488 thousand and $367 thousand, respectively.</w:t>
      </w:r>
    </w:p>
    <w:p>
      <w:pPr>
        <w:spacing w:after="0" w:line="285"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56" w:lineRule="exact"/>
        <w:rPr>
          <w:sz w:val="20"/>
          <w:szCs w:val="20"/>
          <w:color w:val="auto"/>
        </w:rPr>
      </w:pPr>
    </w:p>
    <w:p>
      <w:pPr>
        <w:ind w:left="520" w:right="300"/>
        <w:spacing w:after="0" w:line="282" w:lineRule="auto"/>
        <w:rPr>
          <w:sz w:val="20"/>
          <w:szCs w:val="20"/>
          <w:color w:val="auto"/>
        </w:rPr>
      </w:pPr>
      <w:r>
        <w:rPr>
          <w:rFonts w:ascii="Times New Roman" w:cs="Times New Roman" w:eastAsia="Times New Roman" w:hAnsi="Times New Roman"/>
          <w:sz w:val="18"/>
          <w:szCs w:val="18"/>
          <w:color w:val="auto"/>
        </w:rPr>
        <w:t>Inventories of purchased finished goods and packing materials are initially valued at cost and subsequently at the lower of cost and net realizable value.</w:t>
      </w:r>
    </w:p>
    <w:p>
      <w:pPr>
        <w:spacing w:after="0" w:line="162" w:lineRule="exact"/>
        <w:rPr>
          <w:sz w:val="20"/>
          <w:szCs w:val="20"/>
          <w:color w:val="auto"/>
        </w:rPr>
      </w:pPr>
    </w:p>
    <w:p>
      <w:pPr>
        <w:ind w:left="520" w:right="240"/>
        <w:spacing w:after="0" w:line="282" w:lineRule="auto"/>
        <w:rPr>
          <w:sz w:val="20"/>
          <w:szCs w:val="20"/>
          <w:color w:val="auto"/>
        </w:rPr>
      </w:pPr>
      <w:r>
        <w:rPr>
          <w:rFonts w:ascii="Times New Roman" w:cs="Times New Roman" w:eastAsia="Times New Roman" w:hAnsi="Times New Roman"/>
          <w:sz w:val="18"/>
          <w:szCs w:val="18"/>
          <w:color w:val="auto"/>
        </w:rPr>
        <w:t>Costs incurred during the growing and production process are capitalized as incurred to the extent that cost is less than net realizable value. These costs include materials, labor and manufacturing overhead used in the growing and production processes.</w:t>
      </w:r>
    </w:p>
    <w:p>
      <w:pPr>
        <w:spacing w:after="0" w:line="162" w:lineRule="exact"/>
        <w:rPr>
          <w:sz w:val="20"/>
          <w:szCs w:val="20"/>
          <w:color w:val="auto"/>
        </w:rPr>
      </w:pPr>
    </w:p>
    <w:p>
      <w:pPr>
        <w:ind w:left="520" w:right="160"/>
        <w:spacing w:after="0" w:line="261" w:lineRule="auto"/>
        <w:rPr>
          <w:sz w:val="20"/>
          <w:szCs w:val="20"/>
          <w:color w:val="auto"/>
        </w:rPr>
      </w:pPr>
      <w:r>
        <w:rPr>
          <w:rFonts w:ascii="Times New Roman" w:cs="Times New Roman" w:eastAsia="Times New Roman" w:hAnsi="Times New Roman"/>
          <w:sz w:val="18"/>
          <w:szCs w:val="18"/>
          <w:color w:val="auto"/>
        </w:rPr>
        <w:t>Net realizable value is determined as the estimated selling price in the ordinary course of business less the estimated costs of completion and the estimated costs necessary to make the sale. Cost is determined using the weighted average cost basis. Products for resale and supplies and consumables are valued at lower of cost and net realizable value. The Company reviews inventory for obsolete, redundant and slow-moving goods and any such inventories are written down to net realizable value.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03" w:lineRule="exact"/>
        <w:rPr>
          <w:sz w:val="20"/>
          <w:szCs w:val="20"/>
          <w:color w:val="auto"/>
        </w:rPr>
      </w:pPr>
    </w:p>
    <w:p>
      <w:pPr>
        <w:ind w:left="460" w:hanging="452"/>
        <w:spacing w:after="0"/>
        <w:tabs>
          <w:tab w:leader="none" w:pos="4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56" w:lineRule="exact"/>
        <w:rPr>
          <w:sz w:val="20"/>
          <w:szCs w:val="20"/>
          <w:color w:val="auto"/>
        </w:rPr>
      </w:pPr>
    </w:p>
    <w:p>
      <w:pPr>
        <w:ind w:left="520" w:right="100"/>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including capitalized borrowing costs, net of accumulated depreciation and impairment losses, if any. Expenditures that materially increase the life of the assets are capitalized. Ordinary repairs and maintenance are expensed as incurred. Depreciation is calculated on a straight-line basis over the estimated useful life of the asset using the following terms and methods:</w:t>
      </w:r>
    </w:p>
    <w:p>
      <w:pPr>
        <w:spacing w:after="0" w:line="194" w:lineRule="exact"/>
        <w:rPr>
          <w:sz w:val="20"/>
          <w:szCs w:val="20"/>
          <w:color w:val="auto"/>
        </w:rPr>
      </w:pPr>
    </w:p>
    <w:tbl>
      <w:tblPr>
        <w:tblLayout w:type="fixed"/>
        <w:tblInd w:w="2160" w:type="dxa"/>
        <w:tblCellMar>
          <w:top w:w="0" w:type="dxa"/>
          <w:left w:w="0" w:type="dxa"/>
          <w:bottom w:w="0" w:type="dxa"/>
          <w:right w:w="0" w:type="dxa"/>
        </w:tblCellMar>
      </w:tblPr>
      <w:tr>
        <w:trPr>
          <w:trHeight w:val="243"/>
        </w:trPr>
        <w:tc>
          <w:tcPr>
            <w:tcW w:w="3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Land</w:t>
            </w:r>
          </w:p>
        </w:tc>
        <w:tc>
          <w:tcPr>
            <w:tcW w:w="3060" w:type="dxa"/>
            <w:vAlign w:val="bottom"/>
            <w:gridSpan w:val="2"/>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Not Depreciated</w:t>
            </w:r>
          </w:p>
        </w:tc>
      </w:tr>
      <w:tr>
        <w:trPr>
          <w:trHeight w:val="239"/>
        </w:trPr>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Land Improvements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30 Years</w:t>
            </w:r>
          </w:p>
        </w:tc>
      </w:tr>
      <w:tr>
        <w:trPr>
          <w:trHeight w:val="247"/>
        </w:trPr>
        <w:tc>
          <w:tcPr>
            <w:tcW w:w="3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620" w:type="dxa"/>
            <w:vAlign w:val="bottom"/>
            <w:shd w:val="clear" w:color="auto" w:fill="CCEEFF"/>
          </w:tcPr>
          <w:p>
            <w:pPr>
              <w:spacing w:after="0"/>
              <w:rPr>
                <w:sz w:val="21"/>
                <w:szCs w:val="21"/>
                <w:color w:val="auto"/>
              </w:rPr>
            </w:pPr>
          </w:p>
        </w:tc>
        <w:tc>
          <w:tcPr>
            <w:tcW w:w="1440" w:type="dxa"/>
            <w:vAlign w:val="bottom"/>
            <w:shd w:val="clear" w:color="auto" w:fill="CCEEFF"/>
          </w:tcPr>
          <w:p>
            <w:pPr>
              <w:jc w:val="center"/>
              <w:ind w:right="730"/>
              <w:spacing w:after="0"/>
              <w:rPr>
                <w:sz w:val="20"/>
                <w:szCs w:val="20"/>
                <w:color w:val="auto"/>
              </w:rPr>
            </w:pPr>
            <w:r>
              <w:rPr>
                <w:rFonts w:ascii="Times New Roman" w:cs="Times New Roman" w:eastAsia="Times New Roman" w:hAnsi="Times New Roman"/>
                <w:sz w:val="18"/>
                <w:szCs w:val="18"/>
                <w:color w:val="auto"/>
                <w:w w:val="96"/>
              </w:rPr>
              <w:t>39 Years</w:t>
            </w:r>
          </w:p>
        </w:tc>
      </w:tr>
      <w:tr>
        <w:trPr>
          <w:trHeight w:val="239"/>
        </w:trPr>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Furniture and Fixtures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7 Years</w:t>
            </w:r>
          </w:p>
        </w:tc>
      </w:tr>
      <w:tr>
        <w:trPr>
          <w:trHeight w:val="247"/>
        </w:trPr>
        <w:tc>
          <w:tcPr>
            <w:tcW w:w="3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620" w:type="dxa"/>
            <w:vAlign w:val="bottom"/>
            <w:shd w:val="clear" w:color="auto" w:fill="CCEEFF"/>
          </w:tcPr>
          <w:p>
            <w:pPr>
              <w:spacing w:after="0"/>
              <w:rPr>
                <w:sz w:val="21"/>
                <w:szCs w:val="21"/>
                <w:color w:val="auto"/>
              </w:rPr>
            </w:pPr>
          </w:p>
        </w:tc>
        <w:tc>
          <w:tcPr>
            <w:tcW w:w="1440" w:type="dxa"/>
            <w:vAlign w:val="bottom"/>
            <w:shd w:val="clear" w:color="auto" w:fill="CCEEFF"/>
          </w:tcPr>
          <w:p>
            <w:pPr>
              <w:jc w:val="center"/>
              <w:ind w:right="710"/>
              <w:spacing w:after="0"/>
              <w:rPr>
                <w:sz w:val="20"/>
                <w:szCs w:val="20"/>
                <w:color w:val="auto"/>
              </w:rPr>
            </w:pPr>
            <w:r>
              <w:rPr>
                <w:rFonts w:ascii="Times New Roman" w:cs="Times New Roman" w:eastAsia="Times New Roman" w:hAnsi="Times New Roman"/>
                <w:sz w:val="18"/>
                <w:szCs w:val="18"/>
                <w:color w:val="auto"/>
                <w:w w:val="93"/>
              </w:rPr>
              <w:t>5 Years</w:t>
            </w:r>
          </w:p>
        </w:tc>
      </w:tr>
      <w:tr>
        <w:trPr>
          <w:trHeight w:val="239"/>
        </w:trPr>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Leasehold Improvements</w:t>
            </w:r>
          </w:p>
        </w:tc>
        <w:tc>
          <w:tcPr>
            <w:tcW w:w="3060" w:type="dxa"/>
            <w:vAlign w:val="bottom"/>
            <w:gridSpan w:val="2"/>
          </w:tcPr>
          <w:p>
            <w:pPr>
              <w:jc w:val="center"/>
              <w:ind w:left="730"/>
              <w:spacing w:after="0"/>
              <w:rPr>
                <w:sz w:val="20"/>
                <w:szCs w:val="20"/>
                <w:color w:val="auto"/>
              </w:rPr>
            </w:pPr>
            <w:r>
              <w:rPr>
                <w:rFonts w:ascii="Times New Roman" w:cs="Times New Roman" w:eastAsia="Times New Roman" w:hAnsi="Times New Roman"/>
                <w:sz w:val="18"/>
                <w:szCs w:val="18"/>
                <w:color w:val="auto"/>
              </w:rPr>
              <w:t>Remaining Life of Lease</w:t>
            </w:r>
          </w:p>
        </w:tc>
      </w:tr>
      <w:tr>
        <w:trPr>
          <w:trHeight w:val="247"/>
        </w:trPr>
        <w:tc>
          <w:tcPr>
            <w:tcW w:w="3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Production and Processing Equipment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7 Years</w:t>
            </w:r>
          </w:p>
        </w:tc>
      </w:tr>
      <w:tr>
        <w:trPr>
          <w:trHeight w:val="234"/>
        </w:trPr>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Assets Under Construction</w:t>
            </w:r>
          </w:p>
        </w:tc>
        <w:tc>
          <w:tcPr>
            <w:tcW w:w="3060" w:type="dxa"/>
            <w:vAlign w:val="bottom"/>
            <w:gridSpan w:val="2"/>
          </w:tcPr>
          <w:p>
            <w:pPr>
              <w:jc w:val="center"/>
              <w:ind w:left="730"/>
              <w:spacing w:after="0"/>
              <w:rPr>
                <w:sz w:val="20"/>
                <w:szCs w:val="20"/>
                <w:color w:val="auto"/>
              </w:rPr>
            </w:pPr>
            <w:r>
              <w:rPr>
                <w:rFonts w:ascii="Times New Roman" w:cs="Times New Roman" w:eastAsia="Times New Roman" w:hAnsi="Times New Roman"/>
                <w:sz w:val="18"/>
                <w:szCs w:val="18"/>
                <w:color w:val="auto"/>
              </w:rPr>
              <w:t>Not Depreciated</w:t>
            </w:r>
          </w:p>
        </w:tc>
      </w:tr>
    </w:tbl>
    <w:p>
      <w:pPr>
        <w:spacing w:after="0" w:line="206" w:lineRule="exact"/>
        <w:rPr>
          <w:sz w:val="20"/>
          <w:szCs w:val="20"/>
          <w:color w:val="auto"/>
        </w:rPr>
      </w:pPr>
    </w:p>
    <w:p>
      <w:pPr>
        <w:ind w:left="520" w:right="80"/>
        <w:spacing w:after="0" w:line="261" w:lineRule="auto"/>
        <w:rPr>
          <w:sz w:val="20"/>
          <w:szCs w:val="20"/>
          <w:color w:val="auto"/>
        </w:rPr>
      </w:pPr>
      <w:r>
        <w:rPr>
          <w:rFonts w:ascii="Times New Roman" w:cs="Times New Roman" w:eastAsia="Times New Roman" w:hAnsi="Times New Roman"/>
          <w:sz w:val="18"/>
          <w:szCs w:val="18"/>
          <w:color w:val="auto"/>
        </w:rPr>
        <w:t>The assets’ residual values, useful lives and methods of depreciation are reviewed at each financial year-end and adjusted prospectively if appropriate. An item of equipment is derecognized upon disposal or when no future economic benefits are expected from its use. Any gain or loss arising on de-recognition of the asset (calculated as the difference between the net disposal proceeds and the carrying value of the asset) is included in operations in the year the asset is derecognized.</w:t>
      </w:r>
    </w:p>
    <w:p>
      <w:pPr>
        <w:spacing w:after="0" w:line="180" w:lineRule="exact"/>
        <w:rPr>
          <w:sz w:val="20"/>
          <w:szCs w:val="20"/>
          <w:color w:val="auto"/>
        </w:rPr>
      </w:pPr>
    </w:p>
    <w:p>
      <w:pPr>
        <w:ind w:left="520" w:right="80"/>
        <w:spacing w:after="0" w:line="253" w:lineRule="auto"/>
        <w:rPr>
          <w:sz w:val="20"/>
          <w:szCs w:val="20"/>
          <w:color w:val="auto"/>
        </w:rPr>
      </w:pPr>
      <w:r>
        <w:rPr>
          <w:rFonts w:ascii="Times New Roman" w:cs="Times New Roman" w:eastAsia="Times New Roman" w:hAnsi="Times New Roman"/>
          <w:sz w:val="18"/>
          <w:szCs w:val="18"/>
          <w:color w:val="auto"/>
        </w:rPr>
        <w:t>The Company evaluates the recoverability of other long-lived assets, including property, plant and equipment, and certain identifiable intangible assets, whenever events or changes in circumstances indicate that the carrying value of an asset or asset group may not be recoverable. The Company performs impairment tests of indefinite-lived intangible assets on an annual basis or more frequently in certain circumstances. Factors which could trigger an impairment review include significant underperformance relative to historical or projected future operating results, significant changes in the manner of use of the assets or the strategy for the overall business, a significant decrease in the market value of the assets or significant negative industry or economic trends. When the Company determines that the carrying value of long-lived assets may not be recoverable based upon the existence of one or more of the indicators, the assets are assessed for impairment based on the estimated future undiscounted cash flows expected to result from the use of the asset and its eventual disposition. If the carrying value of an asset exceeds its estimated future undiscounted cash flows, an impairment loss is recorded for the excess of the asset’s carrying value over its fair value. During the years ended December 31, 2022 and 2021, the Company recorded an impairment charge of $1,419 thousand and $4,744 thousand respectively, within selling, general, and administrative expenses on the consolidated statement of operations. No such impairment charges were recorded during the year ended December 31, 2020.</w:t>
      </w:r>
    </w:p>
    <w:p>
      <w:pPr>
        <w:spacing w:after="0" w:line="294"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 Receivable and Investments</w:t>
      </w:r>
    </w:p>
    <w:p>
      <w:pPr>
        <w:spacing w:after="0" w:line="256" w:lineRule="exact"/>
        <w:rPr>
          <w:sz w:val="20"/>
          <w:szCs w:val="20"/>
          <w:color w:val="auto"/>
        </w:rPr>
      </w:pPr>
    </w:p>
    <w:p>
      <w:pPr>
        <w:ind w:left="520"/>
        <w:spacing w:after="0" w:line="266" w:lineRule="auto"/>
        <w:rPr>
          <w:sz w:val="20"/>
          <w:szCs w:val="20"/>
          <w:color w:val="auto"/>
        </w:rPr>
      </w:pPr>
      <w:r>
        <w:rPr>
          <w:rFonts w:ascii="Times New Roman" w:cs="Times New Roman" w:eastAsia="Times New Roman" w:hAnsi="Times New Roman"/>
          <w:sz w:val="18"/>
          <w:szCs w:val="18"/>
          <w:color w:val="auto"/>
        </w:rPr>
        <w:t>Convertible notes investments and investments in equity of private companies are classified as financial assets at fair value. Upon initial recognition, the investment is recognized at fair value with directly attributable transaction costs expensed as incurred. Subsequent changes in fair value are recognized in profit or loss.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6" w:name="page87"/>
    <w:bookmarkEnd w:id="8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03" w:lineRule="exact"/>
        <w:rPr>
          <w:sz w:val="20"/>
          <w:szCs w:val="20"/>
          <w:color w:val="auto"/>
        </w:rPr>
      </w:pPr>
    </w:p>
    <w:p>
      <w:pPr>
        <w:ind w:left="460" w:hanging="452"/>
        <w:spacing w:after="0"/>
        <w:tabs>
          <w:tab w:leader="none" w:pos="4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ind w:left="520" w:right="80"/>
        <w:spacing w:after="0" w:line="266" w:lineRule="auto"/>
        <w:rPr>
          <w:sz w:val="20"/>
          <w:szCs w:val="20"/>
          <w:color w:val="auto"/>
        </w:rPr>
      </w:pPr>
      <w:r>
        <w:rPr>
          <w:rFonts w:ascii="Times New Roman" w:cs="Times New Roman" w:eastAsia="Times New Roman" w:hAnsi="Times New Roman"/>
          <w:sz w:val="18"/>
          <w:szCs w:val="18"/>
          <w:color w:val="auto"/>
        </w:rPr>
        <w:t>Intangible assets are recorded at cost less accumulated amortization and impairment losses, if any. Intangible assets acquired in a business combination are measured at fair value at the acquisition date. Amortization periods of assets with finite lives are based on management’s estimates at the date of acquisition and were as follows for each class of intangible asset as of December 31, 2022:</w:t>
      </w:r>
    </w:p>
    <w:p>
      <w:pPr>
        <w:spacing w:after="0" w:line="194" w:lineRule="exact"/>
        <w:rPr>
          <w:sz w:val="20"/>
          <w:szCs w:val="20"/>
          <w:color w:val="auto"/>
        </w:rPr>
      </w:pPr>
    </w:p>
    <w:tbl>
      <w:tblPr>
        <w:tblLayout w:type="fixed"/>
        <w:tblInd w:w="2160" w:type="dxa"/>
        <w:tblCellMar>
          <w:top w:w="0" w:type="dxa"/>
          <w:left w:w="0" w:type="dxa"/>
          <w:bottom w:w="0" w:type="dxa"/>
          <w:right w:w="0" w:type="dxa"/>
        </w:tblCellMar>
      </w:tblPr>
      <w:tr>
        <w:trPr>
          <w:trHeight w:val="243"/>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Licenses and Permits</w:t>
            </w:r>
          </w:p>
        </w:tc>
        <w:tc>
          <w:tcPr>
            <w:tcW w:w="3140" w:type="dxa"/>
            <w:vAlign w:val="bottom"/>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7-15 years</w:t>
            </w:r>
          </w:p>
        </w:tc>
      </w:tr>
      <w:tr>
        <w:trPr>
          <w:trHeight w:val="239"/>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Tradenames</w:t>
            </w:r>
          </w:p>
        </w:tc>
        <w:tc>
          <w:tcPr>
            <w:tcW w:w="31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3-15 years</w:t>
            </w:r>
          </w:p>
        </w:tc>
      </w:tr>
      <w:tr>
        <w:trPr>
          <w:trHeight w:val="247"/>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Customer Relationships</w:t>
            </w:r>
          </w:p>
        </w:tc>
        <w:tc>
          <w:tcPr>
            <w:tcW w:w="3140" w:type="dxa"/>
            <w:vAlign w:val="bottom"/>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3-7 years</w:t>
            </w:r>
          </w:p>
        </w:tc>
      </w:tr>
      <w:tr>
        <w:trPr>
          <w:trHeight w:val="234"/>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Non-competition Agreement</w:t>
            </w:r>
          </w:p>
        </w:tc>
        <w:tc>
          <w:tcPr>
            <w:tcW w:w="31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2-5 years</w:t>
            </w:r>
          </w:p>
        </w:tc>
      </w:tr>
    </w:tbl>
    <w:p>
      <w:pPr>
        <w:spacing w:after="0" w:line="206" w:lineRule="exact"/>
        <w:rPr>
          <w:sz w:val="20"/>
          <w:szCs w:val="20"/>
          <w:color w:val="auto"/>
        </w:rPr>
      </w:pPr>
    </w:p>
    <w:p>
      <w:pPr>
        <w:ind w:left="520" w:right="560"/>
        <w:spacing w:after="0" w:line="282" w:lineRule="auto"/>
        <w:rPr>
          <w:sz w:val="20"/>
          <w:szCs w:val="20"/>
          <w:color w:val="auto"/>
        </w:rPr>
      </w:pPr>
      <w:r>
        <w:rPr>
          <w:rFonts w:ascii="Times New Roman" w:cs="Times New Roman" w:eastAsia="Times New Roman" w:hAnsi="Times New Roman"/>
          <w:sz w:val="18"/>
          <w:szCs w:val="18"/>
          <w:color w:val="auto"/>
        </w:rPr>
        <w:t>Intangible assets with finite lives are amortized over their estimated useful lives. The estimated useful lives, residual values and amortization methods are reviewed at each year end, and any changes in estimates are accounted for prospectively.</w:t>
      </w:r>
    </w:p>
    <w:p>
      <w:pPr>
        <w:spacing w:after="0" w:line="162" w:lineRule="exact"/>
        <w:rPr>
          <w:sz w:val="20"/>
          <w:szCs w:val="20"/>
          <w:color w:val="auto"/>
        </w:rPr>
      </w:pPr>
    </w:p>
    <w:p>
      <w:pPr>
        <w:ind w:left="520" w:right="180"/>
        <w:spacing w:after="0" w:line="261" w:lineRule="auto"/>
        <w:rPr>
          <w:sz w:val="20"/>
          <w:szCs w:val="20"/>
          <w:color w:val="auto"/>
        </w:rPr>
      </w:pPr>
      <w:r>
        <w:rPr>
          <w:rFonts w:ascii="Times New Roman" w:cs="Times New Roman" w:eastAsia="Times New Roman" w:hAnsi="Times New Roman"/>
          <w:sz w:val="18"/>
          <w:szCs w:val="18"/>
          <w:color w:val="auto"/>
        </w:rPr>
        <w:t>During 2022, management determined that certain tradenames associated with the 2019 acquisition of Integral Associates, LLC should be written off as the Company has made plans to re-brand the Essence retail stores acquired as part of that transaction, into RISE retail stores along with a decision to no longer produce the Desert Grown Farms brand. As of December 31, 2022, the Company recorded an impairment charge of $31,131 thousand associated with these intangible assets.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such impairment charges were recorded during the years ended December 31, 2021 or 2020.</w:t>
      </w:r>
    </w:p>
    <w:p>
      <w:pPr>
        <w:spacing w:after="0" w:line="113"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256" w:lineRule="exact"/>
        <w:rPr>
          <w:sz w:val="20"/>
          <w:szCs w:val="20"/>
          <w:color w:val="auto"/>
        </w:rPr>
      </w:pPr>
    </w:p>
    <w:p>
      <w:pPr>
        <w:ind w:left="520" w:right="100"/>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price paid for the acquisition of an entity over the fair value of the net tangible and intangible assets acquired. Goodwill is either assigned to a specific reporting unit or allocated between reporting units based on the relative fair value of each reporting unit.</w:t>
      </w:r>
    </w:p>
    <w:p>
      <w:pPr>
        <w:spacing w:after="0" w:line="176" w:lineRule="exact"/>
        <w:rPr>
          <w:sz w:val="20"/>
          <w:szCs w:val="20"/>
          <w:color w:val="auto"/>
        </w:rPr>
      </w:pPr>
    </w:p>
    <w:p>
      <w:pPr>
        <w:ind w:left="520"/>
        <w:spacing w:after="0" w:line="261" w:lineRule="auto"/>
        <w:rPr>
          <w:sz w:val="20"/>
          <w:szCs w:val="20"/>
          <w:color w:val="auto"/>
        </w:rPr>
      </w:pPr>
      <w:r>
        <w:rPr>
          <w:rFonts w:ascii="Times New Roman" w:cs="Times New Roman" w:eastAsia="Times New Roman" w:hAnsi="Times New Roman"/>
          <w:sz w:val="18"/>
          <w:szCs w:val="18"/>
          <w:color w:val="auto"/>
        </w:rPr>
        <w:t>Goodwill is not subject to amortization and is tested annually for impairment, or more frequently if events or changes in circumstances indicate that they might be impaired. The Company reviews indefinite-lived intangible assets, which includes goodwill, annually, as of October 1, for impairment or more frequently if events or circumstances indicate that the carrying value may not be recoverable. An impaired asset is written down to its estimated fair value based on the most recent information available.</w:t>
      </w:r>
    </w:p>
    <w:p>
      <w:pPr>
        <w:spacing w:after="0" w:line="178" w:lineRule="exact"/>
        <w:rPr>
          <w:sz w:val="20"/>
          <w:szCs w:val="20"/>
          <w:color w:val="auto"/>
        </w:rPr>
      </w:pPr>
    </w:p>
    <w:p>
      <w:pPr>
        <w:ind w:left="520"/>
        <w:spacing w:after="0" w:line="256" w:lineRule="auto"/>
        <w:rPr>
          <w:sz w:val="20"/>
          <w:szCs w:val="20"/>
          <w:color w:val="auto"/>
        </w:rPr>
      </w:pPr>
      <w:r>
        <w:rPr>
          <w:rFonts w:ascii="Times New Roman" w:cs="Times New Roman" w:eastAsia="Times New Roman" w:hAnsi="Times New Roman"/>
          <w:sz w:val="18"/>
          <w:szCs w:val="18"/>
          <w:color w:val="auto"/>
        </w:rPr>
        <w:t xml:space="preserve">The Company applies the guidance in </w:t>
      </w:r>
      <w:r>
        <w:rPr>
          <w:rFonts w:ascii="Times New Roman" w:cs="Times New Roman" w:eastAsia="Times New Roman" w:hAnsi="Times New Roman"/>
          <w:sz w:val="18"/>
          <w:szCs w:val="18"/>
          <w:i w:val="1"/>
          <w:iCs w:val="1"/>
          <w:color w:val="auto"/>
        </w:rPr>
        <w:t>ASU 2011-08, Intangibles-Goodwill and Other-Testing Goodwill for Impairment</w:t>
      </w:r>
      <w:r>
        <w:rPr>
          <w:rFonts w:ascii="Times New Roman" w:cs="Times New Roman" w:eastAsia="Times New Roman" w:hAnsi="Times New Roman"/>
          <w:sz w:val="18"/>
          <w:szCs w:val="18"/>
          <w:color w:val="auto"/>
        </w:rPr>
        <w:t>, which provides entities with an option to perform a qualitative assessment (commonly referred to as “Step Zero”) to determine whether further quantitative analysis for impairment of goodwill is necessary. In performing Step Zero for the Company’s goodwill impairment test, the Company is required to make assumptions and judgments including but not limited to the following: the evaluation of macroeconomic conditions as related to the Company’s business, industry and market trends, and the overall future financial performance of its reporting units and future opportunities in the markets in which they operate. If impairment indicators are present after performing Step Zero, the Company would perform a quantitative impairment analysis to estimate the fair value of goodwill.</w:t>
      </w:r>
    </w:p>
    <w:p>
      <w:pPr>
        <w:spacing w:after="0" w:line="185"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2021 and 2020, the Company performed the Step Zero analysis for its goodwill impairment test. As a result of the Company's Step Zero analysis, no further quantitative impairment test was deemed necessary.</w:t>
      </w:r>
    </w:p>
    <w:p>
      <w:pPr>
        <w:spacing w:after="0" w:line="160" w:lineRule="exact"/>
        <w:rPr>
          <w:sz w:val="20"/>
          <w:szCs w:val="20"/>
          <w:color w:val="auto"/>
        </w:rPr>
      </w:pPr>
    </w:p>
    <w:p>
      <w:pPr>
        <w:ind w:left="520" w:right="20"/>
        <w:spacing w:after="0" w:line="261" w:lineRule="auto"/>
        <w:rPr>
          <w:sz w:val="20"/>
          <w:szCs w:val="20"/>
          <w:color w:val="auto"/>
        </w:rPr>
      </w:pPr>
      <w:r>
        <w:rPr>
          <w:rFonts w:ascii="Times New Roman" w:cs="Times New Roman" w:eastAsia="Times New Roman" w:hAnsi="Times New Roman"/>
          <w:sz w:val="18"/>
          <w:szCs w:val="18"/>
          <w:color w:val="auto"/>
        </w:rPr>
        <w:t xml:space="preserve">During 2022, the Company’s evaluated its existing reporting units under the accounting guidance provided in </w:t>
      </w:r>
      <w:r>
        <w:rPr>
          <w:rFonts w:ascii="Times New Roman" w:cs="Times New Roman" w:eastAsia="Times New Roman" w:hAnsi="Times New Roman"/>
          <w:sz w:val="18"/>
          <w:szCs w:val="18"/>
          <w:i w:val="1"/>
          <w:iCs w:val="1"/>
          <w:color w:val="auto"/>
        </w:rPr>
        <w:t>ASC 280, Segment Reporting</w:t>
      </w:r>
      <w:r>
        <w:rPr>
          <w:rFonts w:ascii="Times New Roman" w:cs="Times New Roman" w:eastAsia="Times New Roman" w:hAnsi="Times New Roman"/>
          <w:sz w:val="18"/>
          <w:szCs w:val="18"/>
          <w:color w:val="auto"/>
        </w:rPr>
        <w:t>, and determined that the individual components within each respective segment were economically similar and thus, aggregation of these components into two reporting units that align with our reportable segments, should be applied. Subsequent to October 1, 2022, the Company aggregated each of the components into two reporting units (Retail and Consumer Packaged Goods).</w:t>
      </w:r>
    </w:p>
    <w:p>
      <w:pPr>
        <w:spacing w:after="0" w:line="182" w:lineRule="exact"/>
        <w:rPr>
          <w:sz w:val="20"/>
          <w:szCs w:val="20"/>
          <w:color w:val="auto"/>
        </w:rPr>
      </w:pPr>
    </w:p>
    <w:p>
      <w:pPr>
        <w:ind w:left="520" w:right="80"/>
        <w:spacing w:after="0" w:line="261" w:lineRule="auto"/>
        <w:rPr>
          <w:sz w:val="20"/>
          <w:szCs w:val="20"/>
          <w:color w:val="auto"/>
        </w:rPr>
      </w:pPr>
      <w:r>
        <w:rPr>
          <w:rFonts w:ascii="Times New Roman" w:cs="Times New Roman" w:eastAsia="Times New Roman" w:hAnsi="Times New Roman"/>
          <w:sz w:val="18"/>
          <w:szCs w:val="18"/>
          <w:color w:val="auto"/>
        </w:rPr>
        <w:t>As part of the Company's aggregation of the 30 reporting units that existed prior to October 1, 2022, the accounting guidance required the reporting units be tested for impairment through a Step 1 quantitative analysis prior to aggregation.</w:t>
      </w: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00" w:lineRule="exact"/>
        <w:rPr>
          <w:sz w:val="20"/>
          <w:szCs w:val="20"/>
          <w:color w:val="auto"/>
        </w:rPr>
      </w:pPr>
    </w:p>
    <w:p>
      <w:pPr>
        <w:spacing w:after="0" w:line="219" w:lineRule="exact"/>
        <w:rPr>
          <w:sz w:val="20"/>
          <w:szCs w:val="20"/>
          <w:color w:val="auto"/>
        </w:rPr>
      </w:pPr>
    </w:p>
    <w:p>
      <w:pPr>
        <w:ind w:left="460" w:hanging="452"/>
        <w:spacing w:after="0"/>
        <w:tabs>
          <w:tab w:leader="none" w:pos="4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225"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w:t>
      </w:r>
      <w:r>
        <w:rPr>
          <w:rFonts w:ascii="Times New Roman" w:cs="Times New Roman" w:eastAsia="Times New Roman" w:hAnsi="Times New Roman"/>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ind w:left="520" w:right="160"/>
        <w:spacing w:after="0" w:line="261" w:lineRule="auto"/>
        <w:rPr>
          <w:sz w:val="20"/>
          <w:szCs w:val="20"/>
          <w:color w:val="auto"/>
        </w:rPr>
      </w:pPr>
      <w:r>
        <w:rPr>
          <w:rFonts w:ascii="Times New Roman" w:cs="Times New Roman" w:eastAsia="Times New Roman" w:hAnsi="Times New Roman"/>
          <w:sz w:val="18"/>
          <w:szCs w:val="18"/>
          <w:color w:val="auto"/>
        </w:rPr>
        <w:t>The analysis performed included estimating the fair value of each reporting unit using either an income or market approach. The income approach requires management to estimate a number of factors for each reporting unit, including projected future operating results, economic projections, anticipated future cash flows, discount rates, the allocation of shared or corporate costs and the eventual repeal of 280E. The market approach estimates fair value using comparable marketplace fair value data from within a comparable industry grouping.</w:t>
      </w:r>
    </w:p>
    <w:p>
      <w:pPr>
        <w:spacing w:after="0" w:line="396" w:lineRule="exact"/>
        <w:rPr>
          <w:sz w:val="20"/>
          <w:szCs w:val="20"/>
          <w:color w:val="auto"/>
        </w:rPr>
      </w:pPr>
    </w:p>
    <w:p>
      <w:pPr>
        <w:ind w:left="520"/>
        <w:spacing w:after="0" w:line="266" w:lineRule="auto"/>
        <w:rPr>
          <w:sz w:val="20"/>
          <w:szCs w:val="20"/>
          <w:color w:val="auto"/>
        </w:rPr>
      </w:pPr>
      <w:r>
        <w:rPr>
          <w:rFonts w:ascii="Times New Roman" w:cs="Times New Roman" w:eastAsia="Times New Roman" w:hAnsi="Times New Roman"/>
          <w:sz w:val="18"/>
          <w:szCs w:val="18"/>
          <w:color w:val="auto"/>
        </w:rPr>
        <w:t>The determination of fair value in the quantitative assessment requires the Company to make significant estimates and assumptions. These estimates and assumptions primarily include but are not limited to: the discount rate; terminal growth rates; and forecasts of revenue, operating income, depreciation and amortization and capital expenditures.</w:t>
      </w:r>
    </w:p>
    <w:p>
      <w:pPr>
        <w:spacing w:after="0" w:line="176" w:lineRule="exact"/>
        <w:rPr>
          <w:sz w:val="20"/>
          <w:szCs w:val="20"/>
          <w:color w:val="auto"/>
        </w:rPr>
      </w:pPr>
    </w:p>
    <w:p>
      <w:pPr>
        <w:ind w:left="520" w:right="80"/>
        <w:spacing w:after="0" w:line="261" w:lineRule="auto"/>
        <w:rPr>
          <w:sz w:val="20"/>
          <w:szCs w:val="20"/>
          <w:color w:val="auto"/>
        </w:rPr>
      </w:pPr>
      <w:r>
        <w:rPr>
          <w:rFonts w:ascii="Times New Roman" w:cs="Times New Roman" w:eastAsia="Times New Roman" w:hAnsi="Times New Roman"/>
          <w:sz w:val="18"/>
          <w:szCs w:val="18"/>
          <w:color w:val="auto"/>
        </w:rPr>
        <w:t>As a result, for the year ended December 31, 2022, the Company recognized an impairment charge of $44,392 thousand associated with its Nevada Consumer Packaged Goods operations and $12,980 thousand associated with its Nevada Retail operations as the carrying values of the reporting units exceeded the estimated fair value by such amounts. No such impairment charges were recorded for the years ended December 31, 2021 or 2020.</w:t>
      </w:r>
    </w:p>
    <w:p>
      <w:pPr>
        <w:spacing w:after="0" w:line="284"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520" w:right="20"/>
        <w:spacing w:after="0" w:line="261" w:lineRule="auto"/>
        <w:rPr>
          <w:sz w:val="20"/>
          <w:szCs w:val="20"/>
          <w:color w:val="auto"/>
        </w:rPr>
      </w:pPr>
      <w:r>
        <w:rPr>
          <w:rFonts w:ascii="Times New Roman" w:cs="Times New Roman" w:eastAsia="Times New Roman" w:hAnsi="Times New Roman"/>
          <w:sz w:val="18"/>
          <w:szCs w:val="18"/>
          <w:color w:val="auto"/>
        </w:rPr>
        <w:t>Deferred taxes are provided using an asset and liability method whereby deferred tax assets are recognized for deductible temporary differences and operating loss carryforwards and deferred tax liabilities are recognized for taxable temporary differences. Temporary differences are the differences between the reported amounts of assets and liabilities and their tax basis. Deferred tax assets are reduced by a valuation allowance when, in the opinion of management, it is more likely than not that some portion or all of the deferred tax assets will not be realized.</w:t>
      </w:r>
    </w:p>
    <w:p>
      <w:pPr>
        <w:spacing w:after="0" w:line="180" w:lineRule="exact"/>
        <w:rPr>
          <w:sz w:val="20"/>
          <w:szCs w:val="20"/>
          <w:color w:val="auto"/>
        </w:rPr>
      </w:pPr>
    </w:p>
    <w:p>
      <w:pPr>
        <w:jc w:val="both"/>
        <w:ind w:left="520" w:right="60"/>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are measured using the enacted taxes rates. The effect on deferred tax assets and liabilities of a change in tax law or tax rates is recognized in income in the period that enactment occurs. As discussed further in Note 12—Income Taxes, the Company is subject to the limitations of Internal Revenue Code of 1986, as amended (“IRC”) Section 280E.</w:t>
      </w:r>
    </w:p>
    <w:p>
      <w:pPr>
        <w:spacing w:after="0" w:line="280"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sz w:val="20"/>
          <w:szCs w:val="20"/>
          <w:color w:val="auto"/>
        </w:rPr>
      </w:pPr>
    </w:p>
    <w:p>
      <w:pPr>
        <w:ind w:left="520" w:right="140"/>
        <w:spacing w:after="0" w:line="267" w:lineRule="auto"/>
        <w:rPr>
          <w:sz w:val="20"/>
          <w:szCs w:val="20"/>
          <w:color w:val="auto"/>
        </w:rPr>
      </w:pPr>
      <w:r>
        <w:rPr>
          <w:rFonts w:ascii="Times New Roman" w:cs="Times New Roman" w:eastAsia="Times New Roman" w:hAnsi="Times New Roman"/>
          <w:sz w:val="18"/>
          <w:szCs w:val="18"/>
          <w:color w:val="auto"/>
        </w:rPr>
        <w:t xml:space="preserve">Revenue is recognized by the Company in accordance with ASU 2014-09, </w:t>
      </w:r>
      <w:r>
        <w:rPr>
          <w:rFonts w:ascii="Times New Roman" w:cs="Times New Roman" w:eastAsia="Times New Roman" w:hAnsi="Times New Roman"/>
          <w:sz w:val="18"/>
          <w:szCs w:val="18"/>
          <w:i w:val="1"/>
          <w:iCs w:val="1"/>
          <w:color w:val="auto"/>
        </w:rPr>
        <w:t>Revenue from Contracts with Customers (Topic 606)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ASU 2014-09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Through application of the standard, the Company recognizes revenue to depict the transfer of promised goods or services to the customer in an amount that reflects the consideration to which the Company expects to be entitled in exchange for those goods or services.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order to recognize revenue under ASU 2014-09, the Company applies the following five (5) steps:</w:t>
      </w:r>
    </w:p>
    <w:p>
      <w:pPr>
        <w:spacing w:after="0" w:line="225" w:lineRule="exact"/>
        <w:rPr>
          <w:sz w:val="20"/>
          <w:szCs w:val="20"/>
          <w:color w:val="auto"/>
        </w:rPr>
      </w:pPr>
    </w:p>
    <w:p>
      <w:pPr>
        <w:ind w:left="1480" w:hanging="352"/>
        <w:spacing w:after="0"/>
        <w:tabs>
          <w:tab w:leader="none" w:pos="14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 customer along with a corresponding contract;</w:t>
      </w:r>
    </w:p>
    <w:p>
      <w:pPr>
        <w:spacing w:after="0" w:line="238" w:lineRule="exact"/>
        <w:rPr>
          <w:rFonts w:ascii="Times New Roman" w:cs="Times New Roman" w:eastAsia="Times New Roman" w:hAnsi="Times New Roman"/>
          <w:sz w:val="18"/>
          <w:szCs w:val="18"/>
          <w:color w:val="auto"/>
        </w:rPr>
      </w:pPr>
    </w:p>
    <w:p>
      <w:pPr>
        <w:ind w:left="1480" w:hanging="352"/>
        <w:spacing w:after="0"/>
        <w:tabs>
          <w:tab w:leader="none" w:pos="14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 to transfer goods or provide distinct services to a customer;</w:t>
      </w:r>
    </w:p>
    <w:p>
      <w:pPr>
        <w:spacing w:after="0" w:line="238" w:lineRule="exact"/>
        <w:rPr>
          <w:rFonts w:ascii="Times New Roman" w:cs="Times New Roman" w:eastAsia="Times New Roman" w:hAnsi="Times New Roman"/>
          <w:sz w:val="18"/>
          <w:szCs w:val="18"/>
          <w:color w:val="auto"/>
        </w:rPr>
      </w:pPr>
    </w:p>
    <w:p>
      <w:pPr>
        <w:ind w:left="1480" w:right="320" w:hanging="338"/>
        <w:spacing w:after="0" w:line="282" w:lineRule="auto"/>
        <w:tabs>
          <w:tab w:leader="none" w:pos="14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 the Company expects to be entitled to in exchange for transferring promised goods or services to a customer;</w:t>
      </w:r>
    </w:p>
    <w:p>
      <w:pPr>
        <w:spacing w:after="0" w:line="175" w:lineRule="exact"/>
        <w:rPr>
          <w:rFonts w:ascii="Times New Roman" w:cs="Times New Roman" w:eastAsia="Times New Roman" w:hAnsi="Times New Roman"/>
          <w:sz w:val="18"/>
          <w:szCs w:val="18"/>
          <w:color w:val="auto"/>
        </w:rPr>
      </w:pPr>
    </w:p>
    <w:p>
      <w:pPr>
        <w:ind w:left="1480" w:hanging="338"/>
        <w:spacing w:after="0"/>
        <w:tabs>
          <w:tab w:leader="none" w:pos="14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w:t>
      </w:r>
    </w:p>
    <w:p>
      <w:pPr>
        <w:spacing w:after="0" w:line="238" w:lineRule="exact"/>
        <w:rPr>
          <w:rFonts w:ascii="Times New Roman" w:cs="Times New Roman" w:eastAsia="Times New Roman" w:hAnsi="Times New Roman"/>
          <w:sz w:val="18"/>
          <w:szCs w:val="18"/>
          <w:color w:val="auto"/>
        </w:rPr>
      </w:pPr>
    </w:p>
    <w:p>
      <w:pPr>
        <w:ind w:left="1500" w:hanging="358"/>
        <w:spacing w:after="0"/>
        <w:tabs>
          <w:tab w:leader="none" w:pos="15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Company satisfies the performance obligation(s).</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03" w:lineRule="exact"/>
        <w:rPr>
          <w:sz w:val="20"/>
          <w:szCs w:val="20"/>
          <w:color w:val="auto"/>
        </w:rPr>
      </w:pPr>
    </w:p>
    <w:p>
      <w:pPr>
        <w:ind w:left="460" w:hanging="452"/>
        <w:spacing w:after="0"/>
        <w:tabs>
          <w:tab w:leader="none" w:pos="4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ind w:left="520" w:right="180"/>
        <w:spacing w:after="0" w:line="261" w:lineRule="auto"/>
        <w:rPr>
          <w:sz w:val="20"/>
          <w:szCs w:val="20"/>
          <w:color w:val="auto"/>
        </w:rPr>
      </w:pPr>
      <w:r>
        <w:rPr>
          <w:rFonts w:ascii="Times New Roman" w:cs="Times New Roman" w:eastAsia="Times New Roman" w:hAnsi="Times New Roman"/>
          <w:sz w:val="18"/>
          <w:szCs w:val="18"/>
          <w:color w:val="auto"/>
        </w:rPr>
        <w:t>Revenues consist of Consumer Packaged Goods and Retail sales of cannabis, which are generally recognized at a point in time when control over the goods have been transferred to the customer and is recorded net of sales discounts. Payment is typically due upon transferring the goods to the customer or within a specified time period permitted under the Company’s credit policy. During the years ended December 31, 2022, 2021 and 2020, sales discounts totaled $167,288 thousand, $83,851 thousand and $48,442 thousand, respectively.</w:t>
      </w:r>
    </w:p>
    <w:p>
      <w:pPr>
        <w:spacing w:after="0" w:line="180" w:lineRule="exact"/>
        <w:rPr>
          <w:sz w:val="20"/>
          <w:szCs w:val="20"/>
          <w:color w:val="auto"/>
        </w:rPr>
      </w:pPr>
    </w:p>
    <w:p>
      <w:pPr>
        <w:ind w:left="520" w:right="120"/>
        <w:spacing w:after="0" w:line="282" w:lineRule="auto"/>
        <w:rPr>
          <w:sz w:val="20"/>
          <w:szCs w:val="20"/>
          <w:color w:val="auto"/>
        </w:rPr>
      </w:pPr>
      <w:r>
        <w:rPr>
          <w:rFonts w:ascii="Times New Roman" w:cs="Times New Roman" w:eastAsia="Times New Roman" w:hAnsi="Times New Roman"/>
          <w:sz w:val="18"/>
          <w:szCs w:val="18"/>
          <w:color w:val="auto"/>
        </w:rPr>
        <w:t>Revenue is recognized upon the satisfaction of the performance obligation. The Company satisfies its performance obligation and transfers control upon delivery and acceptance by the customer.</w:t>
      </w:r>
    </w:p>
    <w:p>
      <w:pPr>
        <w:spacing w:after="0" w:line="162" w:lineRule="exact"/>
        <w:rPr>
          <w:sz w:val="20"/>
          <w:szCs w:val="20"/>
          <w:color w:val="auto"/>
        </w:rPr>
      </w:pPr>
    </w:p>
    <w:p>
      <w:pPr>
        <w:ind w:left="520" w:right="160"/>
        <w:spacing w:after="0" w:line="261" w:lineRule="auto"/>
        <w:rPr>
          <w:sz w:val="20"/>
          <w:szCs w:val="20"/>
          <w:color w:val="auto"/>
        </w:rPr>
      </w:pPr>
      <w:r>
        <w:rPr>
          <w:rFonts w:ascii="Times New Roman" w:cs="Times New Roman" w:eastAsia="Times New Roman" w:hAnsi="Times New Roman"/>
          <w:sz w:val="18"/>
          <w:szCs w:val="18"/>
          <w:color w:val="auto"/>
        </w:rPr>
        <w:t>At some locations, the Company offers a loyalty reward program to its retail customers. A portion of the revenue generated in a sale must be allocated to the loyalty points earned. The amount allocated to the points earned is deferred until the loyalty points are redeemed or expire. As of December 31, 2022 and 2021, the loyalty liability totaled $4,871 thousand and $3,986 thousand, respectively, and is included in accrued liabilities on the consolidated balance sheets.</w:t>
      </w:r>
    </w:p>
    <w:p>
      <w:pPr>
        <w:spacing w:after="0" w:line="284"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Payments</w:t>
      </w:r>
    </w:p>
    <w:p>
      <w:pPr>
        <w:spacing w:after="0" w:line="229" w:lineRule="exact"/>
        <w:rPr>
          <w:sz w:val="20"/>
          <w:szCs w:val="20"/>
          <w:color w:val="auto"/>
        </w:rPr>
      </w:pPr>
    </w:p>
    <w:p>
      <w:pPr>
        <w:ind w:left="520"/>
        <w:spacing w:after="0" w:line="258" w:lineRule="auto"/>
        <w:rPr>
          <w:sz w:val="20"/>
          <w:szCs w:val="20"/>
          <w:color w:val="auto"/>
        </w:rPr>
      </w:pPr>
      <w:r>
        <w:rPr>
          <w:rFonts w:ascii="Times New Roman" w:cs="Times New Roman" w:eastAsia="Times New Roman" w:hAnsi="Times New Roman"/>
          <w:sz w:val="18"/>
          <w:szCs w:val="18"/>
          <w:color w:val="auto"/>
        </w:rPr>
        <w:t>The Company operates equity settled stock-based remuneration plans for its eligible directors, officers, employees and consultants. All goods and services received in exchange for the grant of any stock-based payments are measured at their fair value unless the fair value cannot be estimated reliably. If the Company cannot estimate reliably the fair value of the goods and services received, the Company shall measure their value indirectly by reference to the fair value of the equity instruments granted. For transactions with employees and others providing similar services, the Company measures the fair value of the services by reference to the fair value of the equity instruments granted.</w:t>
      </w:r>
    </w:p>
    <w:p>
      <w:pPr>
        <w:spacing w:after="0" w:line="183" w:lineRule="exact"/>
        <w:rPr>
          <w:sz w:val="20"/>
          <w:szCs w:val="20"/>
          <w:color w:val="auto"/>
        </w:rPr>
      </w:pPr>
    </w:p>
    <w:p>
      <w:pPr>
        <w:ind w:left="520" w:right="1000"/>
        <w:spacing w:after="0" w:line="282" w:lineRule="auto"/>
        <w:rPr>
          <w:sz w:val="20"/>
          <w:szCs w:val="20"/>
          <w:color w:val="auto"/>
        </w:rPr>
      </w:pPr>
      <w:r>
        <w:rPr>
          <w:rFonts w:ascii="Times New Roman" w:cs="Times New Roman" w:eastAsia="Times New Roman" w:hAnsi="Times New Roman"/>
          <w:sz w:val="18"/>
          <w:szCs w:val="18"/>
          <w:color w:val="auto"/>
        </w:rPr>
        <w:t>Equity settled stock-based payments under stock-based payments plans are ultimately recognized as an expense in profit or loss with a corresponding credit to contributed surplus, in equity.</w:t>
      </w:r>
    </w:p>
    <w:p>
      <w:pPr>
        <w:spacing w:after="0" w:line="162" w:lineRule="exact"/>
        <w:rPr>
          <w:sz w:val="20"/>
          <w:szCs w:val="20"/>
          <w:color w:val="auto"/>
        </w:rPr>
      </w:pPr>
    </w:p>
    <w:p>
      <w:pPr>
        <w:ind w:left="520" w:right="80"/>
        <w:spacing w:after="0" w:line="258" w:lineRule="auto"/>
        <w:rPr>
          <w:sz w:val="20"/>
          <w:szCs w:val="20"/>
          <w:color w:val="auto"/>
        </w:rPr>
      </w:pPr>
      <w:r>
        <w:rPr>
          <w:rFonts w:ascii="Times New Roman" w:cs="Times New Roman" w:eastAsia="Times New Roman" w:hAnsi="Times New Roman"/>
          <w:sz w:val="18"/>
          <w:szCs w:val="18"/>
          <w:color w:val="auto"/>
        </w:rPr>
        <w:t>The Company recognizes compensation expense for Restricted Stock Units (“RSUs”) and options on a straight-line basis over the requisite service period of the award. Non-market vesting conditions are included in the assumptions about the number of options that are expected to become exercisable. Estimates are subsequently revised if there is any indication that the number of options expected to vest differs from the previous estimate. Any cumulative adjustment prior to vesting is recognized in the current period. No adjustment is made to any expense recognized in prior period if share options ultimately exercised are different to that estimated on vesting.</w:t>
      </w:r>
    </w:p>
    <w:p>
      <w:pPr>
        <w:spacing w:after="0" w:line="287"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ind w:left="520" w:right="200"/>
        <w:spacing w:after="0" w:line="256" w:lineRule="auto"/>
        <w:rPr>
          <w:sz w:val="20"/>
          <w:szCs w:val="20"/>
          <w:color w:val="auto"/>
        </w:rPr>
      </w:pPr>
      <w:r>
        <w:rPr>
          <w:rFonts w:ascii="Times New Roman" w:cs="Times New Roman" w:eastAsia="Times New Roman" w:hAnsi="Times New Roman"/>
          <w:sz w:val="18"/>
          <w:szCs w:val="18"/>
          <w:color w:val="auto"/>
        </w:rPr>
        <w:t>The Company applies fair value accounting for all financial assets and liabilities that are recognized or disclosed at fair value in the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 risk.</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9" w:name="page90"/>
    <w:bookmarkEnd w:id="8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03" w:lineRule="exact"/>
        <w:rPr>
          <w:sz w:val="20"/>
          <w:szCs w:val="20"/>
          <w:color w:val="auto"/>
        </w:rPr>
      </w:pPr>
    </w:p>
    <w:p>
      <w:pPr>
        <w:ind w:left="460" w:hanging="452"/>
        <w:spacing w:after="0"/>
        <w:tabs>
          <w:tab w:leader="none" w:pos="4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Fair Value of Financial Instruments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ind w:left="520" w:right="460"/>
        <w:spacing w:after="0" w:line="282" w:lineRule="auto"/>
        <w:rPr>
          <w:sz w:val="20"/>
          <w:szCs w:val="20"/>
          <w:color w:val="auto"/>
        </w:rPr>
      </w:pPr>
      <w:r>
        <w:rPr>
          <w:rFonts w:ascii="Times New Roman" w:cs="Times New Roman" w:eastAsia="Times New Roman" w:hAnsi="Times New Roman"/>
          <w:sz w:val="18"/>
          <w:szCs w:val="18"/>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—Unadjusted quoted prices in active markets for identical assets or liabilities;</w:t>
      </w:r>
    </w:p>
    <w:p>
      <w:pPr>
        <w:spacing w:after="0" w:line="29" w:lineRule="exact"/>
        <w:rPr>
          <w:sz w:val="20"/>
          <w:szCs w:val="20"/>
          <w:color w:val="auto"/>
        </w:rPr>
      </w:pPr>
    </w:p>
    <w:p>
      <w:pPr>
        <w:ind w:left="760" w:right="2060"/>
        <w:spacing w:after="0" w:line="260"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—Inputs other than quoted prices that are observable for the asset or liability, either directly or indirectly; and</w:t>
      </w:r>
      <w:r>
        <w:rPr>
          <w:rFonts w:ascii="Times New Roman" w:cs="Times New Roman" w:eastAsia="Times New Roman" w:hAnsi="Times New Roman"/>
          <w:sz w:val="18"/>
          <w:szCs w:val="18"/>
          <w:i w:val="1"/>
          <w:iCs w:val="1"/>
          <w:color w:val="auto"/>
        </w:rPr>
        <w:t xml:space="preserve"> Level 3</w:t>
      </w:r>
      <w:r>
        <w:rPr>
          <w:rFonts w:ascii="Times New Roman" w:cs="Times New Roman" w:eastAsia="Times New Roman" w:hAnsi="Times New Roman"/>
          <w:sz w:val="18"/>
          <w:szCs w:val="18"/>
          <w:color w:val="auto"/>
        </w:rPr>
        <w:t>—Inputs for the asset or liability that are not based on observable market data.</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further details, see Note 15—Fair Value Measurements.</w:t>
      </w:r>
    </w:p>
    <w:p>
      <w:pPr>
        <w:spacing w:after="0" w:line="113" w:lineRule="exact"/>
        <w:rPr>
          <w:sz w:val="20"/>
          <w:szCs w:val="20"/>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56" w:lineRule="exact"/>
        <w:rPr>
          <w:sz w:val="20"/>
          <w:szCs w:val="20"/>
          <w:color w:val="auto"/>
        </w:rPr>
      </w:pPr>
    </w:p>
    <w:p>
      <w:pPr>
        <w:ind w:left="520" w:right="220"/>
        <w:spacing w:after="0" w:line="261" w:lineRule="auto"/>
        <w:rPr>
          <w:sz w:val="20"/>
          <w:szCs w:val="20"/>
          <w:color w:val="auto"/>
        </w:rPr>
      </w:pPr>
      <w:r>
        <w:rPr>
          <w:rFonts w:ascii="Times New Roman" w:cs="Times New Roman" w:eastAsia="Times New Roman" w:hAnsi="Times New Roman"/>
          <w:sz w:val="18"/>
          <w:szCs w:val="18"/>
          <w:color w:val="auto"/>
        </w:rPr>
        <w:t>The Company is subject to lawsuits, investigations and other claims related to employment, commercial and other matters that arise out of operations in the normal course of business. Periodically, the Company reviews the status of each significant matter and assesses the potential financial exposure. If the potential loss from any claim or legal proceeding is considered probable, and the amount can be reliably estimated, such amount is recognized in other liabilities.</w:t>
      </w:r>
    </w:p>
    <w:p>
      <w:pPr>
        <w:spacing w:after="0" w:line="207" w:lineRule="exact"/>
        <w:rPr>
          <w:sz w:val="20"/>
          <w:szCs w:val="20"/>
          <w:color w:val="auto"/>
        </w:rPr>
      </w:pPr>
    </w:p>
    <w:p>
      <w:pPr>
        <w:ind w:left="520" w:right="80"/>
        <w:spacing w:after="0" w:line="266" w:lineRule="auto"/>
        <w:rPr>
          <w:sz w:val="20"/>
          <w:szCs w:val="20"/>
          <w:color w:val="auto"/>
        </w:rPr>
      </w:pPr>
      <w:r>
        <w:rPr>
          <w:rFonts w:ascii="Times New Roman" w:cs="Times New Roman" w:eastAsia="Times New Roman" w:hAnsi="Times New Roman"/>
          <w:sz w:val="18"/>
          <w:szCs w:val="18"/>
          <w:color w:val="auto"/>
        </w:rPr>
        <w:t>Contingent liabilities are measured at management’s best estimate of the expenditure required to settle the obligation at the end of the reporting period and are discounted to present value where the effect is material. The Company performs evaluations to identify onerous contracts and, where applicable, records contingent liabilities for such contracts.</w:t>
      </w:r>
    </w:p>
    <w:p>
      <w:pPr>
        <w:spacing w:after="0" w:line="280" w:lineRule="exact"/>
        <w:rPr>
          <w:sz w:val="20"/>
          <w:szCs w:val="20"/>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29" w:lineRule="exact"/>
        <w:rPr>
          <w:sz w:val="20"/>
          <w:szCs w:val="20"/>
          <w:color w:val="auto"/>
        </w:rPr>
      </w:pPr>
    </w:p>
    <w:p>
      <w:pPr>
        <w:ind w:left="520" w:right="80"/>
        <w:spacing w:after="0" w:line="281" w:lineRule="auto"/>
        <w:rPr>
          <w:sz w:val="20"/>
          <w:szCs w:val="20"/>
          <w:color w:val="auto"/>
        </w:rPr>
      </w:pPr>
      <w:r>
        <w:rPr>
          <w:rFonts w:ascii="Times New Roman" w:cs="Times New Roman" w:eastAsia="Times New Roman" w:hAnsi="Times New Roman"/>
          <w:sz w:val="17"/>
          <w:szCs w:val="17"/>
          <w:color w:val="auto"/>
        </w:rPr>
        <w:t xml:space="preserve">Common Shares are classified as equity (the Company’s Super Voting Shares, Multiple Voting Shares and Subordinate Voting Shares are all considered Common Shares). Incremental costs directly attributable to the issuance of shares are recognized as a deduction from equity. The proceeds from the exercise of stock options or warrants together with amounts previously recorded in reserves over the vesting periods are recorded as share capital. Income tax relating to transaction costs of an equity transaction is accounted for in accordance with </w:t>
      </w:r>
      <w:r>
        <w:rPr>
          <w:rFonts w:ascii="Times New Roman" w:cs="Times New Roman" w:eastAsia="Times New Roman" w:hAnsi="Times New Roman"/>
          <w:sz w:val="17"/>
          <w:szCs w:val="17"/>
          <w:i w:val="1"/>
          <w:iCs w:val="1"/>
          <w:color w:val="auto"/>
        </w:rPr>
        <w:t>ASC 740, Income Taxes</w:t>
      </w:r>
      <w:r>
        <w:rPr>
          <w:rFonts w:ascii="Times New Roman" w:cs="Times New Roman" w:eastAsia="Times New Roman" w:hAnsi="Times New Roman"/>
          <w:sz w:val="17"/>
          <w:szCs w:val="17"/>
          <w:color w:val="auto"/>
        </w:rPr>
        <w:t>.</w:t>
      </w:r>
    </w:p>
    <w:p>
      <w:pPr>
        <w:spacing w:after="0" w:line="268" w:lineRule="exact"/>
        <w:rPr>
          <w:sz w:val="20"/>
          <w:szCs w:val="20"/>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ind w:left="520"/>
        <w:spacing w:after="0" w:line="254" w:lineRule="auto"/>
        <w:rPr>
          <w:sz w:val="20"/>
          <w:szCs w:val="20"/>
          <w:color w:val="auto"/>
        </w:rPr>
      </w:pPr>
      <w:r>
        <w:rPr>
          <w:rFonts w:ascii="Times New Roman" w:cs="Times New Roman" w:eastAsia="Times New Roman" w:hAnsi="Times New Roman"/>
          <w:sz w:val="18"/>
          <w:szCs w:val="18"/>
          <w:color w:val="auto"/>
        </w:rPr>
        <w:t>Basic earnings per share is calculated using the treasury stock method, by dividing the net earnings attributable to shareholders by the weighted average number of Common Shares outstanding during each of the periods presented. Contingently issuable shares (including shares held in escrow) are not considered outstanding Common Shares and consequently are not included in the basic earnings per share calculation. Diluted earnings per share is calculated using the treasury stock method by adjusting the weighted average number of Common Shares outstanding to assume conversion of all dilutive potential Common Shares. The Company has three categories of potentially dilutive Common Share equivalents: RSUs, options and warrants. As of December 31, 2022, the Company had 9,577,947 options, 947,502 RSUs and 3,734,555 warrants outstanding. As of December 31, 2021, the Company had 5,383,275 options, 376,127 RSUs and 3,835,278 warrants outstanding. As of December 31, 2020, the Company had 5,664,406 options, 689,340 RSUs and 2,520,794 warrants outstanding.</w:t>
      </w:r>
    </w:p>
    <w:p>
      <w:pPr>
        <w:spacing w:after="0" w:line="192" w:lineRule="exact"/>
        <w:rPr>
          <w:sz w:val="20"/>
          <w:szCs w:val="20"/>
          <w:color w:val="auto"/>
        </w:rPr>
      </w:pPr>
    </w:p>
    <w:p>
      <w:pPr>
        <w:ind w:left="520" w:right="20"/>
        <w:spacing w:after="0" w:line="255" w:lineRule="auto"/>
        <w:rPr>
          <w:sz w:val="20"/>
          <w:szCs w:val="20"/>
          <w:color w:val="auto"/>
        </w:rPr>
      </w:pPr>
      <w:r>
        <w:rPr>
          <w:rFonts w:ascii="Times New Roman" w:cs="Times New Roman" w:eastAsia="Times New Roman" w:hAnsi="Times New Roman"/>
          <w:sz w:val="18"/>
          <w:szCs w:val="18"/>
          <w:color w:val="auto"/>
        </w:rPr>
        <w:t>In order to determine diluted earnings per share, it is assumed that any proceeds from the exercise of dilutive unvested RSUs, options, and warrants would be used to repurchase Common Shares at the average market price during the period. Under the treasury stock method, the diluted earnings per share calculation excludes any potential conversion of options and convertible debt that would increase earnings per share or decrease loss per share. For the year ended December 31, 2022, the computation of diluted earnings per share included 1,001,835 options, 243,194 RSUs and 121,945 warrants. For the year ended December 31, 2021, the computation of diluted earnings per share included 2,323,625 options, 200,732 RSUs and 1,042,199 warrants. For the year ended December 31, 2020, the computation of diluted earnings per share included 1,307,421 options, 134,254 RSUs and 101,254 warrants.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03" w:lineRule="exact"/>
        <w:rPr>
          <w:sz w:val="20"/>
          <w:szCs w:val="20"/>
          <w:color w:val="auto"/>
        </w:rPr>
      </w:pPr>
    </w:p>
    <w:p>
      <w:pPr>
        <w:ind w:left="460" w:hanging="452"/>
        <w:spacing w:after="0"/>
        <w:tabs>
          <w:tab w:leader="none" w:pos="4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Earnings per Share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ind w:left="520" w:right="28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2021, and 2020 the weighted average number of anti-dilutive options excluded from the computation of diluted earnings per share were 1,895,273; 626,930; and 580,672, respectively.</w:t>
      </w:r>
    </w:p>
    <w:p>
      <w:pPr>
        <w:spacing w:after="0" w:line="266" w:lineRule="exact"/>
        <w:rPr>
          <w:sz w:val="20"/>
          <w:szCs w:val="20"/>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229" w:lineRule="exact"/>
        <w:rPr>
          <w:sz w:val="20"/>
          <w:szCs w:val="20"/>
          <w:color w:val="auto"/>
        </w:rPr>
      </w:pPr>
    </w:p>
    <w:p>
      <w:pPr>
        <w:ind w:left="520"/>
        <w:spacing w:after="0" w:line="255" w:lineRule="auto"/>
        <w:rPr>
          <w:sz w:val="20"/>
          <w:szCs w:val="20"/>
          <w:color w:val="auto"/>
        </w:rPr>
      </w:pPr>
      <w:r>
        <w:rPr>
          <w:rFonts w:ascii="Times New Roman" w:cs="Times New Roman" w:eastAsia="Times New Roman" w:hAnsi="Times New Roman"/>
          <w:sz w:val="18"/>
          <w:szCs w:val="18"/>
          <w:color w:val="auto"/>
        </w:rPr>
        <w:t>Business combinations are accounted for using the acquisition method. The consideration transferred in a business combination is measured at fair value at the date of acquisition. Acquisition related transaction costs are expensed as incurred. Identifiable assets and liabilities, including intangible assets, of acquired businesses are recorded at their fair value at the date of acquisition. When the Company acquires control of a business, any previously held equity interest also is remeasured to fair value. The excess of the purchase consideration and any previously held equity interest over the fair value of identifiable net assets acquired is goodwill. If the fair value of identifiable net assets acquired exceeds the purchase consideration and any previously held equity interest, the difference is recognized in the Consolidated Statements of Operations immediately as a gain or loss on acquisition.</w:t>
      </w:r>
    </w:p>
    <w:p>
      <w:pPr>
        <w:spacing w:after="0" w:line="189" w:lineRule="exact"/>
        <w:rPr>
          <w:sz w:val="20"/>
          <w:szCs w:val="20"/>
          <w:color w:val="auto"/>
        </w:rPr>
      </w:pPr>
    </w:p>
    <w:p>
      <w:pPr>
        <w:jc w:val="both"/>
        <w:ind w:left="520" w:right="100"/>
        <w:spacing w:after="0" w:line="261" w:lineRule="auto"/>
        <w:rPr>
          <w:sz w:val="20"/>
          <w:szCs w:val="20"/>
          <w:color w:val="auto"/>
        </w:rPr>
      </w:pPr>
      <w:r>
        <w:rPr>
          <w:rFonts w:ascii="Times New Roman" w:cs="Times New Roman" w:eastAsia="Times New Roman" w:hAnsi="Times New Roman"/>
          <w:sz w:val="18"/>
          <w:szCs w:val="18"/>
          <w:color w:val="auto"/>
        </w:rPr>
        <w:t>Contingent consideration is measured upon acquisition and is estimated using probability weighting of potential payouts. Contingent consideration classified as a liability requires remeasurement at each period-end, with adjustments to the fair value of the liability recorded within selling, general and administrative expenses. Equity classified contingent consideration is measured as of the date of acquisition and assessed at each period-end to determine whether equity classification remains appropriate.</w:t>
      </w:r>
    </w:p>
    <w:p>
      <w:pPr>
        <w:spacing w:after="0" w:line="284" w:lineRule="exact"/>
        <w:rPr>
          <w:sz w:val="20"/>
          <w:szCs w:val="20"/>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Foreign Currency</w:t>
      </w:r>
    </w:p>
    <w:p>
      <w:pPr>
        <w:spacing w:after="0" w:line="229" w:lineRule="exact"/>
        <w:rPr>
          <w:sz w:val="20"/>
          <w:szCs w:val="20"/>
          <w:color w:val="auto"/>
        </w:rPr>
      </w:pPr>
    </w:p>
    <w:p>
      <w:pPr>
        <w:ind w:left="520" w:right="120"/>
        <w:spacing w:after="0" w:line="258" w:lineRule="auto"/>
        <w:rPr>
          <w:sz w:val="20"/>
          <w:szCs w:val="20"/>
          <w:color w:val="auto"/>
        </w:rPr>
      </w:pPr>
      <w:r>
        <w:rPr>
          <w:rFonts w:ascii="Times New Roman" w:cs="Times New Roman" w:eastAsia="Times New Roman" w:hAnsi="Times New Roman"/>
          <w:sz w:val="18"/>
          <w:szCs w:val="18"/>
          <w:color w:val="auto"/>
        </w:rPr>
        <w:t>Assets and liabilities denominated in currencies other than Green Thumb’s functional currency are initially measured in the functional currencies at the transaction date exchange rate. Monetary assets are remeasured at the rate of exchange in effect as of the balance sheet date. Revenues and expenses are translated at the transaction date exchange rate. Foreign currency gains and losses resulting from translation are reflected in net comprehensive income (loss) for the period. During the years ended December 31, 2022, 2021, and 2020, there were no significant transactions in currencies other than US Dollars.</w:t>
      </w:r>
    </w:p>
    <w:p>
      <w:pPr>
        <w:spacing w:after="0" w:line="287" w:lineRule="exact"/>
        <w:rPr>
          <w:sz w:val="20"/>
          <w:szCs w:val="20"/>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 of Other Long-Lived Assets</w:t>
      </w:r>
    </w:p>
    <w:p>
      <w:pPr>
        <w:spacing w:after="0" w:line="229" w:lineRule="exact"/>
        <w:rPr>
          <w:sz w:val="20"/>
          <w:szCs w:val="20"/>
          <w:color w:val="auto"/>
        </w:rPr>
      </w:pPr>
    </w:p>
    <w:p>
      <w:pPr>
        <w:ind w:left="520" w:right="120"/>
        <w:spacing w:after="0" w:line="256" w:lineRule="auto"/>
        <w:rPr>
          <w:sz w:val="20"/>
          <w:szCs w:val="20"/>
          <w:color w:val="auto"/>
        </w:rPr>
      </w:pPr>
      <w:r>
        <w:rPr>
          <w:rFonts w:ascii="Times New Roman" w:cs="Times New Roman" w:eastAsia="Times New Roman" w:hAnsi="Times New Roman"/>
          <w:sz w:val="18"/>
          <w:szCs w:val="18"/>
          <w:color w:val="auto"/>
        </w:rPr>
        <w:t>The Company evaluates the recoverability of other long-lived assets, including property, plant and equipment, and certain identifiable intangible assets, whenever events or changes in circumstances indicate that the carrying value of an asset or asset group may not be recoverable. The Company performs impairment tests of indefinite-lived intangible assets on an annual basis or more frequently in certain circumstances. Factors which could trigger an impairment review include significant underperformance relative to historical or projected future operating results, significant changes in the manner of use of the assets or the strategy for the overall business, a significant decrease in the market value of the assets or significant negative industry or economic trends.</w:t>
      </w:r>
    </w:p>
    <w:p>
      <w:pPr>
        <w:spacing w:after="0" w:line="187" w:lineRule="exact"/>
        <w:rPr>
          <w:sz w:val="20"/>
          <w:szCs w:val="20"/>
          <w:color w:val="auto"/>
        </w:rPr>
      </w:pPr>
    </w:p>
    <w:p>
      <w:pPr>
        <w:ind w:left="520" w:right="120"/>
        <w:spacing w:after="0" w:line="261" w:lineRule="auto"/>
        <w:rPr>
          <w:sz w:val="20"/>
          <w:szCs w:val="20"/>
          <w:color w:val="auto"/>
        </w:rPr>
      </w:pPr>
      <w:r>
        <w:rPr>
          <w:rFonts w:ascii="Times New Roman" w:cs="Times New Roman" w:eastAsia="Times New Roman" w:hAnsi="Times New Roman"/>
          <w:sz w:val="18"/>
          <w:szCs w:val="18"/>
          <w:color w:val="auto"/>
        </w:rPr>
        <w:t>When the Company determines that the carrying value of long-lived assets may not be recoverable based upon the existence of one or more of the indicators, the assets are assessed for impairment based on the estimated future undiscounted cash flows expected to result from the use of the asset and its eventual disposition. If the carrying value of an asset exceeds its estimated future undiscounted cash flows, an impairment loss is recorded for the excess of the asset’s carrying value over its fair value.</w:t>
      </w:r>
    </w:p>
    <w:p>
      <w:pPr>
        <w:spacing w:after="0" w:line="180" w:lineRule="exact"/>
        <w:rPr>
          <w:sz w:val="20"/>
          <w:szCs w:val="20"/>
          <w:color w:val="auto"/>
        </w:rPr>
      </w:pPr>
    </w:p>
    <w:p>
      <w:pPr>
        <w:ind w:left="520" w:right="14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2022 and 2021, the Company recorded impairment charges associated with long-lived fixed assets of $1,419 thousand and $4,744 thousand respectively, within selling, general, and administrative expenses on the consolidated statement of operations. No such impairment charges were recorded during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03" w:lineRule="exact"/>
        <w:rPr>
          <w:sz w:val="20"/>
          <w:szCs w:val="20"/>
          <w:color w:val="auto"/>
        </w:rPr>
      </w:pPr>
    </w:p>
    <w:p>
      <w:pPr>
        <w:ind w:left="460" w:hanging="452"/>
        <w:spacing w:after="0"/>
        <w:tabs>
          <w:tab w:leader="none" w:pos="4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Judgments, Estimates and Assumptions</w:t>
      </w:r>
    </w:p>
    <w:p>
      <w:pPr>
        <w:spacing w:after="0" w:line="229" w:lineRule="exact"/>
        <w:rPr>
          <w:sz w:val="20"/>
          <w:szCs w:val="20"/>
          <w:color w:val="auto"/>
        </w:rPr>
      </w:pPr>
    </w:p>
    <w:p>
      <w:pPr>
        <w:ind w:left="520" w:right="60"/>
        <w:spacing w:after="0" w:line="258"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requires management to make judgments, estimates and assumptions that affect the application of policies and reported amounts of assets and liabilities, and revenue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183" w:lineRule="exact"/>
        <w:rPr>
          <w:sz w:val="20"/>
          <w:szCs w:val="20"/>
          <w:color w:val="auto"/>
        </w:rPr>
      </w:pPr>
    </w:p>
    <w:p>
      <w:pPr>
        <w:ind w:left="520" w:right="460"/>
        <w:spacing w:after="0" w:line="282" w:lineRule="auto"/>
        <w:rPr>
          <w:sz w:val="20"/>
          <w:szCs w:val="20"/>
          <w:color w:val="auto"/>
        </w:rPr>
      </w:pPr>
      <w:r>
        <w:rPr>
          <w:rFonts w:ascii="Times New Roman" w:cs="Times New Roman" w:eastAsia="Times New Roman" w:hAnsi="Times New Roman"/>
          <w:sz w:val="18"/>
          <w:szCs w:val="18"/>
          <w:color w:val="auto"/>
        </w:rPr>
        <w:t>Significant judgments, estimates and assumptions that have the most significant effect on the amounts recognized in the consolidated financial statements are described below.</w:t>
      </w:r>
    </w:p>
    <w:p>
      <w:pPr>
        <w:spacing w:after="0" w:line="160" w:lineRule="exact"/>
        <w:rPr>
          <w:sz w:val="20"/>
          <w:szCs w:val="20"/>
          <w:color w:val="auto"/>
        </w:rPr>
      </w:pPr>
    </w:p>
    <w:p>
      <w:pPr>
        <w:ind w:left="1480" w:hanging="460"/>
        <w:spacing w:after="0"/>
        <w:tabs>
          <w:tab w:leader="none" w:pos="1480" w:val="left"/>
        </w:tabs>
        <w:numPr>
          <w:ilvl w:val="0"/>
          <w:numId w:val="6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Estimated Useful Lives and Amortization of Intangible Assets (Also see Note 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Intangible Asset and Goodwill)</w:t>
      </w:r>
    </w:p>
    <w:p>
      <w:pPr>
        <w:spacing w:after="0" w:line="241" w:lineRule="exact"/>
        <w:rPr>
          <w:sz w:val="20"/>
          <w:szCs w:val="20"/>
          <w:color w:val="auto"/>
        </w:rPr>
      </w:pPr>
    </w:p>
    <w:p>
      <w:pPr>
        <w:ind w:left="520" w:right="100"/>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is recorded on a straight-line basis over their estimated useful lives, which do not exceed the contractual period, if any.</w:t>
      </w:r>
    </w:p>
    <w:p>
      <w:pPr>
        <w:spacing w:after="0" w:line="160" w:lineRule="exact"/>
        <w:rPr>
          <w:sz w:val="20"/>
          <w:szCs w:val="20"/>
          <w:color w:val="auto"/>
        </w:rPr>
      </w:pPr>
    </w:p>
    <w:p>
      <w:pPr>
        <w:ind w:left="1460" w:hanging="453"/>
        <w:spacing w:after="0"/>
        <w:tabs>
          <w:tab w:leader="none" w:pos="1460" w:val="left"/>
        </w:tabs>
        <w:numPr>
          <w:ilvl w:val="0"/>
          <w:numId w:val="6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Business Combinations</w:t>
      </w:r>
    </w:p>
    <w:p>
      <w:pPr>
        <w:spacing w:after="0" w:line="241" w:lineRule="exact"/>
        <w:rPr>
          <w:sz w:val="20"/>
          <w:szCs w:val="20"/>
          <w:color w:val="auto"/>
        </w:rPr>
      </w:pPr>
    </w:p>
    <w:p>
      <w:pPr>
        <w:ind w:left="520"/>
        <w:spacing w:after="0" w:line="266" w:lineRule="auto"/>
        <w:rPr>
          <w:sz w:val="20"/>
          <w:szCs w:val="20"/>
          <w:color w:val="auto"/>
        </w:rPr>
      </w:pPr>
      <w:r>
        <w:rPr>
          <w:rFonts w:ascii="Times New Roman" w:cs="Times New Roman" w:eastAsia="Times New Roman" w:hAnsi="Times New Roman"/>
          <w:sz w:val="18"/>
          <w:szCs w:val="18"/>
          <w:color w:val="auto"/>
        </w:rPr>
        <w:t>Classification of an acquisition as a business combination or an asset acquisition depends on whether the assets acquired constitute a business, which can be a complex judgment. Whether an acquisition is classified as a business combination or asset acquisition can have a significant impact on the entries made on and after acquisition.</w:t>
      </w:r>
    </w:p>
    <w:p>
      <w:pPr>
        <w:spacing w:after="0" w:line="176" w:lineRule="exact"/>
        <w:rPr>
          <w:sz w:val="20"/>
          <w:szCs w:val="20"/>
          <w:color w:val="auto"/>
        </w:rPr>
      </w:pPr>
    </w:p>
    <w:p>
      <w:pPr>
        <w:ind w:left="520" w:right="20"/>
        <w:spacing w:after="0" w:line="255" w:lineRule="auto"/>
        <w:rPr>
          <w:sz w:val="20"/>
          <w:szCs w:val="20"/>
          <w:color w:val="auto"/>
        </w:rPr>
      </w:pPr>
      <w:r>
        <w:rPr>
          <w:rFonts w:ascii="Times New Roman" w:cs="Times New Roman" w:eastAsia="Times New Roman" w:hAnsi="Times New Roman"/>
          <w:sz w:val="18"/>
          <w:szCs w:val="18"/>
          <w:color w:val="auto"/>
        </w:rPr>
        <w:t>In determining the fair value of all identifiable assets, liabilities and contingent liabilities acquired, the most significant estimates relate to contingent consideration and intangible assets. Management exercises judgment in estimating the probability and timing of when earn-outs are expected to be achieved which is used as the basis for estimating fair value. For any intangible asset identified, depending on the type of intangible asset and the complexity of determining its fair value, an independent valuation expert or management may develop the fair value, using appropriate valuation techniques, which are generally based on a forecast of the total expected future net cash flows. The evaluations are linked closely to the assumptions made by management regarding the future performance of these assets and any changes in the discount rate applied. See Note 5—Acquisitions for details.</w:t>
      </w:r>
    </w:p>
    <w:p>
      <w:pPr>
        <w:spacing w:after="0" w:line="187" w:lineRule="exact"/>
        <w:rPr>
          <w:sz w:val="20"/>
          <w:szCs w:val="20"/>
          <w:color w:val="auto"/>
        </w:rPr>
      </w:pPr>
    </w:p>
    <w:p>
      <w:pPr>
        <w:ind w:left="1040"/>
        <w:spacing w:after="0"/>
        <w:tabs>
          <w:tab w:leader="none" w:pos="1440" w:val="left"/>
        </w:tabs>
        <w:rPr>
          <w:sz w:val="20"/>
          <w:szCs w:val="20"/>
          <w:color w:val="auto"/>
        </w:rPr>
      </w:pPr>
      <w:r>
        <w:rPr>
          <w:rFonts w:ascii="Times New Roman" w:cs="Times New Roman" w:eastAsia="Times New Roman" w:hAnsi="Times New Roman"/>
          <w:sz w:val="18"/>
          <w:szCs w:val="18"/>
          <w:i w:val="1"/>
          <w:iCs w:val="1"/>
          <w:color w:val="auto"/>
        </w:rPr>
        <w:t>(iii)</w:t>
      </w:r>
      <w:r>
        <w:rPr>
          <w:sz w:val="20"/>
          <w:szCs w:val="20"/>
          <w:color w:val="auto"/>
        </w:rPr>
        <w:tab/>
      </w:r>
      <w:r>
        <w:rPr>
          <w:rFonts w:ascii="Times New Roman" w:cs="Times New Roman" w:eastAsia="Times New Roman" w:hAnsi="Times New Roman"/>
          <w:sz w:val="17"/>
          <w:szCs w:val="17"/>
          <w:i w:val="1"/>
          <w:iCs w:val="1"/>
          <w:color w:val="auto"/>
        </w:rPr>
        <w:t>Inventories</w:t>
      </w:r>
    </w:p>
    <w:p>
      <w:pPr>
        <w:spacing w:after="0" w:line="241" w:lineRule="exact"/>
        <w:rPr>
          <w:sz w:val="20"/>
          <w:szCs w:val="20"/>
          <w:color w:val="auto"/>
        </w:rPr>
      </w:pPr>
    </w:p>
    <w:p>
      <w:pPr>
        <w:ind w:left="520" w:right="120"/>
        <w:spacing w:after="0" w:line="254" w:lineRule="auto"/>
        <w:rPr>
          <w:sz w:val="20"/>
          <w:szCs w:val="20"/>
          <w:color w:val="auto"/>
        </w:rPr>
      </w:pPr>
      <w:r>
        <w:rPr>
          <w:rFonts w:ascii="Times New Roman" w:cs="Times New Roman" w:eastAsia="Times New Roman" w:hAnsi="Times New Roman"/>
          <w:sz w:val="18"/>
          <w:szCs w:val="18"/>
          <w:color w:val="auto"/>
        </w:rPr>
        <w:t>The net realizable value of inventories represents the estimated selling price for inventories in the ordinary course of business, less all estimated costs of completion and costs necessary to make the sale. The determination of net realizable value requires significant judgment, including consideration of factors such as shrinkage, the aging of and future demand for inventory, expected future selling price the Company expects to realize by selling the inventory, and the contractual arrangements with customers. Reserves for excess and obsolete inventory are based upon quantities on hand, projected volumes from demand forecasts and net realizable value. The estimates are judgmental in nature and are made at a point in time, using available information, expected business plans, and expected market conditions. As a result, the actual amount received on sale could differ from the estimated value of inventory. Periodic reviews are performed on the inventory balance. The impact of changes in inventory reserves is reflected in cost of goods sold.</w:t>
      </w:r>
    </w:p>
    <w:p>
      <w:pPr>
        <w:spacing w:after="0" w:line="190" w:lineRule="exact"/>
        <w:rPr>
          <w:sz w:val="20"/>
          <w:szCs w:val="20"/>
          <w:color w:val="auto"/>
        </w:rPr>
      </w:pPr>
    </w:p>
    <w:p>
      <w:pPr>
        <w:ind w:left="1460" w:hanging="467"/>
        <w:spacing w:after="0"/>
        <w:tabs>
          <w:tab w:leader="none" w:pos="1460" w:val="left"/>
        </w:tabs>
        <w:numPr>
          <w:ilvl w:val="0"/>
          <w:numId w:val="6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Investments in Private Holdings</w:t>
      </w:r>
    </w:p>
    <w:p>
      <w:pPr>
        <w:spacing w:after="0" w:line="241" w:lineRule="exact"/>
        <w:rPr>
          <w:sz w:val="20"/>
          <w:szCs w:val="20"/>
          <w:color w:val="auto"/>
        </w:rPr>
      </w:pPr>
    </w:p>
    <w:p>
      <w:pPr>
        <w:ind w:left="520" w:right="400"/>
        <w:spacing w:after="0" w:line="289" w:lineRule="auto"/>
        <w:rPr>
          <w:sz w:val="20"/>
          <w:szCs w:val="20"/>
          <w:color w:val="auto"/>
        </w:rPr>
      </w:pPr>
      <w:r>
        <w:rPr>
          <w:rFonts w:ascii="Times New Roman" w:cs="Times New Roman" w:eastAsia="Times New Roman" w:hAnsi="Times New Roman"/>
          <w:sz w:val="17"/>
          <w:szCs w:val="17"/>
          <w:color w:val="auto"/>
        </w:rPr>
        <w:t>Investments include private company investments which are carried at fair value based on the value of the Company’s interests in the private companies determined from financial information provided by management of the companies, which may include operating results, subsequent rounds of financing and other appropriate information. Any change in fair value is recognized on the consolidated statement of operations.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03" w:lineRule="exact"/>
        <w:rPr>
          <w:sz w:val="20"/>
          <w:szCs w:val="20"/>
          <w:color w:val="auto"/>
        </w:rPr>
      </w:pPr>
    </w:p>
    <w:p>
      <w:pPr>
        <w:ind w:left="460" w:hanging="452"/>
        <w:spacing w:after="0"/>
        <w:tabs>
          <w:tab w:leader="none" w:pos="4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Judgments, Estimates and Assumptions </w:t>
      </w:r>
      <w:r>
        <w:rPr>
          <w:rFonts w:ascii="Times New Roman" w:cs="Times New Roman" w:eastAsia="Times New Roman" w:hAnsi="Times New Roman"/>
          <w:sz w:val="18"/>
          <w:szCs w:val="18"/>
          <w:color w:val="auto"/>
        </w:rPr>
        <w:t>(Continued)</w:t>
      </w:r>
    </w:p>
    <w:p>
      <w:pPr>
        <w:spacing w:after="0" w:line="227" w:lineRule="exact"/>
        <w:rPr>
          <w:rFonts w:ascii="Times New Roman" w:cs="Times New Roman" w:eastAsia="Times New Roman" w:hAnsi="Times New Roman"/>
          <w:sz w:val="18"/>
          <w:szCs w:val="18"/>
          <w:b w:val="1"/>
          <w:bCs w:val="1"/>
          <w:color w:val="auto"/>
        </w:rPr>
      </w:pPr>
    </w:p>
    <w:p>
      <w:pPr>
        <w:ind w:left="1460" w:hanging="426"/>
        <w:spacing w:after="0"/>
        <w:tabs>
          <w:tab w:leader="none" w:pos="1460" w:val="left"/>
        </w:tabs>
        <w:numPr>
          <w:ilvl w:val="1"/>
          <w:numId w:val="6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Goodwill Impairment</w:t>
      </w:r>
    </w:p>
    <w:p>
      <w:pPr>
        <w:spacing w:after="0" w:line="241" w:lineRule="exact"/>
        <w:rPr>
          <w:sz w:val="20"/>
          <w:szCs w:val="20"/>
          <w:color w:val="auto"/>
        </w:rPr>
      </w:pPr>
    </w:p>
    <w:p>
      <w:pPr>
        <w:ind w:left="520"/>
        <w:spacing w:after="0" w:line="254" w:lineRule="auto"/>
        <w:rPr>
          <w:sz w:val="20"/>
          <w:szCs w:val="20"/>
          <w:color w:val="auto"/>
        </w:rPr>
      </w:pPr>
      <w:r>
        <w:rPr>
          <w:rFonts w:ascii="Times New Roman" w:cs="Times New Roman" w:eastAsia="Times New Roman" w:hAnsi="Times New Roman"/>
          <w:sz w:val="18"/>
          <w:szCs w:val="18"/>
          <w:color w:val="auto"/>
        </w:rPr>
        <w:t xml:space="preserve">Goodwill is tested for impairment annually and whenever events or changes in circumstances indicate that the carrying amount of goodwill has been impaired. As described in Notes 2(l) and 2(m), the Company applies the guidance in </w:t>
      </w:r>
      <w:r>
        <w:rPr>
          <w:rFonts w:ascii="Times New Roman" w:cs="Times New Roman" w:eastAsia="Times New Roman" w:hAnsi="Times New Roman"/>
          <w:sz w:val="18"/>
          <w:szCs w:val="18"/>
          <w:i w:val="1"/>
          <w:iCs w:val="1"/>
          <w:color w:val="auto"/>
        </w:rPr>
        <w:t>ASU 2011-08 Intangibles-Goodwill and Other-Testing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Goodwill for Impairment</w:t>
      </w:r>
      <w:r>
        <w:rPr>
          <w:rFonts w:ascii="Times New Roman" w:cs="Times New Roman" w:eastAsia="Times New Roman" w:hAnsi="Times New Roman"/>
          <w:sz w:val="18"/>
          <w:szCs w:val="18"/>
          <w:color w:val="auto"/>
        </w:rPr>
        <w:t>, which provides entities with an option to perform a qualitative assessment (commonly referred to as “Step Zero”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 whether further quantitative analysis for impairment of goodwill is necessary. In performing Step Zero for the Company’s goodwill impairment test, the Company is required to make assumptions and judgments including but not limited to the following: the evaluation of macroeconomic conditions as related to the Company’s business, industry and market trends, and the overall future financial performance of its reporting units and future opportunities in the markets in which they operate. If impairment indicators are present after performing Step Zero, the Company would perform a quantitative impairment analysis to estimate the fair value of goodwill.</w:t>
      </w:r>
    </w:p>
    <w:p>
      <w:pPr>
        <w:spacing w:after="0" w:line="192"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2021 and 2020, the Company performed the Step Zero analysis for its goodwill impairment test. As a result of the Company's Step Zero analysis, no further quantitative impairment test was deemed necessary.</w:t>
      </w:r>
    </w:p>
    <w:p>
      <w:pPr>
        <w:spacing w:after="0" w:line="160" w:lineRule="exact"/>
        <w:rPr>
          <w:sz w:val="20"/>
          <w:szCs w:val="20"/>
          <w:color w:val="auto"/>
        </w:rPr>
      </w:pPr>
    </w:p>
    <w:p>
      <w:pPr>
        <w:ind w:left="520" w:right="260"/>
        <w:spacing w:after="0" w:line="261" w:lineRule="auto"/>
        <w:rPr>
          <w:sz w:val="20"/>
          <w:szCs w:val="20"/>
          <w:color w:val="auto"/>
        </w:rPr>
      </w:pPr>
      <w:r>
        <w:rPr>
          <w:rFonts w:ascii="Times New Roman" w:cs="Times New Roman" w:eastAsia="Times New Roman" w:hAnsi="Times New Roman"/>
          <w:sz w:val="18"/>
          <w:szCs w:val="18"/>
          <w:color w:val="auto"/>
        </w:rPr>
        <w:t xml:space="preserve">During 2022, the Company evaluated its existing reporting units under the accounting guidance provided in </w:t>
      </w:r>
      <w:r>
        <w:rPr>
          <w:rFonts w:ascii="Times New Roman" w:cs="Times New Roman" w:eastAsia="Times New Roman" w:hAnsi="Times New Roman"/>
          <w:sz w:val="18"/>
          <w:szCs w:val="18"/>
          <w:i w:val="1"/>
          <w:iCs w:val="1"/>
          <w:color w:val="auto"/>
        </w:rPr>
        <w:t>ASC 280, Segment Reporting</w:t>
      </w:r>
      <w:r>
        <w:rPr>
          <w:rFonts w:ascii="Times New Roman" w:cs="Times New Roman" w:eastAsia="Times New Roman" w:hAnsi="Times New Roman"/>
          <w:sz w:val="18"/>
          <w:szCs w:val="18"/>
          <w:color w:val="auto"/>
        </w:rPr>
        <w:t>, and determined that the individual components within each respective segment were economically similar and thus, aggregation of these components into two reporting units that align with our reportable segments, should be applied. Beginning October 1, 2022, the Company identified two reporting units (Retail and Consumer Packaged Goods).</w:t>
      </w:r>
    </w:p>
    <w:p>
      <w:pPr>
        <w:spacing w:after="0" w:line="182" w:lineRule="exact"/>
        <w:rPr>
          <w:sz w:val="20"/>
          <w:szCs w:val="20"/>
          <w:color w:val="auto"/>
        </w:rPr>
      </w:pPr>
    </w:p>
    <w:p>
      <w:pPr>
        <w:ind w:left="520" w:right="80"/>
        <w:spacing w:after="0" w:line="312" w:lineRule="auto"/>
        <w:rPr>
          <w:sz w:val="20"/>
          <w:szCs w:val="20"/>
          <w:color w:val="auto"/>
        </w:rPr>
      </w:pPr>
      <w:r>
        <w:rPr>
          <w:rFonts w:ascii="Times New Roman" w:cs="Times New Roman" w:eastAsia="Times New Roman" w:hAnsi="Times New Roman"/>
          <w:sz w:val="17"/>
          <w:szCs w:val="17"/>
          <w:color w:val="auto"/>
        </w:rPr>
        <w:t>As part of the Company's aggregation of the 30 reporting units that existed prior to October 1, 2022, the accounting guidance required the reporting units be tested for impairment through a Step 1 quantitative analysis prior to aggregation to determine if any of the reporting units was impaired.</w:t>
      </w:r>
    </w:p>
    <w:p>
      <w:pPr>
        <w:spacing w:after="0" w:line="140" w:lineRule="exact"/>
        <w:rPr>
          <w:sz w:val="20"/>
          <w:szCs w:val="20"/>
          <w:color w:val="auto"/>
        </w:rPr>
      </w:pPr>
    </w:p>
    <w:p>
      <w:pPr>
        <w:ind w:left="520" w:right="240"/>
        <w:spacing w:after="0" w:line="261" w:lineRule="auto"/>
        <w:rPr>
          <w:sz w:val="20"/>
          <w:szCs w:val="20"/>
          <w:color w:val="auto"/>
        </w:rPr>
      </w:pPr>
      <w:r>
        <w:rPr>
          <w:rFonts w:ascii="Times New Roman" w:cs="Times New Roman" w:eastAsia="Times New Roman" w:hAnsi="Times New Roman"/>
          <w:sz w:val="18"/>
          <w:szCs w:val="18"/>
          <w:color w:val="auto"/>
        </w:rPr>
        <w:t>The analysis performed included estimating the fair value of each reporting unit using both the income and market approaches. The income approach requires management to estimate a number of factors for each reporting unit, including projected future operating results, economic projections, anticipated future cash flows, discount rates and the allocation of shared or corporate costs. The market approach estimates fair value using comparable marketplace fair value data from within a comparable industry grouping.</w:t>
      </w:r>
    </w:p>
    <w:p>
      <w:pPr>
        <w:spacing w:after="0" w:line="180" w:lineRule="exact"/>
        <w:rPr>
          <w:sz w:val="20"/>
          <w:szCs w:val="20"/>
          <w:color w:val="auto"/>
        </w:rPr>
      </w:pPr>
    </w:p>
    <w:p>
      <w:pPr>
        <w:ind w:left="520" w:right="20"/>
        <w:spacing w:after="0" w:line="266" w:lineRule="auto"/>
        <w:rPr>
          <w:sz w:val="20"/>
          <w:szCs w:val="20"/>
          <w:color w:val="auto"/>
        </w:rPr>
      </w:pPr>
      <w:r>
        <w:rPr>
          <w:rFonts w:ascii="Times New Roman" w:cs="Times New Roman" w:eastAsia="Times New Roman" w:hAnsi="Times New Roman"/>
          <w:sz w:val="18"/>
          <w:szCs w:val="18"/>
          <w:color w:val="auto"/>
        </w:rPr>
        <w:t>The determination of fair value in the quantitative assessment requires the Company to make significant estimates and assumptions. These estimates and assumptions primarily include, but are not limited to: the discount rate; terminal growth rates; and forecasts of revenue, operating income, depreciation and amortization, capital expenditures and the eventual repeal of 280E.</w:t>
      </w:r>
    </w:p>
    <w:p>
      <w:pPr>
        <w:spacing w:after="0" w:line="176" w:lineRule="exact"/>
        <w:rPr>
          <w:sz w:val="20"/>
          <w:szCs w:val="20"/>
          <w:color w:val="auto"/>
        </w:rPr>
      </w:pPr>
    </w:p>
    <w:p>
      <w:pPr>
        <w:ind w:left="520" w:right="520"/>
        <w:spacing w:after="0" w:line="282" w:lineRule="auto"/>
        <w:rPr>
          <w:sz w:val="20"/>
          <w:szCs w:val="20"/>
          <w:color w:val="auto"/>
        </w:rPr>
      </w:pPr>
      <w:r>
        <w:rPr>
          <w:rFonts w:ascii="Times New Roman" w:cs="Times New Roman" w:eastAsia="Times New Roman" w:hAnsi="Times New Roman"/>
          <w:sz w:val="18"/>
          <w:szCs w:val="18"/>
          <w:color w:val="auto"/>
        </w:rPr>
        <w:t>As a result of the Company's goodwill impairment analysis, the Company determined two of the reporting units were impaired. See Note 6— Intangible Assets and Goodwill for additional detail.</w:t>
      </w:r>
    </w:p>
    <w:p>
      <w:pPr>
        <w:spacing w:after="0" w:line="160" w:lineRule="exact"/>
        <w:rPr>
          <w:sz w:val="20"/>
          <w:szCs w:val="20"/>
          <w:color w:val="auto"/>
        </w:rPr>
      </w:pPr>
    </w:p>
    <w:p>
      <w:pPr>
        <w:ind w:left="1460" w:hanging="467"/>
        <w:spacing w:after="0"/>
        <w:tabs>
          <w:tab w:leader="none" w:pos="1460" w:val="left"/>
        </w:tabs>
        <w:numPr>
          <w:ilvl w:val="0"/>
          <w:numId w:val="6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Determination of Reporting Units</w:t>
      </w:r>
    </w:p>
    <w:p>
      <w:pPr>
        <w:spacing w:after="0" w:line="241" w:lineRule="exact"/>
        <w:rPr>
          <w:sz w:val="20"/>
          <w:szCs w:val="20"/>
          <w:color w:val="auto"/>
        </w:rPr>
      </w:pPr>
    </w:p>
    <w:p>
      <w:pPr>
        <w:ind w:left="520" w:right="80"/>
        <w:spacing w:after="0" w:line="258" w:lineRule="auto"/>
        <w:rPr>
          <w:sz w:val="20"/>
          <w:szCs w:val="20"/>
          <w:color w:val="auto"/>
        </w:rPr>
      </w:pPr>
      <w:r>
        <w:rPr>
          <w:rFonts w:ascii="Times New Roman" w:cs="Times New Roman" w:eastAsia="Times New Roman" w:hAnsi="Times New Roman"/>
          <w:sz w:val="18"/>
          <w:szCs w:val="18"/>
          <w:color w:val="auto"/>
        </w:rPr>
        <w:t xml:space="preserve">The Company’s assets are aggregated into two reportable segments Retail and Consumer Packaged Goods. During 2022, the Company’s evaluated its existing reporting units under the accounting guidance provided in </w:t>
      </w:r>
      <w:r>
        <w:rPr>
          <w:rFonts w:ascii="Times New Roman" w:cs="Times New Roman" w:eastAsia="Times New Roman" w:hAnsi="Times New Roman"/>
          <w:sz w:val="18"/>
          <w:szCs w:val="18"/>
          <w:i w:val="1"/>
          <w:iCs w:val="1"/>
          <w:color w:val="auto"/>
        </w:rPr>
        <w:t>ASC 280, Segment Reporting</w:t>
      </w:r>
      <w:r>
        <w:rPr>
          <w:rFonts w:ascii="Times New Roman" w:cs="Times New Roman" w:eastAsia="Times New Roman" w:hAnsi="Times New Roman"/>
          <w:sz w:val="18"/>
          <w:szCs w:val="18"/>
          <w:color w:val="auto"/>
        </w:rPr>
        <w:t>, and determined that the individual components within each respective segment were economically similar and thus, aggregation of these components into two reporting units that align with our reportable segments, should be applied. Beginning October 1, 2022, the Company identified two reporting units (Retail and Consumer Packaged Goods).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3" w:name="page94"/>
    <w:bookmarkEnd w:id="9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03" w:lineRule="exact"/>
        <w:rPr>
          <w:sz w:val="20"/>
          <w:szCs w:val="20"/>
          <w:color w:val="auto"/>
        </w:rPr>
      </w:pPr>
    </w:p>
    <w:p>
      <w:pPr>
        <w:ind w:left="460" w:hanging="452"/>
        <w:spacing w:after="0"/>
        <w:tabs>
          <w:tab w:leader="none" w:pos="4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Judgment, Estimates and Assumptions </w:t>
      </w:r>
      <w:r>
        <w:rPr>
          <w:rFonts w:ascii="Times New Roman" w:cs="Times New Roman" w:eastAsia="Times New Roman" w:hAnsi="Times New Roman"/>
          <w:sz w:val="18"/>
          <w:szCs w:val="18"/>
          <w:color w:val="auto"/>
        </w:rPr>
        <w:t>(Continued)</w:t>
      </w:r>
    </w:p>
    <w:p>
      <w:pPr>
        <w:spacing w:after="0" w:line="227" w:lineRule="exact"/>
        <w:rPr>
          <w:rFonts w:ascii="Times New Roman" w:cs="Times New Roman" w:eastAsia="Times New Roman" w:hAnsi="Times New Roman"/>
          <w:sz w:val="18"/>
          <w:szCs w:val="18"/>
          <w:b w:val="1"/>
          <w:bCs w:val="1"/>
          <w:color w:val="auto"/>
        </w:rPr>
      </w:pPr>
    </w:p>
    <w:p>
      <w:pPr>
        <w:ind w:left="1480" w:hanging="473"/>
        <w:spacing w:after="0"/>
        <w:tabs>
          <w:tab w:leader="none" w:pos="1480" w:val="left"/>
        </w:tabs>
        <w:numPr>
          <w:ilvl w:val="1"/>
          <w:numId w:val="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Consolidation</w:t>
      </w:r>
    </w:p>
    <w:p>
      <w:pPr>
        <w:spacing w:after="0" w:line="241" w:lineRule="exact"/>
        <w:rPr>
          <w:sz w:val="20"/>
          <w:szCs w:val="20"/>
          <w:color w:val="auto"/>
        </w:rPr>
      </w:pPr>
    </w:p>
    <w:p>
      <w:pPr>
        <w:ind w:left="520" w:right="40"/>
        <w:spacing w:after="0" w:line="258" w:lineRule="auto"/>
        <w:rPr>
          <w:sz w:val="20"/>
          <w:szCs w:val="20"/>
          <w:color w:val="auto"/>
        </w:rPr>
      </w:pPr>
      <w:r>
        <w:rPr>
          <w:rFonts w:ascii="Times New Roman" w:cs="Times New Roman" w:eastAsia="Times New Roman" w:hAnsi="Times New Roman"/>
          <w:sz w:val="18"/>
          <w:szCs w:val="18"/>
          <w:color w:val="auto"/>
        </w:rPr>
        <w:t>Judgment is applied in assessing whether the Company exercises control and has significant influence over entities in which the Company directly or indirectly owns an interest. The Company has control when it has the power over the subsidiary, has exposure or rights to variable returns, and has the ability to use its power to affect the returns. Significant influence is defined as the power to participate in the financial and operating decisions of the subsidiaries. Where the Company is determined to have control, these entities are consolidated. Additionally, judgment is applied in determining the effective date on which control was obtained.</w:t>
      </w:r>
    </w:p>
    <w:p>
      <w:pPr>
        <w:spacing w:after="0" w:line="183" w:lineRule="exact"/>
        <w:rPr>
          <w:sz w:val="20"/>
          <w:szCs w:val="20"/>
          <w:color w:val="auto"/>
        </w:rPr>
      </w:pPr>
    </w:p>
    <w:p>
      <w:pPr>
        <w:ind w:left="1480" w:hanging="568"/>
        <w:spacing w:after="0"/>
        <w:tabs>
          <w:tab w:leader="none" w:pos="1480" w:val="left"/>
        </w:tabs>
        <w:numPr>
          <w:ilvl w:val="0"/>
          <w:numId w:val="6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Allowance for Uncollectible Accounts</w:t>
      </w:r>
    </w:p>
    <w:p>
      <w:pPr>
        <w:spacing w:after="0" w:line="239" w:lineRule="exact"/>
        <w:rPr>
          <w:sz w:val="20"/>
          <w:szCs w:val="20"/>
          <w:color w:val="auto"/>
        </w:rPr>
      </w:pPr>
    </w:p>
    <w:p>
      <w:pPr>
        <w:ind w:left="520" w:right="100"/>
        <w:spacing w:after="0" w:line="261" w:lineRule="auto"/>
        <w:rPr>
          <w:sz w:val="20"/>
          <w:szCs w:val="20"/>
          <w:color w:val="auto"/>
        </w:rPr>
      </w:pPr>
      <w:r>
        <w:rPr>
          <w:rFonts w:ascii="Times New Roman" w:cs="Times New Roman" w:eastAsia="Times New Roman" w:hAnsi="Times New Roman"/>
          <w:sz w:val="18"/>
          <w:szCs w:val="18"/>
          <w:color w:val="auto"/>
        </w:rPr>
        <w:t>Management determines the allowance for uncollectible accounts by evaluating individual receivable balances and considering accounts and other receivable financial condition and current economic conditions. Accounts receivable and financial assets recorded in other receivables are written off when deemed uncollectible. Recoveries of accounts receivable previously written off are recorded as income when received. All receivables are expected to be collected within one year of the balance sheet date.</w:t>
      </w:r>
    </w:p>
    <w:p>
      <w:pPr>
        <w:spacing w:after="0" w:line="178" w:lineRule="exact"/>
        <w:rPr>
          <w:sz w:val="20"/>
          <w:szCs w:val="20"/>
          <w:color w:val="auto"/>
        </w:rPr>
      </w:pPr>
    </w:p>
    <w:p>
      <w:pPr>
        <w:ind w:left="1500" w:hanging="466"/>
        <w:spacing w:after="0"/>
        <w:tabs>
          <w:tab w:leader="none" w:pos="1500" w:val="left"/>
        </w:tabs>
        <w:numPr>
          <w:ilvl w:val="0"/>
          <w:numId w:val="6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Stock-Based Payments</w:t>
      </w:r>
    </w:p>
    <w:p>
      <w:pPr>
        <w:spacing w:after="0" w:line="241" w:lineRule="exact"/>
        <w:rPr>
          <w:sz w:val="20"/>
          <w:szCs w:val="20"/>
          <w:color w:val="auto"/>
        </w:rPr>
      </w:pPr>
    </w:p>
    <w:p>
      <w:pPr>
        <w:ind w:left="520" w:right="20"/>
        <w:spacing w:after="0" w:line="266" w:lineRule="auto"/>
        <w:rPr>
          <w:sz w:val="20"/>
          <w:szCs w:val="20"/>
          <w:color w:val="auto"/>
        </w:rPr>
      </w:pPr>
      <w:r>
        <w:rPr>
          <w:rFonts w:ascii="Times New Roman" w:cs="Times New Roman" w:eastAsia="Times New Roman" w:hAnsi="Times New Roman"/>
          <w:sz w:val="18"/>
          <w:szCs w:val="18"/>
          <w:color w:val="auto"/>
        </w:rPr>
        <w:t>Valuation of stock-based compensation and warrants requires management to make estimates regarding the inputs for option pricing models, such as the expected life of the option, the volatility of the Company’s stock price, the vesting period of the option and the risk-free interest rate are used. Actual results could differ from those estimates. The estimates are considered for each new grant of stock options or warrants.</w:t>
      </w:r>
    </w:p>
    <w:p>
      <w:pPr>
        <w:spacing w:after="0" w:line="174" w:lineRule="exact"/>
        <w:rPr>
          <w:sz w:val="20"/>
          <w:szCs w:val="20"/>
          <w:color w:val="auto"/>
        </w:rPr>
      </w:pPr>
    </w:p>
    <w:p>
      <w:pPr>
        <w:ind w:left="1500" w:hanging="466"/>
        <w:spacing w:after="0"/>
        <w:tabs>
          <w:tab w:leader="none" w:pos="1500" w:val="left"/>
        </w:tabs>
        <w:numPr>
          <w:ilvl w:val="0"/>
          <w:numId w:val="7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Fair Value of Financial Instruments</w:t>
      </w:r>
    </w:p>
    <w:p>
      <w:pPr>
        <w:spacing w:after="0" w:line="241" w:lineRule="exact"/>
        <w:rPr>
          <w:sz w:val="20"/>
          <w:szCs w:val="20"/>
          <w:color w:val="auto"/>
        </w:rPr>
      </w:pPr>
    </w:p>
    <w:p>
      <w:pPr>
        <w:ind w:left="520" w:right="100"/>
        <w:spacing w:after="0" w:line="256" w:lineRule="auto"/>
        <w:rPr>
          <w:sz w:val="20"/>
          <w:szCs w:val="20"/>
          <w:color w:val="auto"/>
        </w:rPr>
      </w:pPr>
      <w:r>
        <w:rPr>
          <w:rFonts w:ascii="Times New Roman" w:cs="Times New Roman" w:eastAsia="Times New Roman" w:hAnsi="Times New Roman"/>
          <w:sz w:val="18"/>
          <w:szCs w:val="18"/>
          <w:color w:val="auto"/>
        </w:rPr>
        <w:t>The individual fair values attributed to the different components of a financing transaction, derivative financial instruments, are determined using valuation techniques. The Company uses judgment to select the methods used to make certain assumptions and in performing the fair value calculations in order to determine (a) the values attributed to each component of a transaction at the time of their issuance; (b) the fair value measurements for certain instruments that require subsequent measurement at fair value on a recurring basis; and (c) for disclosing the fair value of financial instruments. These valuation estimates could be significantly different because of the use of judgment and the inherent uncertainty in estimating the fair value of these instruments that are not quoted in an active market.</w:t>
      </w:r>
    </w:p>
    <w:p>
      <w:pPr>
        <w:spacing w:after="0" w:line="75" w:lineRule="exact"/>
        <w:rPr>
          <w:sz w:val="20"/>
          <w:szCs w:val="20"/>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and Revised Standards</w:t>
      </w:r>
    </w:p>
    <w:p>
      <w:pPr>
        <w:spacing w:after="0" w:line="335" w:lineRule="exact"/>
        <w:rPr>
          <w:rFonts w:ascii="Times New Roman" w:cs="Times New Roman" w:eastAsia="Times New Roman" w:hAnsi="Times New Roman"/>
          <w:sz w:val="18"/>
          <w:szCs w:val="18"/>
          <w:b w:val="1"/>
          <w:bCs w:val="1"/>
          <w:color w:val="auto"/>
        </w:rPr>
      </w:pPr>
    </w:p>
    <w:p>
      <w:pPr>
        <w:ind w:left="1420" w:right="20" w:hanging="514"/>
        <w:spacing w:after="0" w:line="258" w:lineRule="auto"/>
        <w:tabs>
          <w:tab w:leader="none" w:pos="142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December 2019, the FASB issued </w:t>
      </w:r>
      <w:r>
        <w:rPr>
          <w:rFonts w:ascii="Times New Roman" w:cs="Times New Roman" w:eastAsia="Times New Roman" w:hAnsi="Times New Roman"/>
          <w:sz w:val="18"/>
          <w:szCs w:val="18"/>
          <w:i w:val="1"/>
          <w:iCs w:val="1"/>
          <w:color w:val="auto"/>
        </w:rPr>
        <w:t>ASU 2019-12, Income Taxes (Topic 740) - Simplifying the Accounting for Income Taxes</w:t>
      </w:r>
      <w:r>
        <w:rPr>
          <w:rFonts w:ascii="Times New Roman" w:cs="Times New Roman" w:eastAsia="Times New Roman" w:hAnsi="Times New Roman"/>
          <w:sz w:val="18"/>
          <w:szCs w:val="18"/>
          <w:color w:val="auto"/>
        </w:rPr>
        <w:t xml:space="preserve">, which is intended to simplify various aspects related to accounting for income taxes </w:t>
      </w:r>
      <w:r>
        <w:rPr>
          <w:rFonts w:ascii="Times New Roman" w:cs="Times New Roman" w:eastAsia="Times New Roman" w:hAnsi="Times New Roman"/>
          <w:sz w:val="18"/>
          <w:szCs w:val="18"/>
          <w:i w:val="1"/>
          <w:iCs w:val="1"/>
          <w:color w:val="auto"/>
        </w:rPr>
        <w:t>(“ASU 2019-12”)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ASU 2019-12</w:t>
      </w:r>
      <w:r>
        <w:rPr>
          <w:rFonts w:ascii="Times New Roman" w:cs="Times New Roman" w:eastAsia="Times New Roman" w:hAnsi="Times New Roman"/>
          <w:sz w:val="18"/>
          <w:szCs w:val="18"/>
          <w:color w:val="auto"/>
        </w:rPr>
        <w:t xml:space="preserve"> removes certain exceptions to the general principles in Topic 740 and also clarifies and amends existing guidance to improve consistent application. The Company adopted </w:t>
      </w:r>
      <w:r>
        <w:rPr>
          <w:rFonts w:ascii="Times New Roman" w:cs="Times New Roman" w:eastAsia="Times New Roman" w:hAnsi="Times New Roman"/>
          <w:sz w:val="18"/>
          <w:szCs w:val="18"/>
          <w:i w:val="1"/>
          <w:iCs w:val="1"/>
          <w:color w:val="auto"/>
        </w:rPr>
        <w:t>ASU 2019-12</w:t>
      </w:r>
      <w:r>
        <w:rPr>
          <w:rFonts w:ascii="Times New Roman" w:cs="Times New Roman" w:eastAsia="Times New Roman" w:hAnsi="Times New Roman"/>
          <w:sz w:val="18"/>
          <w:szCs w:val="18"/>
          <w:color w:val="auto"/>
        </w:rPr>
        <w:t xml:space="preserve"> on January 1, 2021. The adoption of the standard did not have a material impact on the Company’s consolidated financial statements.</w:t>
      </w:r>
    </w:p>
    <w:p>
      <w:pPr>
        <w:spacing w:after="0" w:line="75" w:lineRule="exact"/>
        <w:rPr>
          <w:rFonts w:ascii="Times New Roman" w:cs="Times New Roman" w:eastAsia="Times New Roman" w:hAnsi="Times New Roman"/>
          <w:sz w:val="18"/>
          <w:szCs w:val="18"/>
          <w:color w:val="auto"/>
        </w:rPr>
      </w:pPr>
    </w:p>
    <w:p>
      <w:pPr>
        <w:ind w:left="1420" w:hanging="514"/>
        <w:spacing w:after="0" w:line="277" w:lineRule="auto"/>
        <w:tabs>
          <w:tab w:leader="none" w:pos="1420"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January 2020, the FASB issued </w:t>
      </w:r>
      <w:r>
        <w:rPr>
          <w:rFonts w:ascii="Times New Roman" w:cs="Times New Roman" w:eastAsia="Times New Roman" w:hAnsi="Times New Roman"/>
          <w:sz w:val="17"/>
          <w:szCs w:val="17"/>
          <w:i w:val="1"/>
          <w:iCs w:val="1"/>
          <w:color w:val="auto"/>
        </w:rPr>
        <w:t>ASU 2020-01, Investments - Equity Securities (Topic 321), Investments - Equity Method and Joint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Ventures (Topic 323), and Derivatives and Hedging (Topic 815) (“ASU 2020-01”)</w:t>
      </w:r>
      <w:r>
        <w:rPr>
          <w:rFonts w:ascii="Times New Roman" w:cs="Times New Roman" w:eastAsia="Times New Roman" w:hAnsi="Times New Roman"/>
          <w:sz w:val="17"/>
          <w:szCs w:val="17"/>
          <w:color w:val="auto"/>
        </w:rPr>
        <w:t>, which is intended to clarify the interaction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accounting for equity securities under Topic 321 and investments accounted for under the equity method of accounting in Topic 323 and the accounting for certain forward contracts and purchased options accounted for under Topic 815. The Company adopted </w:t>
      </w:r>
      <w:r>
        <w:rPr>
          <w:rFonts w:ascii="Times New Roman" w:cs="Times New Roman" w:eastAsia="Times New Roman" w:hAnsi="Times New Roman"/>
          <w:sz w:val="17"/>
          <w:szCs w:val="17"/>
          <w:i w:val="1"/>
          <w:iCs w:val="1"/>
          <w:color w:val="auto"/>
        </w:rPr>
        <w:t>ASU 2020-01</w:t>
      </w:r>
      <w:r>
        <w:rPr>
          <w:rFonts w:ascii="Times New Roman" w:cs="Times New Roman" w:eastAsia="Times New Roman" w:hAnsi="Times New Roman"/>
          <w:sz w:val="17"/>
          <w:szCs w:val="17"/>
          <w:color w:val="auto"/>
        </w:rPr>
        <w:t xml:space="preserve"> on January 1, 2021. The adoption of the standard did not have a material impact on the Company’s consolidated financial statements.</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4" w:name="page95"/>
    <w:bookmarkEnd w:id="9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03" w:lineRule="exact"/>
        <w:rPr>
          <w:sz w:val="20"/>
          <w:szCs w:val="20"/>
          <w:color w:val="auto"/>
        </w:rPr>
      </w:pPr>
    </w:p>
    <w:p>
      <w:pPr>
        <w:ind w:left="460" w:hanging="452"/>
        <w:spacing w:after="0"/>
        <w:tabs>
          <w:tab w:leader="none" w:pos="46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i w:val="1"/>
          <w:iCs w:val="1"/>
          <w:color w:val="auto"/>
        </w:rPr>
        <w:t>(Continued)</w:t>
      </w:r>
    </w:p>
    <w:p>
      <w:pPr>
        <w:spacing w:after="0" w:line="200" w:lineRule="exact"/>
        <w:rPr>
          <w:rFonts w:ascii="Times New Roman" w:cs="Times New Roman" w:eastAsia="Times New Roman" w:hAnsi="Times New Roman"/>
          <w:sz w:val="18"/>
          <w:szCs w:val="18"/>
          <w:b w:val="1"/>
          <w:bCs w:val="1"/>
          <w:color w:val="auto"/>
        </w:rPr>
      </w:pPr>
    </w:p>
    <w:p>
      <w:pPr>
        <w:spacing w:after="0" w:line="241"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1"/>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New and Revised Standards </w:t>
      </w:r>
      <w:r>
        <w:rPr>
          <w:rFonts w:ascii="Times New Roman" w:cs="Times New Roman" w:eastAsia="Times New Roman" w:hAnsi="Times New Roman"/>
          <w:sz w:val="18"/>
          <w:szCs w:val="18"/>
          <w:color w:val="auto"/>
        </w:rPr>
        <w:t>(Continued)</w:t>
      </w:r>
    </w:p>
    <w:p>
      <w:pPr>
        <w:spacing w:after="0" w:line="119" w:lineRule="exact"/>
        <w:rPr>
          <w:rFonts w:ascii="Times New Roman" w:cs="Times New Roman" w:eastAsia="Times New Roman" w:hAnsi="Times New Roman"/>
          <w:sz w:val="18"/>
          <w:szCs w:val="18"/>
          <w:b w:val="1"/>
          <w:bCs w:val="1"/>
          <w:color w:val="auto"/>
        </w:rPr>
      </w:pPr>
    </w:p>
    <w:p>
      <w:pPr>
        <w:ind w:left="1420" w:hanging="514"/>
        <w:spacing w:after="0" w:line="257" w:lineRule="auto"/>
        <w:tabs>
          <w:tab w:leader="none" w:pos="1420"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August 5, 2020, the FASB issued </w:t>
      </w:r>
      <w:r>
        <w:rPr>
          <w:rFonts w:ascii="Times New Roman" w:cs="Times New Roman" w:eastAsia="Times New Roman" w:hAnsi="Times New Roman"/>
          <w:sz w:val="18"/>
          <w:szCs w:val="18"/>
          <w:i w:val="1"/>
          <w:iCs w:val="1"/>
          <w:color w:val="auto"/>
        </w:rPr>
        <w:t>ASU No. 2020-06, Debt - Debt with Conversion and Other Options (Subtopic 470-20)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Derivatives and Hedging - Contracts in Entity’s Own Equity (Subtopic 815-40)</w:t>
      </w:r>
      <w:r>
        <w:rPr>
          <w:rFonts w:ascii="Times New Roman" w:cs="Times New Roman" w:eastAsia="Times New Roman" w:hAnsi="Times New Roman"/>
          <w:sz w:val="18"/>
          <w:szCs w:val="18"/>
          <w:color w:val="auto"/>
        </w:rPr>
        <w:t>: Accounting for Convertible Instruments and Contracts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an Entity’s Own Equity, to improve financial reporting associated with accounting for convertible instruments and contracts in an entity’s own equity. The amendments in this ASU are effective for public business entities for fiscal years beginning after December 15, 2021, including interim periods within those fiscal years. The adoption of this standard did not have a material impact on the Company's consolidated financial statements.</w:t>
      </w:r>
    </w:p>
    <w:p>
      <w:pPr>
        <w:spacing w:after="0" w:line="7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Coronavirus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-1428115</wp:posOffset>
            </wp:positionV>
            <wp:extent cx="71323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7" w:lineRule="exact"/>
        <w:rPr>
          <w:sz w:val="20"/>
          <w:szCs w:val="20"/>
          <w:color w:val="auto"/>
        </w:rPr>
      </w:pPr>
    </w:p>
    <w:p>
      <w:pPr>
        <w:ind w:left="520" w:right="180"/>
        <w:spacing w:after="0" w:line="261" w:lineRule="auto"/>
        <w:rPr>
          <w:sz w:val="20"/>
          <w:szCs w:val="20"/>
          <w:color w:val="auto"/>
        </w:rPr>
      </w:pPr>
      <w:r>
        <w:rPr>
          <w:rFonts w:ascii="Times New Roman" w:cs="Times New Roman" w:eastAsia="Times New Roman" w:hAnsi="Times New Roman"/>
          <w:sz w:val="18"/>
          <w:szCs w:val="18"/>
          <w:color w:val="auto"/>
        </w:rPr>
        <w:t>In March 2020, the World Health Organization categorized coronavirus disease 2019 (together with its variants, “COVID-19”) as a global pandemic. COVID-19 continues to spread throughout the U.S. and other countries across the world, and the duration and severity of its effects are currently unknown. The Company continues to implement and evaluate actions to strengthen its financial position and support the continuity of its business and operations.</w:t>
      </w:r>
    </w:p>
    <w:p>
      <w:pPr>
        <w:spacing w:after="0" w:line="180" w:lineRule="exact"/>
        <w:rPr>
          <w:sz w:val="20"/>
          <w:szCs w:val="20"/>
          <w:color w:val="auto"/>
        </w:rPr>
      </w:pPr>
    </w:p>
    <w:p>
      <w:pPr>
        <w:ind w:left="520" w:right="40"/>
        <w:spacing w:after="0" w:line="272" w:lineRule="auto"/>
        <w:rPr>
          <w:sz w:val="20"/>
          <w:szCs w:val="20"/>
          <w:color w:val="auto"/>
        </w:rPr>
      </w:pPr>
      <w:r>
        <w:rPr>
          <w:rFonts w:ascii="Times New Roman" w:cs="Times New Roman" w:eastAsia="Times New Roman" w:hAnsi="Times New Roman"/>
          <w:sz w:val="17"/>
          <w:szCs w:val="17"/>
          <w:color w:val="auto"/>
        </w:rPr>
        <w:t>The Company’s consolidated financial statements presented herein reflect estimates and assumptions made by management that affect the reported amounts of assets and liabilities and disclosure of contingent assets and liabilities at the date of the consolidated financial statements and reported amounts of revenue and expenses during the periods presented. Such estimates and assumptions affect, among other things, the Company’s goodwill; long-lived assets and intangible assets; operating lease right of use assets and operating lease liabilities; valuation of deferred income taxes; the allowance for doubtful accounts; assessment of the Company’s lease and non-lease contract expenses; and measurement of compensation cost for bonus and other compensation plans. During 2022, the Company’s revenue, gross profit and operating income were not negatively impacted by COVID-19 and the Company generally maintained the consistency of its operations. However, the uncertain nature of the spread of COVID-19 may impact its business operations for reasons including the potential quarantine of Green Thumb employees or those of its supply chain partners.</w:t>
      </w:r>
    </w:p>
    <w:p>
      <w:pPr>
        <w:spacing w:after="0" w:line="384" w:lineRule="exact"/>
        <w:rPr>
          <w:sz w:val="20"/>
          <w:szCs w:val="20"/>
          <w:color w:val="auto"/>
        </w:rPr>
      </w:pPr>
    </w:p>
    <w:p>
      <w:pPr>
        <w:ind w:left="540" w:hanging="532"/>
        <w:spacing w:after="0"/>
        <w:tabs>
          <w:tab w:leader="none" w:pos="54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inventories include the following at December 31, 2022 and 2021:</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1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3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23"/>
        </w:trPr>
        <w:tc>
          <w:tcPr>
            <w:tcW w:w="41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000" w:type="dxa"/>
            <w:vAlign w:val="bottom"/>
            <w:tcBorders>
              <w:bottom w:val="single" w:sz="8" w:color="auto"/>
            </w:tcBorders>
            <w:gridSpan w:val="3"/>
          </w:tcPr>
          <w:p>
            <w:pPr>
              <w:jc w:val="center"/>
              <w:ind w:left="181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80" w:type="dxa"/>
            <w:vAlign w:val="bottom"/>
            <w:tcBorders>
              <w:bottom w:val="single" w:sz="8" w:color="auto"/>
            </w:tcBorders>
          </w:tcPr>
          <w:p>
            <w:pPr>
              <w:spacing w:after="0"/>
              <w:rPr>
                <w:sz w:val="19"/>
                <w:szCs w:val="19"/>
                <w:color w:val="auto"/>
              </w:rPr>
            </w:pPr>
          </w:p>
        </w:tc>
      </w:tr>
      <w:tr>
        <w:trPr>
          <w:trHeight w:val="230"/>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Raw Material</w:t>
            </w: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3,070</w:t>
            </w:r>
          </w:p>
        </w:tc>
        <w:tc>
          <w:tcPr>
            <w:tcW w:w="1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5,278</w:t>
            </w:r>
          </w:p>
        </w:tc>
      </w:tr>
      <w:tr>
        <w:trPr>
          <w:trHeight w:val="220"/>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Packaging and Miscellaneous</w:t>
            </w:r>
          </w:p>
        </w:tc>
        <w:tc>
          <w:tcPr>
            <w:tcW w:w="22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9,847</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8,622</w:t>
            </w:r>
          </w:p>
        </w:tc>
      </w:tr>
      <w:tr>
        <w:trPr>
          <w:trHeight w:val="239"/>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Work in Process</w:t>
            </w:r>
          </w:p>
        </w:tc>
        <w:tc>
          <w:tcPr>
            <w:tcW w:w="2220" w:type="dxa"/>
            <w:vAlign w:val="bottom"/>
            <w:shd w:val="clear" w:color="auto" w:fill="CFF0FC"/>
          </w:tcPr>
          <w:p>
            <w:pPr>
              <w:spacing w:after="0"/>
              <w:rPr>
                <w:sz w:val="20"/>
                <w:szCs w:val="20"/>
                <w:color w:val="auto"/>
              </w:rPr>
            </w:pP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57,287</w:t>
            </w:r>
          </w:p>
        </w:tc>
        <w:tc>
          <w:tcPr>
            <w:tcW w:w="1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42,403</w:t>
            </w:r>
          </w:p>
        </w:tc>
      </w:tr>
      <w:tr>
        <w:trPr>
          <w:trHeight w:val="220"/>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22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49,268</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41,069</w:t>
            </w:r>
          </w:p>
        </w:tc>
      </w:tr>
      <w:tr>
        <w:trPr>
          <w:trHeight w:val="236"/>
        </w:trPr>
        <w:tc>
          <w:tcPr>
            <w:tcW w:w="4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Reserve for Obsolete Inventory</w:t>
            </w:r>
          </w:p>
        </w:tc>
        <w:tc>
          <w:tcPr>
            <w:tcW w:w="2220" w:type="dxa"/>
            <w:vAlign w:val="bottom"/>
            <w:tcBorders>
              <w:bottom w:val="single" w:sz="8" w:color="CFF0FC"/>
            </w:tcBorders>
            <w:shd w:val="clear" w:color="auto" w:fill="CFF0FC"/>
          </w:tcPr>
          <w:p>
            <w:pPr>
              <w:spacing w:after="0"/>
              <w:rPr>
                <w:sz w:val="20"/>
                <w:szCs w:val="20"/>
                <w:color w:val="auto"/>
              </w:rPr>
            </w:pPr>
          </w:p>
        </w:tc>
        <w:tc>
          <w:tcPr>
            <w:tcW w:w="2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(3,797)</w:t>
            </w:r>
          </w:p>
        </w:tc>
        <w:tc>
          <w:tcPr>
            <w:tcW w:w="1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(1,901)</w:t>
            </w:r>
          </w:p>
        </w:tc>
      </w:tr>
      <w:tr>
        <w:trPr>
          <w:trHeight w:val="226"/>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Inventories</w:t>
            </w: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115,675</w:t>
            </w:r>
          </w:p>
        </w:tc>
        <w:tc>
          <w:tcPr>
            <w:tcW w:w="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95,471</w:t>
            </w:r>
          </w:p>
        </w:tc>
      </w:tr>
      <w:tr>
        <w:trPr>
          <w:trHeight w:val="20"/>
        </w:trPr>
        <w:tc>
          <w:tcPr>
            <w:tcW w:w="4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-179070</wp:posOffset>
            </wp:positionV>
            <wp:extent cx="111125" cy="1797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2">
                      <a:extLst>
                        <a:ext uri="{28A0092B-C50C-407E-A947-70E740481C1C}"/>
                      </a:extLst>
                    </a:blip>
                    <a:srcRect/>
                    <a:stretch>
                      <a:fillRect/>
                    </a:stretch>
                  </pic:blipFill>
                  <pic:spPr bwMode="auto">
                    <a:xfrm>
                      <a:off x="0" y="0"/>
                      <a:ext cx="111125" cy="17970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378" w:lineRule="exact"/>
        <w:rPr>
          <w:sz w:val="20"/>
          <w:szCs w:val="20"/>
          <w:color w:val="auto"/>
        </w:rPr>
      </w:pPr>
    </w:p>
    <w:p>
      <w:pPr>
        <w:ind w:left="540" w:hanging="532"/>
        <w:spacing w:after="0"/>
        <w:tabs>
          <w:tab w:leader="none" w:pos="54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December 31, 2022 and 2021, property and equipment consisted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3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24"/>
        </w:trPr>
        <w:tc>
          <w:tcPr>
            <w:tcW w:w="43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920" w:type="dxa"/>
            <w:vAlign w:val="bottom"/>
            <w:gridSpan w:val="3"/>
          </w:tcPr>
          <w:p>
            <w:pPr>
              <w:ind w:left="190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80" w:type="dxa"/>
            <w:vAlign w:val="bottom"/>
          </w:tcPr>
          <w:p>
            <w:pPr>
              <w:spacing w:after="0"/>
              <w:rPr>
                <w:sz w:val="19"/>
                <w:szCs w:val="19"/>
                <w:color w:val="auto"/>
              </w:rPr>
            </w:pPr>
          </w:p>
        </w:tc>
      </w:tr>
      <w:tr>
        <w:trPr>
          <w:trHeight w:val="33"/>
        </w:trPr>
        <w:tc>
          <w:tcPr>
            <w:tcW w:w="43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23"/>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176,874</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101,283</w:t>
            </w:r>
          </w:p>
        </w:tc>
      </w:tr>
      <w:tr>
        <w:trPr>
          <w:trHeight w:val="220"/>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Equipment, Computers and Furniture</w:t>
            </w:r>
          </w:p>
        </w:tc>
        <w:tc>
          <w:tcPr>
            <w:tcW w:w="208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122,568</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83,281</w:t>
            </w:r>
          </w:p>
        </w:tc>
      </w:tr>
      <w:tr>
        <w:trPr>
          <w:trHeight w:val="239"/>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2080" w:type="dxa"/>
            <w:vAlign w:val="bottom"/>
            <w:shd w:val="clear" w:color="auto" w:fill="CFF0FC"/>
          </w:tcPr>
          <w:p>
            <w:pPr>
              <w:spacing w:after="0"/>
              <w:rPr>
                <w:sz w:val="20"/>
                <w:szCs w:val="20"/>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135,524</w:t>
            </w:r>
          </w:p>
        </w:tc>
        <w:tc>
          <w:tcPr>
            <w:tcW w:w="2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114,303</w:t>
            </w:r>
          </w:p>
        </w:tc>
      </w:tr>
      <w:tr>
        <w:trPr>
          <w:trHeight w:val="220"/>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 Improvements</w:t>
            </w:r>
          </w:p>
        </w:tc>
        <w:tc>
          <w:tcPr>
            <w:tcW w:w="208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w:t>
            </w:r>
          </w:p>
        </w:tc>
      </w:tr>
      <w:tr>
        <w:trPr>
          <w:trHeight w:val="233"/>
        </w:trPr>
        <w:tc>
          <w:tcPr>
            <w:tcW w:w="4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Capitalized Interest</w:t>
            </w:r>
          </w:p>
        </w:tc>
        <w:tc>
          <w:tcPr>
            <w:tcW w:w="2080" w:type="dxa"/>
            <w:vAlign w:val="bottom"/>
            <w:tcBorders>
              <w:bottom w:val="single" w:sz="8" w:color="CFF0FC"/>
            </w:tcBorders>
            <w:shd w:val="clear" w:color="auto" w:fill="CFF0FC"/>
          </w:tcPr>
          <w:p>
            <w:pPr>
              <w:spacing w:after="0"/>
              <w:rPr>
                <w:sz w:val="20"/>
                <w:szCs w:val="20"/>
                <w:color w:val="auto"/>
              </w:rPr>
            </w:pPr>
          </w:p>
        </w:tc>
        <w:tc>
          <w:tcPr>
            <w:tcW w:w="2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16,934</w:t>
            </w:r>
          </w:p>
        </w:tc>
        <w:tc>
          <w:tcPr>
            <w:tcW w:w="20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6,523</w:t>
            </w:r>
          </w:p>
        </w:tc>
      </w:tr>
      <w:tr>
        <w:trPr>
          <w:trHeight w:val="221"/>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Property and Equipment</w:t>
            </w:r>
          </w:p>
        </w:tc>
        <w:tc>
          <w:tcPr>
            <w:tcW w:w="208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452,747</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305,997</w:t>
            </w:r>
          </w:p>
        </w:tc>
      </w:tr>
      <w:tr>
        <w:trPr>
          <w:trHeight w:val="232"/>
        </w:trPr>
        <w:tc>
          <w:tcPr>
            <w:tcW w:w="4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080" w:type="dxa"/>
            <w:vAlign w:val="bottom"/>
            <w:tcBorders>
              <w:bottom w:val="single" w:sz="8" w:color="CFF0FC"/>
            </w:tcBorders>
            <w:shd w:val="clear" w:color="auto" w:fill="CFF0FC"/>
          </w:tcPr>
          <w:p>
            <w:pPr>
              <w:spacing w:after="0"/>
              <w:rPr>
                <w:sz w:val="20"/>
                <w:szCs w:val="20"/>
                <w:color w:val="auto"/>
              </w:rPr>
            </w:pPr>
          </w:p>
        </w:tc>
        <w:tc>
          <w:tcPr>
            <w:tcW w:w="2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(80,702)</w:t>
            </w:r>
          </w:p>
        </w:tc>
        <w:tc>
          <w:tcPr>
            <w:tcW w:w="20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(45,198)</w:t>
            </w: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and Equipment, net</w:t>
            </w:r>
          </w:p>
        </w:tc>
        <w:tc>
          <w:tcPr>
            <w:tcW w:w="2080" w:type="dxa"/>
            <w:vAlign w:val="bottom"/>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372,045</w:t>
            </w:r>
          </w:p>
        </w:tc>
        <w:tc>
          <w:tcPr>
            <w:tcW w:w="2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260,799</w:t>
            </w:r>
          </w:p>
        </w:tc>
      </w:tr>
      <w:tr>
        <w:trPr>
          <w:trHeight w:val="229"/>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2080" w:type="dxa"/>
            <w:vAlign w:val="bottom"/>
            <w:shd w:val="clear" w:color="auto" w:fill="CFF0FC"/>
          </w:tcPr>
          <w:p>
            <w:pPr>
              <w:spacing w:after="0"/>
              <w:rPr>
                <w:sz w:val="19"/>
                <w:szCs w:val="19"/>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29,106</w:t>
            </w: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20,258</w:t>
            </w: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 Under Construction</w:t>
            </w:r>
          </w:p>
        </w:tc>
        <w:tc>
          <w:tcPr>
            <w:tcW w:w="2080" w:type="dxa"/>
            <w:vAlign w:val="bottom"/>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156,722</w:t>
            </w:r>
          </w:p>
        </w:tc>
        <w:tc>
          <w:tcPr>
            <w:tcW w:w="2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128,017</w:t>
            </w:r>
          </w:p>
        </w:tc>
      </w:tr>
      <w:tr>
        <w:trPr>
          <w:trHeight w:val="267"/>
        </w:trPr>
        <w:tc>
          <w:tcPr>
            <w:tcW w:w="4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and Equipment, net</w:t>
            </w:r>
          </w:p>
        </w:tc>
        <w:tc>
          <w:tcPr>
            <w:tcW w:w="2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557,873</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tcBorders>
              <w:bottom w:val="single" w:sz="8" w:color="auto"/>
            </w:tcBorders>
            <w:shd w:val="clear" w:color="auto" w:fill="CFF0FC"/>
          </w:tcPr>
          <w:p>
            <w:pPr>
              <w:spacing w:after="0"/>
              <w:rPr>
                <w:sz w:val="23"/>
                <w:szCs w:val="23"/>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409,074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-934085</wp:posOffset>
            </wp:positionV>
            <wp:extent cx="120015" cy="1543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5">
                      <a:extLst>
                        <a:ext uri="{28A0092B-C50C-407E-A947-70E740481C1C}"/>
                      </a:extLst>
                    </a:blip>
                    <a:srcRect/>
                    <a:stretch>
                      <a:fillRect/>
                    </a:stretch>
                  </pic:blipFill>
                  <pic:spPr bwMode="auto">
                    <a:xfrm>
                      <a:off x="0" y="0"/>
                      <a:ext cx="120015" cy="15430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-633730</wp:posOffset>
            </wp:positionV>
            <wp:extent cx="120015" cy="16319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6">
                      <a:extLst>
                        <a:ext uri="{28A0092B-C50C-407E-A947-70E740481C1C}"/>
                      </a:extLst>
                    </a:blip>
                    <a:srcRect/>
                    <a:stretch>
                      <a:fillRect/>
                    </a:stretch>
                  </pic:blipFill>
                  <pic:spPr bwMode="auto">
                    <a:xfrm>
                      <a:off x="0" y="0"/>
                      <a:ext cx="120015" cy="16319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-25400</wp:posOffset>
            </wp:positionV>
            <wp:extent cx="12001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-7620</wp:posOffset>
            </wp:positionV>
            <wp:extent cx="12001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8">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5" w:lineRule="exact"/>
        <w:rPr>
          <w:sz w:val="20"/>
          <w:szCs w:val="20"/>
          <w:color w:val="auto"/>
        </w:rPr>
      </w:pPr>
    </w:p>
    <w:p>
      <w:pPr>
        <w:ind w:left="520" w:right="160"/>
        <w:spacing w:after="0" w:line="282" w:lineRule="auto"/>
        <w:rPr>
          <w:sz w:val="20"/>
          <w:szCs w:val="20"/>
          <w:color w:val="auto"/>
        </w:rPr>
      </w:pPr>
      <w:r>
        <w:rPr>
          <w:rFonts w:ascii="Times New Roman" w:cs="Times New Roman" w:eastAsia="Times New Roman" w:hAnsi="Times New Roman"/>
          <w:sz w:val="18"/>
          <w:szCs w:val="18"/>
          <w:color w:val="auto"/>
        </w:rPr>
        <w:t>Assets under construction represent construction in progress related to both cultivation and dispensary facilities not yet completed or otherwise not ready for use.</w:t>
      </w:r>
    </w:p>
    <w:p>
      <w:pPr>
        <w:spacing w:after="0" w:line="162" w:lineRule="exact"/>
        <w:rPr>
          <w:sz w:val="20"/>
          <w:szCs w:val="20"/>
          <w:color w:val="auto"/>
        </w:rPr>
      </w:pPr>
    </w:p>
    <w:p>
      <w:pPr>
        <w:ind w:left="520" w:right="240"/>
        <w:spacing w:after="0" w:line="282" w:lineRule="auto"/>
        <w:rPr>
          <w:sz w:val="20"/>
          <w:szCs w:val="20"/>
          <w:color w:val="auto"/>
        </w:rPr>
      </w:pPr>
      <w:r>
        <w:rPr>
          <w:rFonts w:ascii="Times New Roman" w:cs="Times New Roman" w:eastAsia="Times New Roman" w:hAnsi="Times New Roman"/>
          <w:sz w:val="18"/>
          <w:szCs w:val="18"/>
          <w:color w:val="auto"/>
        </w:rPr>
        <w:t>Depreciation expense for the years ended December 31, 2022, 2021 and 2020 totaled $37,006 thousand, $23,250 thousand and $15,479 thousand, respectively, of which $24,117 thousand, $14,301 thousand and $8,283 thousand, respectively, is included in cost of goods sold.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6" w:name="page97"/>
    <w:bookmarkEnd w:id="9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43" w:lineRule="exact"/>
        <w:rPr>
          <w:sz w:val="20"/>
          <w:szCs w:val="20"/>
          <w:color w:val="auto"/>
        </w:rPr>
      </w:pPr>
    </w:p>
    <w:p>
      <w:pPr>
        <w:ind w:left="540" w:hanging="532"/>
        <w:spacing w:after="0"/>
        <w:tabs>
          <w:tab w:leader="none" w:pos="54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has determined that the below acquisitions are business combinations under </w:t>
      </w:r>
      <w:r>
        <w:rPr>
          <w:rFonts w:ascii="Times New Roman" w:cs="Times New Roman" w:eastAsia="Times New Roman" w:hAnsi="Times New Roman"/>
          <w:sz w:val="18"/>
          <w:szCs w:val="18"/>
          <w:i w:val="1"/>
          <w:iCs w:val="1"/>
          <w:color w:val="auto"/>
        </w:rPr>
        <w:t>ASC 805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They are accounted for by applying the acquisition method, whereby the assets acquired, and the liabilities assumed are recorded at their fair values with any excess of the aggregate consideration over the fair values of the identifiable net assets allocated to goodwill. Operating results have been included in these consolidated financial statements from the date of the acquisition. Supplemental pro forma financial information has not been presented as the impact was not material to the Company's consolidated financial statements. The goodwill recorded primarily includes the expected synergies resulting from combining the operations of the acquired entity with those of the Company.</w:t>
      </w:r>
    </w:p>
    <w:p>
      <w:pPr>
        <w:spacing w:after="0" w:line="180" w:lineRule="exact"/>
        <w:rPr>
          <w:sz w:val="20"/>
          <w:szCs w:val="20"/>
          <w:color w:val="auto"/>
        </w:rPr>
      </w:pPr>
    </w:p>
    <w:p>
      <w:pPr>
        <w:ind w:left="1060" w:hanging="543"/>
        <w:spacing w:after="0"/>
        <w:tabs>
          <w:tab w:leader="none" w:pos="10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2022 Business Acquisitions</w:t>
      </w:r>
    </w:p>
    <w:p>
      <w:pPr>
        <w:spacing w:after="0" w:line="256"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On March 1, 2022, the Company acquired the remaining 50% ownership interests of ILDISP, LLC (“ILDISP”) from the Company's former membership interest partner for the purposes of expanding the Company's operational capacity in the Illinois market. Prior to March 1, 2022, one of the two retail stores owned by ILDISP, RISE Effingham, was consolidated by Green Thumb as the Company was determined to be the primary beneficiary of the variable interest entity. The other retail store was accounted for as an equity method investment given the Company's 50% ownership interest and its ability to significantly influence that store's operations.</w:t>
      </w:r>
    </w:p>
    <w:p>
      <w:pPr>
        <w:spacing w:after="0" w:line="183"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The total consideration exchanged included $18,623 thousand in cash, which included $250 thousand in deferred consideration, which was paid in September 2022, along with 204,036 Subordinate Voting Shares of Green Thumb valued at $3,785 thousand, based on the fair value of the securities on their date of issuance, which was the closing price of Green Thumb's Subordinate Voting Shares as traded on the Canadian Securities Exchange (“CSE”) on the date of the transaction.</w:t>
      </w:r>
    </w:p>
    <w:p>
      <w:pPr>
        <w:spacing w:after="0" w:line="180" w:lineRule="exact"/>
        <w:rPr>
          <w:sz w:val="20"/>
          <w:szCs w:val="20"/>
          <w:color w:val="auto"/>
        </w:rPr>
      </w:pPr>
    </w:p>
    <w:p>
      <w:pPr>
        <w:ind w:left="520" w:right="80"/>
        <w:spacing w:after="0" w:line="261" w:lineRule="auto"/>
        <w:rPr>
          <w:sz w:val="20"/>
          <w:szCs w:val="20"/>
          <w:color w:val="auto"/>
        </w:rPr>
      </w:pPr>
      <w:r>
        <w:rPr>
          <w:rFonts w:ascii="Times New Roman" w:cs="Times New Roman" w:eastAsia="Times New Roman" w:hAnsi="Times New Roman"/>
          <w:sz w:val="18"/>
          <w:szCs w:val="18"/>
          <w:color w:val="auto"/>
        </w:rPr>
        <w:t>The Company allocated the total consideration exchanged to each of the acquired retail stores. Accordingly, the consideration allocated to RISE Effingham was approximately $11,857 thousand in cash along with 128,218 Subordinate Voting Shares of Green Thumb that had a fair value on the date of issuance of $2,379 thousand. The remaining equity associated with the Company's purchase of the noncontrolling interest was closed to contributed surplus (deficit) of Green Thumb as of March 1, 2022.</w:t>
      </w:r>
    </w:p>
    <w:p>
      <w:pPr>
        <w:spacing w:after="0" w:line="180" w:lineRule="exact"/>
        <w:rPr>
          <w:sz w:val="20"/>
          <w:szCs w:val="20"/>
          <w:color w:val="auto"/>
        </w:rPr>
      </w:pPr>
    </w:p>
    <w:p>
      <w:pPr>
        <w:ind w:left="520" w:right="160"/>
        <w:spacing w:after="0" w:line="258" w:lineRule="auto"/>
        <w:rPr>
          <w:sz w:val="20"/>
          <w:szCs w:val="20"/>
          <w:color w:val="auto"/>
        </w:rPr>
      </w:pPr>
      <w:r>
        <w:rPr>
          <w:rFonts w:ascii="Times New Roman" w:cs="Times New Roman" w:eastAsia="Times New Roman" w:hAnsi="Times New Roman"/>
          <w:sz w:val="18"/>
          <w:szCs w:val="18"/>
          <w:color w:val="auto"/>
        </w:rPr>
        <w:t>The equity method investment associated with the other retail store owned by ILDISP was remeasured at fair value of $11,336 thousand as of the date of the transaction, and resulted in a gain on the fair value of the equity method investment of $10,955 thousand, which was recorded in other income (expense) on the consolidated statement of operations. The Company, with the assistance of an external valuation expert, measured the fair value of the equity method investment utilizing a market approach as of the date of acquisition. Significant inputs included the equity method investments projected EBITDA for the year ended December 31, 2022, along with selected market multiples.</w:t>
      </w:r>
    </w:p>
    <w:p>
      <w:pPr>
        <w:spacing w:after="0" w:line="183" w:lineRule="exact"/>
        <w:rPr>
          <w:sz w:val="20"/>
          <w:szCs w:val="20"/>
          <w:color w:val="auto"/>
        </w:rPr>
      </w:pPr>
    </w:p>
    <w:p>
      <w:pPr>
        <w:jc w:val="both"/>
        <w:ind w:left="520" w:right="240"/>
        <w:spacing w:after="0" w:line="266" w:lineRule="auto"/>
        <w:rPr>
          <w:sz w:val="20"/>
          <w:szCs w:val="20"/>
          <w:color w:val="auto"/>
        </w:rPr>
      </w:pPr>
      <w:r>
        <w:rPr>
          <w:rFonts w:ascii="Times New Roman" w:cs="Times New Roman" w:eastAsia="Times New Roman" w:hAnsi="Times New Roman"/>
          <w:sz w:val="18"/>
          <w:szCs w:val="18"/>
          <w:color w:val="auto"/>
        </w:rPr>
        <w:t>In addition to the fair value of the equity method investment of $11,336 thousand, which was included as part of the consideration exchanged, the Company allocated consideration of $6,766 thousand in cash along with 75,818 Subordinate Voting Shares of Green Thumb, with a fair value of $1,406 thousand, to the acquisition of the other retail store.</w:t>
      </w:r>
    </w:p>
    <w:p>
      <w:pPr>
        <w:spacing w:after="0" w:line="176" w:lineRule="exact"/>
        <w:rPr>
          <w:sz w:val="20"/>
          <w:szCs w:val="20"/>
          <w:color w:val="auto"/>
        </w:rPr>
      </w:pPr>
    </w:p>
    <w:p>
      <w:pPr>
        <w:ind w:left="520" w:right="80"/>
        <w:spacing w:after="0" w:line="261" w:lineRule="auto"/>
        <w:rPr>
          <w:sz w:val="20"/>
          <w:szCs w:val="20"/>
          <w:color w:val="auto"/>
        </w:rPr>
      </w:pPr>
      <w:r>
        <w:rPr>
          <w:rFonts w:ascii="Times New Roman" w:cs="Times New Roman" w:eastAsia="Times New Roman" w:hAnsi="Times New Roman"/>
          <w:sz w:val="18"/>
          <w:szCs w:val="18"/>
          <w:color w:val="auto"/>
        </w:rPr>
        <w:t>After completing the preliminary allocation of the aggregate consideration exchanged for the assets acquired and liabilities assumed, the Company recorded a license intangible asset of $14,000 thousand and non-tax deductible goodwill of $4,697 thousand. Other assets acquired and liabilities assumed were not material. The weighted average amortization period for the license intangible is 15 years. Acquisition related expenses associated with the transaction were not material.</w:t>
      </w:r>
    </w:p>
    <w:p>
      <w:pPr>
        <w:spacing w:after="0" w:line="180" w:lineRule="exact"/>
        <w:rPr>
          <w:sz w:val="20"/>
          <w:szCs w:val="20"/>
          <w:color w:val="auto"/>
        </w:rPr>
      </w:pPr>
    </w:p>
    <w:p>
      <w:pPr>
        <w:ind w:left="520"/>
        <w:spacing w:after="0" w:line="266" w:lineRule="auto"/>
        <w:rPr>
          <w:sz w:val="20"/>
          <w:szCs w:val="20"/>
          <w:color w:val="auto"/>
        </w:rPr>
      </w:pPr>
      <w:r>
        <w:rPr>
          <w:rFonts w:ascii="Times New Roman" w:cs="Times New Roman" w:eastAsia="Times New Roman" w:hAnsi="Times New Roman"/>
          <w:sz w:val="18"/>
          <w:szCs w:val="18"/>
          <w:color w:val="auto"/>
        </w:rPr>
        <w:t>During 2022, the Company finalized the purchase price allocation associated with the March 1, 2022 acquisition of ILDISP. The Company remeasured the assets acquired and liabilities assumed with the assistance of an external valuation expert, which resulted in a reduction to the license intangible of $143 thousand and a corresponding increase in the value of goodwill.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03" w:lineRule="exact"/>
        <w:rPr>
          <w:sz w:val="20"/>
          <w:szCs w:val="20"/>
          <w:color w:val="auto"/>
        </w:rPr>
      </w:pPr>
    </w:p>
    <w:p>
      <w:pPr>
        <w:ind w:left="540" w:hanging="532"/>
        <w:spacing w:after="0"/>
        <w:tabs>
          <w:tab w:leader="none" w:pos="54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ACQUISITIONS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3" w:lineRule="exact"/>
        <w:rPr>
          <w:sz w:val="20"/>
          <w:szCs w:val="20"/>
          <w:color w:val="auto"/>
        </w:rPr>
      </w:pPr>
    </w:p>
    <w:p>
      <w:pPr>
        <w:ind w:left="1060" w:hanging="543"/>
        <w:spacing w:after="0"/>
        <w:tabs>
          <w:tab w:leader="none" w:pos="10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2021 Business Acquisitions</w:t>
      </w:r>
    </w:p>
    <w:p>
      <w:pPr>
        <w:spacing w:after="0" w:line="229"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During 2022, the Company finalized the purchase price allocations associated with the 2021 acquistions of Summit Medical Compassion Center, Inc., GreenStar Herbals Inc. (“GreenStar”). MDHWC Management Corp. and LeafLine Industries, LLC (“LeafLine”). The Company remeasured the assets acquired and liabilities assumed with the assistance of an external valuation expert. The following table summarizes the final purchase price allocations:</w:t>
      </w:r>
    </w:p>
    <w:p>
      <w:pPr>
        <w:spacing w:after="0" w:line="193" w:lineRule="exact"/>
        <w:rPr>
          <w:sz w:val="20"/>
          <w:szCs w:val="20"/>
          <w:color w:val="auto"/>
        </w:rPr>
      </w:pPr>
    </w:p>
    <w:tbl>
      <w:tblPr>
        <w:tblLayout w:type="fixed"/>
        <w:tblInd w:w="102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Leafline Industries,</w:t>
            </w:r>
          </w:p>
        </w:tc>
        <w:tc>
          <w:tcPr>
            <w:tcW w:w="100" w:type="dxa"/>
            <w:vAlign w:val="bottom"/>
          </w:tcPr>
          <w:p>
            <w:pPr>
              <w:spacing w:after="0"/>
              <w:rPr>
                <w:sz w:val="18"/>
                <w:szCs w:val="18"/>
                <w:color w:val="auto"/>
              </w:rPr>
            </w:pPr>
          </w:p>
        </w:tc>
        <w:tc>
          <w:tcPr>
            <w:tcW w:w="19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Summit Medical</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3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LLC</w:t>
            </w:r>
          </w:p>
        </w:tc>
        <w:tc>
          <w:tcPr>
            <w:tcW w:w="100" w:type="dxa"/>
            <w:vAlign w:val="bottom"/>
          </w:tcPr>
          <w:p>
            <w:pPr>
              <w:spacing w:after="0"/>
              <w:rPr>
                <w:sz w:val="20"/>
                <w:szCs w:val="20"/>
                <w:color w:val="auto"/>
              </w:rPr>
            </w:pPr>
          </w:p>
        </w:tc>
        <w:tc>
          <w:tcPr>
            <w:tcW w:w="1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Compassion Center, Inc.</w:t>
            </w:r>
          </w:p>
        </w:tc>
        <w:tc>
          <w:tcPr>
            <w:tcW w:w="320" w:type="dxa"/>
            <w:vAlign w:val="bottom"/>
          </w:tcPr>
          <w:p>
            <w:pPr>
              <w:spacing w:after="0"/>
              <w:rPr>
                <w:sz w:val="20"/>
                <w:szCs w:val="20"/>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Other</w:t>
            </w:r>
          </w:p>
        </w:tc>
      </w:tr>
      <w:tr>
        <w:trPr>
          <w:trHeight w:val="243"/>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80" w:type="dxa"/>
            <w:vAlign w:val="bottom"/>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80" w:type="dxa"/>
            <w:vAlign w:val="bottom"/>
            <w:shd w:val="clear" w:color="auto" w:fill="CFF0FC"/>
          </w:tcPr>
          <w:p>
            <w:pPr>
              <w:spacing w:after="0"/>
              <w:rPr>
                <w:sz w:val="21"/>
                <w:szCs w:val="21"/>
                <w:color w:val="auto"/>
              </w:rPr>
            </w:pPr>
          </w:p>
        </w:tc>
      </w:tr>
      <w:tr>
        <w:trPr>
          <w:trHeight w:val="23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80" w:type="dxa"/>
            <w:vAlign w:val="bottom"/>
          </w:tcPr>
          <w:p>
            <w:pPr>
              <w:spacing w:after="0"/>
              <w:rPr>
                <w:sz w:val="20"/>
                <w:szCs w:val="20"/>
                <w:color w:val="auto"/>
              </w:rPr>
            </w:pPr>
          </w:p>
        </w:tc>
      </w:tr>
      <w:tr>
        <w:trPr>
          <w:trHeight w:val="247"/>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20"/>
                <w:szCs w:val="20"/>
                <w:color w:val="auto"/>
              </w:rPr>
            </w:pPr>
          </w:p>
        </w:tc>
      </w:tr>
      <w:tr>
        <w:trPr>
          <w:trHeight w:val="247"/>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14,525</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7,325</w:t>
            </w:r>
          </w:p>
        </w:tc>
        <w:tc>
          <w:tcPr>
            <w:tcW w:w="80" w:type="dxa"/>
            <w:vAlign w:val="bottom"/>
            <w:shd w:val="clear" w:color="auto" w:fill="CFF0FC"/>
          </w:tcPr>
          <w:p>
            <w:pPr>
              <w:spacing w:after="0"/>
              <w:rPr>
                <w:sz w:val="21"/>
                <w:szCs w:val="21"/>
                <w:color w:val="auto"/>
              </w:rPr>
            </w:pPr>
          </w:p>
        </w:tc>
      </w:tr>
      <w:tr>
        <w:trPr>
          <w:trHeight w:val="23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 net</w:t>
            </w:r>
          </w:p>
        </w:tc>
        <w:tc>
          <w:tcPr>
            <w:tcW w:w="1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80" w:type="dxa"/>
            <w:vAlign w:val="bottom"/>
          </w:tcPr>
          <w:p>
            <w:pPr>
              <w:spacing w:after="0"/>
              <w:rPr>
                <w:sz w:val="20"/>
                <w:szCs w:val="20"/>
                <w:color w:val="auto"/>
              </w:rPr>
            </w:pPr>
          </w:p>
        </w:tc>
      </w:tr>
      <w:tr>
        <w:trPr>
          <w:trHeight w:val="247"/>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Deposits and other assets</w:t>
            </w:r>
          </w:p>
        </w:tc>
        <w:tc>
          <w:tcPr>
            <w:tcW w:w="1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shd w:val="clear" w:color="auto" w:fill="CFF0FC"/>
          </w:tcPr>
          <w:p>
            <w:pPr>
              <w:spacing w:after="0"/>
              <w:rPr>
                <w:sz w:val="21"/>
                <w:szCs w:val="21"/>
                <w:color w:val="auto"/>
              </w:rPr>
            </w:pPr>
          </w:p>
        </w:tc>
      </w:tr>
      <w:tr>
        <w:trPr>
          <w:trHeight w:val="23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3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Licenses and permits</w:t>
            </w:r>
          </w:p>
        </w:tc>
        <w:tc>
          <w:tcPr>
            <w:tcW w:w="1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83,000</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57,000</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36,600</w:t>
            </w:r>
          </w:p>
        </w:tc>
        <w:tc>
          <w:tcPr>
            <w:tcW w:w="80" w:type="dxa"/>
            <w:vAlign w:val="bottom"/>
            <w:shd w:val="clear" w:color="auto" w:fill="CFF0FC"/>
          </w:tcPr>
          <w:p>
            <w:pPr>
              <w:spacing w:after="0"/>
              <w:rPr>
                <w:sz w:val="21"/>
                <w:szCs w:val="21"/>
                <w:color w:val="auto"/>
              </w:rPr>
            </w:pPr>
          </w:p>
        </w:tc>
      </w:tr>
      <w:tr>
        <w:trPr>
          <w:trHeight w:val="23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140" w:type="dxa"/>
            <w:vAlign w:val="bottom"/>
          </w:tcPr>
          <w:p>
            <w:pPr>
              <w:spacing w:after="0"/>
              <w:rPr>
                <w:sz w:val="20"/>
                <w:szCs w:val="20"/>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(2,690 )</w:t>
            </w:r>
          </w:p>
        </w:tc>
        <w:tc>
          <w:tcPr>
            <w:tcW w:w="100" w:type="dxa"/>
            <w:vAlign w:val="bottom"/>
          </w:tcPr>
          <w:p>
            <w:pPr>
              <w:spacing w:after="0"/>
              <w:rPr>
                <w:sz w:val="20"/>
                <w:szCs w:val="20"/>
                <w:color w:val="auto"/>
              </w:rPr>
            </w:pP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(4,407 )</w:t>
            </w:r>
          </w:p>
        </w:tc>
        <w:tc>
          <w:tcPr>
            <w:tcW w:w="3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(6,089 )</w:t>
            </w:r>
          </w:p>
        </w:tc>
      </w:tr>
      <w:tr>
        <w:trPr>
          <w:trHeight w:val="247"/>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4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(594 )</w:t>
            </w:r>
          </w:p>
        </w:tc>
        <w:tc>
          <w:tcPr>
            <w:tcW w:w="100" w:type="dxa"/>
            <w:vAlign w:val="bottom"/>
            <w:shd w:val="clear" w:color="auto" w:fill="CFF0FC"/>
          </w:tcPr>
          <w:p>
            <w:pPr>
              <w:spacing w:after="0"/>
              <w:rPr>
                <w:sz w:val="21"/>
                <w:szCs w:val="21"/>
                <w:color w:val="auto"/>
              </w:rPr>
            </w:pPr>
          </w:p>
        </w:tc>
        <w:tc>
          <w:tcPr>
            <w:tcW w:w="1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(210 )</w:t>
            </w:r>
          </w:p>
        </w:tc>
        <w:tc>
          <w:tcPr>
            <w:tcW w:w="3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(1,713 )</w:t>
            </w:r>
          </w:p>
        </w:tc>
      </w:tr>
      <w:tr>
        <w:trPr>
          <w:trHeight w:val="23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w:t>
            </w:r>
          </w:p>
        </w:tc>
        <w:tc>
          <w:tcPr>
            <w:tcW w:w="140" w:type="dxa"/>
            <w:vAlign w:val="bottom"/>
          </w:tcPr>
          <w:p>
            <w:pPr>
              <w:spacing w:after="0"/>
              <w:rPr>
                <w:sz w:val="20"/>
                <w:szCs w:val="20"/>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(5,627 )</w:t>
            </w:r>
          </w:p>
        </w:tc>
        <w:tc>
          <w:tcPr>
            <w:tcW w:w="100" w:type="dxa"/>
            <w:vAlign w:val="bottom"/>
          </w:tcPr>
          <w:p>
            <w:pPr>
              <w:spacing w:after="0"/>
              <w:rPr>
                <w:sz w:val="20"/>
                <w:szCs w:val="20"/>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4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(14,939 )</w:t>
            </w:r>
          </w:p>
        </w:tc>
        <w:tc>
          <w:tcPr>
            <w:tcW w:w="3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(9,747 )</w:t>
            </w:r>
          </w:p>
        </w:tc>
      </w:tr>
      <w:tr>
        <w:trPr>
          <w:trHeight w:val="232"/>
        </w:trPr>
        <w:tc>
          <w:tcPr>
            <w:tcW w:w="3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14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94,275</w:t>
            </w:r>
          </w:p>
        </w:tc>
        <w:tc>
          <w:tcPr>
            <w:tcW w:w="100" w:type="dxa"/>
            <w:vAlign w:val="bottom"/>
            <w:tcBorders>
              <w:top w:val="single" w:sz="8" w:color="CFF0FC"/>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44,043</w:t>
            </w:r>
          </w:p>
        </w:tc>
        <w:tc>
          <w:tcPr>
            <w:tcW w:w="8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31,225</w:t>
            </w:r>
          </w:p>
        </w:tc>
        <w:tc>
          <w:tcPr>
            <w:tcW w:w="80" w:type="dxa"/>
            <w:vAlign w:val="bottom"/>
            <w:tcBorders>
              <w:top w:val="single" w:sz="8" w:color="CFF0FC"/>
            </w:tcBorders>
          </w:tcPr>
          <w:p>
            <w:pPr>
              <w:spacing w:after="0"/>
              <w:rPr>
                <w:sz w:val="20"/>
                <w:szCs w:val="20"/>
                <w:color w:val="auto"/>
              </w:rPr>
            </w:pPr>
          </w:p>
        </w:tc>
      </w:tr>
      <w:tr>
        <w:trPr>
          <w:trHeight w:val="247"/>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(non-tax deductible)</w:t>
            </w:r>
          </w:p>
        </w:tc>
        <w:tc>
          <w:tcPr>
            <w:tcW w:w="14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65,231</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36,124</w:t>
            </w:r>
          </w:p>
        </w:tc>
        <w:tc>
          <w:tcPr>
            <w:tcW w:w="80" w:type="dxa"/>
            <w:vAlign w:val="bottom"/>
            <w:shd w:val="clear" w:color="auto" w:fill="CFF0FC"/>
          </w:tcPr>
          <w:p>
            <w:pPr>
              <w:spacing w:after="0"/>
              <w:rPr>
                <w:sz w:val="21"/>
                <w:szCs w:val="21"/>
                <w:color w:val="auto"/>
              </w:rPr>
            </w:pPr>
          </w:p>
        </w:tc>
      </w:tr>
      <w:tr>
        <w:trPr>
          <w:trHeight w:val="24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(tax deductible)</w:t>
            </w: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3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assets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157,478</w:t>
            </w:r>
          </w:p>
        </w:tc>
        <w:tc>
          <w:tcPr>
            <w:tcW w:w="1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109,274</w:t>
            </w:r>
          </w:p>
        </w:tc>
        <w:tc>
          <w:tcPr>
            <w:tcW w:w="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67,349</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-659765</wp:posOffset>
            </wp:positionV>
            <wp:extent cx="59690" cy="16319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3">
                      <a:extLst>
                        <a:ext uri="{28A0092B-C50C-407E-A947-70E740481C1C}"/>
                      </a:extLst>
                    </a:blip>
                    <a:srcRect/>
                    <a:stretch>
                      <a:fillRect/>
                    </a:stretch>
                  </pic:blipFill>
                  <pic:spPr bwMode="auto">
                    <a:xfrm>
                      <a:off x="0" y="0"/>
                      <a:ext cx="59690" cy="16319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-659765</wp:posOffset>
            </wp:positionV>
            <wp:extent cx="60325" cy="16319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4">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-659765</wp:posOffset>
            </wp:positionV>
            <wp:extent cx="51435" cy="16319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5">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-25400</wp:posOffset>
            </wp:positionV>
            <wp:extent cx="5969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-8255</wp:posOffset>
            </wp:positionV>
            <wp:extent cx="5969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-25400</wp:posOffset>
            </wp:positionV>
            <wp:extent cx="6032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-8255</wp:posOffset>
            </wp:positionV>
            <wp:extent cx="6032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-25400</wp:posOffset>
            </wp:positionV>
            <wp:extent cx="5143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-8255</wp:posOffset>
            </wp:positionV>
            <wp:extent cx="5143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ind w:left="520" w:right="380"/>
        <w:spacing w:after="0" w:line="282" w:lineRule="auto"/>
        <w:rPr>
          <w:sz w:val="20"/>
          <w:szCs w:val="20"/>
          <w:color w:val="auto"/>
        </w:rPr>
      </w:pPr>
      <w:r>
        <w:rPr>
          <w:rFonts w:ascii="Times New Roman" w:cs="Times New Roman" w:eastAsia="Times New Roman" w:hAnsi="Times New Roman"/>
          <w:sz w:val="18"/>
          <w:szCs w:val="18"/>
          <w:color w:val="auto"/>
        </w:rPr>
        <w:t>The weighted-average amortization period for the license intangibles was 15 years. Acquisition related expenses incurred during the year ended December 31, 2021 were approximately $2,036 thousand and were recorded within selling, general and administrative expenses.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8" w:name="page99"/>
    <w:bookmarkEnd w:id="9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43" w:lineRule="exact"/>
        <w:rPr>
          <w:sz w:val="20"/>
          <w:szCs w:val="20"/>
          <w:color w:val="auto"/>
        </w:rPr>
      </w:pPr>
    </w:p>
    <w:p>
      <w:pPr>
        <w:ind w:left="540" w:hanging="532"/>
        <w:spacing w:after="0"/>
        <w:tabs>
          <w:tab w:leader="none" w:pos="54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ACQUISITIONS </w:t>
      </w:r>
      <w:r>
        <w:rPr>
          <w:rFonts w:ascii="Times New Roman" w:cs="Times New Roman" w:eastAsia="Times New Roman" w:hAnsi="Times New Roman"/>
          <w:sz w:val="18"/>
          <w:szCs w:val="18"/>
          <w:i w:val="1"/>
          <w:iCs w:val="1"/>
          <w:color w:val="auto"/>
        </w:rPr>
        <w:t>(Continued)</w:t>
      </w:r>
    </w:p>
    <w:p>
      <w:pPr>
        <w:spacing w:after="0" w:line="252" w:lineRule="exact"/>
        <w:rPr>
          <w:rFonts w:ascii="Times New Roman" w:cs="Times New Roman" w:eastAsia="Times New Roman" w:hAnsi="Times New Roman"/>
          <w:sz w:val="18"/>
          <w:szCs w:val="18"/>
          <w:b w:val="1"/>
          <w:bCs w:val="1"/>
          <w:color w:val="auto"/>
        </w:rPr>
      </w:pPr>
    </w:p>
    <w:p>
      <w:pPr>
        <w:ind w:left="900" w:hanging="383"/>
        <w:spacing w:after="0"/>
        <w:tabs>
          <w:tab w:leader="none" w:pos="900" w:val="left"/>
        </w:tabs>
        <w:numPr>
          <w:ilvl w:val="1"/>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2021 Business Acquisitions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1323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left="1300" w:hanging="394"/>
        <w:spacing w:after="0"/>
        <w:tabs>
          <w:tab w:leader="none" w:pos="130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of Mobley Pain Management and Wellness Center LLC and Canwell Processing LLC</w:t>
      </w:r>
    </w:p>
    <w:p>
      <w:pPr>
        <w:spacing w:after="0" w:line="81" w:lineRule="exact"/>
        <w:rPr>
          <w:sz w:val="20"/>
          <w:szCs w:val="20"/>
          <w:color w:val="auto"/>
        </w:rPr>
      </w:pPr>
    </w:p>
    <w:p>
      <w:pPr>
        <w:ind w:left="900" w:right="160"/>
        <w:spacing w:after="0" w:line="258" w:lineRule="auto"/>
        <w:rPr>
          <w:sz w:val="20"/>
          <w:szCs w:val="20"/>
          <w:color w:val="auto"/>
        </w:rPr>
      </w:pPr>
      <w:r>
        <w:rPr>
          <w:rFonts w:ascii="Times New Roman" w:cs="Times New Roman" w:eastAsia="Times New Roman" w:hAnsi="Times New Roman"/>
          <w:sz w:val="18"/>
          <w:szCs w:val="18"/>
          <w:color w:val="auto"/>
        </w:rPr>
        <w:t>On August 1, 2021, the Company acquired Mobley Pain Management and Wellness Center LLC and Canwell Processing LLC (collectively referred to as “Summit”), both of which have contractual interests in Summit Medical Compassion Center, Inc. a non-profit entity with vertically integrated cannabis operations in Rhode Island for the purpose of expanding Green Thumb's national presence. Green Thumb exchanged 2,387,807 Subordinate Voting Shares (including 303,599 deferred shares) valued at approximately $69,874 thousand based on the fair value of the securities as traded on the CSE on the date of the transaction.</w:t>
      </w:r>
    </w:p>
    <w:p>
      <w:pPr>
        <w:spacing w:after="0" w:line="183" w:lineRule="exact"/>
        <w:rPr>
          <w:sz w:val="20"/>
          <w:szCs w:val="20"/>
          <w:color w:val="auto"/>
        </w:rPr>
      </w:pPr>
    </w:p>
    <w:p>
      <w:pPr>
        <w:ind w:left="900"/>
        <w:spacing w:after="0" w:line="256" w:lineRule="auto"/>
        <w:rPr>
          <w:sz w:val="20"/>
          <w:szCs w:val="20"/>
          <w:color w:val="auto"/>
        </w:rPr>
      </w:pPr>
      <w:r>
        <w:rPr>
          <w:rFonts w:ascii="Times New Roman" w:cs="Times New Roman" w:eastAsia="Times New Roman" w:hAnsi="Times New Roman"/>
          <w:sz w:val="18"/>
          <w:szCs w:val="18"/>
          <w:color w:val="auto"/>
        </w:rPr>
        <w:t>The purchase agreement included additional consideration of up to 2,500,000 Subordinate Voting Shares of Green Thumb depending upon the achievement of certain earnings targets over the twelve-month period following the close of the transaction. During 2022, the Company remeasured the contingent consideration on a quarterly basis until it became evident that the earnings targets would not be achieved. As a result, as of December 31, 2022, the Company recorded a total of $29,400 thousand in fair value adjustments, which were recorded, net, within selling, general and administrative expenses on the consolidated statement of operations. See Note 15—Fair Value Measurements for additional detail.</w:t>
      </w:r>
    </w:p>
    <w:p>
      <w:pPr>
        <w:spacing w:after="0" w:line="183" w:lineRule="exact"/>
        <w:rPr>
          <w:sz w:val="20"/>
          <w:szCs w:val="20"/>
          <w:color w:val="auto"/>
        </w:rPr>
      </w:pPr>
    </w:p>
    <w:p>
      <w:pPr>
        <w:ind w:left="1360" w:hanging="454"/>
        <w:spacing w:after="0"/>
        <w:tabs>
          <w:tab w:leader="none" w:pos="136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of GreenStar Herbals Inc.</w:t>
      </w:r>
    </w:p>
    <w:p>
      <w:pPr>
        <w:spacing w:after="0" w:line="81" w:lineRule="exact"/>
        <w:rPr>
          <w:sz w:val="20"/>
          <w:szCs w:val="20"/>
          <w:color w:val="auto"/>
        </w:rPr>
      </w:pPr>
    </w:p>
    <w:p>
      <w:pPr>
        <w:ind w:left="900" w:right="120"/>
        <w:spacing w:after="0" w:line="258" w:lineRule="auto"/>
        <w:rPr>
          <w:sz w:val="20"/>
          <w:szCs w:val="20"/>
          <w:color w:val="auto"/>
        </w:rPr>
      </w:pPr>
      <w:r>
        <w:rPr>
          <w:rFonts w:ascii="Times New Roman" w:cs="Times New Roman" w:eastAsia="Times New Roman" w:hAnsi="Times New Roman"/>
          <w:sz w:val="18"/>
          <w:szCs w:val="18"/>
          <w:color w:val="auto"/>
        </w:rPr>
        <w:t>On September 1, 2021, the Company acquired GreenStar, a Massachusetts-based adult-use cannabis retailer, for the purpose of expanding the Company's operational capacity in the Massachusetts market. Green Thumb exchanged $5,228 thousand in cash and issued 1,344,216 Subordinate Voting Shares (including 161,306 deferred shares) valued at approximately $39,681 thousand in consideration for the ownership interests. The fair value of the securities was based upon the closing price of Green Thumb's Subordinate Voting Shares as traded on the CSE on the date of the transaction.</w:t>
      </w:r>
    </w:p>
    <w:p>
      <w:pPr>
        <w:spacing w:after="0" w:line="183" w:lineRule="exact"/>
        <w:rPr>
          <w:sz w:val="20"/>
          <w:szCs w:val="20"/>
          <w:color w:val="auto"/>
        </w:rPr>
      </w:pPr>
    </w:p>
    <w:p>
      <w:pPr>
        <w:ind w:left="900" w:right="180"/>
        <w:spacing w:after="0" w:line="256" w:lineRule="auto"/>
        <w:rPr>
          <w:sz w:val="20"/>
          <w:szCs w:val="20"/>
          <w:color w:val="auto"/>
        </w:rPr>
      </w:pPr>
      <w:r>
        <w:rPr>
          <w:rFonts w:ascii="Times New Roman" w:cs="Times New Roman" w:eastAsia="Times New Roman" w:hAnsi="Times New Roman"/>
          <w:sz w:val="18"/>
          <w:szCs w:val="18"/>
          <w:color w:val="auto"/>
        </w:rPr>
        <w:t>The purchase agreement included additional consideration of up to 663,810 Subordinate Voting Shares of Green Thumb depending upon the achievement of certain revenue metrics of GreenStar over the twenty-four-month period following the close of the transaction. During 2022, the Company remeasured the contingent consideration on a quarterly basis until it became evident that the revenue metrics would not be achieved. As a result, as of December 31, 2022, the Company recorded $5,800 thousand in fair value adjustments, which were recorded, net, within selling, general and administrative expenses on the consolidated statement of operations. See Note 15—Fair Value Measurements for additional detail.</w:t>
      </w:r>
    </w:p>
    <w:p>
      <w:pPr>
        <w:spacing w:after="0" w:line="183" w:lineRule="exact"/>
        <w:rPr>
          <w:sz w:val="20"/>
          <w:szCs w:val="20"/>
          <w:color w:val="auto"/>
        </w:rPr>
      </w:pPr>
    </w:p>
    <w:p>
      <w:pPr>
        <w:ind w:left="1440" w:hanging="534"/>
        <w:spacing w:after="0"/>
        <w:tabs>
          <w:tab w:leader="none" w:pos="144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of MDHWC Management Corp.</w:t>
      </w:r>
    </w:p>
    <w:p>
      <w:pPr>
        <w:spacing w:after="0" w:line="81" w:lineRule="exact"/>
        <w:rPr>
          <w:sz w:val="20"/>
          <w:szCs w:val="20"/>
          <w:color w:val="auto"/>
        </w:rPr>
      </w:pPr>
    </w:p>
    <w:p>
      <w:pPr>
        <w:ind w:left="900" w:right="60"/>
        <w:spacing w:after="0" w:line="256" w:lineRule="auto"/>
        <w:rPr>
          <w:sz w:val="20"/>
          <w:szCs w:val="20"/>
          <w:color w:val="auto"/>
        </w:rPr>
      </w:pPr>
      <w:r>
        <w:rPr>
          <w:rFonts w:ascii="Times New Roman" w:cs="Times New Roman" w:eastAsia="Times New Roman" w:hAnsi="Times New Roman"/>
          <w:sz w:val="18"/>
          <w:szCs w:val="18"/>
          <w:color w:val="auto"/>
        </w:rPr>
        <w:t>On November 1, 2021, the Company acquired 100% of the ownership interest in MDHWC Management Corp., which holds contractual interests in Maryland Health and Wellness Center, Inc., a Maryland-based medical dispensary (collectively referred to as “MDHWC”), for the purpose of expanding the Company's operational capacity in the Maryland market. The Company paid approximately $8,320 thousand in cash and issued 309,157 Subordinate Voting Shares of Green Thumb (including 61,832 deferred shares) valued at $6,375 thousand in consideration for the ownership interest. The fair value of the securities was based upon the closing price of Green Thumb's Subordinate Voting Shares as traded on the CSE on the date of the transaction.</w:t>
      </w:r>
    </w:p>
    <w:p>
      <w:pPr>
        <w:spacing w:after="0" w:line="187" w:lineRule="exact"/>
        <w:rPr>
          <w:sz w:val="20"/>
          <w:szCs w:val="20"/>
          <w:color w:val="auto"/>
        </w:rPr>
      </w:pPr>
    </w:p>
    <w:p>
      <w:pPr>
        <w:ind w:left="900" w:right="220"/>
        <w:spacing w:after="0" w:line="266" w:lineRule="auto"/>
        <w:rPr>
          <w:sz w:val="20"/>
          <w:szCs w:val="20"/>
          <w:color w:val="auto"/>
        </w:rPr>
      </w:pPr>
      <w:r>
        <w:rPr>
          <w:rFonts w:ascii="Times New Roman" w:cs="Times New Roman" w:eastAsia="Times New Roman" w:hAnsi="Times New Roman"/>
          <w:sz w:val="18"/>
          <w:szCs w:val="18"/>
          <w:color w:val="auto"/>
        </w:rPr>
        <w:t>On September 23, 2022, Green Thumb received approval from the Maryland Cannabis Commission to exercise our option to purchase all of the outstanding shares held by the former owner of Maryland Health and Wellness Center Inc. in exchange for $30 thousand in cash. The exercise of this option also resulted in the termination of the MSA that was in place since the date of acquisition.</w:t>
      </w:r>
    </w:p>
    <w:p>
      <w:pPr>
        <w:spacing w:after="0" w:line="172" w:lineRule="exact"/>
        <w:rPr>
          <w:sz w:val="20"/>
          <w:szCs w:val="20"/>
          <w:color w:val="auto"/>
        </w:rPr>
      </w:pPr>
    </w:p>
    <w:p>
      <w:pPr>
        <w:ind w:left="1440" w:hanging="534"/>
        <w:spacing w:after="0"/>
        <w:tabs>
          <w:tab w:leader="none" w:pos="144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of LeafLine Industries, LLC</w:t>
      </w:r>
    </w:p>
    <w:p>
      <w:pPr>
        <w:spacing w:after="0" w:line="81" w:lineRule="exact"/>
        <w:rPr>
          <w:sz w:val="20"/>
          <w:szCs w:val="20"/>
          <w:color w:val="auto"/>
        </w:rPr>
      </w:pPr>
    </w:p>
    <w:p>
      <w:pPr>
        <w:ind w:left="900" w:right="20"/>
        <w:spacing w:after="0" w:line="253" w:lineRule="auto"/>
        <w:rPr>
          <w:sz w:val="20"/>
          <w:szCs w:val="20"/>
          <w:color w:val="auto"/>
        </w:rPr>
      </w:pPr>
      <w:r>
        <w:rPr>
          <w:rFonts w:ascii="Times New Roman" w:cs="Times New Roman" w:eastAsia="Times New Roman" w:hAnsi="Times New Roman"/>
          <w:sz w:val="18"/>
          <w:szCs w:val="18"/>
          <w:color w:val="auto"/>
        </w:rPr>
        <w:t>On December 30, 2021, the Company acquired 100% of the ownership interest in LeafLine, a Minnesota-based medical cannabis cultivator, processor and retailer for the purposes of expanding Green Thumb's national presence. The Company paid $38,731 thousand in cash and 5,513,942 Subordinate Voting Shares of Green Thumb (including 386,002 deferred shares) valued at $117,833 thousand in consideration for the ownership interest. The fair value of the Company's Subordinate Voting Shares was based on their closing price as traded on the CSE on their date of issuance, which was the date of the transaction. As of December 31, 2021, $32,092 thousand in cash had not been remitted to the former owners of LeafLine and thus, was treated as a current liability on the Company's consolidated balance sheets. The cash was received by the former owners of LeafLine on January 3, 2022.</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9" w:name="page100"/>
    <w:bookmarkEnd w:id="9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03" w:lineRule="exact"/>
        <w:rPr>
          <w:sz w:val="20"/>
          <w:szCs w:val="20"/>
          <w:color w:val="auto"/>
        </w:rPr>
      </w:pPr>
    </w:p>
    <w:p>
      <w:pPr>
        <w:ind w:left="540" w:hanging="532"/>
        <w:spacing w:after="0"/>
        <w:tabs>
          <w:tab w:leader="none" w:pos="54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AND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hanging="383"/>
        <w:spacing w:after="0"/>
        <w:tabs>
          <w:tab w:leader="none" w:pos="900" w:val="left"/>
        </w:tabs>
        <w:numPr>
          <w:ilvl w:val="0"/>
          <w:numId w:val="8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left="520" w:right="80"/>
        <w:spacing w:after="0" w:line="261" w:lineRule="auto"/>
        <w:rPr>
          <w:sz w:val="20"/>
          <w:szCs w:val="20"/>
          <w:color w:val="auto"/>
        </w:rPr>
      </w:pPr>
      <w:r>
        <w:rPr>
          <w:rFonts w:ascii="Times New Roman" w:cs="Times New Roman" w:eastAsia="Times New Roman" w:hAnsi="Times New Roman"/>
          <w:sz w:val="18"/>
          <w:szCs w:val="18"/>
          <w:color w:val="auto"/>
        </w:rPr>
        <w:t>Intangible assets are recorded at cost less accumulated amortization and impairment losses, if any. Intangible assets acquired in a business combination are measured at fair value at the acquisition date. Amortization of definite life intangibles is provided on a straight-line basis over their estimated useful lives. The estimated useful lives, residual values, and amortization methods are reviewed at each year end, and any changes in estimates are accounted for prospectively.</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December 31, 2022 and 2021, intangible assets consisted of the following:</w:t>
      </w:r>
    </w:p>
    <w:p>
      <w:pPr>
        <w:spacing w:after="0" w:line="200" w:lineRule="exact"/>
        <w:rPr>
          <w:sz w:val="20"/>
          <w:szCs w:val="20"/>
          <w:color w:val="auto"/>
        </w:rPr>
      </w:pPr>
    </w:p>
    <w:p>
      <w:pPr>
        <w:spacing w:after="0" w:line="248" w:lineRule="exact"/>
        <w:rPr>
          <w:sz w:val="20"/>
          <w:szCs w:val="20"/>
          <w:color w:val="auto"/>
        </w:rPr>
      </w:pPr>
    </w:p>
    <w:tbl>
      <w:tblPr>
        <w:tblLayout w:type="fixed"/>
        <w:tblInd w:w="80" w:type="dxa"/>
        <w:tblCellMar>
          <w:top w:w="0" w:type="dxa"/>
          <w:left w:w="0" w:type="dxa"/>
          <w:bottom w:w="0" w:type="dxa"/>
          <w:right w:w="0" w:type="dxa"/>
        </w:tblCellMar>
      </w:tblPr>
      <w:tr>
        <w:trPr>
          <w:trHeight w:val="187"/>
        </w:trPr>
        <w:tc>
          <w:tcPr>
            <w:tcW w:w="2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3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Borders>
              <w:top w:val="single" w:sz="8" w:color="auto"/>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Borders>
              <w:top w:val="single" w:sz="8" w:color="auto"/>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Licenses and Permits</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660,716</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113,800</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546,916</w:t>
            </w:r>
          </w:p>
        </w:tc>
        <w:tc>
          <w:tcPr>
            <w:tcW w:w="3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655,900</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69,812</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586,088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Trademarks</w:t>
            </w:r>
          </w:p>
        </w:tc>
        <w:tc>
          <w:tcPr>
            <w:tcW w:w="7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41,511</w:t>
            </w:r>
          </w:p>
        </w:tc>
        <w:tc>
          <w:tcPr>
            <w:tcW w:w="28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10,486</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31,025</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98,936</w:t>
            </w:r>
          </w:p>
        </w:tc>
        <w:tc>
          <w:tcPr>
            <w:tcW w:w="26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25,096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Customer Relationships</w:t>
            </w:r>
          </w:p>
        </w:tc>
        <w:tc>
          <w:tcPr>
            <w:tcW w:w="7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24,438</w:t>
            </w:r>
          </w:p>
        </w:tc>
        <w:tc>
          <w:tcPr>
            <w:tcW w:w="2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13,435</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11,003</w:t>
            </w:r>
          </w:p>
        </w:tc>
        <w:tc>
          <w:tcPr>
            <w:tcW w:w="3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24,438</w:t>
            </w:r>
          </w:p>
        </w:tc>
        <w:tc>
          <w:tcPr>
            <w:tcW w:w="2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9,944</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14,494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Non-Competition Agreements</w:t>
            </w:r>
          </w:p>
        </w:tc>
        <w:tc>
          <w:tcPr>
            <w:tcW w:w="7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2,565</w:t>
            </w:r>
          </w:p>
        </w:tc>
        <w:tc>
          <w:tcPr>
            <w:tcW w:w="28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1,990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2,565</w:t>
            </w:r>
          </w:p>
        </w:tc>
        <w:tc>
          <w:tcPr>
            <w:tcW w:w="26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1,496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380" w:type="dxa"/>
            <w:vAlign w:val="bottom"/>
            <w:tcBorders>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Intangible Assets</w:t>
            </w:r>
          </w:p>
        </w:tc>
        <w:tc>
          <w:tcPr>
            <w:tcW w:w="76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729,230</w:t>
            </w:r>
          </w:p>
        </w:tc>
        <w:tc>
          <w:tcPr>
            <w:tcW w:w="28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139,711</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589,519</w:t>
            </w:r>
          </w:p>
        </w:tc>
        <w:tc>
          <w:tcPr>
            <w:tcW w:w="320" w:type="dxa"/>
            <w:vAlign w:val="bottom"/>
            <w:tcBorders>
              <w:bottom w:val="single" w:sz="8" w:color="CFF0FC"/>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781,839</w:t>
            </w:r>
          </w:p>
        </w:tc>
        <w:tc>
          <w:tcPr>
            <w:tcW w:w="26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106,348</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675,491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-24765</wp:posOffset>
            </wp:positionV>
            <wp:extent cx="768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-7620</wp:posOffset>
            </wp:positionV>
            <wp:extent cx="7683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-24765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-7620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-24765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-7620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520" w:right="220"/>
        <w:spacing w:after="0" w:line="282" w:lineRule="auto"/>
        <w:rPr>
          <w:sz w:val="20"/>
          <w:szCs w:val="20"/>
          <w:color w:val="auto"/>
        </w:rPr>
      </w:pPr>
      <w:r>
        <w:rPr>
          <w:rFonts w:ascii="Times New Roman" w:cs="Times New Roman" w:eastAsia="Times New Roman" w:hAnsi="Times New Roman"/>
          <w:sz w:val="18"/>
          <w:szCs w:val="18"/>
          <w:color w:val="auto"/>
        </w:rPr>
        <w:t>The Company recorded amortization expense for the years ended December 31, 2022, 2021 and 2020 of $59,658 thousand, $45,208 thousand and $37,027 thousand, respectively.</w:t>
      </w:r>
    </w:p>
    <w:p>
      <w:pPr>
        <w:spacing w:after="0" w:line="162" w:lineRule="exact"/>
        <w:rPr>
          <w:sz w:val="20"/>
          <w:szCs w:val="20"/>
          <w:color w:val="auto"/>
        </w:rPr>
      </w:pPr>
    </w:p>
    <w:p>
      <w:pPr>
        <w:ind w:left="520" w:right="120"/>
        <w:spacing w:after="0" w:line="258" w:lineRule="auto"/>
        <w:rPr>
          <w:sz w:val="20"/>
          <w:szCs w:val="20"/>
          <w:color w:val="auto"/>
        </w:rPr>
      </w:pPr>
      <w:r>
        <w:rPr>
          <w:rFonts w:ascii="Times New Roman" w:cs="Times New Roman" w:eastAsia="Times New Roman" w:hAnsi="Times New Roman"/>
          <w:sz w:val="18"/>
          <w:szCs w:val="18"/>
          <w:color w:val="auto"/>
        </w:rPr>
        <w:t>On an annual basis, the Company reviews the estimated useful lives, residual values and amortization methods used for each identifiable intangible asset acquired. During the 2022 annual review, management determined that certain tradenames associated with the 2019 acquisition of Integral Associates, LLC should be written off as the Company has made plans to re-brand the Essence retail stores acquired as part of that transaction, into RISE retail stores along with a decision to no longer produce the Desert Grown Farms brand. As a result, as of December 31, 2022, the Company recorded an impairment charge of $31,131 thousand associated with these intangible assets.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such impairment charges were recorded during the years ended December 31, 2021 or 2020.</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outlines the estimated annual amortization expense related to intangible assets as of December 31, 2022: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87"/>
        </w:trPr>
        <w:tc>
          <w:tcPr>
            <w:tcW w:w="51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169"/>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620" w:type="dxa"/>
            <w:vAlign w:val="bottom"/>
          </w:tcPr>
          <w:p>
            <w:pPr>
              <w:spacing w:after="0"/>
              <w:rPr>
                <w:sz w:val="14"/>
                <w:szCs w:val="14"/>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3"/>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3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50,840</w:t>
            </w:r>
          </w:p>
        </w:tc>
      </w:tr>
      <w:tr>
        <w:trPr>
          <w:trHeight w:val="21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3620" w:type="dxa"/>
            <w:vAlign w:val="bottom"/>
          </w:tcPr>
          <w:p>
            <w:pPr>
              <w:spacing w:after="0"/>
              <w:rPr>
                <w:sz w:val="18"/>
                <w:szCs w:val="18"/>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50,392</w:t>
            </w:r>
          </w:p>
        </w:tc>
      </w:tr>
      <w:tr>
        <w:trPr>
          <w:trHeight w:val="33"/>
        </w:trPr>
        <w:tc>
          <w:tcPr>
            <w:tcW w:w="51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30"/>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3620" w:type="dxa"/>
            <w:vAlign w:val="bottom"/>
            <w:shd w:val="clear" w:color="auto" w:fill="CFF0FC"/>
          </w:tcPr>
          <w:p>
            <w:pPr>
              <w:spacing w:after="0"/>
              <w:rPr>
                <w:sz w:val="19"/>
                <w:szCs w:val="19"/>
                <w:color w:val="auto"/>
              </w:rPr>
            </w:pPr>
          </w:p>
        </w:tc>
        <w:tc>
          <w:tcPr>
            <w:tcW w:w="2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50,294</w:t>
            </w:r>
          </w:p>
        </w:tc>
      </w:tr>
      <w:tr>
        <w:trPr>
          <w:trHeight w:val="21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620" w:type="dxa"/>
            <w:vAlign w:val="bottom"/>
          </w:tcPr>
          <w:p>
            <w:pPr>
              <w:spacing w:after="0"/>
              <w:rPr>
                <w:sz w:val="18"/>
                <w:szCs w:val="18"/>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47,332</w:t>
            </w:r>
          </w:p>
        </w:tc>
      </w:tr>
      <w:tr>
        <w:trPr>
          <w:trHeight w:val="33"/>
        </w:trPr>
        <w:tc>
          <w:tcPr>
            <w:tcW w:w="51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30"/>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620" w:type="dxa"/>
            <w:vAlign w:val="bottom"/>
            <w:shd w:val="clear" w:color="auto" w:fill="CFF0FC"/>
          </w:tcPr>
          <w:p>
            <w:pPr>
              <w:spacing w:after="0"/>
              <w:rPr>
                <w:sz w:val="19"/>
                <w:szCs w:val="19"/>
                <w:color w:val="auto"/>
              </w:rPr>
            </w:pPr>
          </w:p>
        </w:tc>
        <w:tc>
          <w:tcPr>
            <w:tcW w:w="2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46,803</w:t>
            </w: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 and Thereafter</w:t>
            </w:r>
          </w:p>
        </w:tc>
        <w:tc>
          <w:tcPr>
            <w:tcW w:w="3620" w:type="dxa"/>
            <w:vAlign w:val="bottom"/>
          </w:tcPr>
          <w:p>
            <w:pPr>
              <w:spacing w:after="0"/>
              <w:rPr>
                <w:sz w:val="19"/>
                <w:szCs w:val="19"/>
                <w:color w:val="auto"/>
              </w:rPr>
            </w:pP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343,858</w:t>
            </w:r>
          </w:p>
        </w:tc>
      </w:tr>
      <w:tr>
        <w:trPr>
          <w:trHeight w:val="226"/>
        </w:trPr>
        <w:tc>
          <w:tcPr>
            <w:tcW w:w="5140" w:type="dxa"/>
            <w:vAlign w:val="bottom"/>
          </w:tcPr>
          <w:p>
            <w:pPr>
              <w:spacing w:after="0"/>
              <w:rPr>
                <w:sz w:val="19"/>
                <w:szCs w:val="19"/>
                <w:color w:val="auto"/>
              </w:rPr>
            </w:pPr>
          </w:p>
        </w:tc>
        <w:tc>
          <w:tcPr>
            <w:tcW w:w="3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589,519</w:t>
            </w:r>
          </w:p>
        </w:tc>
      </w:tr>
      <w:tr>
        <w:trPr>
          <w:trHeight w:val="20"/>
        </w:trPr>
        <w:tc>
          <w:tcPr>
            <w:tcW w:w="51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2022, the weighted average amortization period remaining for intangible assets was 12.30 years.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0" w:name="page101"/>
    <w:bookmarkEnd w:id="10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03" w:lineRule="exact"/>
        <w:rPr>
          <w:sz w:val="20"/>
          <w:szCs w:val="20"/>
          <w:color w:val="auto"/>
        </w:rPr>
      </w:pPr>
    </w:p>
    <w:p>
      <w:pPr>
        <w:ind w:left="540" w:hanging="532"/>
        <w:spacing w:after="0"/>
        <w:tabs>
          <w:tab w:leader="none" w:pos="54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INTANGIBLE ASSETS AND GOODWILL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Goodwill</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December 31, 2022 the balances of goodwill, by segment, consisted of the following:</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60" w:type="dxa"/>
            <w:vAlign w:val="bottom"/>
            <w:vMerge w:val="restart"/>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80" w:type="dxa"/>
            <w:vAlign w:val="bottom"/>
          </w:tcPr>
          <w:p>
            <w:pPr>
              <w:spacing w:after="0"/>
              <w:rPr>
                <w:sz w:val="13"/>
                <w:szCs w:val="13"/>
                <w:color w:val="auto"/>
              </w:rPr>
            </w:pPr>
          </w:p>
        </w:tc>
        <w:tc>
          <w:tcPr>
            <w:tcW w:w="146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Consumer Packaged</w:t>
            </w:r>
          </w:p>
        </w:tc>
        <w:tc>
          <w:tcPr>
            <w:tcW w:w="220" w:type="dxa"/>
            <w:vAlign w:val="bottom"/>
          </w:tcPr>
          <w:p>
            <w:pPr>
              <w:spacing w:after="0"/>
              <w:rPr>
                <w:sz w:val="13"/>
                <w:szCs w:val="13"/>
                <w:color w:val="auto"/>
              </w:rPr>
            </w:pPr>
          </w:p>
        </w:tc>
        <w:tc>
          <w:tcPr>
            <w:tcW w:w="1520" w:type="dxa"/>
            <w:vAlign w:val="bottom"/>
            <w:vMerge w:val="restart"/>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9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Goods</w:t>
            </w:r>
          </w:p>
        </w:tc>
        <w:tc>
          <w:tcPr>
            <w:tcW w:w="220" w:type="dxa"/>
            <w:vAlign w:val="bottom"/>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9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of January 1, 2022</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274,811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358,038</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632,849</w:t>
            </w:r>
          </w:p>
        </w:tc>
        <w:tc>
          <w:tcPr>
            <w:tcW w:w="0" w:type="dxa"/>
            <w:vAlign w:val="bottom"/>
          </w:tcPr>
          <w:p>
            <w:pPr>
              <w:spacing w:after="0"/>
              <w:rPr>
                <w:sz w:val="1"/>
                <w:szCs w:val="1"/>
                <w:color w:val="auto"/>
              </w:rPr>
            </w:pPr>
          </w:p>
        </w:tc>
      </w:tr>
      <w:tr>
        <w:trPr>
          <w:trHeight w:val="239"/>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Acquisition of ILDISP, LLC</w:t>
            </w:r>
          </w:p>
        </w:tc>
        <w:tc>
          <w:tcPr>
            <w:tcW w:w="148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4,697</w:t>
            </w:r>
          </w:p>
        </w:tc>
        <w:tc>
          <w:tcPr>
            <w:tcW w:w="18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4,697</w:t>
            </w:r>
          </w:p>
        </w:tc>
        <w:tc>
          <w:tcPr>
            <w:tcW w:w="0" w:type="dxa"/>
            <w:vAlign w:val="bottom"/>
          </w:tcPr>
          <w:p>
            <w:pPr>
              <w:spacing w:after="0"/>
              <w:rPr>
                <w:sz w:val="1"/>
                <w:szCs w:val="1"/>
                <w:color w:val="auto"/>
              </w:rPr>
            </w:pPr>
          </w:p>
        </w:tc>
      </w:tr>
      <w:tr>
        <w:trPr>
          <w:trHeight w:val="210"/>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Preliminary Purchase Price Allocations</w:t>
            </w:r>
          </w:p>
        </w:tc>
        <w:tc>
          <w:tcPr>
            <w:tcW w:w="14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7,274</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2,243</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9,517</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Impairment of Goodwill</w:t>
            </w:r>
          </w:p>
        </w:tc>
        <w:tc>
          <w:tcPr>
            <w:tcW w:w="148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(12,980)</w:t>
            </w:r>
          </w:p>
        </w:tc>
        <w:tc>
          <w:tcPr>
            <w:tcW w:w="18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(44,392)</w:t>
            </w:r>
          </w:p>
        </w:tc>
        <w:tc>
          <w:tcPr>
            <w:tcW w:w="22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(57,372)</w:t>
            </w:r>
          </w:p>
        </w:tc>
        <w:tc>
          <w:tcPr>
            <w:tcW w:w="0" w:type="dxa"/>
            <w:vAlign w:val="bottom"/>
          </w:tcPr>
          <w:p>
            <w:pPr>
              <w:spacing w:after="0"/>
              <w:rPr>
                <w:sz w:val="1"/>
                <w:szCs w:val="1"/>
                <w:color w:val="auto"/>
              </w:rPr>
            </w:pPr>
          </w:p>
        </w:tc>
      </w:tr>
      <w:tr>
        <w:trPr>
          <w:trHeight w:val="227"/>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273,802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315,889</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589,691</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-179070</wp:posOffset>
            </wp:positionV>
            <wp:extent cx="111125" cy="1797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0">
                      <a:extLst>
                        <a:ext uri="{28A0092B-C50C-407E-A947-70E740481C1C}"/>
                      </a:extLst>
                    </a:blip>
                    <a:srcRect/>
                    <a:stretch>
                      <a:fillRect/>
                    </a:stretch>
                  </pic:blipFill>
                  <pic:spPr bwMode="auto">
                    <a:xfrm>
                      <a:off x="0" y="0"/>
                      <a:ext cx="111125" cy="17970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-179070</wp:posOffset>
            </wp:positionV>
            <wp:extent cx="145415" cy="1797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1">
                      <a:extLst>
                        <a:ext uri="{28A0092B-C50C-407E-A947-70E740481C1C}"/>
                      </a:extLst>
                    </a:blip>
                    <a:srcRect/>
                    <a:stretch>
                      <a:fillRect/>
                    </a:stretch>
                  </pic:blipFill>
                  <pic:spPr bwMode="auto">
                    <a:xfrm>
                      <a:off x="0" y="0"/>
                      <a:ext cx="145415" cy="179705"/>
                    </a:xfrm>
                    <a:prstGeom prst="rect">
                      <a:avLst/>
                    </a:prstGeom>
                    <a:noFill/>
                  </pic:spPr>
                </pic:pic>
              </a:graphicData>
            </a:graphic>
          </wp:anchor>
        </w:drawing>
      </w:r>
    </w:p>
    <w:p>
      <w:pPr>
        <w:spacing w:after="0" w:line="176" w:lineRule="exact"/>
        <w:rPr>
          <w:sz w:val="20"/>
          <w:szCs w:val="20"/>
          <w:color w:val="auto"/>
        </w:rPr>
      </w:pPr>
    </w:p>
    <w:p>
      <w:pPr>
        <w:ind w:left="520" w:right="80"/>
        <w:spacing w:after="0" w:line="261" w:lineRule="auto"/>
        <w:rPr>
          <w:sz w:val="20"/>
          <w:szCs w:val="20"/>
          <w:color w:val="auto"/>
        </w:rPr>
      </w:pPr>
      <w:r>
        <w:rPr>
          <w:rFonts w:ascii="Times New Roman" w:cs="Times New Roman" w:eastAsia="Times New Roman" w:hAnsi="Times New Roman"/>
          <w:sz w:val="18"/>
          <w:szCs w:val="18"/>
          <w:color w:val="auto"/>
        </w:rPr>
        <w:t xml:space="preserve">During the year ended December 31, 2022, the Company evaluated its existing reporting units under the accounting guidance provided in </w:t>
      </w:r>
      <w:r>
        <w:rPr>
          <w:rFonts w:ascii="Times New Roman" w:cs="Times New Roman" w:eastAsia="Times New Roman" w:hAnsi="Times New Roman"/>
          <w:sz w:val="18"/>
          <w:szCs w:val="18"/>
          <w:i w:val="1"/>
          <w:iCs w:val="1"/>
          <w:color w:val="auto"/>
        </w:rPr>
        <w:t>ASC 280,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Segment Reporting </w:t>
      </w:r>
      <w:r>
        <w:rPr>
          <w:rFonts w:ascii="Times New Roman" w:cs="Times New Roman" w:eastAsia="Times New Roman" w:hAnsi="Times New Roman"/>
          <w:sz w:val="18"/>
          <w:szCs w:val="18"/>
          <w:color w:val="auto"/>
        </w:rPr>
        <w:t>and determined that the individual components within each respective segment were economically similar and thus, aggregation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these components into two reporting units that align with our reportable segments, should be applied. Beginning October 1, 2022, the Company identified two reporting units (Retail and Consumer Packaged Goods).</w:t>
      </w:r>
    </w:p>
    <w:p>
      <w:pPr>
        <w:spacing w:after="0" w:line="182" w:lineRule="exact"/>
        <w:rPr>
          <w:sz w:val="20"/>
          <w:szCs w:val="20"/>
          <w:color w:val="auto"/>
        </w:rPr>
      </w:pPr>
    </w:p>
    <w:p>
      <w:pPr>
        <w:ind w:left="520" w:right="100"/>
        <w:spacing w:after="0" w:line="258" w:lineRule="auto"/>
        <w:rPr>
          <w:sz w:val="20"/>
          <w:szCs w:val="20"/>
          <w:color w:val="auto"/>
        </w:rPr>
      </w:pPr>
      <w:r>
        <w:rPr>
          <w:rFonts w:ascii="Times New Roman" w:cs="Times New Roman" w:eastAsia="Times New Roman" w:hAnsi="Times New Roman"/>
          <w:sz w:val="18"/>
          <w:szCs w:val="18"/>
          <w:color w:val="auto"/>
        </w:rPr>
        <w:t>As part of the Company's aggregation of the 30 reporting units that existed prior to October 1, 2022, the accounting guidance required the reporting units be tested for impairment through a Step 1 quantitative analysis prior to aggregation. As a result of the goodwill impairment test, the Company recognized an impairment charge of $44,392 thousand associated with its Nevada Consumer Packaged Goods operations and $12,980 thousand associated with its Nevada Retail operations as the carrying values of the reporting units exceeded the estimated fair value by such amounts. No such impairment charges were recorded for the years ended December 31, 2021 or 2020.</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December 31, 2021 the balances of goodwill, by segment, consisted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80" w:type="dxa"/>
            <w:vAlign w:val="bottom"/>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20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Consumer Packaged</w:t>
            </w:r>
          </w:p>
        </w:tc>
        <w:tc>
          <w:tcPr>
            <w:tcW w:w="220" w:type="dxa"/>
            <w:vAlign w:val="bottom"/>
          </w:tcPr>
          <w:p>
            <w:pPr>
              <w:spacing w:after="0"/>
              <w:rPr>
                <w:sz w:val="13"/>
                <w:szCs w:val="13"/>
                <w:color w:val="auto"/>
              </w:rPr>
            </w:pPr>
          </w:p>
        </w:tc>
        <w:tc>
          <w:tcPr>
            <w:tcW w:w="1460" w:type="dxa"/>
            <w:vAlign w:val="bottom"/>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9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Goods</w:t>
            </w:r>
          </w:p>
        </w:tc>
        <w:tc>
          <w:tcPr>
            <w:tcW w:w="22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9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 of January 1, 2021</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130,680</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252,017</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382,697</w:t>
            </w:r>
          </w:p>
        </w:tc>
        <w:tc>
          <w:tcPr>
            <w:tcW w:w="0" w:type="dxa"/>
            <w:vAlign w:val="bottom"/>
          </w:tcPr>
          <w:p>
            <w:pPr>
              <w:spacing w:after="0"/>
              <w:rPr>
                <w:sz w:val="1"/>
                <w:szCs w:val="1"/>
                <w:color w:val="auto"/>
              </w:rPr>
            </w:pPr>
          </w:p>
        </w:tc>
      </w:tr>
      <w:tr>
        <w:trPr>
          <w:trHeight w:val="210"/>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 of Dharma Pharmaceuticals, LLC</w:t>
            </w:r>
          </w:p>
        </w:tc>
        <w:tc>
          <w:tcPr>
            <w:tcW w:w="1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37,100</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39,045</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76,145</w:t>
            </w:r>
          </w:p>
        </w:tc>
        <w:tc>
          <w:tcPr>
            <w:tcW w:w="0" w:type="dxa"/>
            <w:vAlign w:val="bottom"/>
          </w:tcPr>
          <w:p>
            <w:pPr>
              <w:spacing w:after="0"/>
              <w:rPr>
                <w:sz w:val="1"/>
                <w:szCs w:val="1"/>
                <w:color w:val="auto"/>
              </w:rPr>
            </w:pPr>
          </w:p>
        </w:tc>
      </w:tr>
      <w:tr>
        <w:trPr>
          <w:trHeight w:val="33"/>
        </w:trPr>
        <w:tc>
          <w:tcPr>
            <w:tcW w:w="49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Acquisition of Summit Medical Compassion Center, Inc.</w:t>
            </w:r>
          </w:p>
        </w:tc>
        <w:tc>
          <w:tcPr>
            <w:tcW w:w="14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45,725</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19,506</w:t>
            </w: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65,231</w:t>
            </w:r>
          </w:p>
        </w:tc>
        <w:tc>
          <w:tcPr>
            <w:tcW w:w="0" w:type="dxa"/>
            <w:vAlign w:val="bottom"/>
          </w:tcPr>
          <w:p>
            <w:pPr>
              <w:spacing w:after="0"/>
              <w:rPr>
                <w:sz w:val="1"/>
                <w:szCs w:val="1"/>
                <w:color w:val="auto"/>
              </w:rPr>
            </w:pPr>
          </w:p>
        </w:tc>
      </w:tr>
      <w:tr>
        <w:trPr>
          <w:trHeight w:val="210"/>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 of LeafLine Industries, LLC</w:t>
            </w:r>
          </w:p>
        </w:tc>
        <w:tc>
          <w:tcPr>
            <w:tcW w:w="1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33,558</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23,328</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56,886</w:t>
            </w:r>
          </w:p>
        </w:tc>
        <w:tc>
          <w:tcPr>
            <w:tcW w:w="0" w:type="dxa"/>
            <w:vAlign w:val="bottom"/>
          </w:tcPr>
          <w:p>
            <w:pPr>
              <w:spacing w:after="0"/>
              <w:rPr>
                <w:sz w:val="1"/>
                <w:szCs w:val="1"/>
                <w:color w:val="auto"/>
              </w:rPr>
            </w:pPr>
          </w:p>
        </w:tc>
      </w:tr>
      <w:tr>
        <w:trPr>
          <w:trHeight w:val="33"/>
        </w:trPr>
        <w:tc>
          <w:tcPr>
            <w:tcW w:w="49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Acquisitions</w:t>
            </w:r>
          </w:p>
        </w:tc>
        <w:tc>
          <w:tcPr>
            <w:tcW w:w="14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38,985</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24,142</w:t>
            </w: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63,127</w:t>
            </w:r>
          </w:p>
        </w:tc>
        <w:tc>
          <w:tcPr>
            <w:tcW w:w="0" w:type="dxa"/>
            <w:vAlign w:val="bottom"/>
          </w:tcPr>
          <w:p>
            <w:pPr>
              <w:spacing w:after="0"/>
              <w:rPr>
                <w:sz w:val="1"/>
                <w:szCs w:val="1"/>
                <w:color w:val="auto"/>
              </w:rPr>
            </w:pPr>
          </w:p>
        </w:tc>
      </w:tr>
      <w:tr>
        <w:trPr>
          <w:trHeight w:val="237"/>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Purchase Price Allocations</w:t>
            </w:r>
          </w:p>
        </w:tc>
        <w:tc>
          <w:tcPr>
            <w:tcW w:w="144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(11,237)</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(11,237)</w:t>
            </w:r>
          </w:p>
        </w:tc>
        <w:tc>
          <w:tcPr>
            <w:tcW w:w="0" w:type="dxa"/>
            <w:vAlign w:val="bottom"/>
          </w:tcPr>
          <w:p>
            <w:pPr>
              <w:spacing w:after="0"/>
              <w:rPr>
                <w:sz w:val="1"/>
                <w:szCs w:val="1"/>
                <w:color w:val="auto"/>
              </w:rPr>
            </w:pPr>
          </w:p>
        </w:tc>
      </w:tr>
      <w:tr>
        <w:trPr>
          <w:trHeight w:val="266"/>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274,811</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358,038</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632,849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-25400</wp:posOffset>
            </wp:positionV>
            <wp:extent cx="13716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-8255</wp:posOffset>
            </wp:positionV>
            <wp:extent cx="13716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13716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13716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1" w:name="page102"/>
    <w:bookmarkEnd w:id="10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00" w:lineRule="exact"/>
        <w:rPr>
          <w:sz w:val="20"/>
          <w:szCs w:val="20"/>
          <w:color w:val="auto"/>
        </w:rPr>
      </w:pPr>
    </w:p>
    <w:p>
      <w:pPr>
        <w:spacing w:after="0" w:line="219" w:lineRule="exact"/>
        <w:rPr>
          <w:sz w:val="20"/>
          <w:szCs w:val="20"/>
          <w:color w:val="auto"/>
        </w:rPr>
      </w:pPr>
    </w:p>
    <w:p>
      <w:pPr>
        <w:ind w:left="540" w:hanging="532"/>
        <w:spacing w:after="0"/>
        <w:tabs>
          <w:tab w:leader="none" w:pos="54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December 31, 2022 and 2021, the Company held various equity interests in cannabis companies as well as investments in convertible notes that had a combined fair value of $74,169 thousand and $94,902 thousand as of each period end, respectively. The Company measures its investments that do not have readily determinable fair value at cost minus impairment, plus or minus changes resulting from observable price changes in orderly transactions for the identical or a similar investment of the same issuer. The Company performs an assessment on a quarterly basis to determine whether triggering events for impairment exist and to identify any observable price changes.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 in the Company’s investments during the years ended December 31, 2022 and 2021:</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2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41"/>
        </w:trPr>
        <w:tc>
          <w:tcPr>
            <w:tcW w:w="3920" w:type="dxa"/>
            <w:vAlign w:val="bottom"/>
            <w:tcBorders>
              <w:bottom w:val="single" w:sz="8" w:color="CFF0FC"/>
            </w:tcBorders>
          </w:tcPr>
          <w:p>
            <w:pPr>
              <w:spacing w:after="0"/>
              <w:rPr>
                <w:sz w:val="20"/>
                <w:szCs w:val="20"/>
                <w:color w:val="auto"/>
              </w:rPr>
            </w:pPr>
          </w:p>
        </w:tc>
        <w:tc>
          <w:tcPr>
            <w:tcW w:w="2500" w:type="dxa"/>
            <w:vAlign w:val="bottom"/>
            <w:tcBorders>
              <w:bottom w:val="single" w:sz="8" w:color="CFF0FC"/>
            </w:tcBorders>
          </w:tcPr>
          <w:p>
            <w:pPr>
              <w:spacing w:after="0"/>
              <w:rPr>
                <w:sz w:val="20"/>
                <w:szCs w:val="20"/>
                <w:color w:val="auto"/>
              </w:rPr>
            </w:pPr>
          </w:p>
        </w:tc>
        <w:tc>
          <w:tcPr>
            <w:tcW w:w="2880" w:type="dxa"/>
            <w:vAlign w:val="bottom"/>
            <w:tcBorders>
              <w:bottom w:val="single" w:sz="8" w:color="auto"/>
            </w:tcBorders>
            <w:gridSpan w:val="3"/>
          </w:tcPr>
          <w:p>
            <w:pPr>
              <w:ind w:left="17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940" w:type="dxa"/>
            <w:vAlign w:val="bottom"/>
            <w:tcBorders>
              <w:bottom w:val="single" w:sz="8" w:color="auto"/>
            </w:tcBorders>
          </w:tcPr>
          <w:p>
            <w:pPr>
              <w:spacing w:after="0"/>
              <w:rPr>
                <w:sz w:val="20"/>
                <w:szCs w:val="20"/>
                <w:color w:val="auto"/>
              </w:rPr>
            </w:pPr>
          </w:p>
        </w:tc>
      </w:tr>
      <w:tr>
        <w:trPr>
          <w:trHeight w:val="239"/>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w:t>
            </w:r>
          </w:p>
        </w:tc>
        <w:tc>
          <w:tcPr>
            <w:tcW w:w="2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94,902</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20"/>
                <w:szCs w:val="20"/>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40,795</w:t>
            </w:r>
          </w:p>
        </w:tc>
      </w:tr>
      <w:tr>
        <w:trPr>
          <w:trHeight w:val="23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250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5,444</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83,689</w:t>
            </w:r>
          </w:p>
        </w:tc>
      </w:tr>
      <w:tr>
        <w:trPr>
          <w:trHeight w:val="247"/>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Disposals</w:t>
            </w:r>
          </w:p>
        </w:tc>
        <w:tc>
          <w:tcPr>
            <w:tcW w:w="2500" w:type="dxa"/>
            <w:vAlign w:val="bottom"/>
            <w:shd w:val="clear" w:color="auto" w:fill="CFF0FC"/>
          </w:tcPr>
          <w:p>
            <w:pPr>
              <w:spacing w:after="0"/>
              <w:rPr>
                <w:sz w:val="21"/>
                <w:szCs w:val="21"/>
                <w:color w:val="auto"/>
              </w:rPr>
            </w:pP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(18,417)</w:t>
            </w:r>
          </w:p>
        </w:tc>
      </w:tr>
      <w:tr>
        <w:trPr>
          <w:trHeight w:val="23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adjustment</w:t>
            </w:r>
          </w:p>
        </w:tc>
        <w:tc>
          <w:tcPr>
            <w:tcW w:w="250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(22,606)</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6,377</w:t>
            </w:r>
          </w:p>
        </w:tc>
      </w:tr>
      <w:tr>
        <w:trPr>
          <w:trHeight w:val="247"/>
        </w:trPr>
        <w:tc>
          <w:tcPr>
            <w:tcW w:w="3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Transfers out</w:t>
            </w:r>
          </w:p>
        </w:tc>
        <w:tc>
          <w:tcPr>
            <w:tcW w:w="2500" w:type="dxa"/>
            <w:vAlign w:val="bottom"/>
            <w:tcBorders>
              <w:bottom w:val="single" w:sz="8" w:color="CFF0FC"/>
            </w:tcBorders>
            <w:shd w:val="clear" w:color="auto" w:fill="CFF0FC"/>
          </w:tcPr>
          <w:p>
            <w:pPr>
              <w:spacing w:after="0"/>
              <w:rPr>
                <w:sz w:val="21"/>
                <w:szCs w:val="21"/>
                <w:color w:val="auto"/>
              </w:rPr>
            </w:pPr>
          </w:p>
        </w:tc>
        <w:tc>
          <w:tcPr>
            <w:tcW w:w="2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(17,542)</w:t>
            </w:r>
          </w:p>
        </w:tc>
      </w:tr>
      <w:tr>
        <w:trPr>
          <w:trHeight w:val="237"/>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74,169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94,902</w:t>
            </w:r>
          </w:p>
        </w:tc>
      </w:tr>
      <w:tr>
        <w:trPr>
          <w:trHeight w:val="20"/>
        </w:trPr>
        <w:tc>
          <w:tcPr>
            <w:tcW w:w="39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-187960</wp:posOffset>
            </wp:positionV>
            <wp:extent cx="137160" cy="18859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8">
                      <a:extLst>
                        <a:ext uri="{28A0092B-C50C-407E-A947-70E740481C1C}"/>
                      </a:extLst>
                    </a:blip>
                    <a:srcRect/>
                    <a:stretch>
                      <a:fillRect/>
                    </a:stretch>
                  </pic:blipFill>
                  <pic:spPr bwMode="auto">
                    <a:xfrm>
                      <a:off x="0" y="0"/>
                      <a:ext cx="137160" cy="188595"/>
                    </a:xfrm>
                    <a:prstGeom prst="rect">
                      <a:avLst/>
                    </a:prstGeom>
                    <a:noFill/>
                  </pic:spPr>
                </pic:pic>
              </a:graphicData>
            </a:graphic>
          </wp:anchor>
        </w:drawing>
      </w:r>
    </w:p>
    <w:p>
      <w:pPr>
        <w:spacing w:after="0" w:line="17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the Company recorded net fair value losses of $22,606 thousand, of which $17,078 thousand related to equity investments, and $6,192 thousand related to note receivable investments that were recorded within other income (expense), and accrued interest of $664 thousand that was recorded to interest income on the consolidated statement of operations.</w:t>
      </w:r>
    </w:p>
    <w:p>
      <w:pPr>
        <w:spacing w:after="0" w:line="176"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the Company recorded net fair value gains of $6,377 thousand, of which $5,955 thousand related to equity investments and was recorded within other income (expense), and accrued interest of $422 thousand that was recorded to interest income on the consolidated statement of operations.</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2020, the Company recorded net fair value gains of $26,371 thousand within other income (expense) on the consolidated statement of operations.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 Equity Investments</w:t>
      </w:r>
    </w:p>
    <w:p>
      <w:pPr>
        <w:spacing w:after="0" w:line="229" w:lineRule="exact"/>
        <w:rPr>
          <w:sz w:val="20"/>
          <w:szCs w:val="20"/>
          <w:color w:val="auto"/>
        </w:rPr>
      </w:pPr>
    </w:p>
    <w:p>
      <w:pPr>
        <w:ind w:left="520" w:right="60"/>
        <w:spacing w:after="0" w:line="274" w:lineRule="auto"/>
        <w:rPr>
          <w:sz w:val="20"/>
          <w:szCs w:val="20"/>
          <w:color w:val="auto"/>
        </w:rPr>
      </w:pPr>
      <w:r>
        <w:rPr>
          <w:rFonts w:ascii="Times New Roman" w:cs="Times New Roman" w:eastAsia="Times New Roman" w:hAnsi="Times New Roman"/>
          <w:sz w:val="17"/>
          <w:szCs w:val="17"/>
          <w:color w:val="auto"/>
        </w:rPr>
        <w:t>For the years ended December 31, 2022 and 2021, the Company held equity investments in publicly traded entities which have readily determinable fair values, which are classified as Level 1 investments, of $2,535 thousand and $20,583 thousand, respectively. During the years ended December 31, 2022, 2021 and 2020, the Company received proceeds from the sale of such investments of $2,488 thousand, $18,417 thousand and $170 thousand, respectively. The Company recorded net (losses) gains on the change in fair value of such investments of $(15,560) thousand, $828 thousand and $423 thousand during the years ended December 31, 2022, 2021 and 2020, respectively, within other income (expense) on the consolidated statement of operations. These investments are classified as trading securities on the Company's consolidated balance sheet.</w:t>
      </w:r>
    </w:p>
    <w:p>
      <w:pPr>
        <w:spacing w:after="0" w:line="173" w:lineRule="exact"/>
        <w:rPr>
          <w:sz w:val="20"/>
          <w:szCs w:val="20"/>
          <w:color w:val="auto"/>
        </w:rPr>
      </w:pPr>
    </w:p>
    <w:p>
      <w:pPr>
        <w:ind w:left="520" w:right="40"/>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2022 and 2021, the Company held equity investments in privately held entities that did not have readily determinable fair values, which are classified as Level 3 investments, of $40,330 thousand and $33,066 thousand, respectively. There were no sales of these investments during the years ended December 31, 2022, 2021 and 2020. The Company recorded net (losses) gains on the change in fair value of such investments of $(1,518) thousand, $5,127 thousand and $25,948 thousand during the years ended December 31, 2022, 2021 and 2020, respectively, within other income (expense) on the consolidated statement of operations. These investments are classified as trading securities on the Company's consolidated balance sheet.</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15</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Fair Value Measurements for additional details.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03" w:lineRule="exact"/>
        <w:rPr>
          <w:sz w:val="20"/>
          <w:szCs w:val="20"/>
          <w:color w:val="auto"/>
        </w:rPr>
      </w:pPr>
    </w:p>
    <w:p>
      <w:pPr>
        <w:ind w:left="540" w:hanging="532"/>
        <w:spacing w:after="0"/>
        <w:tabs>
          <w:tab w:leader="none" w:pos="54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INVESTMENTS </w:t>
      </w:r>
      <w:r>
        <w:rPr>
          <w:rFonts w:ascii="Times New Roman" w:cs="Times New Roman" w:eastAsia="Times New Roman" w:hAnsi="Times New Roman"/>
          <w:sz w:val="18"/>
          <w:szCs w:val="18"/>
          <w:i w:val="1"/>
          <w:iCs w:val="1"/>
          <w:color w:val="auto"/>
        </w:rPr>
        <w:t>(Continued)</w:t>
      </w:r>
    </w:p>
    <w:p>
      <w:pPr>
        <w:spacing w:after="0" w:line="130" w:lineRule="exact"/>
        <w:rPr>
          <w:rFonts w:ascii="Times New Roman" w:cs="Times New Roman" w:eastAsia="Times New Roman" w:hAnsi="Times New Roman"/>
          <w:sz w:val="18"/>
          <w:szCs w:val="18"/>
          <w:b w:val="1"/>
          <w:bCs w:val="1"/>
          <w:color w:val="auto"/>
        </w:rPr>
      </w:pPr>
    </w:p>
    <w:p>
      <w:pPr>
        <w:ind w:left="820" w:hanging="303"/>
        <w:spacing w:after="0"/>
        <w:tabs>
          <w:tab w:leader="none" w:pos="820" w:val="left"/>
        </w:tabs>
        <w:numPr>
          <w:ilvl w:val="1"/>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Equity Investments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9" w:lineRule="exact"/>
        <w:rPr>
          <w:sz w:val="20"/>
          <w:szCs w:val="20"/>
          <w:color w:val="auto"/>
        </w:rPr>
      </w:pPr>
    </w:p>
    <w:p>
      <w:pPr>
        <w:ind w:left="520" w:right="8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the Company transferred $17,542 thousand of its investment in a privately held entity without readily determinable fair value to investment in associate based on the Company's ownership percentage and its ability to exert significant influence over the entity. As a result of the change, the Company began accounting for the investment as an equity method investment. No such transfers occurred during the year ended December 31, 2022.</w:t>
      </w:r>
    </w:p>
    <w:p>
      <w:pPr>
        <w:spacing w:after="0" w:line="180" w:lineRule="exact"/>
        <w:rPr>
          <w:sz w:val="20"/>
          <w:szCs w:val="20"/>
          <w:color w:val="auto"/>
        </w:rPr>
      </w:pPr>
    </w:p>
    <w:p>
      <w:pPr>
        <w:ind w:left="520" w:right="320"/>
        <w:spacing w:after="0" w:line="282" w:lineRule="auto"/>
        <w:rPr>
          <w:sz w:val="20"/>
          <w:szCs w:val="20"/>
          <w:color w:val="auto"/>
        </w:rPr>
      </w:pPr>
      <w:r>
        <w:rPr>
          <w:rFonts w:ascii="Times New Roman" w:cs="Times New Roman" w:eastAsia="Times New Roman" w:hAnsi="Times New Roman"/>
          <w:sz w:val="18"/>
          <w:szCs w:val="18"/>
          <w:color w:val="auto"/>
        </w:rPr>
        <w:t>Unrealized gains and (losses) recognized on equity investments held during the years ended December 31, 2022, 2021 and 2020 were $(16,910) thousand, $6,377 thousand, and $26,371 thousand, respectively.</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(b) Note Receivable Instruments</w:t>
      </w:r>
    </w:p>
    <w:p>
      <w:pPr>
        <w:spacing w:after="0" w:line="229" w:lineRule="exact"/>
        <w:rPr>
          <w:sz w:val="20"/>
          <w:szCs w:val="20"/>
          <w:color w:val="auto"/>
        </w:rPr>
      </w:pPr>
    </w:p>
    <w:p>
      <w:pPr>
        <w:ind w:left="520"/>
        <w:spacing w:after="0" w:line="255" w:lineRule="auto"/>
        <w:rPr>
          <w:sz w:val="20"/>
          <w:szCs w:val="20"/>
          <w:color w:val="auto"/>
        </w:rPr>
      </w:pPr>
      <w:r>
        <w:rPr>
          <w:rFonts w:ascii="Times New Roman" w:cs="Times New Roman" w:eastAsia="Times New Roman" w:hAnsi="Times New Roman"/>
          <w:sz w:val="18"/>
          <w:szCs w:val="18"/>
          <w:color w:val="auto"/>
        </w:rPr>
        <w:t>As of December 31, 2022 and 2021, the Company held note receivable instruments, which were classified as a Level 1 investment as they represent public debt of a publicly traded entity, and had a fair value of $22,214 thousand and $23,534 thousand, respectively. During the year ended December 31, 2022, the Company recorded net losses on the change in fair value of such investments of $237 thousand, within other income (expense) on the consolidated statement of operations. There were no gains or (losses) recognized on these investments during the year ended December 31, 2021. The Company received proceeds from the partial principal repayment of the note receivable of $1,083 thousand during the year ended December 31, 2022. The note receivable instruments had a stated interest rate of 13% and a maturity date of April 29, 2025. These notes did not contain conversion features and are currently classified as trading securities on the Company's consolidated balance sheet.</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2022 and 2021, the Company held note receivable instruments which were classified as Level 3 investments as they represent</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loans provided to privately held entities that do not have readily determinable fair values. The note receivable instruments had a combined fair value</w:t>
      </w:r>
    </w:p>
    <w:p>
      <w:pPr>
        <w:spacing w:after="0" w:line="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of $9,090 thousand and $17,719 thousand, respectively, with stated interest ranging between 0.91% - 10% and terms between 15 months to five</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years. During the years ended December 31, 2022 and 2021, the Company recorded net losses on the change in fair value of such investments of</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$5,955 thousand and $0 thousand, respectively, within other income (expense). The combined fair value amounts include the initial investment cost</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and combined contractual accrued interest of $664 thousand and $422 thousand for the years ended December 31, 2022 and 2021. These notes are</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classified as trading securities on the Company's consolidated balance sheet.</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15</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Fair Value Measurements for additional details.</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03" w:name="page104"/>
    <w:bookmarkEnd w:id="10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03" w:lineRule="exact"/>
        <w:rPr>
          <w:sz w:val="20"/>
          <w:szCs w:val="20"/>
          <w:color w:val="auto"/>
        </w:rPr>
      </w:pPr>
    </w:p>
    <w:p>
      <w:pPr>
        <w:ind w:left="540" w:hanging="532"/>
        <w:spacing w:after="0"/>
        <w:tabs>
          <w:tab w:leader="none" w:pos="54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0" w:lineRule="exact"/>
        <w:rPr>
          <w:sz w:val="20"/>
          <w:szCs w:val="20"/>
          <w:color w:val="auto"/>
        </w:rPr>
      </w:pPr>
    </w:p>
    <w:p>
      <w:pPr>
        <w:ind w:left="960" w:hanging="443"/>
        <w:spacing w:after="0"/>
        <w:tabs>
          <w:tab w:leader="none" w:pos="96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Leases</w:t>
      </w:r>
    </w:p>
    <w:p>
      <w:pPr>
        <w:spacing w:after="0" w:line="229" w:lineRule="exact"/>
        <w:rPr>
          <w:sz w:val="20"/>
          <w:szCs w:val="20"/>
          <w:color w:val="auto"/>
        </w:rPr>
      </w:pPr>
    </w:p>
    <w:p>
      <w:pPr>
        <w:ind w:left="520" w:right="160"/>
        <w:spacing w:after="0" w:line="266" w:lineRule="auto"/>
        <w:rPr>
          <w:sz w:val="20"/>
          <w:szCs w:val="20"/>
          <w:color w:val="auto"/>
        </w:rPr>
      </w:pPr>
      <w:r>
        <w:rPr>
          <w:rFonts w:ascii="Times New Roman" w:cs="Times New Roman" w:eastAsia="Times New Roman" w:hAnsi="Times New Roman"/>
          <w:sz w:val="18"/>
          <w:szCs w:val="18"/>
          <w:color w:val="auto"/>
        </w:rPr>
        <w:t>The Company has operating leases for its retail stores and processing and cultivation facilities located throughout the U.S., as well as for corporate office space in Illinois. Operating lease right-of-use assets and operating lease liabilities are recognized based on the present value of future minimum lease payments over the lease term at commencement date.</w:t>
      </w:r>
    </w:p>
    <w:p>
      <w:pPr>
        <w:spacing w:after="0" w:line="176" w:lineRule="exact"/>
        <w:rPr>
          <w:sz w:val="20"/>
          <w:szCs w:val="20"/>
          <w:color w:val="auto"/>
        </w:rPr>
      </w:pPr>
    </w:p>
    <w:p>
      <w:pPr>
        <w:ind w:left="520" w:right="160"/>
        <w:spacing w:after="0" w:line="261" w:lineRule="auto"/>
        <w:rPr>
          <w:sz w:val="20"/>
          <w:szCs w:val="20"/>
          <w:color w:val="auto"/>
        </w:rPr>
      </w:pPr>
      <w:r>
        <w:rPr>
          <w:rFonts w:ascii="Times New Roman" w:cs="Times New Roman" w:eastAsia="Times New Roman" w:hAnsi="Times New Roman"/>
          <w:sz w:val="18"/>
          <w:szCs w:val="18"/>
          <w:color w:val="auto"/>
        </w:rPr>
        <w:t>All real estate leases are recorded on the balance sheet. Equipment and other non-real estate leases with an initial term of twelve months or less are not recorded on the balance sheet. Lease agreements for some locations provide for rent escalations and renewal options. Certain real estate leases require payment for fixed and variable non-lease components, such as taxes, insurance and maintenance. The Company accounts for real estate leases and the related fixed non-lease components together as a single component.</w:t>
      </w:r>
    </w:p>
    <w:p>
      <w:pPr>
        <w:spacing w:after="0" w:line="180" w:lineRule="exact"/>
        <w:rPr>
          <w:sz w:val="20"/>
          <w:szCs w:val="20"/>
          <w:color w:val="auto"/>
        </w:rPr>
      </w:pPr>
    </w:p>
    <w:p>
      <w:pPr>
        <w:ind w:left="520"/>
        <w:spacing w:after="0" w:line="261"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The Company must consider whether the contract conveys the right to control the use of an identified asset. Certain arrangements require significant judgment to determine if an asset is specified in the contract and if the Company directs how and for what purpose the asset is used during the term of the contract. For the years ended December 31, 2022, 2021 and 2020 the Company recorded operating lease expense of $43,985 thousand, $34,124 thousand and $26,287 thousand, respectively.</w:t>
      </w:r>
    </w:p>
    <w:p>
      <w:pPr>
        <w:spacing w:after="0" w:line="1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information related to operating leases as of December 31, 2022 and 2021 were as follows: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20" w:type="dxa"/>
            <w:vAlign w:val="bottom"/>
          </w:tcPr>
          <w:p>
            <w:pPr>
              <w:spacing w:after="0"/>
              <w:rPr>
                <w:sz w:val="16"/>
                <w:szCs w:val="16"/>
                <w:color w:val="auto"/>
              </w:rPr>
            </w:pPr>
          </w:p>
        </w:tc>
        <w:tc>
          <w:tcPr>
            <w:tcW w:w="18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69"/>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Weighted average remaining lease term (years)</w:t>
            </w:r>
          </w:p>
        </w:tc>
        <w:tc>
          <w:tcPr>
            <w:tcW w:w="18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120" w:type="dxa"/>
            <w:vAlign w:val="bottom"/>
            <w:shd w:val="clear" w:color="auto" w:fill="CFF0FC"/>
          </w:tcPr>
          <w:p>
            <w:pPr>
              <w:spacing w:after="0"/>
              <w:rPr>
                <w:sz w:val="14"/>
                <w:szCs w:val="14"/>
                <w:color w:val="auto"/>
              </w:rPr>
            </w:pPr>
          </w:p>
        </w:tc>
        <w:tc>
          <w:tcPr>
            <w:tcW w:w="2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11.82</w:t>
            </w:r>
          </w:p>
        </w:tc>
      </w:tr>
      <w:tr>
        <w:trPr>
          <w:trHeight w:val="188"/>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12.42%</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13.60%</w:t>
            </w:r>
          </w:p>
        </w:tc>
      </w:tr>
    </w:tbl>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Maturities of lease liabilities for operating leases as of December 31, 2022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2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Maturities of Lease Liability</w:t>
            </w: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20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Third Party</w:t>
            </w:r>
          </w:p>
        </w:tc>
        <w:tc>
          <w:tcPr>
            <w:tcW w:w="240" w:type="dxa"/>
            <w:vAlign w:val="bottom"/>
          </w:tcPr>
          <w:p>
            <w:pPr>
              <w:spacing w:after="0"/>
              <w:rPr>
                <w:sz w:val="14"/>
                <w:szCs w:val="14"/>
                <w:color w:val="auto"/>
              </w:rPr>
            </w:pPr>
          </w:p>
        </w:tc>
        <w:tc>
          <w:tcPr>
            <w:tcW w:w="14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Related Party</w:t>
            </w:r>
          </w:p>
        </w:tc>
        <w:tc>
          <w:tcPr>
            <w:tcW w:w="200" w:type="dxa"/>
            <w:vAlign w:val="bottom"/>
          </w:tcPr>
          <w:p>
            <w:pPr>
              <w:spacing w:after="0"/>
              <w:rPr>
                <w:sz w:val="14"/>
                <w:szCs w:val="14"/>
                <w:color w:val="auto"/>
              </w:rPr>
            </w:pPr>
          </w:p>
        </w:tc>
        <w:tc>
          <w:tcPr>
            <w:tcW w:w="144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9"/>
        </w:trPr>
        <w:tc>
          <w:tcPr>
            <w:tcW w:w="6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2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42,215</w:t>
            </w:r>
          </w:p>
        </w:tc>
        <w:tc>
          <w:tcPr>
            <w:tcW w:w="2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42,784</w:t>
            </w:r>
          </w:p>
        </w:tc>
        <w:tc>
          <w:tcPr>
            <w:tcW w:w="0" w:type="dxa"/>
            <w:vAlign w:val="bottom"/>
          </w:tcPr>
          <w:p>
            <w:pPr>
              <w:spacing w:after="0"/>
              <w:rPr>
                <w:sz w:val="1"/>
                <w:szCs w:val="1"/>
                <w:color w:val="auto"/>
              </w:rPr>
            </w:pPr>
          </w:p>
        </w:tc>
      </w:tr>
      <w:tr>
        <w:trPr>
          <w:trHeight w:val="176"/>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42,220</w:t>
            </w:r>
          </w:p>
        </w:tc>
        <w:tc>
          <w:tcPr>
            <w:tcW w:w="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2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42,657</w:t>
            </w:r>
          </w:p>
        </w:tc>
        <w:tc>
          <w:tcPr>
            <w:tcW w:w="0" w:type="dxa"/>
            <w:vAlign w:val="bottom"/>
          </w:tcPr>
          <w:p>
            <w:pPr>
              <w:spacing w:after="0"/>
              <w:rPr>
                <w:sz w:val="1"/>
                <w:szCs w:val="1"/>
                <w:color w:val="auto"/>
              </w:rPr>
            </w:pPr>
          </w:p>
        </w:tc>
      </w:tr>
      <w:tr>
        <w:trPr>
          <w:trHeight w:val="175"/>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39,919</w:t>
            </w:r>
          </w:p>
        </w:tc>
        <w:tc>
          <w:tcPr>
            <w:tcW w:w="2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20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40,262</w:t>
            </w:r>
          </w:p>
        </w:tc>
        <w:tc>
          <w:tcPr>
            <w:tcW w:w="0" w:type="dxa"/>
            <w:vAlign w:val="bottom"/>
          </w:tcPr>
          <w:p>
            <w:pPr>
              <w:spacing w:after="0"/>
              <w:rPr>
                <w:sz w:val="1"/>
                <w:szCs w:val="1"/>
                <w:color w:val="auto"/>
              </w:rPr>
            </w:pPr>
          </w:p>
        </w:tc>
      </w:tr>
      <w:tr>
        <w:trPr>
          <w:trHeight w:val="175"/>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38,231</w:t>
            </w:r>
          </w:p>
        </w:tc>
        <w:tc>
          <w:tcPr>
            <w:tcW w:w="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2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38,581</w:t>
            </w:r>
          </w:p>
        </w:tc>
        <w:tc>
          <w:tcPr>
            <w:tcW w:w="0" w:type="dxa"/>
            <w:vAlign w:val="bottom"/>
          </w:tcPr>
          <w:p>
            <w:pPr>
              <w:spacing w:after="0"/>
              <w:rPr>
                <w:sz w:val="1"/>
                <w:szCs w:val="1"/>
                <w:color w:val="auto"/>
              </w:rPr>
            </w:pPr>
          </w:p>
        </w:tc>
      </w:tr>
      <w:tr>
        <w:trPr>
          <w:trHeight w:val="175"/>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38,519</w:t>
            </w:r>
          </w:p>
        </w:tc>
        <w:tc>
          <w:tcPr>
            <w:tcW w:w="2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20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38,876</w:t>
            </w:r>
          </w:p>
        </w:tc>
        <w:tc>
          <w:tcPr>
            <w:tcW w:w="0" w:type="dxa"/>
            <w:vAlign w:val="bottom"/>
          </w:tcPr>
          <w:p>
            <w:pPr>
              <w:spacing w:after="0"/>
              <w:rPr>
                <w:sz w:val="1"/>
                <w:szCs w:val="1"/>
                <w:color w:val="auto"/>
              </w:rPr>
            </w:pPr>
          </w:p>
        </w:tc>
      </w:tr>
      <w:tr>
        <w:trPr>
          <w:trHeight w:val="175"/>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 and Thereafter</w:t>
            </w:r>
          </w:p>
        </w:tc>
        <w:tc>
          <w:tcPr>
            <w:tcW w:w="220" w:type="dxa"/>
            <w:vAlign w:val="bottom"/>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347,404</w:t>
            </w:r>
          </w:p>
        </w:tc>
        <w:tc>
          <w:tcPr>
            <w:tcW w:w="240" w:type="dxa"/>
            <w:vAlign w:val="bottom"/>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1,728</w:t>
            </w:r>
          </w:p>
        </w:tc>
        <w:tc>
          <w:tcPr>
            <w:tcW w:w="200" w:type="dxa"/>
            <w:vAlign w:val="bottom"/>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349,132</w:t>
            </w:r>
          </w:p>
        </w:tc>
        <w:tc>
          <w:tcPr>
            <w:tcW w:w="0" w:type="dxa"/>
            <w:vAlign w:val="bottom"/>
          </w:tcPr>
          <w:p>
            <w:pPr>
              <w:spacing w:after="0"/>
              <w:rPr>
                <w:sz w:val="1"/>
                <w:szCs w:val="1"/>
                <w:color w:val="auto"/>
              </w:rPr>
            </w:pPr>
          </w:p>
        </w:tc>
      </w:tr>
      <w:tr>
        <w:trPr>
          <w:trHeight w:val="169"/>
        </w:trPr>
        <w:tc>
          <w:tcPr>
            <w:tcW w:w="6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Lease Payments</w:t>
            </w:r>
          </w:p>
        </w:tc>
        <w:tc>
          <w:tcPr>
            <w:tcW w:w="220" w:type="dxa"/>
            <w:vAlign w:val="bottom"/>
            <w:tcBorders>
              <w:bottom w:val="single" w:sz="8" w:color="CFF0FC"/>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548,508</w:t>
            </w:r>
          </w:p>
        </w:tc>
        <w:tc>
          <w:tcPr>
            <w:tcW w:w="240" w:type="dxa"/>
            <w:vAlign w:val="bottom"/>
            <w:tcBorders>
              <w:bottom w:val="single" w:sz="8" w:color="CFF0FC"/>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3,784</w:t>
            </w:r>
          </w:p>
        </w:tc>
        <w:tc>
          <w:tcPr>
            <w:tcW w:w="200" w:type="dxa"/>
            <w:vAlign w:val="bottom"/>
            <w:tcBorders>
              <w:bottom w:val="single" w:sz="8" w:color="CFF0FC"/>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552,292</w:t>
            </w:r>
          </w:p>
        </w:tc>
        <w:tc>
          <w:tcPr>
            <w:tcW w:w="0" w:type="dxa"/>
            <w:vAlign w:val="bottom"/>
          </w:tcPr>
          <w:p>
            <w:pPr>
              <w:spacing w:after="0"/>
              <w:rPr>
                <w:sz w:val="1"/>
                <w:szCs w:val="1"/>
                <w:color w:val="auto"/>
              </w:rPr>
            </w:pPr>
          </w:p>
        </w:tc>
      </w:tr>
      <w:tr>
        <w:trPr>
          <w:trHeight w:val="169"/>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Interest</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(290,638)</w:t>
            </w:r>
          </w:p>
        </w:tc>
        <w:tc>
          <w:tcPr>
            <w:tcW w:w="24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(1,467)</w:t>
            </w:r>
          </w:p>
        </w:tc>
        <w:tc>
          <w:tcPr>
            <w:tcW w:w="200" w:type="dxa"/>
            <w:vAlign w:val="bottom"/>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(292,105)</w:t>
            </w:r>
          </w:p>
        </w:tc>
        <w:tc>
          <w:tcPr>
            <w:tcW w:w="0" w:type="dxa"/>
            <w:vAlign w:val="bottom"/>
          </w:tcPr>
          <w:p>
            <w:pPr>
              <w:spacing w:after="0"/>
              <w:rPr>
                <w:sz w:val="1"/>
                <w:szCs w:val="1"/>
                <w:color w:val="auto"/>
              </w:rPr>
            </w:pPr>
          </w:p>
        </w:tc>
      </w:tr>
      <w:tr>
        <w:trPr>
          <w:trHeight w:val="209"/>
        </w:trPr>
        <w:tc>
          <w:tcPr>
            <w:tcW w:w="6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Present Value of Lease Liability</w:t>
            </w:r>
          </w:p>
        </w:tc>
        <w:tc>
          <w:tcPr>
            <w:tcW w:w="22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257,870</w:t>
            </w:r>
          </w:p>
        </w:tc>
        <w:tc>
          <w:tcPr>
            <w:tcW w:w="2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2,317</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260,187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-264795</wp:posOffset>
            </wp:positionV>
            <wp:extent cx="145415" cy="1289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3">
                      <a:extLst>
                        <a:ext uri="{28A0092B-C50C-407E-A947-70E740481C1C}"/>
                      </a:extLst>
                    </a:blip>
                    <a:srcRect/>
                    <a:stretch>
                      <a:fillRect/>
                    </a:stretch>
                  </pic:blipFill>
                  <pic:spPr bwMode="auto">
                    <a:xfrm>
                      <a:off x="0" y="0"/>
                      <a:ext cx="145415" cy="12890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-264795</wp:posOffset>
            </wp:positionV>
            <wp:extent cx="137160" cy="1289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4">
                      <a:extLst>
                        <a:ext uri="{28A0092B-C50C-407E-A947-70E740481C1C}"/>
                      </a:extLst>
                    </a:blip>
                    <a:srcRect/>
                    <a:stretch>
                      <a:fillRect/>
                    </a:stretch>
                  </pic:blipFill>
                  <pic:spPr bwMode="auto">
                    <a:xfrm>
                      <a:off x="0" y="0"/>
                      <a:ext cx="137160" cy="12890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-24765</wp:posOffset>
            </wp:positionV>
            <wp:extent cx="14541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14541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6">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13716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13716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4" w:lineRule="exact"/>
        <w:rPr>
          <w:sz w:val="20"/>
          <w:szCs w:val="20"/>
          <w:color w:val="auto"/>
        </w:rPr>
      </w:pPr>
    </w:p>
    <w:p>
      <w:pPr>
        <w:ind w:left="960" w:hanging="443"/>
        <w:spacing w:after="0"/>
        <w:tabs>
          <w:tab w:leader="none" w:pos="96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Operating Leases</w:t>
      </w:r>
    </w:p>
    <w:p>
      <w:pPr>
        <w:spacing w:after="0" w:line="229" w:lineRule="exact"/>
        <w:rPr>
          <w:sz w:val="20"/>
          <w:szCs w:val="20"/>
          <w:color w:val="auto"/>
        </w:rPr>
      </w:pPr>
    </w:p>
    <w:p>
      <w:pPr>
        <w:ind w:left="520" w:right="20"/>
        <w:spacing w:after="0" w:line="254" w:lineRule="auto"/>
        <w:rPr>
          <w:sz w:val="20"/>
          <w:szCs w:val="20"/>
          <w:color w:val="auto"/>
        </w:rPr>
      </w:pPr>
      <w:r>
        <w:rPr>
          <w:rFonts w:ascii="Times New Roman" w:cs="Times New Roman" w:eastAsia="Times New Roman" w:hAnsi="Times New Roman"/>
          <w:sz w:val="18"/>
          <w:szCs w:val="18"/>
          <w:color w:val="auto"/>
        </w:rPr>
        <w:t>Wendy Berger, a director of the Company, is a principal of WBS Equities, LLC, which is the Manager of Mosaic Real Estate, LLC, which owned the facilities leased by the Company. Additionally, Mosaic Real Estate, LLC is owned in part by Ms. Berger (through the Wendy Berger 1998 Revocable Trust), Benjamin Kovler, the Chariman and Chief Executive Officer of the Company (through KP Capital, LLC), and Anthony Georgiadis, the President and a director of the Company (through Three One Four Holdings, LLC). On December 16, 2022, the Company purchased land located at 5401 NW 44th Ave. Ocala, Florida for $5,584 thousand, excluding transaction costs, from Mosaic Real Estate Ocala, LLC. This transaction resulted in the termination of the Florida related party leasing agreement. For the years ended December 31, 2022, 2021 and 2020, the Company recorded lease expense of $1,129 thousand, $1,185 thousand and $1,500 thousand respectively, associated with these leasing arrangements.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4" w:name="page105"/>
    <w:bookmarkEnd w:id="10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03" w:lineRule="exact"/>
        <w:rPr>
          <w:sz w:val="20"/>
          <w:szCs w:val="20"/>
          <w:color w:val="auto"/>
        </w:rPr>
      </w:pPr>
    </w:p>
    <w:p>
      <w:pPr>
        <w:ind w:left="540" w:hanging="532"/>
        <w:spacing w:after="0"/>
        <w:tabs>
          <w:tab w:leader="none" w:pos="54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7" w:lineRule="exact"/>
        <w:rPr>
          <w:sz w:val="20"/>
          <w:szCs w:val="20"/>
          <w:color w:val="auto"/>
        </w:rPr>
      </w:pPr>
    </w:p>
    <w:p>
      <w:pPr>
        <w:ind w:left="940" w:hanging="423"/>
        <w:spacing w:after="0"/>
        <w:tabs>
          <w:tab w:leader="none" w:pos="94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Sales Lease Back Transactions</w:t>
      </w:r>
    </w:p>
    <w:p>
      <w:pPr>
        <w:spacing w:after="0" w:line="229" w:lineRule="exact"/>
        <w:rPr>
          <w:sz w:val="20"/>
          <w:szCs w:val="20"/>
          <w:color w:val="auto"/>
        </w:rPr>
      </w:pPr>
    </w:p>
    <w:p>
      <w:pPr>
        <w:ind w:left="740" w:hanging="223"/>
        <w:spacing w:after="0"/>
        <w:tabs>
          <w:tab w:leader="none" w:pos="740" w:val="left"/>
        </w:tabs>
        <w:numPr>
          <w:ilvl w:val="0"/>
          <w:numId w:val="9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Danville Cultivation and Processing Facility</w:t>
      </w:r>
    </w:p>
    <w:p>
      <w:pPr>
        <w:spacing w:after="0" w:line="225"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On November 12, 2019, the Company closed a sale and lease back transaction to sell its Danville, Pennsylvania cultivation and processing facility to Innovative Industrial Properties, Inc. (“IIP”).</w:t>
      </w:r>
    </w:p>
    <w:p>
      <w:pPr>
        <w:spacing w:after="0" w:line="162" w:lineRule="exact"/>
        <w:rPr>
          <w:sz w:val="20"/>
          <w:szCs w:val="20"/>
          <w:color w:val="auto"/>
        </w:rPr>
      </w:pPr>
    </w:p>
    <w:p>
      <w:pPr>
        <w:ind w:left="520"/>
        <w:spacing w:after="0" w:line="258" w:lineRule="auto"/>
        <w:rPr>
          <w:sz w:val="20"/>
          <w:szCs w:val="20"/>
          <w:color w:val="auto"/>
        </w:rPr>
      </w:pPr>
      <w:r>
        <w:rPr>
          <w:rFonts w:ascii="Times New Roman" w:cs="Times New Roman" w:eastAsia="Times New Roman" w:hAnsi="Times New Roman"/>
          <w:sz w:val="18"/>
          <w:szCs w:val="18"/>
          <w:color w:val="auto"/>
        </w:rPr>
        <w:t>On June 29, 2022 the Company amended (the “Amendment”) its original lease agreement with IIP. The Amendment provided an additional tenant improvement allowance of $55,000 thousand to be used on enhancements to the facility. In addition to the tenant improvement allowance of $19,300 thousand received in November 2019, the total tenant improvement allowance provided by IIP was $74,300 thousand, and brings IIP's total investment in the property to $94,600 thousand. The Amendment to the lease was treated as a modification and resulted in a gain of $3,061 thousand as well as an increase in the right of use asset and related lease liability to $81,720 thousand.</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(ii) Toledo, Ohio Cultivation and Processing Facility</w:t>
      </w:r>
    </w:p>
    <w:p>
      <w:pPr>
        <w:spacing w:after="0" w:line="227" w:lineRule="exact"/>
        <w:rPr>
          <w:sz w:val="20"/>
          <w:szCs w:val="20"/>
          <w:color w:val="auto"/>
        </w:rPr>
      </w:pPr>
    </w:p>
    <w:p>
      <w:pPr>
        <w:jc w:val="both"/>
        <w:ind w:left="520" w:right="120"/>
        <w:spacing w:after="0" w:line="266" w:lineRule="auto"/>
        <w:rPr>
          <w:sz w:val="20"/>
          <w:szCs w:val="20"/>
          <w:color w:val="auto"/>
        </w:rPr>
      </w:pPr>
      <w:r>
        <w:rPr>
          <w:rFonts w:ascii="Times New Roman" w:cs="Times New Roman" w:eastAsia="Times New Roman" w:hAnsi="Times New Roman"/>
          <w:sz w:val="18"/>
          <w:szCs w:val="18"/>
          <w:color w:val="auto"/>
        </w:rPr>
        <w:t>On January 31, 2020, the Company closed on a sale and lease back transaction to sell its Toledo, Ohio processing facility to IIP. Under a long-term agreement, the Company leased back the facility and continued to operate and manage it. The purchase price for the property was $2,900 thousand, excluding transaction costs.</w:t>
      </w:r>
    </w:p>
    <w:p>
      <w:pPr>
        <w:spacing w:after="0" w:line="176" w:lineRule="exact"/>
        <w:rPr>
          <w:sz w:val="20"/>
          <w:szCs w:val="20"/>
          <w:color w:val="auto"/>
        </w:rPr>
      </w:pPr>
    </w:p>
    <w:p>
      <w:pPr>
        <w:ind w:left="520" w:right="200"/>
        <w:spacing w:after="0" w:line="266" w:lineRule="auto"/>
        <w:rPr>
          <w:sz w:val="20"/>
          <w:szCs w:val="20"/>
          <w:color w:val="auto"/>
        </w:rPr>
      </w:pPr>
      <w:r>
        <w:rPr>
          <w:rFonts w:ascii="Times New Roman" w:cs="Times New Roman" w:eastAsia="Times New Roman" w:hAnsi="Times New Roman"/>
          <w:sz w:val="18"/>
          <w:szCs w:val="18"/>
          <w:color w:val="auto"/>
        </w:rPr>
        <w:t>On October 1, 2020, the Company and IIP amended the lease on the Toledo, Ohio processing facility. Under the amendment, IIP provided an additional $25,000 thousand in funding to be used for the construction of a cannabis cultivation facility. The amended lease had a term of 20 years and was recorded as an operating lease which resulted in a right of use asset and related lease liability of $28,134 thousand.</w:t>
      </w:r>
    </w:p>
    <w:p>
      <w:pPr>
        <w:spacing w:after="0" w:line="176" w:lineRule="exact"/>
        <w:rPr>
          <w:sz w:val="20"/>
          <w:szCs w:val="20"/>
          <w:color w:val="auto"/>
        </w:rPr>
      </w:pPr>
    </w:p>
    <w:p>
      <w:pPr>
        <w:ind w:left="840" w:hanging="323"/>
        <w:spacing w:after="0"/>
        <w:tabs>
          <w:tab w:leader="none" w:pos="840" w:val="left"/>
        </w:tabs>
        <w:numPr>
          <w:ilvl w:val="0"/>
          <w:numId w:val="9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Oglesby Cultivation and Processing Facility</w:t>
      </w:r>
    </w:p>
    <w:p>
      <w:pPr>
        <w:spacing w:after="0" w:line="225" w:lineRule="exact"/>
        <w:rPr>
          <w:sz w:val="20"/>
          <w:szCs w:val="20"/>
          <w:color w:val="auto"/>
        </w:rPr>
      </w:pPr>
    </w:p>
    <w:p>
      <w:pPr>
        <w:ind w:left="520" w:right="20"/>
        <w:spacing w:after="0" w:line="277" w:lineRule="auto"/>
        <w:rPr>
          <w:sz w:val="20"/>
          <w:szCs w:val="20"/>
          <w:color w:val="auto"/>
        </w:rPr>
      </w:pPr>
      <w:r>
        <w:rPr>
          <w:rFonts w:ascii="Times New Roman" w:cs="Times New Roman" w:eastAsia="Times New Roman" w:hAnsi="Times New Roman"/>
          <w:sz w:val="17"/>
          <w:szCs w:val="17"/>
          <w:color w:val="auto"/>
        </w:rPr>
        <w:t>On March 6, 2020, the Company closed on a sale and lease back transaction to sell its Oglesby, Illinois cultivation and processing facility to IIP. Under a long-term agreement, the Company leased back the facility and continued to operate and manage it. The purchase price for the property was $9,000 thousand, excluding transaction costs. Since the closing of the transaction on March 6, 2020, the Company has made various improvements to the property that has significantly enhanced production capacity, for which IIP reimbursed the Company $41,000 thousand. The lease has a term of 16 years and was recorded as an operating lease which resulted in a right of use asset and related lease liability of $42,236 thousand.</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5" w:name="page106"/>
    <w:bookmarkEnd w:id="10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03" w:lineRule="exact"/>
        <w:rPr>
          <w:sz w:val="20"/>
          <w:szCs w:val="20"/>
          <w:color w:val="auto"/>
        </w:rPr>
      </w:pPr>
    </w:p>
    <w:p>
      <w:pPr>
        <w:ind w:left="540" w:hanging="532"/>
        <w:spacing w:after="0"/>
        <w:tabs>
          <w:tab w:leader="none" w:pos="54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December 31, 2022 and 2021, notes payable consisted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6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2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212"/>
        </w:trPr>
        <w:tc>
          <w:tcPr>
            <w:tcW w:w="4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(in</w:t>
            </w:r>
          </w:p>
        </w:tc>
        <w:tc>
          <w:tcPr>
            <w:tcW w:w="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46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600" w:type="dxa"/>
            <w:vAlign w:val="bottom"/>
            <w:shd w:val="clear" w:color="auto" w:fill="CFF0FC"/>
          </w:tcPr>
          <w:p>
            <w:pPr>
              <w:ind w:left="20"/>
              <w:spacing w:after="0" w:line="223" w:lineRule="exact"/>
              <w:rPr>
                <w:sz w:val="20"/>
                <w:szCs w:val="20"/>
                <w:color w:val="auto"/>
              </w:rPr>
            </w:pPr>
            <w:r>
              <w:rPr>
                <w:rFonts w:ascii="Times New Roman" w:cs="Times New Roman" w:eastAsia="Times New Roman" w:hAnsi="Times New Roman"/>
                <w:sz w:val="16"/>
                <w:szCs w:val="16"/>
                <w:color w:val="auto"/>
              </w:rPr>
              <w:t>Charitable Contributions</w:t>
            </w:r>
            <w:r>
              <w:rPr>
                <w:rFonts w:ascii="Times New Roman" w:cs="Times New Roman" w:eastAsia="Times New Roman" w:hAnsi="Times New Roman"/>
                <w:sz w:val="21"/>
                <w:szCs w:val="21"/>
                <w:color w:val="auto"/>
                <w:vertAlign w:val="superscript"/>
              </w:rPr>
              <w:t>1</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1,238</w:t>
            </w: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Private placement debt dated April 30, 2021</w:t>
            </w:r>
            <w:r>
              <w:rPr>
                <w:rFonts w:ascii="Times New Roman" w:cs="Times New Roman" w:eastAsia="Times New Roman" w:hAnsi="Times New Roman"/>
                <w:sz w:val="21"/>
                <w:szCs w:val="21"/>
                <w:color w:val="auto"/>
                <w:vertAlign w:val="superscript"/>
              </w:rPr>
              <w:t>2</w:t>
            </w:r>
          </w:p>
        </w:tc>
        <w:tc>
          <w:tcPr>
            <w:tcW w:w="178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237,795</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228,690</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FF0FC"/>
            </w:tcBorders>
            <w:shd w:val="clear" w:color="auto" w:fill="CFF0FC"/>
          </w:tcPr>
          <w:p>
            <w:pPr>
              <w:ind w:left="20"/>
              <w:spacing w:after="0" w:line="230" w:lineRule="exact"/>
              <w:rPr>
                <w:sz w:val="20"/>
                <w:szCs w:val="20"/>
                <w:color w:val="auto"/>
              </w:rPr>
            </w:pPr>
            <w:r>
              <w:rPr>
                <w:rFonts w:ascii="Times New Roman" w:cs="Times New Roman" w:eastAsia="Times New Roman" w:hAnsi="Times New Roman"/>
                <w:sz w:val="16"/>
                <w:szCs w:val="16"/>
                <w:color w:val="auto"/>
              </w:rPr>
              <w:t>Mortgage notes</w:t>
            </w:r>
            <w:r>
              <w:rPr>
                <w:rFonts w:ascii="Times New Roman" w:cs="Times New Roman" w:eastAsia="Times New Roman" w:hAnsi="Times New Roman"/>
                <w:sz w:val="21"/>
                <w:szCs w:val="21"/>
                <w:color w:val="auto"/>
                <w:vertAlign w:val="superscript"/>
              </w:rPr>
              <w:t>3</w:t>
            </w:r>
          </w:p>
        </w:tc>
        <w:tc>
          <w:tcPr>
            <w:tcW w:w="1780" w:type="dxa"/>
            <w:vAlign w:val="bottom"/>
            <w:tcBorders>
              <w:bottom w:val="single" w:sz="8" w:color="CFF0FC"/>
            </w:tcBorders>
            <w:shd w:val="clear" w:color="auto" w:fill="CFF0FC"/>
          </w:tcPr>
          <w:p>
            <w:pPr>
              <w:spacing w:after="0"/>
              <w:rPr>
                <w:sz w:val="19"/>
                <w:szCs w:val="19"/>
                <w:color w:val="auto"/>
              </w:rPr>
            </w:pPr>
          </w:p>
        </w:tc>
        <w:tc>
          <w:tcPr>
            <w:tcW w:w="2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37,109</w:t>
            </w:r>
          </w:p>
        </w:tc>
        <w:tc>
          <w:tcPr>
            <w:tcW w:w="2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10,006</w:t>
            </w:r>
          </w:p>
        </w:tc>
        <w:tc>
          <w:tcPr>
            <w:tcW w:w="0" w:type="dxa"/>
            <w:vAlign w:val="bottom"/>
          </w:tcPr>
          <w:p>
            <w:pPr>
              <w:spacing w:after="0"/>
              <w:rPr>
                <w:sz w:val="1"/>
                <w:szCs w:val="1"/>
                <w:color w:val="auto"/>
              </w:rPr>
            </w:pPr>
          </w:p>
        </w:tc>
      </w:tr>
      <w:tr>
        <w:trPr>
          <w:trHeight w:val="214"/>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notes payable</w:t>
            </w:r>
          </w:p>
        </w:tc>
        <w:tc>
          <w:tcPr>
            <w:tcW w:w="178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275,668</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239,934</w:t>
            </w:r>
          </w:p>
        </w:tc>
        <w:tc>
          <w:tcPr>
            <w:tcW w:w="0" w:type="dxa"/>
            <w:vAlign w:val="bottom"/>
          </w:tcPr>
          <w:p>
            <w:pPr>
              <w:spacing w:after="0"/>
              <w:rPr>
                <w:sz w:val="1"/>
                <w:szCs w:val="1"/>
                <w:color w:val="auto"/>
              </w:rPr>
            </w:pPr>
          </w:p>
        </w:tc>
      </w:tr>
      <w:tr>
        <w:trPr>
          <w:trHeight w:val="232"/>
        </w:trPr>
        <w:tc>
          <w:tcPr>
            <w:tcW w:w="4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Less: current portion of notes payable</w:t>
            </w:r>
          </w:p>
        </w:tc>
        <w:tc>
          <w:tcPr>
            <w:tcW w:w="1780" w:type="dxa"/>
            <w:vAlign w:val="bottom"/>
            <w:tcBorders>
              <w:bottom w:val="single" w:sz="8" w:color="CFF0FC"/>
            </w:tcBorders>
            <w:shd w:val="clear" w:color="auto" w:fill="CFF0FC"/>
          </w:tcPr>
          <w:p>
            <w:pPr>
              <w:spacing w:after="0"/>
              <w:rPr>
                <w:sz w:val="20"/>
                <w:szCs w:val="20"/>
                <w:color w:val="auto"/>
              </w:rPr>
            </w:pPr>
          </w:p>
        </w:tc>
        <w:tc>
          <w:tcPr>
            <w:tcW w:w="2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22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Notes payable, net of current portion</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274,631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239,151</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1020"/>
              <w:spacing w:after="0"/>
              <w:rPr>
                <w:sz w:val="20"/>
                <w:szCs w:val="20"/>
                <w:color w:val="auto"/>
              </w:rPr>
            </w:pPr>
            <w:r>
              <w:rPr>
                <w:rFonts w:ascii="Times New Roman" w:cs="Times New Roman" w:eastAsia="Times New Roman" w:hAnsi="Times New Roman"/>
                <w:sz w:val="11"/>
                <w:szCs w:val="11"/>
                <w:color w:val="auto"/>
              </w:rPr>
              <w:t>____________________</w:t>
            </w:r>
          </w:p>
        </w:tc>
        <w:tc>
          <w:tcPr>
            <w:tcW w:w="178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4600" w:type="dxa"/>
            <w:vAlign w:val="bottom"/>
            <w:vMerge w:val="continue"/>
          </w:tcPr>
          <w:p>
            <w:pPr>
              <w:spacing w:after="0"/>
              <w:rPr>
                <w:sz w:val="9"/>
                <w:szCs w:val="9"/>
                <w:color w:val="auto"/>
              </w:rPr>
            </w:pPr>
          </w:p>
        </w:tc>
        <w:tc>
          <w:tcPr>
            <w:tcW w:w="17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-559435</wp:posOffset>
            </wp:positionV>
            <wp:extent cx="137160" cy="15430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3">
                      <a:extLst>
                        <a:ext uri="{28A0092B-C50C-407E-A947-70E740481C1C}"/>
                      </a:extLst>
                    </a:blip>
                    <a:srcRect/>
                    <a:stretch>
                      <a:fillRect/>
                    </a:stretch>
                  </pic:blipFill>
                  <pic:spPr bwMode="auto">
                    <a:xfrm>
                      <a:off x="0" y="0"/>
                      <a:ext cx="137160" cy="15430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-259715</wp:posOffset>
            </wp:positionV>
            <wp:extent cx="137160" cy="1797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4">
                      <a:extLst>
                        <a:ext uri="{28A0092B-C50C-407E-A947-70E740481C1C}"/>
                      </a:extLst>
                    </a:blip>
                    <a:srcRect/>
                    <a:stretch>
                      <a:fillRect/>
                    </a:stretch>
                  </pic:blipFill>
                  <pic:spPr bwMode="auto">
                    <a:xfrm>
                      <a:off x="0" y="0"/>
                      <a:ext cx="137160" cy="179705"/>
                    </a:xfrm>
                    <a:prstGeom prst="rect">
                      <a:avLst/>
                    </a:prstGeom>
                    <a:noFill/>
                  </pic:spPr>
                </pic:pic>
              </a:graphicData>
            </a:graphic>
          </wp:anchor>
        </w:drawing>
      </w:r>
    </w:p>
    <w:p>
      <w:pPr>
        <w:spacing w:after="0" w:line="15" w:lineRule="exact"/>
        <w:rPr>
          <w:sz w:val="20"/>
          <w:szCs w:val="20"/>
          <w:color w:val="auto"/>
        </w:rPr>
      </w:pPr>
    </w:p>
    <w:p>
      <w:pPr>
        <w:jc w:val="both"/>
        <w:ind w:left="1020" w:right="100" w:firstLine="6"/>
        <w:spacing w:after="0" w:line="237" w:lineRule="auto"/>
        <w:tabs>
          <w:tab w:leader="none" w:pos="1115" w:val="left"/>
        </w:tabs>
        <w:numPr>
          <w:ilvl w:val="0"/>
          <w:numId w:val="97"/>
        </w:numPr>
        <w:rPr>
          <w:rFonts w:ascii="Times New Roman" w:cs="Times New Roman" w:eastAsia="Times New Roman" w:hAnsi="Times New Roman"/>
          <w:sz w:val="22"/>
          <w:szCs w:val="22"/>
          <w:b w:val="1"/>
          <w:bCs w:val="1"/>
          <w:color w:val="auto"/>
          <w:vertAlign w:val="superscript"/>
        </w:rPr>
      </w:pPr>
      <w:r>
        <w:rPr>
          <w:rFonts w:ascii="Times New Roman" w:cs="Times New Roman" w:eastAsia="Times New Roman" w:hAnsi="Times New Roman"/>
          <w:sz w:val="16"/>
          <w:szCs w:val="16"/>
          <w:color w:val="auto"/>
        </w:rPr>
        <w:t>In connection with acquisitions completed in 2017 and 2019, the Company is required to make quarterly charitable contributions of $50 thousand through October 2024 and $250 thousand per year through May 2024, respectively. The net present value of these required payments has been recorded as a liability with interest rates ranging between 2.17% - 7.00%.</w:t>
      </w:r>
    </w:p>
    <w:p>
      <w:pPr>
        <w:spacing w:after="0" w:line="224" w:lineRule="exact"/>
        <w:rPr>
          <w:sz w:val="20"/>
          <w:szCs w:val="20"/>
          <w:color w:val="auto"/>
        </w:rPr>
      </w:pPr>
    </w:p>
    <w:p>
      <w:pPr>
        <w:ind w:left="1020" w:right="20" w:firstLine="6"/>
        <w:spacing w:after="0" w:line="226" w:lineRule="auto"/>
        <w:tabs>
          <w:tab w:leader="none" w:pos="1115" w:val="left"/>
        </w:tabs>
        <w:numPr>
          <w:ilvl w:val="0"/>
          <w:numId w:val="98"/>
        </w:numPr>
        <w:rPr>
          <w:rFonts w:ascii="Times New Roman" w:cs="Times New Roman" w:eastAsia="Times New Roman" w:hAnsi="Times New Roman"/>
          <w:sz w:val="22"/>
          <w:szCs w:val="22"/>
          <w:b w:val="1"/>
          <w:bCs w:val="1"/>
          <w:color w:val="auto"/>
          <w:vertAlign w:val="superscript"/>
        </w:rPr>
      </w:pPr>
      <w:r>
        <w:rPr>
          <w:rFonts w:ascii="Times New Roman" w:cs="Times New Roman" w:eastAsia="Times New Roman" w:hAnsi="Times New Roman"/>
          <w:sz w:val="16"/>
          <w:szCs w:val="16"/>
          <w:color w:val="auto"/>
        </w:rPr>
        <w:t>The April 30, 2021 private placement debt was issued in an original amount of $249,934 thousand with an interest rate of 7%, maturing on April 30, 2025. The debt was issued at a discount, the carrying value of which was $12,139 thousand and $21,244 thousand as of December 31, 2022 and 2021, respectively.</w:t>
      </w:r>
    </w:p>
    <w:p>
      <w:pPr>
        <w:spacing w:after="0" w:line="210" w:lineRule="exact"/>
        <w:rPr>
          <w:sz w:val="20"/>
          <w:szCs w:val="20"/>
          <w:color w:val="auto"/>
        </w:rPr>
      </w:pPr>
    </w:p>
    <w:p>
      <w:pPr>
        <w:jc w:val="both"/>
        <w:ind w:left="1020" w:right="380" w:firstLine="6"/>
        <w:spacing w:after="0" w:line="244" w:lineRule="auto"/>
        <w:tabs>
          <w:tab w:leader="none" w:pos="1115" w:val="left"/>
        </w:tabs>
        <w:numPr>
          <w:ilvl w:val="0"/>
          <w:numId w:val="99"/>
        </w:numPr>
        <w:rPr>
          <w:rFonts w:ascii="Times New Roman" w:cs="Times New Roman" w:eastAsia="Times New Roman" w:hAnsi="Times New Roman"/>
          <w:sz w:val="22"/>
          <w:szCs w:val="22"/>
          <w:b w:val="1"/>
          <w:bCs w:val="1"/>
          <w:color w:val="auto"/>
          <w:vertAlign w:val="superscript"/>
        </w:rPr>
      </w:pPr>
      <w:r>
        <w:rPr>
          <w:rFonts w:ascii="Times New Roman" w:cs="Times New Roman" w:eastAsia="Times New Roman" w:hAnsi="Times New Roman"/>
          <w:sz w:val="16"/>
          <w:szCs w:val="16"/>
          <w:color w:val="auto"/>
        </w:rPr>
        <w:t>Mortgage notes, with an intial value of $38,292 thousand and $10,437 thousand, were issued by the Company in connection with various operating properties, and were recorded at such gross value as of December 31, 2022 and 2021, respectively. The mortgage notes were issued at a discount, the carrying value of which was $437 thousand and $162 thousand, and are presented net such discount and principal payments of $746 thousand and $269 thousand as of December 31, 2022 and 2021, respectively.</w:t>
      </w:r>
    </w:p>
    <w:p>
      <w:pPr>
        <w:spacing w:after="0" w:line="190" w:lineRule="exact"/>
        <w:rPr>
          <w:sz w:val="20"/>
          <w:szCs w:val="20"/>
          <w:color w:val="auto"/>
        </w:rPr>
      </w:pPr>
    </w:p>
    <w:p>
      <w:pPr>
        <w:ind w:left="520" w:right="340"/>
        <w:spacing w:after="0" w:line="282" w:lineRule="auto"/>
        <w:rPr>
          <w:sz w:val="20"/>
          <w:szCs w:val="20"/>
          <w:color w:val="auto"/>
        </w:rPr>
      </w:pPr>
      <w:r>
        <w:rPr>
          <w:rFonts w:ascii="Times New Roman" w:cs="Times New Roman" w:eastAsia="Times New Roman" w:hAnsi="Times New Roman"/>
          <w:sz w:val="18"/>
          <w:szCs w:val="18"/>
          <w:color w:val="auto"/>
        </w:rPr>
        <w:t>Annual maturities of debt related to mortgage notes for the five fiscal years subsequent to December 31, 2022 are: 2023 - $632 thousand; 2024 - $19,011 thousand; 2025 - $2,089 thousand; 2026 - $657 thousand; and 2027 - $696 thousand.</w:t>
      </w:r>
    </w:p>
    <w:p>
      <w:pPr>
        <w:spacing w:after="0" w:line="252" w:lineRule="exact"/>
        <w:rPr>
          <w:sz w:val="20"/>
          <w:szCs w:val="20"/>
          <w:color w:val="auto"/>
        </w:rPr>
      </w:pPr>
    </w:p>
    <w:p>
      <w:pPr>
        <w:ind w:left="1060" w:hanging="543"/>
        <w:spacing w:after="0"/>
        <w:tabs>
          <w:tab w:leader="none" w:pos="106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April 30, 2021 Private Placement Financing</w:t>
      </w:r>
    </w:p>
    <w:p>
      <w:pPr>
        <w:spacing w:after="0" w:line="229" w:lineRule="exact"/>
        <w:rPr>
          <w:sz w:val="20"/>
          <w:szCs w:val="20"/>
          <w:color w:val="auto"/>
        </w:rPr>
      </w:pPr>
    </w:p>
    <w:p>
      <w:pPr>
        <w:ind w:left="520" w:right="260"/>
        <w:spacing w:after="0" w:line="254" w:lineRule="auto"/>
        <w:rPr>
          <w:sz w:val="20"/>
          <w:szCs w:val="20"/>
          <w:color w:val="auto"/>
        </w:rPr>
      </w:pPr>
      <w:r>
        <w:rPr>
          <w:rFonts w:ascii="Times New Roman" w:cs="Times New Roman" w:eastAsia="Times New Roman" w:hAnsi="Times New Roman"/>
          <w:sz w:val="18"/>
          <w:szCs w:val="18"/>
          <w:color w:val="auto"/>
        </w:rPr>
        <w:t>On April 30, 2021, the Company closed a $249,934 thousand senior secured non-brokered private placement financing through the issuance of senior secured notes (the “April 30, 2021 Notes”). The Company used the proceeds to retire the Company’s existing $105,466 thousand, senior secured notes due May 22, 2023 (the “May 22, 2019 Notes”) and the remaining proceeds for general working capital purposes as well as various growth initiatives. The April 30, 2021 Notes had an initial maturity date of April 30, 2024 and bore interest from the date of issue of 7.00% per annum, payable quarterly. The financing permitted the Company to borrow an additional $33,266 thousand over the twelve months following the closure of the private placement financing. The purchasers of the April 30, 2021 Notes also received 1,459,044 warrants (the “Warrants”) each of which allowed the holders to purchase one Subordinate Voting Share at an exercise price of $32.68 per share, for a period of 60 months from the date of issuance.</w:t>
      </w:r>
    </w:p>
    <w:p>
      <w:pPr>
        <w:spacing w:after="0" w:line="192" w:lineRule="exact"/>
        <w:rPr>
          <w:sz w:val="20"/>
          <w:szCs w:val="20"/>
          <w:color w:val="auto"/>
        </w:rPr>
      </w:pPr>
    </w:p>
    <w:p>
      <w:pPr>
        <w:ind w:left="520"/>
        <w:spacing w:after="0" w:line="254" w:lineRule="auto"/>
        <w:rPr>
          <w:sz w:val="20"/>
          <w:szCs w:val="20"/>
          <w:color w:val="auto"/>
        </w:rPr>
      </w:pPr>
      <w:r>
        <w:rPr>
          <w:rFonts w:ascii="Times New Roman" w:cs="Times New Roman" w:eastAsia="Times New Roman" w:hAnsi="Times New Roman"/>
          <w:sz w:val="18"/>
          <w:szCs w:val="18"/>
          <w:color w:val="auto"/>
        </w:rPr>
        <w:t>The refinancing of the May 22, 2019 Notes involved multiple lenders who were considered members of a loan syndicate. In determining whether the refinancing of the May 22, 2019 Notes should be accounted for as a debt extinguishment or a debt modification, the applicable accounting guidance required the Company to evaluate whether, prior to and following the refinancing, creditors remained consistent with the original creditors from the May 22, 2019 private placement financing, and whether the changes in debt terms were substantial. A change in the terms of the May 22, 2019 Notes was considered to be substantial if the present value of the remaining cash flows under the April 30, 2021 Notes were at least 10% different from the present value of the remaining cash flows under the May 22, 2019 Notes (commonly referred to as the “10% Test”). The Company performed a separate 10% Test for each individual lender participating in the loan syndication. Of the 30 lenders who participated in the original financing of the May 22, 2019 Notes, 18 were accounted for as a debt extinguishment, while 12 were treated as a modification. Additionally, 9 new lenders joined the loan syndicate.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43" w:lineRule="exact"/>
        <w:rPr>
          <w:sz w:val="20"/>
          <w:szCs w:val="20"/>
          <w:color w:val="auto"/>
        </w:rPr>
      </w:pPr>
    </w:p>
    <w:p>
      <w:pPr>
        <w:ind w:left="540" w:hanging="532"/>
        <w:spacing w:after="0"/>
        <w:tabs>
          <w:tab w:leader="none" w:pos="54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NOTES PAYABLE </w:t>
      </w:r>
      <w:r>
        <w:rPr>
          <w:rFonts w:ascii="Times New Roman" w:cs="Times New Roman" w:eastAsia="Times New Roman" w:hAnsi="Times New Roman"/>
          <w:sz w:val="18"/>
          <w:szCs w:val="18"/>
          <w:i w:val="1"/>
          <w:iCs w:val="1"/>
          <w:color w:val="auto"/>
        </w:rPr>
        <w:t>(Continued)</w:t>
      </w:r>
    </w:p>
    <w:p>
      <w:pPr>
        <w:spacing w:after="0" w:line="225" w:lineRule="exact"/>
        <w:rPr>
          <w:rFonts w:ascii="Times New Roman" w:cs="Times New Roman" w:eastAsia="Times New Roman" w:hAnsi="Times New Roman"/>
          <w:sz w:val="18"/>
          <w:szCs w:val="18"/>
          <w:b w:val="1"/>
          <w:bCs w:val="1"/>
          <w:color w:val="auto"/>
        </w:rPr>
      </w:pPr>
    </w:p>
    <w:p>
      <w:pPr>
        <w:ind w:left="1060" w:hanging="543"/>
        <w:spacing w:after="0"/>
        <w:tabs>
          <w:tab w:leader="none" w:pos="1060" w:val="left"/>
        </w:tabs>
        <w:numPr>
          <w:ilvl w:val="1"/>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April 30, 2021 Private Placement Financing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9" w:lineRule="exact"/>
        <w:rPr>
          <w:sz w:val="20"/>
          <w:szCs w:val="20"/>
          <w:color w:val="auto"/>
        </w:rPr>
      </w:pPr>
    </w:p>
    <w:p>
      <w:pPr>
        <w:ind w:left="520" w:right="40"/>
        <w:spacing w:after="0" w:line="256" w:lineRule="auto"/>
        <w:rPr>
          <w:sz w:val="20"/>
          <w:szCs w:val="20"/>
          <w:color w:val="auto"/>
        </w:rPr>
      </w:pPr>
      <w:r>
        <w:rPr>
          <w:rFonts w:ascii="Times New Roman" w:cs="Times New Roman" w:eastAsia="Times New Roman" w:hAnsi="Times New Roman"/>
          <w:sz w:val="18"/>
          <w:szCs w:val="18"/>
          <w:color w:val="auto"/>
        </w:rPr>
        <w:t>On October 15, 2021, the Company amended its existing Notes Purchase Agreement for the April 30, 2021 Notes, for the purposes of borrowing an additional $33,200 thousand (issued as “Amended Notes”), as permitted under the April 30, 2021 Second Amendment to the Notes Purchase Agreement dated April 30, 2021. The additional borrowings had terms consistent with the April 30, 2021 Notes and increased the total amount borrowed to $249,934 thousand. The Company used the additional proceeds for general working capital purposes as well as various growth initiatives. The purchasers of the Amended Notes received an additional 243,303 warrants which allow the holder to purchase one Subordinate Voting Share at an exercise price of $30.02 per share, for a period of 60 months from the date of issue.</w:t>
      </w:r>
    </w:p>
    <w:p>
      <w:pPr>
        <w:spacing w:after="0" w:line="187" w:lineRule="exact"/>
        <w:rPr>
          <w:sz w:val="20"/>
          <w:szCs w:val="20"/>
          <w:color w:val="auto"/>
        </w:rPr>
      </w:pPr>
    </w:p>
    <w:p>
      <w:pPr>
        <w:ind w:left="520" w:right="40"/>
        <w:spacing w:after="0" w:line="258" w:lineRule="auto"/>
        <w:rPr>
          <w:sz w:val="20"/>
          <w:szCs w:val="20"/>
          <w:color w:val="auto"/>
        </w:rPr>
      </w:pPr>
      <w:r>
        <w:rPr>
          <w:rFonts w:ascii="Times New Roman" w:cs="Times New Roman" w:eastAsia="Times New Roman" w:hAnsi="Times New Roman"/>
          <w:sz w:val="18"/>
          <w:szCs w:val="18"/>
          <w:color w:val="auto"/>
        </w:rPr>
        <w:t>The Second Amendment to the Notes Purchase Agreement dated April 30, 2021 included certain covenants which require the Company to maintain (on a daily basis) unrestricted cash and cash equivalents in an amount greater than or equal to the amount of interest scheduled to become due in the next 365-days and to not permit the ratio of net debt to stockholders’ equity to exceed 0.6 to 1.0 as of the last day of any quarter. In addition, the Company is required to maintain a debt to EBITDA ratio of 4.5 to 1.0 as of the last day of each quarter. As of December 31, 2022 and 2021, the Company was in compliance with all covenants.</w:t>
      </w:r>
    </w:p>
    <w:p>
      <w:pPr>
        <w:spacing w:after="0" w:line="183" w:lineRule="exact"/>
        <w:rPr>
          <w:sz w:val="20"/>
          <w:szCs w:val="20"/>
          <w:color w:val="auto"/>
        </w:rPr>
      </w:pPr>
    </w:p>
    <w:p>
      <w:pPr>
        <w:ind w:left="520" w:right="140"/>
        <w:spacing w:after="0" w:line="312" w:lineRule="auto"/>
        <w:rPr>
          <w:sz w:val="20"/>
          <w:szCs w:val="20"/>
          <w:color w:val="auto"/>
        </w:rPr>
      </w:pPr>
      <w:r>
        <w:rPr>
          <w:rFonts w:ascii="Times New Roman" w:cs="Times New Roman" w:eastAsia="Times New Roman" w:hAnsi="Times New Roman"/>
          <w:sz w:val="17"/>
          <w:szCs w:val="17"/>
          <w:color w:val="auto"/>
        </w:rPr>
        <w:t>On July 14, 2022, the Company exercised its right to extend the maturity date of the Notes by one year from April 30, 2024 to April 30, 2025. The extension to the maturity date did not involve any amendment to the April 30, 2021 Notes or any additional consideration to the existing lenders.</w:t>
      </w:r>
    </w:p>
    <w:p>
      <w:pPr>
        <w:spacing w:after="0" w:line="244" w:lineRule="exact"/>
        <w:rPr>
          <w:sz w:val="20"/>
          <w:szCs w:val="20"/>
          <w:color w:val="auto"/>
        </w:rPr>
      </w:pPr>
    </w:p>
    <w:p>
      <w:pPr>
        <w:ind w:left="1060" w:hanging="543"/>
        <w:spacing w:after="0"/>
        <w:tabs>
          <w:tab w:leader="none" w:pos="106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w:t>
      </w:r>
    </w:p>
    <w:p>
      <w:pPr>
        <w:spacing w:after="0" w:line="229" w:lineRule="exact"/>
        <w:rPr>
          <w:sz w:val="20"/>
          <w:szCs w:val="20"/>
          <w:color w:val="auto"/>
        </w:rPr>
      </w:pPr>
    </w:p>
    <w:p>
      <w:pPr>
        <w:ind w:left="520" w:right="100"/>
        <w:spacing w:after="0" w:line="258" w:lineRule="auto"/>
        <w:rPr>
          <w:sz w:val="20"/>
          <w:szCs w:val="20"/>
          <w:color w:val="auto"/>
        </w:rPr>
      </w:pPr>
      <w:r>
        <w:rPr>
          <w:rFonts w:ascii="Times New Roman" w:cs="Times New Roman" w:eastAsia="Times New Roman" w:hAnsi="Times New Roman"/>
          <w:sz w:val="18"/>
          <w:szCs w:val="18"/>
          <w:color w:val="auto"/>
        </w:rPr>
        <w:t>A portion of the April 30, 2021 Notes are held by related parties as well as unrelated third-party lenders at a percentage of approximately 1% and 99%, respectively. The related parties consist of Benjamin Kovler, the Chairman and Chief Executive Officer of the Company (held through KP Capital, LLC and Outsiders Capital, LLC); Andrew Grossman, the Executive Vice President of Capital Markets of the Company (held through AG Funding Group, LLC); Anthony Georgiadis, the President and a director of the Company (held through Three One Four Holdings, LLC); and Anthony Georgiadis and William Gruver, a former director of the Company (held through ABG, LLC).</w:t>
      </w:r>
    </w:p>
    <w:p>
      <w:pPr>
        <w:spacing w:after="0" w:line="179" w:lineRule="exact"/>
        <w:rPr>
          <w:sz w:val="20"/>
          <w:szCs w:val="20"/>
          <w:color w:val="auto"/>
        </w:rPr>
      </w:pPr>
    </w:p>
    <w:p>
      <w:pPr>
        <w:ind w:left="1020" w:hanging="503"/>
        <w:spacing w:after="0"/>
        <w:tabs>
          <w:tab w:leader="none" w:pos="102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Construction-to-Permanent Financing Arrangement</w:t>
      </w:r>
    </w:p>
    <w:p>
      <w:pPr>
        <w:spacing w:after="0" w:line="229" w:lineRule="exact"/>
        <w:rPr>
          <w:sz w:val="20"/>
          <w:szCs w:val="20"/>
          <w:color w:val="auto"/>
        </w:rPr>
      </w:pPr>
    </w:p>
    <w:p>
      <w:pPr>
        <w:ind w:left="520"/>
        <w:spacing w:after="0" w:line="255" w:lineRule="auto"/>
        <w:rPr>
          <w:sz w:val="20"/>
          <w:szCs w:val="20"/>
          <w:color w:val="auto"/>
        </w:rPr>
      </w:pPr>
      <w:r>
        <w:rPr>
          <w:rFonts w:ascii="Times New Roman" w:cs="Times New Roman" w:eastAsia="Times New Roman" w:hAnsi="Times New Roman"/>
          <w:sz w:val="18"/>
          <w:szCs w:val="18"/>
          <w:color w:val="auto"/>
        </w:rPr>
        <w:t>On October 12, 2022, the Company entered into a construction-to-permanent financing arrangement (the “Construction Loan”) which provided funding for the construction of a cultivation and processing facility in the amount of up to $31,000 thousand, which, as of December 31, 2022, the Company has drawn $18,345 thousand on the facility. The Construction Loan bears interest of U.S. prime rate plus 1%, with a floor of 5%, and matures upon the earlier of the completion of the construction, or 24 months. Interest only payments became due on the first of each month beginning on November 1, 2022. Upon maturity, the Construction Loan will convert to a 10 year mortgage note with a fixed interest rate of 3% over the weekly average yield of the U.S. treasury securities adjusted to a constant maturity of five years, with a floor of 5%. Payments of both principal and interest will be due on the first day of each calendar month following conversion.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07" w:name="page108"/>
    <w:bookmarkEnd w:id="10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00" w:lineRule="exact"/>
        <w:rPr>
          <w:sz w:val="20"/>
          <w:szCs w:val="20"/>
          <w:color w:val="auto"/>
        </w:rPr>
      </w:pPr>
    </w:p>
    <w:p>
      <w:pPr>
        <w:spacing w:after="0" w:line="246" w:lineRule="exact"/>
        <w:rPr>
          <w:sz w:val="20"/>
          <w:szCs w:val="20"/>
          <w:color w:val="auto"/>
        </w:rPr>
      </w:pPr>
    </w:p>
    <w:p>
      <w:pPr>
        <w:ind w:left="540" w:hanging="532"/>
        <w:spacing w:after="0"/>
        <w:tabs>
          <w:tab w:leader="none" w:pos="54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part of the Company’s private placement financing, as well as other financing arrangements, the Company issued warrants to related parties, as well as unrelated third parties, which allow the holders to purchase Subordinate Voting Shares at an exercise price determined at the time of issuance.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number of warrants outstanding as of December 31, 2022 and 2021:</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58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Liability Classified</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Equity Classified</w:t>
            </w: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0"/>
        </w:trPr>
        <w:tc>
          <w:tcPr>
            <w:tcW w:w="3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0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34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120" w:type="dxa"/>
            <w:vAlign w:val="bottom"/>
          </w:tcPr>
          <w:p>
            <w:pPr>
              <w:spacing w:after="0"/>
              <w:rPr>
                <w:sz w:val="17"/>
                <w:szCs w:val="17"/>
                <w:color w:val="auto"/>
              </w:rPr>
            </w:pPr>
          </w:p>
        </w:tc>
        <w:tc>
          <w:tcPr>
            <w:tcW w:w="10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80" w:type="dxa"/>
            <w:vAlign w:val="bottom"/>
          </w:tcPr>
          <w:p>
            <w:pPr>
              <w:spacing w:after="0"/>
              <w:rPr>
                <w:sz w:val="17"/>
                <w:szCs w:val="17"/>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100" w:type="dxa"/>
            <w:vAlign w:val="bottom"/>
          </w:tcPr>
          <w:p>
            <w:pPr>
              <w:spacing w:after="0"/>
              <w:rPr>
                <w:sz w:val="17"/>
                <w:szCs w:val="17"/>
                <w:color w:val="auto"/>
              </w:rPr>
            </w:pPr>
          </w:p>
        </w:tc>
      </w:tr>
      <w:tr>
        <w:trPr>
          <w:trHeight w:val="225"/>
        </w:trPr>
        <w:tc>
          <w:tcPr>
            <w:tcW w:w="358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340" w:type="dxa"/>
            <w:vAlign w:val="bottom"/>
          </w:tcPr>
          <w:p>
            <w:pPr>
              <w:spacing w:after="0"/>
              <w:rPr>
                <w:sz w:val="19"/>
                <w:szCs w:val="19"/>
                <w:color w:val="auto"/>
              </w:rPr>
            </w:pPr>
          </w:p>
        </w:tc>
        <w:tc>
          <w:tcPr>
            <w:tcW w:w="660" w:type="dxa"/>
            <w:vAlign w:val="bottom"/>
          </w:tcPr>
          <w:p>
            <w:pPr>
              <w:jc w:val="center"/>
              <w:ind w:left="319"/>
              <w:spacing w:after="0"/>
              <w:rPr>
                <w:sz w:val="20"/>
                <w:szCs w:val="20"/>
                <w:color w:val="auto"/>
              </w:rPr>
            </w:pPr>
            <w:r>
              <w:rPr>
                <w:rFonts w:ascii="Times New Roman" w:cs="Times New Roman" w:eastAsia="Times New Roman" w:hAnsi="Times New Roman"/>
                <w:sz w:val="16"/>
                <w:szCs w:val="16"/>
                <w:b w:val="1"/>
                <w:bCs w:val="1"/>
                <w:color w:val="auto"/>
              </w:rPr>
              <w:t>(C$</w:t>
            </w:r>
          </w:p>
        </w:tc>
        <w:tc>
          <w:tcPr>
            <w:tcW w:w="460" w:type="dxa"/>
            <w:vAlign w:val="bottom"/>
          </w:tcPr>
          <w:p>
            <w:pPr>
              <w:jc w:val="right"/>
              <w:ind w:right="346"/>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Life</w:t>
            </w:r>
          </w:p>
        </w:tc>
        <w:tc>
          <w:tcPr>
            <w:tcW w:w="120" w:type="dxa"/>
            <w:vAlign w:val="bottom"/>
          </w:tcPr>
          <w:p>
            <w:pPr>
              <w:spacing w:after="0"/>
              <w:rPr>
                <w:sz w:val="19"/>
                <w:szCs w:val="19"/>
                <w:color w:val="auto"/>
              </w:rPr>
            </w:pPr>
          </w:p>
        </w:tc>
        <w:tc>
          <w:tcPr>
            <w:tcW w:w="10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80" w:type="dxa"/>
            <w:vAlign w:val="bottom"/>
          </w:tcPr>
          <w:p>
            <w:pPr>
              <w:spacing w:after="0"/>
              <w:rPr>
                <w:sz w:val="19"/>
                <w:szCs w:val="19"/>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(USD)</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Life</w:t>
            </w:r>
          </w:p>
        </w:tc>
        <w:tc>
          <w:tcPr>
            <w:tcW w:w="100" w:type="dxa"/>
            <w:vAlign w:val="bottom"/>
          </w:tcPr>
          <w:p>
            <w:pPr>
              <w:spacing w:after="0"/>
              <w:rPr>
                <w:sz w:val="19"/>
                <w:szCs w:val="19"/>
                <w:color w:val="auto"/>
              </w:rPr>
            </w:pPr>
          </w:p>
        </w:tc>
      </w:tr>
      <w:tr>
        <w:trPr>
          <w:trHeight w:val="230"/>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2021</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2,097,931</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w:t>
            </w:r>
          </w:p>
        </w:tc>
        <w:tc>
          <w:tcPr>
            <w:tcW w:w="66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18.26</w:t>
            </w:r>
          </w:p>
        </w:tc>
        <w:tc>
          <w:tcPr>
            <w:tcW w:w="120" w:type="dxa"/>
            <w:vAlign w:val="bottom"/>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20" w:type="dxa"/>
            <w:vAlign w:val="bottom"/>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1,737,347</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31.83</w:t>
            </w:r>
          </w:p>
        </w:tc>
        <w:tc>
          <w:tcPr>
            <w:tcW w:w="100" w:type="dxa"/>
            <w:vAlign w:val="bottom"/>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shd w:val="clear" w:color="auto" w:fill="CFF0FC"/>
          </w:tcPr>
          <w:p>
            <w:pPr>
              <w:spacing w:after="0"/>
              <w:rPr>
                <w:sz w:val="19"/>
                <w:szCs w:val="19"/>
                <w:color w:val="auto"/>
              </w:rPr>
            </w:pPr>
          </w:p>
        </w:tc>
      </w:tr>
      <w:tr>
        <w:trPr>
          <w:trHeight w:val="220"/>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Warrants Issued</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Warrants Exercised</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r>
      <w:tr>
        <w:trPr>
          <w:trHeight w:val="223"/>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Warrants Expired</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(100,723 )</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27"/>
        </w:trPr>
        <w:tc>
          <w:tcPr>
            <w:tcW w:w="3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2022</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1,997,208</w:t>
            </w: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w:t>
            </w:r>
          </w:p>
        </w:tc>
        <w:tc>
          <w:tcPr>
            <w:tcW w:w="660" w:type="dxa"/>
            <w:vAlign w:val="bottom"/>
            <w:tcBorders>
              <w:top w:val="single" w:sz="8" w:color="auto"/>
              <w:bottom w:val="single" w:sz="8" w:color="auto"/>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18.03</w:t>
            </w:r>
          </w:p>
        </w:tc>
        <w:tc>
          <w:tcPr>
            <w:tcW w:w="1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1,737,347</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31.83</w:t>
            </w:r>
          </w:p>
        </w:tc>
        <w:tc>
          <w:tcPr>
            <w:tcW w:w="10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-7620</wp:posOffset>
            </wp:positionV>
            <wp:extent cx="768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-7620</wp:posOffset>
            </wp:positionV>
            <wp:extent cx="768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-7620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ind w:left="1060" w:hanging="543"/>
        <w:spacing w:after="0"/>
        <w:tabs>
          <w:tab w:leader="none" w:pos="106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 Classified Warrants Outstanding</w:t>
      </w:r>
    </w:p>
    <w:p>
      <w:pPr>
        <w:spacing w:after="0" w:line="1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summarizes the fair value of the liability classified warrants at December 31, 2022 and 2021:</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0"/>
        </w:trPr>
        <w:tc>
          <w:tcPr>
            <w:tcW w:w="4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11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7"/>
                <w:szCs w:val="17"/>
                <w:color w:val="auto"/>
              </w:rPr>
            </w:pP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Warrant Liability</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Strike Price</w:t>
            </w:r>
          </w:p>
        </w:tc>
        <w:tc>
          <w:tcPr>
            <w:tcW w:w="200" w:type="dxa"/>
            <w:vAlign w:val="bottom"/>
          </w:tcPr>
          <w:p>
            <w:pPr>
              <w:spacing w:after="0"/>
              <w:rPr>
                <w:sz w:val="19"/>
                <w:szCs w:val="19"/>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240" w:type="dxa"/>
            <w:vAlign w:val="bottom"/>
          </w:tcPr>
          <w:p>
            <w:pPr>
              <w:spacing w:after="0"/>
              <w:rPr>
                <w:sz w:val="19"/>
                <w:szCs w:val="19"/>
                <w:color w:val="auto"/>
              </w:rPr>
            </w:pP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20"/>
        </w:trPr>
        <w:tc>
          <w:tcPr>
            <w:tcW w:w="4160" w:type="dxa"/>
            <w:vAlign w:val="bottom"/>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34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Bridge Financing Warrants Issued April 2019</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C$22.90</w:t>
            </w: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0"/>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Private Placement Financing Warrants Issued May 2019</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C$19.39</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1,606,533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18,527</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(15,402 )</w:t>
            </w:r>
          </w:p>
        </w:tc>
      </w:tr>
      <w:tr>
        <w:trPr>
          <w:trHeight w:val="239"/>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Modification Warrants Issued November 2019</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C$12.04</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316,947</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1,139</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4,603</w:t>
            </w:r>
          </w:p>
        </w:tc>
        <w:tc>
          <w:tcPr>
            <w:tcW w:w="3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(3,464 )</w:t>
            </w: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Modification Warrants Issued May 2020</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C$14.03</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73,728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(815 )</w:t>
            </w:r>
          </w:p>
        </w:tc>
      </w:tr>
      <w:tr>
        <w:trPr>
          <w:trHeight w:val="263"/>
        </w:trPr>
        <w:tc>
          <w:tcPr>
            <w:tcW w:w="4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Totals</w:t>
            </w:r>
          </w:p>
        </w:tc>
        <w:tc>
          <w:tcPr>
            <w:tcW w:w="1460" w:type="dxa"/>
            <w:vAlign w:val="bottom"/>
            <w:tcBorders>
              <w:top w:val="single" w:sz="8" w:color="auto"/>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1,997,208</w:t>
            </w:r>
          </w:p>
        </w:tc>
        <w:tc>
          <w:tcPr>
            <w:tcW w:w="1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4,520</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24,877</w:t>
            </w:r>
          </w:p>
        </w:tc>
        <w:tc>
          <w:tcPr>
            <w:tcW w:w="3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(20,357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-25400</wp:posOffset>
            </wp:positionV>
            <wp:extent cx="7747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-8255</wp:posOffset>
            </wp:positionV>
            <wp:extent cx="7747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-25400</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-8255</wp:posOffset>
            </wp:positionV>
            <wp:extent cx="685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-25400</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-8255</wp:posOffset>
            </wp:positionV>
            <wp:extent cx="685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2022, 2021 and 2020, the Company recorded gains of $20,357 thousand and $14,577 thousand, and losses of $23,002 thousand respectively, on the change in the fair value of the warrant liability within other income (expense) on the consolidated statements of operations.</w:t>
      </w:r>
    </w:p>
    <w:p>
      <w:pPr>
        <w:spacing w:after="0" w:line="176"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 xml:space="preserve">The following table summarizes the significant assumptions used in determining the fair value of the warrant liability as of each reporting date (see Note 15 </w:t>
      </w:r>
      <w:r>
        <w:rPr>
          <w:rFonts w:ascii="Times New Roman" w:cs="Times New Roman" w:eastAsia="Times New Roman" w:hAnsi="Times New Roman"/>
          <w:sz w:val="21"/>
          <w:szCs w:val="21"/>
          <w:color w:val="auto"/>
        </w:rPr>
        <w:t>—</w:t>
      </w:r>
      <w:r>
        <w:rPr>
          <w:rFonts w:ascii="Times New Roman" w:cs="Times New Roman" w:eastAsia="Times New Roman" w:hAnsi="Times New Roman"/>
          <w:sz w:val="17"/>
          <w:szCs w:val="17"/>
          <w:color w:val="auto"/>
        </w:rPr>
        <w:t>Fair Value Measurements for additional details):</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212"/>
        </w:trPr>
        <w:tc>
          <w:tcPr>
            <w:tcW w:w="6200" w:type="dxa"/>
            <w:vAlign w:val="bottom"/>
          </w:tcPr>
          <w:p>
            <w:pPr>
              <w:spacing w:after="0"/>
              <w:rPr>
                <w:sz w:val="18"/>
                <w:szCs w:val="18"/>
                <w:color w:val="auto"/>
              </w:rPr>
            </w:pPr>
          </w:p>
        </w:tc>
        <w:tc>
          <w:tcPr>
            <w:tcW w:w="23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8"/>
                <w:szCs w:val="18"/>
                <w:color w:val="auto"/>
              </w:rPr>
            </w:pPr>
          </w:p>
        </w:tc>
        <w:tc>
          <w:tcPr>
            <w:tcW w:w="23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6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Significant Assumptions</w:t>
            </w:r>
          </w:p>
        </w:tc>
        <w:tc>
          <w:tcPr>
            <w:tcW w:w="23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4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Volatility</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70.44%</w:t>
            </w:r>
          </w:p>
        </w:tc>
        <w:tc>
          <w:tcPr>
            <w:tcW w:w="12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- 78.21%</w:t>
            </w:r>
          </w:p>
        </w:tc>
        <w:tc>
          <w:tcPr>
            <w:tcW w:w="100" w:type="dxa"/>
            <w:vAlign w:val="bottom"/>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59.95%</w:t>
            </w:r>
          </w:p>
        </w:tc>
        <w:tc>
          <w:tcPr>
            <w:tcW w:w="12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- 74.04%</w:t>
            </w:r>
          </w:p>
        </w:tc>
      </w:tr>
      <w:tr>
        <w:trPr>
          <w:trHeight w:val="22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Remaining Term</w:t>
            </w:r>
          </w:p>
        </w:tc>
        <w:tc>
          <w:tcPr>
            <w:tcW w:w="23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1.39 - 2.39 years</w:t>
            </w:r>
          </w:p>
        </w:tc>
        <w:tc>
          <w:tcPr>
            <w:tcW w:w="100" w:type="dxa"/>
            <w:vAlign w:val="bottom"/>
          </w:tcPr>
          <w:p>
            <w:pPr>
              <w:spacing w:after="0"/>
              <w:rPr>
                <w:sz w:val="19"/>
                <w:szCs w:val="19"/>
                <w:color w:val="auto"/>
              </w:rPr>
            </w:pPr>
          </w:p>
        </w:tc>
        <w:tc>
          <w:tcPr>
            <w:tcW w:w="23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0.78 - 3.39 years</w:t>
            </w:r>
          </w:p>
        </w:tc>
      </w:tr>
      <w:tr>
        <w:trPr>
          <w:trHeight w:val="239"/>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Risk Free Rate</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- 4.07%</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0.91%</w:t>
            </w:r>
          </w:p>
        </w:tc>
        <w:tc>
          <w:tcPr>
            <w:tcW w:w="1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- 1.06%</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8" w:name="page109"/>
    <w:bookmarkEnd w:id="10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43" w:lineRule="exact"/>
        <w:rPr>
          <w:sz w:val="20"/>
          <w:szCs w:val="20"/>
          <w:color w:val="auto"/>
        </w:rPr>
      </w:pPr>
    </w:p>
    <w:p>
      <w:pPr>
        <w:ind w:left="540" w:hanging="532"/>
        <w:spacing w:after="0"/>
        <w:tabs>
          <w:tab w:leader="none" w:pos="54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WARRANTS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3" w:lineRule="exact"/>
        <w:rPr>
          <w:sz w:val="20"/>
          <w:szCs w:val="20"/>
          <w:color w:val="auto"/>
        </w:rPr>
      </w:pPr>
    </w:p>
    <w:p>
      <w:pPr>
        <w:ind w:left="1060" w:hanging="543"/>
        <w:spacing w:after="0"/>
        <w:tabs>
          <w:tab w:leader="none" w:pos="106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Classified Warrants Outstanding</w:t>
      </w:r>
    </w:p>
    <w:p>
      <w:pPr>
        <w:spacing w:after="0" w:line="121" w:lineRule="exact"/>
        <w:rPr>
          <w:sz w:val="20"/>
          <w:szCs w:val="20"/>
          <w:color w:val="auto"/>
        </w:rPr>
      </w:pPr>
    </w:p>
    <w:p>
      <w:pPr>
        <w:jc w:val="both"/>
        <w:ind w:left="520" w:right="160" w:firstLine="509"/>
        <w:spacing w:after="0" w:line="266" w:lineRule="auto"/>
        <w:rPr>
          <w:sz w:val="20"/>
          <w:szCs w:val="20"/>
          <w:color w:val="auto"/>
        </w:rPr>
      </w:pPr>
      <w:r>
        <w:rPr>
          <w:rFonts w:ascii="Times New Roman" w:cs="Times New Roman" w:eastAsia="Times New Roman" w:hAnsi="Times New Roman"/>
          <w:sz w:val="18"/>
          <w:szCs w:val="18"/>
          <w:color w:val="auto"/>
        </w:rPr>
        <w:t>The Company's equity classified warrants were recorded at fair value at each respective date of issuance. Equity classified warrants are not remeasured at fair value on a recurring basis and are carried at their issuance date fair value. The following table summarizes the carrying amounts of the Company's equity classified warrants at December 31, 2022 and 2021: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Issuance Date Fair Value</w:t>
            </w:r>
          </w:p>
        </w:tc>
        <w:tc>
          <w:tcPr>
            <w:tcW w:w="100" w:type="dxa"/>
            <w:vAlign w:val="bottom"/>
          </w:tcPr>
          <w:p>
            <w:pPr>
              <w:spacing w:after="0"/>
              <w:rPr>
                <w:sz w:val="19"/>
                <w:szCs w:val="19"/>
                <w:color w:val="auto"/>
              </w:rPr>
            </w:pPr>
          </w:p>
        </w:tc>
      </w:tr>
      <w:tr>
        <w:trPr>
          <w:trHeight w:val="212"/>
        </w:trPr>
        <w:tc>
          <w:tcPr>
            <w:tcW w:w="5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140" w:type="dxa"/>
            <w:vAlign w:val="bottom"/>
          </w:tcPr>
          <w:p>
            <w:pPr>
              <w:spacing w:after="0"/>
              <w:rPr>
                <w:sz w:val="18"/>
                <w:szCs w:val="18"/>
                <w:color w:val="auto"/>
              </w:rPr>
            </w:pPr>
          </w:p>
        </w:tc>
        <w:tc>
          <w:tcPr>
            <w:tcW w:w="11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8"/>
                <w:szCs w:val="18"/>
                <w:color w:val="auto"/>
              </w:rPr>
            </w:pPr>
          </w:p>
        </w:tc>
      </w:tr>
      <w:tr>
        <w:trPr>
          <w:trHeight w:val="244"/>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Warrants Included in Contributed Surplus</w:t>
            </w:r>
          </w:p>
        </w:tc>
        <w:tc>
          <w:tcPr>
            <w:tcW w:w="160" w:type="dxa"/>
            <w:vAlign w:val="bottom"/>
          </w:tcPr>
          <w:p>
            <w:pPr>
              <w:spacing w:after="0"/>
              <w:rPr>
                <w:sz w:val="21"/>
                <w:szCs w:val="21"/>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Strike Price</w:t>
            </w:r>
          </w:p>
        </w:tc>
        <w:tc>
          <w:tcPr>
            <w:tcW w:w="240" w:type="dxa"/>
            <w:vAlign w:val="bottom"/>
          </w:tcPr>
          <w:p>
            <w:pPr>
              <w:spacing w:after="0"/>
              <w:rPr>
                <w:sz w:val="21"/>
                <w:szCs w:val="21"/>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40" w:type="dxa"/>
            <w:vAlign w:val="bottom"/>
          </w:tcPr>
          <w:p>
            <w:pPr>
              <w:spacing w:after="0"/>
              <w:rPr>
                <w:sz w:val="21"/>
                <w:szCs w:val="21"/>
                <w:color w:val="auto"/>
              </w:rPr>
            </w:pPr>
          </w:p>
        </w:tc>
        <w:tc>
          <w:tcPr>
            <w:tcW w:w="112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1"/>
                <w:szCs w:val="21"/>
                <w:color w:val="auto"/>
              </w:rPr>
            </w:pPr>
          </w:p>
        </w:tc>
      </w:tr>
      <w:tr>
        <w:trPr>
          <w:trHeight w:val="219"/>
        </w:trPr>
        <w:tc>
          <w:tcPr>
            <w:tcW w:w="5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(in</w:t>
            </w:r>
          </w:p>
        </w:tc>
        <w:tc>
          <w:tcPr>
            <w:tcW w:w="100" w:type="dxa"/>
            <w:vAlign w:val="bottom"/>
            <w:tcBorders>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00" w:type="dxa"/>
            <w:vAlign w:val="bottom"/>
          </w:tcPr>
          <w:p>
            <w:pPr>
              <w:spacing w:after="0"/>
              <w:rPr>
                <w:sz w:val="19"/>
                <w:szCs w:val="19"/>
                <w:color w:val="auto"/>
              </w:rPr>
            </w:pPr>
          </w:p>
        </w:tc>
      </w:tr>
      <w:tr>
        <w:trPr>
          <w:trHeight w:val="229"/>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Mortgage Warrants Issued June 2020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3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shd w:val="clear" w:color="auto" w:fill="CFF0FC"/>
          </w:tcPr>
          <w:p>
            <w:pPr>
              <w:spacing w:after="0"/>
              <w:rPr>
                <w:sz w:val="19"/>
                <w:szCs w:val="19"/>
                <w:color w:val="auto"/>
              </w:rPr>
            </w:pPr>
          </w:p>
        </w:tc>
      </w:tr>
      <w:tr>
        <w:trPr>
          <w:trHeight w:val="220"/>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Private Placement Refinance Warrants Issued April 2021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32.68</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1,459,044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22,259</w:t>
            </w:r>
          </w:p>
        </w:tc>
        <w:tc>
          <w:tcPr>
            <w:tcW w:w="100" w:type="dxa"/>
            <w:vAlign w:val="bottom"/>
          </w:tcPr>
          <w:p>
            <w:pPr>
              <w:spacing w:after="0"/>
              <w:rPr>
                <w:sz w:val="19"/>
                <w:szCs w:val="19"/>
                <w:color w:val="auto"/>
              </w:rPr>
            </w:pPr>
          </w:p>
        </w:tc>
      </w:tr>
      <w:tr>
        <w:trPr>
          <w:trHeight w:val="236"/>
        </w:trPr>
        <w:tc>
          <w:tcPr>
            <w:tcW w:w="5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Private Placement Refinance Warrants Issued October 2021</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30.02</w:t>
            </w:r>
          </w:p>
        </w:tc>
        <w:tc>
          <w:tcPr>
            <w:tcW w:w="24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243,303</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2,616</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9"/>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Totals</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1,737,347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25,056</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25,056</w:t>
            </w:r>
          </w:p>
        </w:tc>
        <w:tc>
          <w:tcPr>
            <w:tcW w:w="10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-179070</wp:posOffset>
            </wp:positionV>
            <wp:extent cx="68580" cy="17970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-179070</wp:posOffset>
            </wp:positionV>
            <wp:extent cx="68580" cy="17970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7">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7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equity classified warrants were valued as of the date of issuance using a Black Scholes Option Pricing model. The following table summarizes the significant assumptions used in determining the fair value of the equity classified warrants as of each respective issuance date: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00" w:type="dxa"/>
            <w:vAlign w:val="bottom"/>
          </w:tcPr>
          <w:p>
            <w:pPr>
              <w:spacing w:after="0"/>
              <w:rPr>
                <w:sz w:val="17"/>
                <w:szCs w:val="17"/>
                <w:color w:val="auto"/>
              </w:rPr>
            </w:pPr>
          </w:p>
        </w:tc>
        <w:tc>
          <w:tcPr>
            <w:tcW w:w="17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Private Placement</w:t>
            </w: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Private Placement</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Dispensary Mortgage</w:t>
            </w:r>
          </w:p>
        </w:tc>
      </w:tr>
      <w:tr>
        <w:trPr>
          <w:trHeight w:val="226"/>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Significant Assumptions</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Refinancing Warrants</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Refinancing Warrants</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Warrants</w:t>
            </w:r>
          </w:p>
        </w:tc>
      </w:tr>
      <w:tr>
        <w:trPr>
          <w:trHeight w:val="219"/>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Date of Issuance</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October 15, 2021</w:t>
            </w: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30, 2021</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5, 2020</w:t>
            </w:r>
          </w:p>
        </w:tc>
      </w:tr>
      <w:tr>
        <w:trPr>
          <w:trHeight w:val="239"/>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Volatility</w:t>
            </w:r>
          </w:p>
        </w:tc>
        <w:tc>
          <w:tcPr>
            <w:tcW w:w="174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6"/>
                <w:szCs w:val="16"/>
                <w:color w:val="auto"/>
              </w:rPr>
              <w:t>73%</w:t>
            </w:r>
          </w:p>
        </w:tc>
        <w:tc>
          <w:tcPr>
            <w:tcW w:w="172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rPr>
              <w:t>73%</w:t>
            </w:r>
          </w:p>
        </w:tc>
        <w:tc>
          <w:tcPr>
            <w:tcW w:w="158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rPr>
              <w:t>80%</w:t>
            </w:r>
          </w:p>
        </w:tc>
      </w:tr>
      <w:tr>
        <w:trPr>
          <w:trHeight w:val="22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Estimated Term</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 years</w:t>
            </w: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 years</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 years</w:t>
            </w:r>
          </w:p>
        </w:tc>
      </w:tr>
      <w:tr>
        <w:trPr>
          <w:trHeight w:val="239"/>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Risk Free Rate</w:t>
            </w:r>
          </w:p>
        </w:tc>
        <w:tc>
          <w:tcPr>
            <w:tcW w:w="174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1.12%</w:t>
            </w:r>
          </w:p>
        </w:tc>
        <w:tc>
          <w:tcPr>
            <w:tcW w:w="1720" w:type="dxa"/>
            <w:vAlign w:val="bottom"/>
            <w:shd w:val="clear" w:color="auto" w:fill="CFF0FC"/>
          </w:tcPr>
          <w:p>
            <w:pPr>
              <w:jc w:val="right"/>
              <w:ind w:right="539"/>
              <w:spacing w:after="0"/>
              <w:rPr>
                <w:sz w:val="20"/>
                <w:szCs w:val="20"/>
                <w:color w:val="auto"/>
              </w:rPr>
            </w:pPr>
            <w:r>
              <w:rPr>
                <w:rFonts w:ascii="Times New Roman" w:cs="Times New Roman" w:eastAsia="Times New Roman" w:hAnsi="Times New Roman"/>
                <w:sz w:val="16"/>
                <w:szCs w:val="16"/>
                <w:color w:val="auto"/>
              </w:rPr>
              <w:t>0.74%</w:t>
            </w:r>
          </w:p>
        </w:tc>
        <w:tc>
          <w:tcPr>
            <w:tcW w:w="1580" w:type="dxa"/>
            <w:vAlign w:val="bottom"/>
            <w:shd w:val="clear" w:color="auto" w:fill="CFF0FC"/>
          </w:tcPr>
          <w:p>
            <w:pPr>
              <w:jc w:val="right"/>
              <w:ind w:right="499"/>
              <w:spacing w:after="0"/>
              <w:rPr>
                <w:sz w:val="20"/>
                <w:szCs w:val="20"/>
                <w:color w:val="auto"/>
              </w:rPr>
            </w:pPr>
            <w:r>
              <w:rPr>
                <w:rFonts w:ascii="Times New Roman" w:cs="Times New Roman" w:eastAsia="Times New Roman" w:hAnsi="Times New Roman"/>
                <w:sz w:val="16"/>
                <w:szCs w:val="16"/>
                <w:color w:val="auto"/>
              </w:rPr>
              <w:t>0.37%</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9" w:name="page110"/>
    <w:bookmarkEnd w:id="10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43" w:lineRule="exact"/>
        <w:rPr>
          <w:sz w:val="20"/>
          <w:szCs w:val="20"/>
          <w:color w:val="auto"/>
        </w:rPr>
      </w:pPr>
    </w:p>
    <w:p>
      <w:pPr>
        <w:ind w:left="540" w:hanging="532"/>
        <w:spacing w:after="0"/>
        <w:tabs>
          <w:tab w:leader="none" w:pos="54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Common shares, which include the Company’s Subordinate Voting Shares, Multiple Voting Shares and Super Voting Shares, are classified as equity. Incremental costs directly attributable to the issuance of common shares are recognized as a deduction from equity. The proceeds from the exercise of stock options or warrants together with amounts previously recorded in reserves over the applicable vesting periods are recorded as share capital. Income tax relating to transaction costs of an equity transaction is accounted for in accordance with </w:t>
      </w:r>
      <w:r>
        <w:rPr>
          <w:rFonts w:ascii="Times New Roman" w:cs="Times New Roman" w:eastAsia="Times New Roman" w:hAnsi="Times New Roman"/>
          <w:sz w:val="18"/>
          <w:szCs w:val="18"/>
          <w:i w:val="1"/>
          <w:iCs w:val="1"/>
          <w:color w:val="auto"/>
        </w:rPr>
        <w:t>ASC 740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1060" w:hanging="543"/>
        <w:spacing w:after="0"/>
        <w:tabs>
          <w:tab w:leader="none" w:pos="106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Authorized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the following classes of share capital, with each class having no par value:</w:t>
      </w:r>
    </w:p>
    <w:p>
      <w:pPr>
        <w:spacing w:after="0" w:line="113" w:lineRule="exact"/>
        <w:rPr>
          <w:sz w:val="20"/>
          <w:szCs w:val="20"/>
          <w:color w:val="auto"/>
        </w:rPr>
      </w:pPr>
    </w:p>
    <w:p>
      <w:pPr>
        <w:ind w:left="1820" w:hanging="764"/>
        <w:spacing w:after="0"/>
        <w:tabs>
          <w:tab w:leader="none" w:pos="182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Subordinate Voting Shares</w:t>
      </w:r>
    </w:p>
    <w:p>
      <w:pPr>
        <w:spacing w:after="0" w:line="121" w:lineRule="exact"/>
        <w:rPr>
          <w:sz w:val="20"/>
          <w:szCs w:val="20"/>
          <w:color w:val="auto"/>
        </w:rPr>
      </w:pPr>
    </w:p>
    <w:p>
      <w:pPr>
        <w:ind w:left="900" w:right="40"/>
        <w:spacing w:after="0" w:line="281" w:lineRule="auto"/>
        <w:rPr>
          <w:sz w:val="20"/>
          <w:szCs w:val="20"/>
          <w:color w:val="auto"/>
        </w:rPr>
      </w:pPr>
      <w:r>
        <w:rPr>
          <w:rFonts w:ascii="Times New Roman" w:cs="Times New Roman" w:eastAsia="Times New Roman" w:hAnsi="Times New Roman"/>
          <w:sz w:val="17"/>
          <w:szCs w:val="17"/>
          <w:color w:val="auto"/>
        </w:rPr>
        <w:t>The holders of the Subordinate Voting Shares are entitled to receive dividends which may be declared from time to time and are entitled to one vote per share at meetings of the Company’s shareholders. All Subordinate Voting Shares are ranked equally with regard to the Company’s residual assets. The Company is authorized to issue an unlimited number of no par value Subordinate Voting Shares. During the year ended December 31, 2022, the shareholders of the Company converted 33,341 Multiple Voting Shares into 3,334,100 Subordinate Voting Shares.</w:t>
      </w:r>
    </w:p>
    <w:p>
      <w:pPr>
        <w:spacing w:after="0" w:line="52" w:lineRule="exact"/>
        <w:rPr>
          <w:sz w:val="20"/>
          <w:szCs w:val="20"/>
          <w:color w:val="auto"/>
        </w:rPr>
      </w:pPr>
    </w:p>
    <w:p>
      <w:pPr>
        <w:ind w:left="1820" w:hanging="764"/>
        <w:spacing w:after="0"/>
        <w:tabs>
          <w:tab w:leader="none" w:pos="182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Multiple Voting Shares</w:t>
      </w:r>
    </w:p>
    <w:p>
      <w:pPr>
        <w:spacing w:after="0" w:line="121" w:lineRule="exact"/>
        <w:rPr>
          <w:sz w:val="20"/>
          <w:szCs w:val="20"/>
          <w:color w:val="auto"/>
        </w:rPr>
      </w:pPr>
    </w:p>
    <w:p>
      <w:pPr>
        <w:ind w:left="900"/>
        <w:spacing w:after="0" w:line="258" w:lineRule="auto"/>
        <w:rPr>
          <w:sz w:val="20"/>
          <w:szCs w:val="20"/>
          <w:color w:val="auto"/>
        </w:rPr>
      </w:pPr>
      <w:r>
        <w:rPr>
          <w:rFonts w:ascii="Times New Roman" w:cs="Times New Roman" w:eastAsia="Times New Roman" w:hAnsi="Times New Roman"/>
          <w:sz w:val="18"/>
          <w:szCs w:val="18"/>
          <w:color w:val="auto"/>
        </w:rPr>
        <w:t>Each Multiple Voting Share is entitled to 100 votes per share at shareholder meetings of the Company and is exchangeable for 100 Subordinate Voting Shares. At December 31, 2022, the Company had 38,531 issued and outstanding Multiple Voting Shares, which convert into 3,853,100 Subordinate Voting Shares. The Company is authorized to issue an unlimited number of Multiple Voting Shares. During the year ended December 31, 2022, the shareholders of the Company converted 33,341 Super Voting Shares into 33,341 Multiple Voting Shares and 33,341 Multiple Voting Shares into 3,334,100 Subordinate Voting Shares.</w:t>
      </w:r>
    </w:p>
    <w:p>
      <w:pPr>
        <w:spacing w:after="0" w:line="71" w:lineRule="exact"/>
        <w:rPr>
          <w:sz w:val="20"/>
          <w:szCs w:val="20"/>
          <w:color w:val="auto"/>
        </w:rPr>
      </w:pPr>
    </w:p>
    <w:p>
      <w:pPr>
        <w:ind w:left="1820" w:hanging="764"/>
        <w:spacing w:after="0"/>
        <w:tabs>
          <w:tab w:leader="none" w:pos="182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Super Voting Shares</w:t>
      </w:r>
    </w:p>
    <w:p>
      <w:pPr>
        <w:spacing w:after="0" w:line="121" w:lineRule="exact"/>
        <w:rPr>
          <w:sz w:val="20"/>
          <w:szCs w:val="20"/>
          <w:color w:val="auto"/>
        </w:rPr>
      </w:pPr>
    </w:p>
    <w:p>
      <w:pPr>
        <w:ind w:left="900" w:right="140"/>
        <w:spacing w:after="0" w:line="258" w:lineRule="auto"/>
        <w:rPr>
          <w:sz w:val="20"/>
          <w:szCs w:val="20"/>
          <w:color w:val="auto"/>
        </w:rPr>
      </w:pPr>
      <w:r>
        <w:rPr>
          <w:rFonts w:ascii="Times New Roman" w:cs="Times New Roman" w:eastAsia="Times New Roman" w:hAnsi="Times New Roman"/>
          <w:sz w:val="18"/>
          <w:szCs w:val="18"/>
          <w:color w:val="auto"/>
        </w:rPr>
        <w:t>Each Super Voting Share is entitled to 1,000 votes per share at shareholder meetings of the Company and is exchangeable for one Multiple Voting Share, which is then convertible into 100 Subordinate Voting Shares. At December 31, 2022, the Company had 251,690 issued and outstanding Super Voting Shares which convert into 25,169,000 Subordinate Voting Shares. The Company is authorized to issue an unlimited number of Super Voting Shares. During the year ended December 31, 2022, the shareholders of the Company converted 33,341 Super Voting Shares into 33,341 Multiple Voting Shares.</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0" w:name="page111"/>
    <w:bookmarkEnd w:id="1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03" w:lineRule="exact"/>
        <w:rPr>
          <w:sz w:val="20"/>
          <w:szCs w:val="20"/>
          <w:color w:val="auto"/>
        </w:rPr>
      </w:pPr>
    </w:p>
    <w:p>
      <w:pPr>
        <w:ind w:left="540" w:hanging="532"/>
        <w:spacing w:after="0"/>
        <w:tabs>
          <w:tab w:leader="none" w:pos="54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CAPITAL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left="1060" w:hanging="543"/>
        <w:spacing w:after="0"/>
        <w:tabs>
          <w:tab w:leader="none" w:pos="106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Issued and Outstanding</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beginning and ending amounts of the issued and outstanding shares by class is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2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Issued and Outstanding</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131"/>
        </w:trPr>
        <w:tc>
          <w:tcPr>
            <w:tcW w:w="6420" w:type="dxa"/>
            <w:vAlign w:val="bottom"/>
          </w:tcPr>
          <w:p>
            <w:pPr>
              <w:spacing w:after="0"/>
              <w:rPr>
                <w:sz w:val="11"/>
                <w:szCs w:val="11"/>
                <w:color w:val="auto"/>
              </w:rPr>
            </w:pPr>
          </w:p>
        </w:tc>
        <w:tc>
          <w:tcPr>
            <w:tcW w:w="1580" w:type="dxa"/>
            <w:vAlign w:val="bottom"/>
          </w:tcPr>
          <w:p>
            <w:pPr>
              <w:jc w:val="right"/>
              <w:ind w:right="312"/>
              <w:spacing w:after="0" w:line="131" w:lineRule="exact"/>
              <w:rPr>
                <w:sz w:val="20"/>
                <w:szCs w:val="20"/>
                <w:color w:val="auto"/>
              </w:rPr>
            </w:pPr>
            <w:r>
              <w:rPr>
                <w:rFonts w:ascii="Times New Roman" w:cs="Times New Roman" w:eastAsia="Times New Roman" w:hAnsi="Times New Roman"/>
                <w:sz w:val="14"/>
                <w:szCs w:val="14"/>
                <w:b w:val="1"/>
                <w:bCs w:val="1"/>
                <w:color w:val="auto"/>
              </w:rPr>
              <w:t>Subordinate</w:t>
            </w:r>
          </w:p>
        </w:tc>
        <w:tc>
          <w:tcPr>
            <w:tcW w:w="220" w:type="dxa"/>
            <w:vAlign w:val="bottom"/>
          </w:tcPr>
          <w:p>
            <w:pPr>
              <w:spacing w:after="0"/>
              <w:rPr>
                <w:sz w:val="11"/>
                <w:szCs w:val="11"/>
                <w:color w:val="auto"/>
              </w:rPr>
            </w:pPr>
          </w:p>
        </w:tc>
        <w:tc>
          <w:tcPr>
            <w:tcW w:w="1420" w:type="dxa"/>
            <w:vAlign w:val="bottom"/>
          </w:tcPr>
          <w:p>
            <w:pPr>
              <w:jc w:val="right"/>
              <w:ind w:right="372"/>
              <w:spacing w:after="0" w:line="131" w:lineRule="exact"/>
              <w:rPr>
                <w:sz w:val="20"/>
                <w:szCs w:val="20"/>
                <w:color w:val="auto"/>
              </w:rPr>
            </w:pPr>
            <w:r>
              <w:rPr>
                <w:rFonts w:ascii="Times New Roman" w:cs="Times New Roman" w:eastAsia="Times New Roman" w:hAnsi="Times New Roman"/>
                <w:sz w:val="14"/>
                <w:szCs w:val="14"/>
                <w:b w:val="1"/>
                <w:bCs w:val="1"/>
                <w:color w:val="auto"/>
              </w:rPr>
              <w:t>Multiple</w:t>
            </w:r>
          </w:p>
        </w:tc>
        <w:tc>
          <w:tcPr>
            <w:tcW w:w="200" w:type="dxa"/>
            <w:vAlign w:val="bottom"/>
          </w:tcPr>
          <w:p>
            <w:pPr>
              <w:spacing w:after="0"/>
              <w:rPr>
                <w:sz w:val="11"/>
                <w:szCs w:val="11"/>
                <w:color w:val="auto"/>
              </w:rPr>
            </w:pPr>
          </w:p>
        </w:tc>
        <w:tc>
          <w:tcPr>
            <w:tcW w:w="1400" w:type="dxa"/>
            <w:vAlign w:val="bottom"/>
          </w:tcPr>
          <w:p>
            <w:pPr>
              <w:jc w:val="right"/>
              <w:ind w:right="432"/>
              <w:spacing w:after="0" w:line="131" w:lineRule="exact"/>
              <w:rPr>
                <w:sz w:val="20"/>
                <w:szCs w:val="20"/>
                <w:color w:val="auto"/>
              </w:rPr>
            </w:pPr>
            <w:r>
              <w:rPr>
                <w:rFonts w:ascii="Times New Roman" w:cs="Times New Roman" w:eastAsia="Times New Roman" w:hAnsi="Times New Roman"/>
                <w:sz w:val="14"/>
                <w:szCs w:val="14"/>
                <w:b w:val="1"/>
                <w:bCs w:val="1"/>
                <w:color w:val="auto"/>
              </w:rPr>
              <w:t>Super</w:t>
            </w:r>
          </w:p>
        </w:tc>
      </w:tr>
      <w:tr>
        <w:trPr>
          <w:trHeight w:val="149"/>
        </w:trPr>
        <w:tc>
          <w:tcPr>
            <w:tcW w:w="6420" w:type="dxa"/>
            <w:vAlign w:val="bottom"/>
          </w:tcPr>
          <w:p>
            <w:pPr>
              <w:spacing w:after="0"/>
              <w:rPr>
                <w:sz w:val="12"/>
                <w:szCs w:val="12"/>
                <w:color w:val="auto"/>
              </w:rPr>
            </w:pPr>
          </w:p>
        </w:tc>
        <w:tc>
          <w:tcPr>
            <w:tcW w:w="1580" w:type="dxa"/>
            <w:vAlign w:val="bottom"/>
          </w:tcPr>
          <w:p>
            <w:pPr>
              <w:jc w:val="right"/>
              <w:ind w:right="492"/>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c>
          <w:tcPr>
            <w:tcW w:w="220" w:type="dxa"/>
            <w:vAlign w:val="bottom"/>
          </w:tcPr>
          <w:p>
            <w:pPr>
              <w:spacing w:after="0"/>
              <w:rPr>
                <w:sz w:val="12"/>
                <w:szCs w:val="12"/>
                <w:color w:val="auto"/>
              </w:rPr>
            </w:pPr>
          </w:p>
        </w:tc>
        <w:tc>
          <w:tcPr>
            <w:tcW w:w="1420" w:type="dxa"/>
            <w:vAlign w:val="bottom"/>
          </w:tcPr>
          <w:p>
            <w:pPr>
              <w:jc w:val="right"/>
              <w:ind w:right="432"/>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c>
          <w:tcPr>
            <w:tcW w:w="200" w:type="dxa"/>
            <w:vAlign w:val="bottom"/>
          </w:tcPr>
          <w:p>
            <w:pPr>
              <w:spacing w:after="0"/>
              <w:rPr>
                <w:sz w:val="12"/>
                <w:szCs w:val="12"/>
                <w:color w:val="auto"/>
              </w:rPr>
            </w:pPr>
          </w:p>
        </w:tc>
        <w:tc>
          <w:tcPr>
            <w:tcW w:w="1400" w:type="dxa"/>
            <w:vAlign w:val="bottom"/>
          </w:tcPr>
          <w:p>
            <w:pPr>
              <w:jc w:val="right"/>
              <w:ind w:right="412"/>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r>
      <w:tr>
        <w:trPr>
          <w:trHeight w:val="187"/>
        </w:trPr>
        <w:tc>
          <w:tcPr>
            <w:tcW w:w="6420" w:type="dxa"/>
            <w:vAlign w:val="bottom"/>
          </w:tcPr>
          <w:p>
            <w:pPr>
              <w:spacing w:after="0"/>
              <w:rPr>
                <w:sz w:val="16"/>
                <w:szCs w:val="16"/>
                <w:color w:val="auto"/>
              </w:rPr>
            </w:pPr>
          </w:p>
        </w:tc>
        <w:tc>
          <w:tcPr>
            <w:tcW w:w="15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6"/>
                <w:szCs w:val="16"/>
                <w:color w:val="auto"/>
              </w:rPr>
            </w:pPr>
          </w:p>
        </w:tc>
        <w:tc>
          <w:tcPr>
            <w:tcW w:w="14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14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37"/>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 at January 1, 2020</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128,999,964</w:t>
            </w:r>
          </w:p>
        </w:tc>
        <w:tc>
          <w:tcPr>
            <w:tcW w:w="22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373,350</w:t>
            </w:r>
          </w:p>
        </w:tc>
        <w:tc>
          <w:tcPr>
            <w:tcW w:w="20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402,289</w:t>
            </w:r>
          </w:p>
        </w:tc>
      </w:tr>
      <w:tr>
        <w:trPr>
          <w:trHeight w:val="23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shares under business combinations and investments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1,752,065</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Distribution of contingent consideration</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2,713,463</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of deferred shares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1,220,548</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shares upon exercise of options and warrants</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171,813</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of shares upon vesting of RSUs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923,468</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Exchange of shares</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42,331,900</w:t>
            </w:r>
          </w:p>
        </w:tc>
        <w:tc>
          <w:tcPr>
            <w:tcW w:w="22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(333,061)</w:t>
            </w:r>
          </w:p>
        </w:tc>
        <w:tc>
          <w:tcPr>
            <w:tcW w:w="2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(90,258)</w:t>
            </w:r>
          </w:p>
        </w:tc>
      </w:tr>
      <w:tr>
        <w:trPr>
          <w:trHeight w:val="237"/>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at December 31, 2020</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178,113,221</w:t>
            </w:r>
          </w:p>
        </w:tc>
        <w:tc>
          <w:tcPr>
            <w:tcW w:w="220" w:type="dxa"/>
            <w:vAlign w:val="bottom"/>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40,289</w:t>
            </w:r>
          </w:p>
        </w:tc>
        <w:tc>
          <w:tcPr>
            <w:tcW w:w="200" w:type="dxa"/>
            <w:vAlign w:val="bottom"/>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312,031</w:t>
            </w:r>
          </w:p>
        </w:tc>
      </w:tr>
      <w:tr>
        <w:trPr>
          <w:trHeight w:val="20"/>
        </w:trPr>
        <w:tc>
          <w:tcPr>
            <w:tcW w:w="64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3"/>
        </w:trPr>
        <w:tc>
          <w:tcPr>
            <w:tcW w:w="64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40" w:type="dxa"/>
            <w:vAlign w:val="bottom"/>
            <w:gridSpan w:val="2"/>
          </w:tcPr>
          <w:p>
            <w:pPr>
              <w:spacing w:after="0"/>
              <w:rPr>
                <w:sz w:val="19"/>
                <w:szCs w:val="19"/>
                <w:color w:val="auto"/>
              </w:rPr>
            </w:pPr>
          </w:p>
        </w:tc>
        <w:tc>
          <w:tcPr>
            <w:tcW w:w="1600" w:type="dxa"/>
            <w:vAlign w:val="bottom"/>
            <w:gridSpan w:val="2"/>
          </w:tcPr>
          <w:p>
            <w:pPr>
              <w:spacing w:after="0"/>
              <w:rPr>
                <w:sz w:val="19"/>
                <w:szCs w:val="19"/>
                <w:color w:val="auto"/>
              </w:rPr>
            </w:pPr>
          </w:p>
        </w:tc>
      </w:tr>
      <w:tr>
        <w:trPr>
          <w:trHeight w:val="243"/>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 at January 1, 2021</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178,113,221</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40,289</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312,031</w:t>
            </w:r>
          </w:p>
        </w:tc>
      </w:tr>
      <w:tr>
        <w:trPr>
          <w:trHeight w:val="23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shares under business combinations and investments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12,904,675</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Distribution of contingent consideration</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881,357</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of deferred shares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222,467</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shares pursuant to S-1</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4,693,991</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shares for redemption of noncontrolling interests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136,075</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shares upon exercise of options and warrants</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1,302,682</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of shares upon vesting of RSUs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389,530</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issued in association with notes payable</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8,514</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for settlement of business dispute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Exchange of shares</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2,875,800</w:t>
            </w:r>
          </w:p>
        </w:tc>
        <w:tc>
          <w:tcPr>
            <w:tcW w:w="22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2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(27,000)</w:t>
            </w:r>
          </w:p>
        </w:tc>
      </w:tr>
      <w:tr>
        <w:trPr>
          <w:trHeight w:val="237"/>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at December 31, 2021</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201,768,312</w:t>
            </w:r>
          </w:p>
        </w:tc>
        <w:tc>
          <w:tcPr>
            <w:tcW w:w="220" w:type="dxa"/>
            <w:vAlign w:val="bottom"/>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38,531</w:t>
            </w:r>
          </w:p>
        </w:tc>
        <w:tc>
          <w:tcPr>
            <w:tcW w:w="200" w:type="dxa"/>
            <w:vAlign w:val="bottom"/>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285,031</w:t>
            </w:r>
          </w:p>
        </w:tc>
      </w:tr>
      <w:tr>
        <w:trPr>
          <w:trHeight w:val="20"/>
        </w:trPr>
        <w:tc>
          <w:tcPr>
            <w:tcW w:w="64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3"/>
        </w:trPr>
        <w:tc>
          <w:tcPr>
            <w:tcW w:w="64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40" w:type="dxa"/>
            <w:vAlign w:val="bottom"/>
            <w:gridSpan w:val="2"/>
          </w:tcPr>
          <w:p>
            <w:pPr>
              <w:spacing w:after="0"/>
              <w:rPr>
                <w:sz w:val="19"/>
                <w:szCs w:val="19"/>
                <w:color w:val="auto"/>
              </w:rPr>
            </w:pPr>
          </w:p>
        </w:tc>
        <w:tc>
          <w:tcPr>
            <w:tcW w:w="1600" w:type="dxa"/>
            <w:vAlign w:val="bottom"/>
            <w:gridSpan w:val="2"/>
          </w:tcPr>
          <w:p>
            <w:pPr>
              <w:spacing w:after="0"/>
              <w:rPr>
                <w:sz w:val="19"/>
                <w:szCs w:val="19"/>
                <w:color w:val="auto"/>
              </w:rPr>
            </w:pPr>
          </w:p>
        </w:tc>
      </w:tr>
      <w:tr>
        <w:trPr>
          <w:trHeight w:val="243"/>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 at January 1, 2022</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201,768,312</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38,531</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285,031</w:t>
            </w:r>
          </w:p>
        </w:tc>
      </w:tr>
      <w:tr>
        <w:trPr>
          <w:trHeight w:val="23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shares under business combinations and investments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204,036</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Distribution of contingent consideration</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667,080</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shares upon exercise of options and warrants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441,454</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Issuances of shares upon vesting of RSUs</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433,341</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for settlement of business obligation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142,952</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Exchange of shares</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3,334,100</w:t>
            </w:r>
          </w:p>
        </w:tc>
        <w:tc>
          <w:tcPr>
            <w:tcW w:w="22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(33,341)</w:t>
            </w:r>
          </w:p>
        </w:tc>
      </w:tr>
      <w:tr>
        <w:trPr>
          <w:trHeight w:val="237"/>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at December 31, 2022</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206,991,275</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38,531</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251,690</w:t>
            </w:r>
          </w:p>
        </w:tc>
      </w:tr>
      <w:tr>
        <w:trPr>
          <w:trHeight w:val="20"/>
        </w:trPr>
        <w:tc>
          <w:tcPr>
            <w:tcW w:w="64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-3651250</wp:posOffset>
            </wp:positionV>
            <wp:extent cx="137160" cy="3429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2">
                      <a:extLst>
                        <a:ext uri="{28A0092B-C50C-407E-A947-70E740481C1C}"/>
                      </a:extLst>
                    </a:blip>
                    <a:srcRect/>
                    <a:stretch>
                      <a:fillRect/>
                    </a:stretch>
                  </pic:blipFill>
                  <pic:spPr bwMode="auto">
                    <a:xfrm>
                      <a:off x="0" y="0"/>
                      <a:ext cx="137160" cy="34290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-3651250</wp:posOffset>
            </wp:positionV>
            <wp:extent cx="128905" cy="3429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3">
                      <a:extLst>
                        <a:ext uri="{28A0092B-C50C-407E-A947-70E740481C1C}"/>
                      </a:extLst>
                    </a:blip>
                    <a:srcRect/>
                    <a:stretch>
                      <a:fillRect/>
                    </a:stretch>
                  </pic:blipFill>
                  <pic:spPr bwMode="auto">
                    <a:xfrm>
                      <a:off x="0" y="0"/>
                      <a:ext cx="128905" cy="34290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-1610995</wp:posOffset>
            </wp:positionV>
            <wp:extent cx="137160" cy="3429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4">
                      <a:extLst>
                        <a:ext uri="{28A0092B-C50C-407E-A947-70E740481C1C}"/>
                      </a:extLst>
                    </a:blip>
                    <a:srcRect/>
                    <a:stretch>
                      <a:fillRect/>
                    </a:stretch>
                  </pic:blipFill>
                  <pic:spPr bwMode="auto">
                    <a:xfrm>
                      <a:off x="0" y="0"/>
                      <a:ext cx="137160" cy="34290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-1610995</wp:posOffset>
            </wp:positionV>
            <wp:extent cx="128905" cy="3429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5">
                      <a:extLst>
                        <a:ext uri="{28A0092B-C50C-407E-A947-70E740481C1C}"/>
                      </a:extLst>
                    </a:blip>
                    <a:srcRect/>
                    <a:stretch>
                      <a:fillRect/>
                    </a:stretch>
                  </pic:blipFill>
                  <pic:spPr bwMode="auto">
                    <a:xfrm>
                      <a:off x="0" y="0"/>
                      <a:ext cx="128905" cy="34290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-187960</wp:posOffset>
            </wp:positionV>
            <wp:extent cx="137160" cy="18859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6">
                      <a:extLst>
                        <a:ext uri="{28A0092B-C50C-407E-A947-70E740481C1C}"/>
                      </a:extLst>
                    </a:blip>
                    <a:srcRect/>
                    <a:stretch>
                      <a:fillRect/>
                    </a:stretch>
                  </pic:blipFill>
                  <pic:spPr bwMode="auto">
                    <a:xfrm>
                      <a:off x="0" y="0"/>
                      <a:ext cx="137160" cy="18859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-187960</wp:posOffset>
            </wp:positionV>
            <wp:extent cx="128905" cy="18859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7">
                      <a:extLst>
                        <a:ext uri="{28A0092B-C50C-407E-A947-70E740481C1C}"/>
                      </a:extLst>
                    </a:blip>
                    <a:srcRect/>
                    <a:stretch>
                      <a:fillRect/>
                    </a:stretch>
                  </pic:blipFill>
                  <pic:spPr bwMode="auto">
                    <a:xfrm>
                      <a:off x="0" y="0"/>
                      <a:ext cx="128905" cy="188595"/>
                    </a:xfrm>
                    <a:prstGeom prst="rect">
                      <a:avLst/>
                    </a:prstGeom>
                    <a:noFill/>
                  </pic:spPr>
                </pic:pic>
              </a:graphicData>
            </a:graphic>
          </wp:anchor>
        </w:drawing>
      </w:r>
    </w:p>
    <w:p>
      <w:pPr>
        <w:spacing w:after="0" w:line="282" w:lineRule="exact"/>
        <w:rPr>
          <w:sz w:val="20"/>
          <w:szCs w:val="20"/>
          <w:color w:val="auto"/>
        </w:rPr>
      </w:pPr>
    </w:p>
    <w:p>
      <w:pPr>
        <w:ind w:left="2080" w:hanging="1024"/>
        <w:spacing w:after="0"/>
        <w:tabs>
          <w:tab w:leader="none" w:pos="2080" w:val="left"/>
        </w:tabs>
        <w:numPr>
          <w:ilvl w:val="0"/>
          <w:numId w:val="1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Issuance of Shares Under Business Combinations and Investments</w:t>
      </w:r>
    </w:p>
    <w:p>
      <w:pPr>
        <w:spacing w:after="0" w:line="11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ILDISP, LLC</w:t>
      </w:r>
    </w:p>
    <w:p>
      <w:pPr>
        <w:spacing w:after="0" w:line="119" w:lineRule="exact"/>
        <w:rPr>
          <w:sz w:val="20"/>
          <w:szCs w:val="20"/>
          <w:color w:val="auto"/>
        </w:rPr>
      </w:pPr>
    </w:p>
    <w:p>
      <w:pPr>
        <w:ind w:left="900" w:right="360"/>
        <w:spacing w:after="0" w:line="257" w:lineRule="auto"/>
        <w:rPr>
          <w:sz w:val="20"/>
          <w:szCs w:val="20"/>
          <w:color w:val="auto"/>
        </w:rPr>
      </w:pPr>
      <w:r>
        <w:rPr>
          <w:rFonts w:ascii="Times New Roman" w:cs="Times New Roman" w:eastAsia="Times New Roman" w:hAnsi="Times New Roman"/>
          <w:sz w:val="18"/>
          <w:szCs w:val="18"/>
          <w:color w:val="auto"/>
        </w:rPr>
        <w:t>On March 1, 2022, the Company issued 204,036 Subordinate Voting Shares with a value of approximately $3,785 thousand, based on a 20 consecutive day volume weighted average price (“VWAP</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in connection with the Company's acquisition of the remaining ownership interests in two Illinois-based retail stores. The shares issued resulted in an increase in the Company's share capital and a corresponding increase in the net assets acquired. See Note 5</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Acquisitions for details.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1" w:name="page112"/>
    <w:bookmarkEnd w:id="111"/>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03" w:lineRule="exact"/>
        <w:rPr>
          <w:sz w:val="20"/>
          <w:szCs w:val="20"/>
          <w:color w:val="auto"/>
        </w:rPr>
      </w:pPr>
    </w:p>
    <w:p>
      <w:pPr>
        <w:ind w:left="532" w:hanging="532"/>
        <w:spacing w:after="0"/>
        <w:tabs>
          <w:tab w:leader="none" w:pos="532"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CAPITAL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13232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left="952" w:hanging="443"/>
        <w:spacing w:after="0"/>
        <w:tabs>
          <w:tab w:leader="none" w:pos="952"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Issued and Outstanding </w:t>
      </w:r>
      <w:r>
        <w:rPr>
          <w:rFonts w:ascii="Times New Roman" w:cs="Times New Roman" w:eastAsia="Times New Roman" w:hAnsi="Times New Roman"/>
          <w:sz w:val="18"/>
          <w:szCs w:val="18"/>
          <w:i w:val="1"/>
          <w:iCs w:val="1"/>
          <w:color w:val="auto"/>
        </w:rPr>
        <w:t>(Continued)</w:t>
      </w:r>
    </w:p>
    <w:p>
      <w:pPr>
        <w:spacing w:after="0" w:line="117" w:lineRule="exact"/>
        <w:rPr>
          <w:rFonts w:ascii="Times New Roman" w:cs="Times New Roman" w:eastAsia="Times New Roman" w:hAnsi="Times New Roman"/>
          <w:sz w:val="18"/>
          <w:szCs w:val="18"/>
          <w:b w:val="1"/>
          <w:bCs w:val="1"/>
          <w:color w:val="auto"/>
        </w:rPr>
      </w:pPr>
    </w:p>
    <w:p>
      <w:pPr>
        <w:ind w:left="1312" w:hanging="488"/>
        <w:spacing w:after="0"/>
        <w:tabs>
          <w:tab w:leader="none" w:pos="1312" w:val="left"/>
        </w:tabs>
        <w:numPr>
          <w:ilvl w:val="1"/>
          <w:numId w:val="1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Distribution of Contingent Consideration (Continued)</w:t>
      </w:r>
    </w:p>
    <w:p>
      <w:pPr>
        <w:spacing w:after="0" w:line="119" w:lineRule="exact"/>
        <w:rPr>
          <w:sz w:val="20"/>
          <w:szCs w:val="20"/>
          <w:color w:val="auto"/>
        </w:rPr>
      </w:pPr>
    </w:p>
    <w:p>
      <w:pPr>
        <w:ind w:left="892"/>
        <w:spacing w:after="0"/>
        <w:rPr>
          <w:sz w:val="20"/>
          <w:szCs w:val="20"/>
          <w:color w:val="auto"/>
        </w:rPr>
      </w:pPr>
      <w:r>
        <w:rPr>
          <w:rFonts w:ascii="Times New Roman" w:cs="Times New Roman" w:eastAsia="Times New Roman" w:hAnsi="Times New Roman"/>
          <w:sz w:val="18"/>
          <w:szCs w:val="18"/>
          <w:i w:val="1"/>
          <w:iCs w:val="1"/>
          <w:color w:val="auto"/>
        </w:rPr>
        <w:t>Integral Associates, LLC</w:t>
      </w:r>
    </w:p>
    <w:p>
      <w:pPr>
        <w:spacing w:after="0" w:line="119" w:lineRule="exact"/>
        <w:rPr>
          <w:sz w:val="20"/>
          <w:szCs w:val="20"/>
          <w:color w:val="auto"/>
        </w:rPr>
      </w:pPr>
    </w:p>
    <w:p>
      <w:pPr>
        <w:ind w:left="892"/>
        <w:spacing w:after="0" w:line="256" w:lineRule="auto"/>
        <w:rPr>
          <w:sz w:val="20"/>
          <w:szCs w:val="20"/>
          <w:color w:val="auto"/>
        </w:rPr>
      </w:pPr>
      <w:r>
        <w:rPr>
          <w:rFonts w:ascii="Times New Roman" w:cs="Times New Roman" w:eastAsia="Times New Roman" w:hAnsi="Times New Roman"/>
          <w:sz w:val="18"/>
          <w:szCs w:val="18"/>
          <w:color w:val="auto"/>
        </w:rPr>
        <w:t>In connection with the Company’s 2019 acquisition of Integral Associates, LLC, the purchase agreement included contingent consideration which was dependent upon the awarding of conditional and final dispensary operating licenses. During the year ended December 31, 2021, the Company issued a total of 681,364 Subordinate Voting Shares to the former owners of Integral Associates, LLC in connection with the awarding of two final retail store licenses. The shares had a combined fair value of $17,869 thousand, which was recorded in share capital on the consolidated balance sheet. As of December 31, 2022 and 2021, the carrying value of the equity classified contingent consideration was $9,654 thousand.</w:t>
      </w:r>
    </w:p>
    <w:p>
      <w:pPr>
        <w:spacing w:after="0" w:line="185" w:lineRule="exact"/>
        <w:rPr>
          <w:sz w:val="20"/>
          <w:szCs w:val="20"/>
          <w:color w:val="auto"/>
        </w:rPr>
      </w:pPr>
    </w:p>
    <w:p>
      <w:pPr>
        <w:ind w:left="892"/>
        <w:spacing w:after="0"/>
        <w:rPr>
          <w:sz w:val="20"/>
          <w:szCs w:val="20"/>
          <w:color w:val="auto"/>
        </w:rPr>
      </w:pPr>
      <w:r>
        <w:rPr>
          <w:rFonts w:ascii="Times New Roman" w:cs="Times New Roman" w:eastAsia="Times New Roman" w:hAnsi="Times New Roman"/>
          <w:sz w:val="18"/>
          <w:szCs w:val="18"/>
          <w:i w:val="1"/>
          <w:iCs w:val="1"/>
          <w:color w:val="auto"/>
        </w:rPr>
        <w:t>Dharma Pharmaceuticals, LLC</w:t>
      </w:r>
    </w:p>
    <w:p>
      <w:pPr>
        <w:spacing w:after="0" w:line="227" w:lineRule="exact"/>
        <w:rPr>
          <w:sz w:val="20"/>
          <w:szCs w:val="20"/>
          <w:color w:val="auto"/>
        </w:rPr>
      </w:pPr>
    </w:p>
    <w:p>
      <w:pPr>
        <w:ind w:left="892" w:right="60"/>
        <w:spacing w:after="0" w:line="256" w:lineRule="auto"/>
        <w:rPr>
          <w:sz w:val="20"/>
          <w:szCs w:val="20"/>
          <w:color w:val="auto"/>
        </w:rPr>
      </w:pPr>
      <w:r>
        <w:rPr>
          <w:rFonts w:ascii="Times New Roman" w:cs="Times New Roman" w:eastAsia="Times New Roman" w:hAnsi="Times New Roman"/>
          <w:sz w:val="18"/>
          <w:szCs w:val="18"/>
          <w:color w:val="auto"/>
        </w:rPr>
        <w:t>In connection with the Company's 2021 acquisition of Dharma Pharmaceuticals, LLC (“Dharma”), the purchase agreement included contingent consideration which was dependent upon the successful opening of five retail stores and the legal sale of adult-use cannabis by January 1, 2025. On August 16, 2021, the Company issued 199,993 Subordinate Voting Shares to the former owners of Dharma in connection with the opening of one retail store in Virginia. The shares had a fair value of $5,949 thousand on the date of issuance. On February 25, 2022, the Company issued 667,080 Subordinate Voting Shares to the former owners of Dharma in connection with the successful opening of two Retail stores in Virginia. The shares had a fair value of $13,111 thousand at the date of issuance.</w:t>
      </w:r>
    </w:p>
    <w:p>
      <w:pPr>
        <w:spacing w:after="0" w:line="187" w:lineRule="exact"/>
        <w:rPr>
          <w:sz w:val="20"/>
          <w:szCs w:val="20"/>
          <w:color w:val="auto"/>
        </w:rPr>
      </w:pPr>
    </w:p>
    <w:p>
      <w:pPr>
        <w:ind w:left="892" w:right="60"/>
        <w:spacing w:after="0" w:line="266" w:lineRule="auto"/>
        <w:rPr>
          <w:sz w:val="20"/>
          <w:szCs w:val="20"/>
          <w:color w:val="auto"/>
        </w:rPr>
      </w:pPr>
      <w:r>
        <w:rPr>
          <w:rFonts w:ascii="Times New Roman" w:cs="Times New Roman" w:eastAsia="Times New Roman" w:hAnsi="Times New Roman"/>
          <w:sz w:val="18"/>
          <w:szCs w:val="18"/>
          <w:color w:val="auto"/>
        </w:rPr>
        <w:t>As of December 31, 2022 and 2021, the estimated fair value of the contingent consideration associated with the acquisition of Dharma, which was valued based on a probability weighting of the potential payments, was $41,943 thousand and $48,665 thousand, respectively, of which $11,400 thousand and $20,884 thousand, respectively, was included as a current liability on the Company's consolidated balance sheets.</w:t>
      </w:r>
    </w:p>
    <w:p>
      <w:pPr>
        <w:spacing w:after="0" w:line="172" w:lineRule="exact"/>
        <w:rPr>
          <w:sz w:val="20"/>
          <w:szCs w:val="20"/>
          <w:color w:val="auto"/>
        </w:rPr>
      </w:pPr>
    </w:p>
    <w:p>
      <w:pPr>
        <w:ind w:left="1392" w:hanging="494"/>
        <w:spacing w:after="0"/>
        <w:tabs>
          <w:tab w:leader="none" w:pos="1392" w:val="left"/>
        </w:tabs>
        <w:numPr>
          <w:ilvl w:val="0"/>
          <w:numId w:val="1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Distribution of Deferred Shares</w:t>
      </w:r>
    </w:p>
    <w:p>
      <w:pPr>
        <w:spacing w:after="0" w:line="119" w:lineRule="exact"/>
        <w:rPr>
          <w:sz w:val="20"/>
          <w:szCs w:val="20"/>
          <w:color w:val="auto"/>
        </w:rPr>
      </w:pPr>
    </w:p>
    <w:p>
      <w:pPr>
        <w:ind w:left="892"/>
        <w:spacing w:after="0"/>
        <w:rPr>
          <w:sz w:val="20"/>
          <w:szCs w:val="20"/>
          <w:color w:val="auto"/>
        </w:rPr>
      </w:pPr>
      <w:r>
        <w:rPr>
          <w:rFonts w:ascii="Times New Roman" w:cs="Times New Roman" w:eastAsia="Times New Roman" w:hAnsi="Times New Roman"/>
          <w:sz w:val="18"/>
          <w:szCs w:val="18"/>
          <w:i w:val="1"/>
          <w:iCs w:val="1"/>
          <w:color w:val="auto"/>
        </w:rPr>
        <w:t>For Success Holding Company</w:t>
      </w:r>
    </w:p>
    <w:p>
      <w:pPr>
        <w:spacing w:after="0" w:line="119" w:lineRule="exact"/>
        <w:rPr>
          <w:sz w:val="20"/>
          <w:szCs w:val="20"/>
          <w:color w:val="auto"/>
        </w:rPr>
      </w:pPr>
    </w:p>
    <w:p>
      <w:pPr>
        <w:ind w:left="892"/>
        <w:spacing w:after="0" w:line="258" w:lineRule="auto"/>
        <w:rPr>
          <w:sz w:val="20"/>
          <w:szCs w:val="20"/>
          <w:color w:val="auto"/>
        </w:rPr>
      </w:pPr>
      <w:r>
        <w:rPr>
          <w:rFonts w:ascii="Times New Roman" w:cs="Times New Roman" w:eastAsia="Times New Roman" w:hAnsi="Times New Roman"/>
          <w:sz w:val="18"/>
          <w:szCs w:val="18"/>
          <w:color w:val="auto"/>
        </w:rPr>
        <w:t>As part of the consideration exchanged in the Company’s 2019 acquisition of For Success Holding Company, deferred shares were held back for a period of twenty-four months from the close of the transaction. On February 22, 2021, the Company issued 146,315 Subordinate Voting Shares with a value of $1,826 thousand in connection with the Company’s 2019 acquisition of For Success Holding Company. The issuance of the deferred shares represented the final payout to the former owners of For Success Holding Company and resulted in the cancellation of 780 shares representing certain reimbursable costs incurred by the Company.</w:t>
      </w:r>
    </w:p>
    <w:p>
      <w:pPr>
        <w:spacing w:after="0" w:line="71" w:lineRule="exact"/>
        <w:rPr>
          <w:sz w:val="20"/>
          <w:szCs w:val="20"/>
          <w:color w:val="auto"/>
        </w:rPr>
      </w:pPr>
    </w:p>
    <w:p>
      <w:pPr>
        <w:ind w:left="1392" w:hanging="494"/>
        <w:spacing w:after="0"/>
        <w:tabs>
          <w:tab w:leader="none" w:pos="1392"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Issuance of Registered Shares Pursuant to S-1</w:t>
      </w:r>
    </w:p>
    <w:p>
      <w:pPr>
        <w:spacing w:after="0" w:line="121" w:lineRule="exact"/>
        <w:rPr>
          <w:sz w:val="20"/>
          <w:szCs w:val="20"/>
          <w:color w:val="auto"/>
        </w:rPr>
      </w:pPr>
    </w:p>
    <w:p>
      <w:pPr>
        <w:ind w:left="892" w:right="20"/>
        <w:spacing w:after="0" w:line="254" w:lineRule="auto"/>
        <w:rPr>
          <w:sz w:val="20"/>
          <w:szCs w:val="20"/>
          <w:color w:val="auto"/>
        </w:rPr>
      </w:pPr>
      <w:r>
        <w:rPr>
          <w:rFonts w:ascii="Times New Roman" w:cs="Times New Roman" w:eastAsia="Times New Roman" w:hAnsi="Times New Roman"/>
          <w:sz w:val="18"/>
          <w:szCs w:val="18"/>
          <w:color w:val="auto"/>
        </w:rPr>
        <w:t>On February 8, 2021, the SEC declared effective the Company’s Registration Statement No. 333-248213 on Form S-1 filed on February 2, 2021. Shortly thereafter, the Company received an offer from a single institutional investor to purchase 3,122,074 of the Subordinate Voting Shares registered on the Form S-1 at a price of $32.03 per share for a total of $100,000 thousand. The transaction closed on February 9, 2021. On February 23, 2021, the Company accepted additional offers to purchase a total of 1,571,917 Subordinate Voting Shares at a price of $35.50 per share, for a total of $55,803 thousand. The Company used the net proceeds from the sale of registered securities for general corporate purposes, which include capital expenditures, working capital and general and administrative expenses. The Company also used a portion of the net proceeds to acquire or invest in businesses and products that are complimentary to the Company’s own businesses and products. Additionally, the Company incurred legal, audit and other professional fees of $305 thousand associated the issuance of the registered shares. Such fees have been recorded within contributed surplus (deficit) within the Company’s consolidated balance sheet.</w:t>
      </w:r>
    </w:p>
    <w:p>
      <w:pPr>
        <w:spacing w:after="0" w:line="200" w:lineRule="exact"/>
        <w:rPr>
          <w:sz w:val="20"/>
          <w:szCs w:val="20"/>
          <w:color w:val="auto"/>
        </w:rPr>
      </w:pPr>
    </w:p>
    <w:p>
      <w:pPr>
        <w:spacing w:after="0" w:line="312"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117" w:right="399" w:bottom="1440" w:gutter="0" w:footer="0" w:header="0"/>
        </w:sectPr>
      </w:pPr>
    </w:p>
    <w:bookmarkStart w:id="112" w:name="page113"/>
    <w:bookmarkEnd w:id="11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03" w:lineRule="exact"/>
        <w:rPr>
          <w:sz w:val="20"/>
          <w:szCs w:val="20"/>
          <w:color w:val="auto"/>
        </w:rPr>
      </w:pPr>
    </w:p>
    <w:p>
      <w:pPr>
        <w:ind w:left="540" w:hanging="532"/>
        <w:spacing w:after="0"/>
        <w:tabs>
          <w:tab w:leader="none" w:pos="54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CAPITAL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left="980" w:hanging="463"/>
        <w:spacing w:after="0"/>
        <w:tabs>
          <w:tab w:leader="none" w:pos="98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left="520" w:right="160"/>
        <w:spacing w:after="0" w:line="256" w:lineRule="auto"/>
        <w:rPr>
          <w:sz w:val="20"/>
          <w:szCs w:val="20"/>
          <w:color w:val="auto"/>
        </w:rPr>
      </w:pPr>
      <w:r>
        <w:rPr>
          <w:rFonts w:ascii="Times New Roman" w:cs="Times New Roman" w:eastAsia="Times New Roman" w:hAnsi="Times New Roman"/>
          <w:sz w:val="18"/>
          <w:szCs w:val="18"/>
          <w:color w:val="auto"/>
        </w:rPr>
        <w:t>The Company operates equity settled stock-based remuneration plans for its eligible directors, officers, employees and consultants. All goods and services received in exchange for the grant of any stock-based payments are measured at their fair value unless the fair value cannot be estimated reliably. If the Company cannot estimate reliably the fair value of the goods and services received, the Company measures their value indirectly by reference to the fair value of the equity instruments granted. For transactions with employees and others providing similar services, the Company measures the fair value of the services by reference to the fair value of the equity instruments granted. Equity settled stock-based payments under stock-based payment plans are ultimately recognized as an expense in profit or loss with a corresponding credit to equity.</w:t>
      </w:r>
    </w:p>
    <w:p>
      <w:pPr>
        <w:spacing w:after="0" w:line="79" w:lineRule="exact"/>
        <w:rPr>
          <w:sz w:val="20"/>
          <w:szCs w:val="20"/>
          <w:color w:val="auto"/>
        </w:rPr>
      </w:pPr>
    </w:p>
    <w:p>
      <w:pPr>
        <w:jc w:val="both"/>
        <w:ind w:left="520" w:right="100"/>
        <w:spacing w:after="0" w:line="266" w:lineRule="auto"/>
        <w:rPr>
          <w:sz w:val="20"/>
          <w:szCs w:val="20"/>
          <w:color w:val="auto"/>
        </w:rPr>
      </w:pPr>
      <w:r>
        <w:rPr>
          <w:rFonts w:ascii="Times New Roman" w:cs="Times New Roman" w:eastAsia="Times New Roman" w:hAnsi="Times New Roman"/>
          <w:sz w:val="18"/>
          <w:szCs w:val="18"/>
          <w:color w:val="auto"/>
        </w:rPr>
        <w:t>In June 2018, the Company established the Green Thumb Industries Inc. 2018 Stock and Incentive Plan, which was amended by Amendment No. 1 thereto (as amended, the “Plan”). The maximum number of RSUs and options issued under the Plan shall not exceed 10% of the Company's issued and outstanding shares on an as-converted basis.</w:t>
      </w:r>
    </w:p>
    <w:p>
      <w:pPr>
        <w:spacing w:after="0" w:line="68" w:lineRule="exact"/>
        <w:rPr>
          <w:sz w:val="20"/>
          <w:szCs w:val="20"/>
          <w:color w:val="auto"/>
        </w:rPr>
      </w:pPr>
    </w:p>
    <w:p>
      <w:pPr>
        <w:ind w:left="520" w:right="120"/>
        <w:spacing w:after="0" w:line="261" w:lineRule="auto"/>
        <w:rPr>
          <w:sz w:val="20"/>
          <w:szCs w:val="20"/>
          <w:color w:val="auto"/>
        </w:rPr>
      </w:pPr>
      <w:r>
        <w:rPr>
          <w:rFonts w:ascii="Times New Roman" w:cs="Times New Roman" w:eastAsia="Times New Roman" w:hAnsi="Times New Roman"/>
          <w:sz w:val="18"/>
          <w:szCs w:val="18"/>
          <w:color w:val="auto"/>
        </w:rPr>
        <w:t>The Company recognizes compensation expense for RSUs and options on a straight-line basis over the requisite service period of the award. Non-market vesting conditions are included in the assumptions about the number of options that are expected to become exercisable. Estimates are subsequently revised if there is any indication that the number of share options expected to vest differs from the previous estimate. Any cumulative adjustment prior to vesting is recognized in the current period with no adjustment to prior periods for expense previously recognized.</w:t>
      </w:r>
    </w:p>
    <w:p>
      <w:pPr>
        <w:spacing w:after="0" w:line="72" w:lineRule="exact"/>
        <w:rPr>
          <w:sz w:val="20"/>
          <w:szCs w:val="20"/>
          <w:color w:val="auto"/>
        </w:rPr>
      </w:pPr>
    </w:p>
    <w:p>
      <w:pPr>
        <w:ind w:left="520" w:right="100"/>
        <w:spacing w:after="0" w:line="266" w:lineRule="auto"/>
        <w:rPr>
          <w:sz w:val="20"/>
          <w:szCs w:val="20"/>
          <w:color w:val="auto"/>
        </w:rPr>
      </w:pPr>
      <w:r>
        <w:rPr>
          <w:rFonts w:ascii="Times New Roman" w:cs="Times New Roman" w:eastAsia="Times New Roman" w:hAnsi="Times New Roman"/>
          <w:sz w:val="18"/>
          <w:szCs w:val="18"/>
          <w:color w:val="auto"/>
        </w:rPr>
        <w:t>Option and RSU grants generally vest over three years, and options typically have a life of five to ten years. Option grants are determined by the Compensation Committee of the Company’s Board of Directors with the option price set at no less than 100% of the fair market value of a share on the date of grant.</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 option activity is summarized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54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4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6"/>
        </w:trPr>
        <w:tc>
          <w:tcPr>
            <w:tcW w:w="540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15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00" w:type="dxa"/>
            <w:vAlign w:val="bottom"/>
          </w:tcPr>
          <w:p>
            <w:pPr>
              <w:jc w:val="right"/>
              <w:ind w:right="214"/>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Life</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44"/>
        </w:trPr>
        <w:tc>
          <w:tcPr>
            <w:tcW w:w="54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540" w:type="dxa"/>
            <w:vAlign w:val="bottom"/>
            <w:vMerge w:val="continue"/>
          </w:tcPr>
          <w:p>
            <w:pPr>
              <w:spacing w:after="0"/>
              <w:rPr>
                <w:sz w:val="3"/>
                <w:szCs w:val="3"/>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72"/>
        </w:trPr>
        <w:tc>
          <w:tcPr>
            <w:tcW w:w="5400" w:type="dxa"/>
            <w:vAlign w:val="bottom"/>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5,383,275</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$48,803</w:t>
            </w:r>
          </w:p>
        </w:tc>
        <w:tc>
          <w:tcPr>
            <w:tcW w:w="0" w:type="dxa"/>
            <w:vAlign w:val="bottom"/>
          </w:tcPr>
          <w:p>
            <w:pPr>
              <w:spacing w:after="0"/>
              <w:rPr>
                <w:sz w:val="1"/>
                <w:szCs w:val="1"/>
                <w:color w:val="auto"/>
              </w:rPr>
            </w:pPr>
          </w:p>
        </w:tc>
      </w:tr>
      <w:tr>
        <w:trPr>
          <w:trHeight w:val="23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5,434,092</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(441,454)</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5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0" w:type="dxa"/>
            <w:vAlign w:val="bottom"/>
          </w:tcPr>
          <w:p>
            <w:pPr>
              <w:spacing w:after="0"/>
              <w:rPr>
                <w:sz w:val="1"/>
                <w:szCs w:val="1"/>
                <w:color w:val="auto"/>
              </w:rPr>
            </w:pPr>
          </w:p>
        </w:tc>
      </w:tr>
      <w:tr>
        <w:trPr>
          <w:trHeight w:val="23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(797,966)</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5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9,577,947</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$26,961</w:t>
            </w:r>
          </w:p>
        </w:tc>
        <w:tc>
          <w:tcPr>
            <w:tcW w:w="0" w:type="dxa"/>
            <w:vAlign w:val="bottom"/>
          </w:tcPr>
          <w:p>
            <w:pPr>
              <w:spacing w:after="0"/>
              <w:rPr>
                <w:sz w:val="1"/>
                <w:szCs w:val="1"/>
                <w:color w:val="auto"/>
              </w:rPr>
            </w:pPr>
          </w:p>
        </w:tc>
      </w:tr>
      <w:tr>
        <w:trPr>
          <w:trHeight w:val="23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5,618,105</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5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Exercisable of December 31, 2022</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3,364,644</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$7,793</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520" w:right="20"/>
        <w:spacing w:after="0" w:line="258"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pre-tax intrinsic value (the difference between the Company’s closing stock price on December 31, 2022 and 2021, respectively, and the exercise price, multiplied by the number of in-the-money options) that would have been received by the option holders had all option holders exercised their in-the-money options on December 31, 2022 and 2021, respectively. This amount will change in future periods based on the fair market value of the Company’s Subordinate Voting Shares and the number of options outstanding.</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3" w:name="page114"/>
    <w:bookmarkEnd w:id="11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03" w:lineRule="exact"/>
        <w:rPr>
          <w:sz w:val="20"/>
          <w:szCs w:val="20"/>
          <w:color w:val="auto"/>
        </w:rPr>
      </w:pPr>
    </w:p>
    <w:p>
      <w:pPr>
        <w:ind w:left="540" w:hanging="532"/>
        <w:spacing w:after="0"/>
        <w:tabs>
          <w:tab w:leader="none" w:pos="54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CAPITAL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left="1020" w:hanging="479"/>
        <w:spacing w:after="0"/>
        <w:tabs>
          <w:tab w:leader="none" w:pos="102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i w:val="1"/>
          <w:iCs w:val="1"/>
          <w:color w:val="auto"/>
        </w:rPr>
        <w:t>(Continued)</w:t>
      </w:r>
    </w:p>
    <w:p>
      <w:pPr>
        <w:spacing w:after="0" w:line="121" w:lineRule="exact"/>
        <w:rPr>
          <w:sz w:val="20"/>
          <w:szCs w:val="20"/>
          <w:color w:val="auto"/>
        </w:rPr>
      </w:pPr>
    </w:p>
    <w:p>
      <w:pPr>
        <w:ind w:left="520" w:right="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weighted average grant date fair value and intrinsic value of options exercised for the year ended December 31, 2022, 2021 and 2020:</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80" w:type="dxa"/>
            <w:vAlign w:val="bottom"/>
          </w:tcPr>
          <w:p>
            <w:pPr>
              <w:spacing w:after="0"/>
              <w:rPr>
                <w:sz w:val="16"/>
                <w:szCs w:val="16"/>
                <w:color w:val="auto"/>
              </w:rPr>
            </w:pPr>
          </w:p>
        </w:tc>
        <w:tc>
          <w:tcPr>
            <w:tcW w:w="2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80" w:type="dxa"/>
            <w:vAlign w:val="bottom"/>
            <w:tcBorders>
              <w:bottom w:val="single" w:sz="8" w:color="auto"/>
            </w:tcBorders>
          </w:tcPr>
          <w:p>
            <w:pPr>
              <w:spacing w:after="0"/>
              <w:rPr>
                <w:sz w:val="16"/>
                <w:szCs w:val="16"/>
                <w:color w:val="auto"/>
              </w:rPr>
            </w:pPr>
          </w:p>
        </w:tc>
      </w:tr>
      <w:tr>
        <w:trPr>
          <w:trHeight w:val="169"/>
        </w:trPr>
        <w:tc>
          <w:tcPr>
            <w:tcW w:w="7880" w:type="dxa"/>
            <w:vAlign w:val="bottom"/>
          </w:tcPr>
          <w:p>
            <w:pPr>
              <w:spacing w:after="0"/>
              <w:rPr>
                <w:sz w:val="14"/>
                <w:szCs w:val="14"/>
                <w:color w:val="auto"/>
              </w:rPr>
            </w:pPr>
          </w:p>
        </w:tc>
        <w:tc>
          <w:tcPr>
            <w:tcW w:w="13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7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7"/>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 (per share) of stock option units granted</w:t>
            </w:r>
          </w:p>
        </w:tc>
        <w:tc>
          <w:tcPr>
            <w:tcW w:w="1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$5.37</w:t>
            </w:r>
          </w:p>
        </w:tc>
        <w:tc>
          <w:tcPr>
            <w:tcW w:w="126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8"/>
                <w:szCs w:val="18"/>
                <w:color w:val="auto"/>
              </w:rPr>
              <w:t>$14.47</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36"/>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Intrinsic value of stock option units exercised, using market price at vest date </w:t>
            </w:r>
            <w:r>
              <w:rPr>
                <w:rFonts w:ascii="Times New Roman" w:cs="Times New Roman" w:eastAsia="Times New Roman" w:hAnsi="Times New Roman"/>
                <w:sz w:val="18"/>
                <w:szCs w:val="18"/>
                <w:i w:val="1"/>
                <w:iCs w:val="1"/>
                <w:color w:val="auto"/>
              </w:rPr>
              <w:t>(in thousands)</w:t>
            </w:r>
          </w:p>
        </w:tc>
        <w:tc>
          <w:tcPr>
            <w:tcW w:w="132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$2,390</w:t>
            </w:r>
          </w:p>
        </w:tc>
        <w:tc>
          <w:tcPr>
            <w:tcW w:w="126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$18,142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w:t>
            </w:r>
          </w:p>
        </w:tc>
      </w:tr>
    </w:tbl>
    <w:p>
      <w:pPr>
        <w:spacing w:after="0" w:line="231" w:lineRule="exact"/>
        <w:rPr>
          <w:sz w:val="20"/>
          <w:szCs w:val="20"/>
          <w:color w:val="auto"/>
        </w:rPr>
      </w:pPr>
    </w:p>
    <w:p>
      <w:pPr>
        <w:ind w:left="520" w:right="200"/>
        <w:spacing w:after="0" w:line="282" w:lineRule="auto"/>
        <w:rPr>
          <w:sz w:val="20"/>
          <w:szCs w:val="20"/>
          <w:color w:val="auto"/>
        </w:rPr>
      </w:pPr>
      <w:r>
        <w:rPr>
          <w:rFonts w:ascii="Times New Roman" w:cs="Times New Roman" w:eastAsia="Times New Roman" w:hAnsi="Times New Roman"/>
          <w:sz w:val="18"/>
          <w:szCs w:val="18"/>
          <w:color w:val="auto"/>
        </w:rPr>
        <w:t>The Company used the Black-Scholes Option Pricing model to estimate the fair value of the options granted during the years ended December 31, 2022 and 2021, using the following ranges of assumptions: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13"/>
        </w:trPr>
        <w:tc>
          <w:tcPr>
            <w:tcW w:w="6200" w:type="dxa"/>
            <w:vAlign w:val="bottom"/>
          </w:tcPr>
          <w:p>
            <w:pPr>
              <w:spacing w:after="0"/>
              <w:rPr>
                <w:sz w:val="18"/>
                <w:szCs w:val="18"/>
                <w:color w:val="auto"/>
              </w:rPr>
            </w:pPr>
          </w:p>
        </w:tc>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37"/>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1.18% - 3.54%</w:t>
            </w:r>
          </w:p>
        </w:tc>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0.33% - 1.39%</w:t>
            </w:r>
          </w:p>
        </w:tc>
      </w:tr>
      <w:tr>
        <w:trPr>
          <w:trHeight w:val="23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47"/>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60 - 64%</w:t>
            </w:r>
          </w:p>
        </w:tc>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73%</w:t>
            </w:r>
          </w:p>
        </w:tc>
      </w:tr>
      <w:tr>
        <w:trPr>
          <w:trHeight w:val="234"/>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option life</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 – 4.5 years</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 – 3.5 years</w:t>
            </w:r>
          </w:p>
        </w:tc>
      </w:tr>
    </w:tbl>
    <w:p>
      <w:pPr>
        <w:spacing w:after="0" w:line="2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As permitted under </w:t>
      </w:r>
      <w:r>
        <w:rPr>
          <w:rFonts w:ascii="Times New Roman" w:cs="Times New Roman" w:eastAsia="Times New Roman" w:hAnsi="Times New Roman"/>
          <w:sz w:val="18"/>
          <w:szCs w:val="18"/>
          <w:i w:val="1"/>
          <w:iCs w:val="1"/>
          <w:color w:val="auto"/>
        </w:rPr>
        <w:t>ASC 718, Stock Compensation</w:t>
      </w:r>
      <w:r>
        <w:rPr>
          <w:rFonts w:ascii="Times New Roman" w:cs="Times New Roman" w:eastAsia="Times New Roman" w:hAnsi="Times New Roman"/>
          <w:sz w:val="18"/>
          <w:szCs w:val="18"/>
          <w:color w:val="auto"/>
        </w:rPr>
        <w:t>, the Company has made an accounting policy choice to account for forfeitures when they occur.</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number of non-vested RSU awards as of December 31, 2022 and 2021 and the changes during the year ended</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2360" w:type="dxa"/>
            <w:vAlign w:val="bottom"/>
            <w:vMerge w:val="restart"/>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20" w:type="dxa"/>
            <w:vAlign w:val="bottom"/>
          </w:tcPr>
          <w:p>
            <w:pPr>
              <w:spacing w:after="0"/>
              <w:rPr>
                <w:sz w:val="13"/>
                <w:szCs w:val="13"/>
                <w:color w:val="auto"/>
              </w:rPr>
            </w:pPr>
          </w:p>
        </w:tc>
        <w:tc>
          <w:tcPr>
            <w:tcW w:w="234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Weighted Average Grant Date Fair</w:t>
            </w:r>
          </w:p>
        </w:tc>
        <w:tc>
          <w:tcPr>
            <w:tcW w:w="0" w:type="dxa"/>
            <w:vAlign w:val="bottom"/>
          </w:tcPr>
          <w:p>
            <w:pPr>
              <w:spacing w:after="0"/>
              <w:rPr>
                <w:sz w:val="1"/>
                <w:szCs w:val="1"/>
                <w:color w:val="auto"/>
              </w:rPr>
            </w:pPr>
          </w:p>
        </w:tc>
      </w:tr>
      <w:tr>
        <w:trPr>
          <w:trHeight w:val="109"/>
        </w:trPr>
        <w:tc>
          <w:tcPr>
            <w:tcW w:w="6320" w:type="dxa"/>
            <w:vAlign w:val="bottom"/>
          </w:tcPr>
          <w:p>
            <w:pPr>
              <w:spacing w:after="0"/>
              <w:rPr>
                <w:sz w:val="9"/>
                <w:szCs w:val="9"/>
                <w:color w:val="auto"/>
              </w:rPr>
            </w:pPr>
          </w:p>
        </w:tc>
        <w:tc>
          <w:tcPr>
            <w:tcW w:w="23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340" w:type="dxa"/>
            <w:vAlign w:val="bottom"/>
            <w:vMerge w:val="restart"/>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78"/>
        </w:trPr>
        <w:tc>
          <w:tcPr>
            <w:tcW w:w="6320" w:type="dxa"/>
            <w:vAlign w:val="bottom"/>
          </w:tcPr>
          <w:p>
            <w:pPr>
              <w:spacing w:after="0"/>
              <w:rPr>
                <w:sz w:val="6"/>
                <w:szCs w:val="6"/>
                <w:color w:val="auto"/>
              </w:rPr>
            </w:pPr>
          </w:p>
        </w:tc>
        <w:tc>
          <w:tcPr>
            <w:tcW w:w="23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3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Shares at December 31, 2021</w:t>
            </w: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376,127</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0" w:type="dxa"/>
            <w:vAlign w:val="bottom"/>
          </w:tcPr>
          <w:p>
            <w:pPr>
              <w:spacing w:after="0"/>
              <w:rPr>
                <w:sz w:val="1"/>
                <w:szCs w:val="1"/>
                <w:color w:val="auto"/>
              </w:rPr>
            </w:pPr>
          </w:p>
        </w:tc>
      </w:tr>
      <w:tr>
        <w:trPr>
          <w:trHeight w:val="23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1,163,372</w:t>
            </w:r>
          </w:p>
        </w:tc>
        <w:tc>
          <w:tcPr>
            <w:tcW w:w="220" w:type="dxa"/>
            <w:vAlign w:val="bottom"/>
          </w:tcPr>
          <w:p>
            <w:pPr>
              <w:spacing w:after="0"/>
              <w:rPr>
                <w:sz w:val="20"/>
                <w:szCs w:val="20"/>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0" w:type="dxa"/>
            <w:vAlign w:val="bottom"/>
          </w:tcPr>
          <w:p>
            <w:pPr>
              <w:spacing w:after="0"/>
              <w:rPr>
                <w:sz w:val="1"/>
                <w:szCs w:val="1"/>
                <w:color w:val="auto"/>
              </w:rPr>
            </w:pPr>
          </w:p>
        </w:tc>
      </w:tr>
      <w:tr>
        <w:trPr>
          <w:trHeight w:val="247"/>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(158,656)</w:t>
            </w:r>
          </w:p>
        </w:tc>
        <w:tc>
          <w:tcPr>
            <w:tcW w:w="220" w:type="dxa"/>
            <w:vAlign w:val="bottom"/>
            <w:shd w:val="clear" w:color="auto" w:fill="CFF0FC"/>
          </w:tcPr>
          <w:p>
            <w:pPr>
              <w:spacing w:after="0"/>
              <w:rPr>
                <w:sz w:val="21"/>
                <w:szCs w:val="21"/>
                <w:color w:val="auto"/>
              </w:rPr>
            </w:pPr>
          </w:p>
        </w:tc>
        <w:tc>
          <w:tcPr>
            <w:tcW w:w="2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0" w:type="dxa"/>
            <w:vAlign w:val="bottom"/>
          </w:tcPr>
          <w:p>
            <w:pPr>
              <w:spacing w:after="0"/>
              <w:rPr>
                <w:sz w:val="1"/>
                <w:szCs w:val="1"/>
                <w:color w:val="auto"/>
              </w:rPr>
            </w:pPr>
          </w:p>
        </w:tc>
      </w:tr>
      <w:tr>
        <w:trPr>
          <w:trHeight w:val="23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(433,341)</w:t>
            </w:r>
          </w:p>
        </w:tc>
        <w:tc>
          <w:tcPr>
            <w:tcW w:w="2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0" w:type="dxa"/>
            <w:vAlign w:val="bottom"/>
          </w:tcPr>
          <w:p>
            <w:pPr>
              <w:spacing w:after="0"/>
              <w:rPr>
                <w:sz w:val="1"/>
                <w:szCs w:val="1"/>
                <w:color w:val="auto"/>
              </w:rPr>
            </w:pPr>
          </w:p>
        </w:tc>
      </w:tr>
      <w:tr>
        <w:trPr>
          <w:trHeight w:val="241"/>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Shares at December 31, 2022</w:t>
            </w: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947,502</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weighted average grant date fair value of RSUs granted and total fair value of RSUs vested for the years ended</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December 31, 2022, 2021 and 2020:</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9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60" w:type="dxa"/>
            <w:vAlign w:val="bottom"/>
          </w:tcPr>
          <w:p>
            <w:pPr>
              <w:spacing w:after="0"/>
              <w:rPr>
                <w:sz w:val="16"/>
                <w:szCs w:val="16"/>
                <w:color w:val="auto"/>
              </w:rPr>
            </w:pPr>
          </w:p>
        </w:tc>
      </w:tr>
      <w:tr>
        <w:trPr>
          <w:trHeight w:val="23"/>
        </w:trPr>
        <w:tc>
          <w:tcPr>
            <w:tcW w:w="49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0"/>
        </w:trPr>
        <w:tc>
          <w:tcPr>
            <w:tcW w:w="4940" w:type="dxa"/>
            <w:vAlign w:val="bottom"/>
          </w:tcPr>
          <w:p>
            <w:pPr>
              <w:spacing w:after="0"/>
              <w:rPr>
                <w:sz w:val="17"/>
                <w:szCs w:val="17"/>
                <w:color w:val="auto"/>
              </w:rPr>
            </w:pPr>
          </w:p>
        </w:tc>
        <w:tc>
          <w:tcPr>
            <w:tcW w:w="24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7"/>
                <w:szCs w:val="17"/>
                <w:color w:val="auto"/>
              </w:rPr>
            </w:pPr>
          </w:p>
        </w:tc>
        <w:tc>
          <w:tcPr>
            <w:tcW w:w="146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49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5"/>
        </w:trPr>
        <w:tc>
          <w:tcPr>
            <w:tcW w:w="494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Weighted average grant date fair value (per share)</w:t>
            </w:r>
          </w:p>
        </w:tc>
        <w:tc>
          <w:tcPr>
            <w:tcW w:w="14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r>
      <w:tr>
        <w:trPr>
          <w:trHeight w:val="248"/>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 RSUs granted</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w:t>
            </w:r>
          </w:p>
        </w:tc>
      </w:tr>
    </w:tbl>
    <w:p>
      <w:pPr>
        <w:spacing w:after="0" w:line="3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stock-based compensation expense for the years ended December 31, 2022, 2021 and 2020 was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60" w:type="dxa"/>
            <w:vAlign w:val="bottom"/>
            <w:tcBorders>
              <w:bottom w:val="single" w:sz="8" w:color="auto"/>
            </w:tcBorders>
          </w:tcPr>
          <w:p>
            <w:pPr>
              <w:spacing w:after="0"/>
              <w:rPr>
                <w:sz w:val="16"/>
                <w:szCs w:val="16"/>
                <w:color w:val="auto"/>
              </w:rPr>
            </w:pPr>
          </w:p>
        </w:tc>
      </w:tr>
      <w:tr>
        <w:trPr>
          <w:trHeight w:val="169"/>
        </w:trPr>
        <w:tc>
          <w:tcPr>
            <w:tcW w:w="4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Pr>
          <w:p>
            <w:pPr>
              <w:spacing w:after="0"/>
              <w:rPr>
                <w:sz w:val="14"/>
                <w:szCs w:val="14"/>
                <w:color w:val="auto"/>
              </w:rPr>
            </w:pPr>
          </w:p>
        </w:tc>
        <w:tc>
          <w:tcPr>
            <w:tcW w:w="14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46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r>
      <w:tr>
        <w:trPr>
          <w:trHeight w:val="23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expense</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19,062</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13,198</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10,938</w:t>
            </w:r>
          </w:p>
        </w:tc>
      </w:tr>
      <w:tr>
        <w:trPr>
          <w:trHeight w:val="23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7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8,078</w:t>
            </w:r>
          </w:p>
        </w:tc>
        <w:tc>
          <w:tcPr>
            <w:tcW w:w="220" w:type="dxa"/>
            <w:vAlign w:val="bottom"/>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6,402</w:t>
            </w:r>
          </w:p>
        </w:tc>
        <w:tc>
          <w:tcPr>
            <w:tcW w:w="220" w:type="dxa"/>
            <w:vAlign w:val="bottom"/>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8,399</w:t>
            </w:r>
          </w:p>
        </w:tc>
      </w:tr>
      <w:tr>
        <w:trPr>
          <w:trHeight w:val="281"/>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 Based Compensation Expense</w:t>
            </w:r>
          </w:p>
        </w:tc>
        <w:tc>
          <w:tcPr>
            <w:tcW w:w="1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spacing w:after="0"/>
              <w:rPr>
                <w:sz w:val="24"/>
                <w:szCs w:val="2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27,140</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19,600</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-24765</wp:posOffset>
            </wp:positionV>
            <wp:extent cx="14605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14605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13716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13716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8"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As of December 31, 2022, $39,331 thousand of total unrecognized expense related to stock-based compensation awards is expected to be recognized over a weighted-average period of 1.94 years.</w:t>
      </w:r>
    </w:p>
    <w:p>
      <w:pPr>
        <w:sectPr>
          <w:pgSz w:w="11900" w:h="16838" w:orient="portrait"/>
          <w:cols w:equalWidth="0" w:num="1">
            <w:col w:w="11240"/>
          </w:cols>
          <w:pgMar w:left="320" w:top="117"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4" w:name="page115"/>
    <w:bookmarkEnd w:id="11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43" w:lineRule="exact"/>
        <w:rPr>
          <w:sz w:val="20"/>
          <w:szCs w:val="20"/>
          <w:color w:val="auto"/>
        </w:rPr>
      </w:pPr>
    </w:p>
    <w:p>
      <w:pPr>
        <w:ind w:left="540" w:hanging="532"/>
        <w:spacing w:after="0"/>
        <w:tabs>
          <w:tab w:leader="none" w:pos="54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9" w:lineRule="exact"/>
        <w:rPr>
          <w:sz w:val="20"/>
          <w:szCs w:val="20"/>
          <w:color w:val="auto"/>
        </w:rPr>
      </w:pPr>
    </w:p>
    <w:p>
      <w:pPr>
        <w:jc w:val="both"/>
        <w:ind w:right="140"/>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w:t>
      </w:r>
      <w:r>
        <w:rPr>
          <w:rFonts w:ascii="Times New Roman" w:cs="Times New Roman" w:eastAsia="Times New Roman" w:hAnsi="Times New Roman"/>
          <w:sz w:val="18"/>
          <w:szCs w:val="18"/>
          <w:i w:val="1"/>
          <w:iCs w:val="1"/>
          <w:color w:val="auto"/>
        </w:rPr>
        <w:t>ASC 740, Income Taxes</w:t>
      </w:r>
      <w:r>
        <w:rPr>
          <w:rFonts w:ascii="Times New Roman" w:cs="Times New Roman" w:eastAsia="Times New Roman" w:hAnsi="Times New Roman"/>
          <w:sz w:val="18"/>
          <w:szCs w:val="18"/>
          <w:color w:val="auto"/>
        </w:rPr>
        <w:t>, under which deferred tax assets and liabilities are recognized based upon anticipated future tax consequences attributable to differences between financial statement carrying values of assets and liabilities and the respective tax bases.</w:t>
      </w:r>
    </w:p>
    <w:p>
      <w:pPr>
        <w:spacing w:after="0" w:line="17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Green Thumb Industries Inc. is organized in Canada but maintains all of its operations in the United States. Due to this inverted entity structure, the Company is subject to both U.S. and Canadian taxation.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2022, 2021 and 2020, income taxes expense consisted of:</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80" w:type="dxa"/>
            <w:vAlign w:val="bottom"/>
            <w:tcBorders>
              <w:bottom w:val="single" w:sz="8" w:color="auto"/>
            </w:tcBorders>
          </w:tcPr>
          <w:p>
            <w:pPr>
              <w:spacing w:after="0"/>
              <w:rPr>
                <w:sz w:val="16"/>
                <w:szCs w:val="16"/>
                <w:color w:val="auto"/>
              </w:rPr>
            </w:pPr>
          </w:p>
        </w:tc>
      </w:tr>
      <w:tr>
        <w:trPr>
          <w:trHeight w:val="223"/>
        </w:trPr>
        <w:tc>
          <w:tcPr>
            <w:tcW w:w="37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4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9"/>
                <w:szCs w:val="19"/>
                <w:color w:val="auto"/>
              </w:rPr>
            </w:pPr>
          </w:p>
        </w:tc>
        <w:tc>
          <w:tcPr>
            <w:tcW w:w="14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9"/>
                <w:szCs w:val="19"/>
                <w:color w:val="auto"/>
              </w:rPr>
            </w:pPr>
          </w:p>
        </w:tc>
        <w:tc>
          <w:tcPr>
            <w:tcW w:w="14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7"/>
        </w:trPr>
        <w:tc>
          <w:tcPr>
            <w:tcW w:w="3700" w:type="dxa"/>
            <w:vAlign w:val="bottom"/>
            <w:tcBorders>
              <w:bottom w:val="single" w:sz="8" w:color="CCEEFF"/>
            </w:tcBorders>
          </w:tcPr>
          <w:p>
            <w:pPr>
              <w:spacing w:after="0"/>
              <w:rPr>
                <w:sz w:val="20"/>
                <w:szCs w:val="20"/>
                <w:color w:val="auto"/>
              </w:rPr>
            </w:pPr>
          </w:p>
        </w:tc>
        <w:tc>
          <w:tcPr>
            <w:tcW w:w="270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r>
      <w:tr>
        <w:trPr>
          <w:trHeight w:val="23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7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39"/>
        </w:trPr>
        <w:tc>
          <w:tcPr>
            <w:tcW w:w="3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Federal</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106,425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96,749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65,118</w:t>
            </w:r>
          </w:p>
        </w:tc>
      </w:tr>
      <w:tr>
        <w:trPr>
          <w:trHeight w:val="247"/>
        </w:trPr>
        <w:tc>
          <w:tcPr>
            <w:tcW w:w="3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State</w:t>
            </w:r>
          </w:p>
        </w:tc>
        <w:tc>
          <w:tcPr>
            <w:tcW w:w="27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36,436</w:t>
            </w: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35,402</w:t>
            </w: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16,640</w:t>
            </w:r>
          </w:p>
        </w:tc>
      </w:tr>
      <w:tr>
        <w:trPr>
          <w:trHeight w:val="239"/>
        </w:trPr>
        <w:tc>
          <w:tcPr>
            <w:tcW w:w="3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Foreign</w:t>
            </w:r>
          </w:p>
        </w:tc>
        <w:tc>
          <w:tcPr>
            <w:tcW w:w="2700" w:type="dxa"/>
            <w:vAlign w:val="bottom"/>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Current</w:t>
            </w:r>
          </w:p>
        </w:tc>
        <w:tc>
          <w:tcPr>
            <w:tcW w:w="27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142,861</w:t>
            </w: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132,151</w:t>
            </w: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81,758</w:t>
            </w:r>
          </w:p>
        </w:tc>
      </w:tr>
      <w:tr>
        <w:trPr>
          <w:trHeight w:val="23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27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45"/>
        </w:trPr>
        <w:tc>
          <w:tcPr>
            <w:tcW w:w="3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Federal</w:t>
            </w:r>
          </w:p>
        </w:tc>
        <w:tc>
          <w:tcPr>
            <w:tcW w:w="27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(37,362)</w:t>
            </w: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(6,151)</w:t>
            </w: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w:t>
            </w:r>
          </w:p>
        </w:tc>
      </w:tr>
      <w:tr>
        <w:trPr>
          <w:trHeight w:val="239"/>
        </w:trPr>
        <w:tc>
          <w:tcPr>
            <w:tcW w:w="3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State</w:t>
            </w:r>
          </w:p>
        </w:tc>
        <w:tc>
          <w:tcPr>
            <w:tcW w:w="27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(10,722)</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r>
      <w:tr>
        <w:trPr>
          <w:trHeight w:val="243"/>
        </w:trPr>
        <w:tc>
          <w:tcPr>
            <w:tcW w:w="37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Foreign</w:t>
            </w:r>
          </w:p>
        </w:tc>
        <w:tc>
          <w:tcPr>
            <w:tcW w:w="27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Deferred</w:t>
            </w:r>
          </w:p>
        </w:tc>
        <w:tc>
          <w:tcPr>
            <w:tcW w:w="2700" w:type="dxa"/>
            <w:vAlign w:val="bottom"/>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(48,084)</w:t>
            </w:r>
          </w:p>
        </w:tc>
        <w:tc>
          <w:tcPr>
            <w:tcW w:w="220" w:type="dxa"/>
            <w:vAlign w:val="bottom"/>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(7,539)</w:t>
            </w:r>
          </w:p>
        </w:tc>
        <w:tc>
          <w:tcPr>
            <w:tcW w:w="22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w:t>
            </w:r>
          </w:p>
        </w:tc>
      </w:tr>
      <w:tr>
        <w:trPr>
          <w:trHeight w:val="281"/>
        </w:trPr>
        <w:tc>
          <w:tcPr>
            <w:tcW w:w="3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94,777</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124,612</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83,853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-976630</wp:posOffset>
            </wp:positionV>
            <wp:extent cx="137160" cy="16319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0">
                      <a:extLst>
                        <a:ext uri="{28A0092B-C50C-407E-A947-70E740481C1C}"/>
                      </a:extLst>
                    </a:blip>
                    <a:srcRect/>
                    <a:stretch>
                      <a:fillRect/>
                    </a:stretch>
                  </pic:blipFill>
                  <pic:spPr bwMode="auto">
                    <a:xfrm>
                      <a:off x="0" y="0"/>
                      <a:ext cx="137160" cy="16319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-976630</wp:posOffset>
            </wp:positionV>
            <wp:extent cx="146050" cy="16319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1">
                      <a:extLst>
                        <a:ext uri="{28A0092B-C50C-407E-A947-70E740481C1C}"/>
                      </a:extLst>
                    </a:blip>
                    <a:srcRect/>
                    <a:stretch>
                      <a:fillRect/>
                    </a:stretch>
                  </pic:blipFill>
                  <pic:spPr bwMode="auto">
                    <a:xfrm>
                      <a:off x="0" y="0"/>
                      <a:ext cx="146050" cy="16319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-351155</wp:posOffset>
            </wp:positionV>
            <wp:extent cx="137160" cy="17145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2">
                      <a:extLst>
                        <a:ext uri="{28A0092B-C50C-407E-A947-70E740481C1C}"/>
                      </a:extLst>
                    </a:blip>
                    <a:srcRect/>
                    <a:stretch>
                      <a:fillRect/>
                    </a:stretch>
                  </pic:blipFill>
                  <pic:spPr bwMode="auto">
                    <a:xfrm>
                      <a:off x="0" y="0"/>
                      <a:ext cx="137160" cy="17145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-351155</wp:posOffset>
            </wp:positionV>
            <wp:extent cx="146050" cy="17145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3">
                      <a:extLst>
                        <a:ext uri="{28A0092B-C50C-407E-A947-70E740481C1C}"/>
                      </a:extLst>
                    </a:blip>
                    <a:srcRect/>
                    <a:stretch>
                      <a:fillRect/>
                    </a:stretch>
                  </pic:blipFill>
                  <pic:spPr bwMode="auto">
                    <a:xfrm>
                      <a:off x="0" y="0"/>
                      <a:ext cx="146050" cy="17145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-24765</wp:posOffset>
            </wp:positionV>
            <wp:extent cx="13716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13716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14605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14605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7">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17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difference between the income tax expense for the years ended December 31, 2022, 2021 and 2020 and the expected income taxes based on the statutory tax rate applied to earnings (loss) arises as follows: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5" w:name="page116"/>
    <w:bookmarkEnd w:id="11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43" w:lineRule="exact"/>
        <w:rPr>
          <w:sz w:val="20"/>
          <w:szCs w:val="20"/>
          <w:color w:val="auto"/>
        </w:rPr>
      </w:pPr>
    </w:p>
    <w:p>
      <w:pPr>
        <w:ind w:left="540" w:hanging="532"/>
        <w:spacing w:after="0"/>
        <w:tabs>
          <w:tab w:leader="none" w:pos="54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INCOME TAX EXPENSE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236"/>
        </w:trPr>
        <w:tc>
          <w:tcPr>
            <w:tcW w:w="48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50"/>
        </w:trPr>
        <w:tc>
          <w:tcPr>
            <w:tcW w:w="4800" w:type="dxa"/>
            <w:vAlign w:val="bottom"/>
            <w:tcBorders>
              <w:bottom w:val="single" w:sz="8" w:color="CFF0FC"/>
            </w:tcBorders>
          </w:tcPr>
          <w:p>
            <w:pPr>
              <w:spacing w:after="0"/>
              <w:rPr>
                <w:sz w:val="21"/>
                <w:szCs w:val="21"/>
                <w:color w:val="auto"/>
              </w:rPr>
            </w:pPr>
          </w:p>
        </w:tc>
        <w:tc>
          <w:tcPr>
            <w:tcW w:w="1620" w:type="dxa"/>
            <w:vAlign w:val="bottom"/>
            <w:tcBorders>
              <w:bottom w:val="single" w:sz="8" w:color="CFF0FC"/>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r>
      <w:tr>
        <w:trPr>
          <w:trHeight w:val="237"/>
        </w:trPr>
        <w:tc>
          <w:tcPr>
            <w:tcW w:w="4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108,432</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204,975</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102,931</w:t>
            </w:r>
          </w:p>
        </w:tc>
      </w:tr>
      <w:tr>
        <w:trPr>
          <w:trHeight w:val="232"/>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Statutory Tax Rates</w:t>
            </w:r>
          </w:p>
        </w:tc>
        <w:tc>
          <w:tcPr>
            <w:tcW w:w="162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1"/>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Expense/(Recovery) based on Statutory Rates</w:t>
            </w:r>
          </w:p>
        </w:tc>
        <w:tc>
          <w:tcPr>
            <w:tcW w:w="162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22,771</w:t>
            </w: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43,045</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21,615</w:t>
            </w:r>
          </w:p>
        </w:tc>
      </w:tr>
      <w:tr>
        <w:trPr>
          <w:trHeight w:val="23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w:t>
            </w:r>
          </w:p>
        </w:tc>
        <w:tc>
          <w:tcPr>
            <w:tcW w:w="16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24,077</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14,837</w:t>
            </w:r>
          </w:p>
        </w:tc>
      </w:tr>
      <w:tr>
        <w:trPr>
          <w:trHeight w:val="247"/>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to Return Adjustment</w:t>
            </w:r>
          </w:p>
        </w:tc>
        <w:tc>
          <w:tcPr>
            <w:tcW w:w="16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5,299</w:t>
            </w:r>
          </w:p>
        </w:tc>
      </w:tr>
      <w:tr>
        <w:trPr>
          <w:trHeight w:val="23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for Stock Compensation</w:t>
            </w:r>
          </w:p>
        </w:tc>
        <w:tc>
          <w:tcPr>
            <w:tcW w:w="16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47"/>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16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40,870</w:t>
            </w:r>
          </w:p>
        </w:tc>
        <w:tc>
          <w:tcPr>
            <w:tcW w:w="2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40,847</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27,570</w:t>
            </w:r>
          </w:p>
        </w:tc>
      </w:tr>
      <w:tr>
        <w:trPr>
          <w:trHeight w:val="23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State Rate Reconciliation</w:t>
            </w:r>
          </w:p>
        </w:tc>
        <w:tc>
          <w:tcPr>
            <w:tcW w:w="16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w:t>
            </w:r>
          </w:p>
        </w:tc>
      </w:tr>
      <w:tr>
        <w:trPr>
          <w:trHeight w:val="247"/>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6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(25,970)</w:t>
            </w:r>
          </w:p>
        </w:tc>
        <w:tc>
          <w:tcPr>
            <w:tcW w:w="2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10,712</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7,706</w:t>
            </w:r>
          </w:p>
        </w:tc>
      </w:tr>
      <w:tr>
        <w:trPr>
          <w:trHeight w:val="23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Uncertain Tax Position</w:t>
            </w:r>
          </w:p>
        </w:tc>
        <w:tc>
          <w:tcPr>
            <w:tcW w:w="16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30,607</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9,918</w:t>
            </w:r>
          </w:p>
        </w:tc>
      </w:tr>
      <w:tr>
        <w:trPr>
          <w:trHeight w:val="243"/>
        </w:trPr>
        <w:tc>
          <w:tcPr>
            <w:tcW w:w="4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Differences</w:t>
            </w:r>
          </w:p>
        </w:tc>
        <w:tc>
          <w:tcPr>
            <w:tcW w:w="162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20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41"/>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94,777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124,612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83,853</w:t>
            </w:r>
          </w:p>
        </w:tc>
      </w:tr>
      <w:tr>
        <w:trPr>
          <w:trHeight w:val="20"/>
        </w:trPr>
        <w:tc>
          <w:tcPr>
            <w:tcW w:w="4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-1748155</wp:posOffset>
            </wp:positionV>
            <wp:extent cx="137160" cy="1714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0">
                      <a:extLst>
                        <a:ext uri="{28A0092B-C50C-407E-A947-70E740481C1C}"/>
                      </a:extLst>
                    </a:blip>
                    <a:srcRect/>
                    <a:stretch>
                      <a:fillRect/>
                    </a:stretch>
                  </pic:blipFill>
                  <pic:spPr bwMode="auto">
                    <a:xfrm>
                      <a:off x="0" y="0"/>
                      <a:ext cx="137160" cy="17145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-1748155</wp:posOffset>
            </wp:positionV>
            <wp:extent cx="137160" cy="1714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1">
                      <a:extLst>
                        <a:ext uri="{28A0092B-C50C-407E-A947-70E740481C1C}"/>
                      </a:extLst>
                    </a:blip>
                    <a:srcRect/>
                    <a:stretch>
                      <a:fillRect/>
                    </a:stretch>
                  </pic:blipFill>
                  <pic:spPr bwMode="auto">
                    <a:xfrm>
                      <a:off x="0" y="0"/>
                      <a:ext cx="137160" cy="17145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-187960</wp:posOffset>
            </wp:positionV>
            <wp:extent cx="137160" cy="18859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2">
                      <a:extLst>
                        <a:ext uri="{28A0092B-C50C-407E-A947-70E740481C1C}"/>
                      </a:extLst>
                    </a:blip>
                    <a:srcRect/>
                    <a:stretch>
                      <a:fillRect/>
                    </a:stretch>
                  </pic:blipFill>
                  <pic:spPr bwMode="auto">
                    <a:xfrm>
                      <a:off x="0" y="0"/>
                      <a:ext cx="137160" cy="18859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-187960</wp:posOffset>
            </wp:positionV>
            <wp:extent cx="137160" cy="18859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3">
                      <a:extLst>
                        <a:ext uri="{28A0092B-C50C-407E-A947-70E740481C1C}"/>
                      </a:extLst>
                    </a:blip>
                    <a:srcRect/>
                    <a:stretch>
                      <a:fillRect/>
                    </a:stretch>
                  </pic:blipFill>
                  <pic:spPr bwMode="auto">
                    <a:xfrm>
                      <a:off x="0" y="0"/>
                      <a:ext cx="137160" cy="18859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Income taxes paid for the years ended December 31, 2022, 2021 and 2020 were $118,176 thousand, $148,104 thousand and $72,575 thousand, respectively.</w:t>
      </w:r>
    </w:p>
    <w:p>
      <w:pPr>
        <w:spacing w:after="0" w:line="23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the Company operates in the cannabis industry, it is subject to the limitations of IRC Section 280E under which the Company is only allowed to deduct expenses directly related to sales of product from its taxable income. This results in permanent differences between ordinary and necessary business expenses deemed non-allowable under IRC Section 280E. Therefore, the effective tax rate can be highly variable and may not necessarily correlate with pre-tax income or loss.</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Deferred taxes are provided using an asset and liability method whereby deferred tax assets are recognized based on the rates at which they are expected to reverse in the future. Temporary differences are the differences between the reported amounts of assets and liabilities and their tax basis. The effect on deferred tax assets and liabilities of a change in tax law or tax rates is recognized in income in the period that enactment occurs.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2022 and 2021, the components of deferred tax assets and liabilities were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60" w:type="dxa"/>
            <w:vAlign w:val="bottom"/>
            <w:tcBorders>
              <w:bottom w:val="single" w:sz="8" w:color="auto"/>
            </w:tcBorders>
          </w:tcPr>
          <w:p>
            <w:pPr>
              <w:spacing w:after="0"/>
              <w:rPr>
                <w:sz w:val="16"/>
                <w:szCs w:val="16"/>
                <w:color w:val="auto"/>
              </w:rPr>
            </w:pPr>
          </w:p>
        </w:tc>
      </w:tr>
      <w:tr>
        <w:trPr>
          <w:trHeight w:val="236"/>
        </w:trPr>
        <w:tc>
          <w:tcPr>
            <w:tcW w:w="44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4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9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0"/>
        </w:trPr>
        <w:tc>
          <w:tcPr>
            <w:tcW w:w="4400" w:type="dxa"/>
            <w:vAlign w:val="bottom"/>
            <w:tcBorders>
              <w:bottom w:val="single" w:sz="8" w:color="CFF0FC"/>
            </w:tcBorders>
          </w:tcPr>
          <w:p>
            <w:pPr>
              <w:spacing w:after="0"/>
              <w:rPr>
                <w:sz w:val="21"/>
                <w:szCs w:val="21"/>
                <w:color w:val="auto"/>
              </w:rPr>
            </w:pPr>
          </w:p>
        </w:tc>
        <w:tc>
          <w:tcPr>
            <w:tcW w:w="2020" w:type="dxa"/>
            <w:vAlign w:val="bottom"/>
            <w:tcBorders>
              <w:bottom w:val="single" w:sz="8" w:color="CFF0FC"/>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60" w:type="dxa"/>
            <w:vAlign w:val="bottom"/>
            <w:tcBorders>
              <w:bottom w:val="single" w:sz="8" w:color="auto"/>
            </w:tcBorders>
          </w:tcPr>
          <w:p>
            <w:pPr>
              <w:spacing w:after="0"/>
              <w:rPr>
                <w:sz w:val="21"/>
                <w:szCs w:val="21"/>
                <w:color w:val="auto"/>
              </w:rPr>
            </w:pPr>
          </w:p>
        </w:tc>
      </w:tr>
      <w:tr>
        <w:trPr>
          <w:trHeight w:val="237"/>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02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r>
      <w:tr>
        <w:trPr>
          <w:trHeight w:val="239"/>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60,588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42,982</w:t>
            </w:r>
          </w:p>
        </w:tc>
      </w:tr>
      <w:tr>
        <w:trPr>
          <w:trHeight w:val="247"/>
        </w:trPr>
        <w:tc>
          <w:tcPr>
            <w:tcW w:w="4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Operating Losses</w:t>
            </w:r>
          </w:p>
        </w:tc>
        <w:tc>
          <w:tcPr>
            <w:tcW w:w="20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21,237</w:t>
            </w:r>
          </w:p>
        </w:tc>
      </w:tr>
      <w:tr>
        <w:trPr>
          <w:trHeight w:val="239"/>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163(j) Interest Limitation</w:t>
            </w:r>
          </w:p>
        </w:tc>
        <w:tc>
          <w:tcPr>
            <w:tcW w:w="2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7,499</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9,864</w:t>
            </w:r>
          </w:p>
        </w:tc>
      </w:tr>
      <w:tr>
        <w:trPr>
          <w:trHeight w:val="247"/>
        </w:trPr>
        <w:tc>
          <w:tcPr>
            <w:tcW w:w="4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Warrant Fair Value Derivative</w:t>
            </w:r>
          </w:p>
        </w:tc>
        <w:tc>
          <w:tcPr>
            <w:tcW w:w="20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39"/>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10,646</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5,383</w:t>
            </w:r>
          </w:p>
        </w:tc>
      </w:tr>
      <w:tr>
        <w:trPr>
          <w:trHeight w:val="247"/>
        </w:trPr>
        <w:tc>
          <w:tcPr>
            <w:tcW w:w="4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Asset Acquisition Life Difference</w:t>
            </w:r>
          </w:p>
        </w:tc>
        <w:tc>
          <w:tcPr>
            <w:tcW w:w="20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w:t>
            </w:r>
          </w:p>
        </w:tc>
      </w:tr>
      <w:tr>
        <w:trPr>
          <w:trHeight w:val="239"/>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Capitalized Inventory</w:t>
            </w:r>
          </w:p>
        </w:tc>
        <w:tc>
          <w:tcPr>
            <w:tcW w:w="2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5,846</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Fair Value Investments</w:t>
            </w:r>
          </w:p>
        </w:tc>
        <w:tc>
          <w:tcPr>
            <w:tcW w:w="20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3,306</w:t>
            </w: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5,391</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5,214</w:t>
            </w:r>
          </w:p>
        </w:tc>
      </w:tr>
      <w:tr>
        <w:trPr>
          <w:trHeight w:val="243"/>
        </w:trPr>
        <w:tc>
          <w:tcPr>
            <w:tcW w:w="44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Valuation Allowance</w:t>
            </w:r>
          </w:p>
        </w:tc>
        <w:tc>
          <w:tcPr>
            <w:tcW w:w="202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22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(27,174)</w:t>
            </w:r>
          </w:p>
        </w:tc>
      </w:tr>
      <w:tr>
        <w:trPr>
          <w:trHeight w:val="236"/>
        </w:trPr>
        <w:tc>
          <w:tcPr>
            <w:tcW w:w="4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02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94,438</w:t>
            </w:r>
          </w:p>
        </w:tc>
        <w:tc>
          <w:tcPr>
            <w:tcW w:w="2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60,035</w:t>
            </w:r>
          </w:p>
        </w:tc>
      </w:tr>
      <w:tr>
        <w:trPr>
          <w:trHeight w:val="241"/>
        </w:trPr>
        <w:tc>
          <w:tcPr>
            <w:tcW w:w="4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2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r>
      <w:tr>
        <w:trPr>
          <w:trHeight w:val="239"/>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Right of Use Assets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(56,546)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(39,165)</w:t>
            </w:r>
          </w:p>
        </w:tc>
      </w:tr>
      <w:tr>
        <w:trPr>
          <w:trHeight w:val="247"/>
        </w:trPr>
        <w:tc>
          <w:tcPr>
            <w:tcW w:w="4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Fair Value Investments</w:t>
            </w:r>
          </w:p>
        </w:tc>
        <w:tc>
          <w:tcPr>
            <w:tcW w:w="20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(4,703)</w:t>
            </w:r>
          </w:p>
        </w:tc>
      </w:tr>
      <w:tr>
        <w:trPr>
          <w:trHeight w:val="239"/>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Warrant Fair Value Derivative</w:t>
            </w:r>
          </w:p>
        </w:tc>
        <w:tc>
          <w:tcPr>
            <w:tcW w:w="2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4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Intangibles</w:t>
            </w:r>
          </w:p>
        </w:tc>
        <w:tc>
          <w:tcPr>
            <w:tcW w:w="202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(52,508)</w:t>
            </w:r>
          </w:p>
        </w:tc>
        <w:tc>
          <w:tcPr>
            <w:tcW w:w="22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(84,896)</w:t>
            </w:r>
          </w:p>
        </w:tc>
      </w:tr>
      <w:tr>
        <w:trPr>
          <w:trHeight w:val="236"/>
        </w:trPr>
        <w:tc>
          <w:tcPr>
            <w:tcW w:w="4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02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(113,858)</w:t>
            </w:r>
          </w:p>
        </w:tc>
        <w:tc>
          <w:tcPr>
            <w:tcW w:w="2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(128,764)</w:t>
            </w:r>
          </w:p>
        </w:tc>
      </w:tr>
      <w:tr>
        <w:trPr>
          <w:trHeight w:val="281"/>
        </w:trPr>
        <w:tc>
          <w:tcPr>
            <w:tcW w:w="4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2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(19,420)</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FF0FC"/>
          </w:tcPr>
          <w:p>
            <w:pPr>
              <w:spacing w:after="0"/>
              <w:rPr>
                <w:sz w:val="24"/>
                <w:szCs w:val="2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(68,729)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-1293495</wp:posOffset>
            </wp:positionV>
            <wp:extent cx="137160" cy="17145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4">
                      <a:extLst>
                        <a:ext uri="{28A0092B-C50C-407E-A947-70E740481C1C}"/>
                      </a:extLst>
                    </a:blip>
                    <a:srcRect/>
                    <a:stretch>
                      <a:fillRect/>
                    </a:stretch>
                  </pic:blipFill>
                  <pic:spPr bwMode="auto">
                    <a:xfrm>
                      <a:off x="0" y="0"/>
                      <a:ext cx="137160" cy="17145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-350520</wp:posOffset>
            </wp:positionV>
            <wp:extent cx="137160" cy="17145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5">
                      <a:extLst>
                        <a:ext uri="{28A0092B-C50C-407E-A947-70E740481C1C}"/>
                      </a:extLst>
                    </a:blip>
                    <a:srcRect/>
                    <a:stretch>
                      <a:fillRect/>
                    </a:stretch>
                  </pic:blipFill>
                  <pic:spPr bwMode="auto">
                    <a:xfrm>
                      <a:off x="0" y="0"/>
                      <a:ext cx="137160" cy="17145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-24765</wp:posOffset>
            </wp:positionV>
            <wp:extent cx="13716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13716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6" w:name="page117"/>
    <w:bookmarkEnd w:id="11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43" w:lineRule="exact"/>
        <w:rPr>
          <w:sz w:val="20"/>
          <w:szCs w:val="20"/>
          <w:color w:val="auto"/>
        </w:rPr>
      </w:pPr>
    </w:p>
    <w:p>
      <w:pPr>
        <w:ind w:left="540" w:hanging="532"/>
        <w:spacing w:after="0"/>
        <w:tabs>
          <w:tab w:leader="none" w:pos="54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INCOME TAX EXPENSE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Deferred tax assets are reduced by a valuation allowance when, in the opinion of management, it is more likely than not that some portion or all of the deferred tax assets will not be realized. The Company assessed the positive and negative evidence to determine if sufficient future taxable income will be generated to use the existing deferred tax assets. A valuation allowance is maintained as of December 31, 2022 and 2021 in the amount of $702 thousand and $27,174 thousand, respectively.</w:t>
      </w:r>
    </w:p>
    <w:p>
      <w:pPr>
        <w:spacing w:after="0" w:line="18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Company had $7,308 thousand of gross federal net operating loss carryforwards which will not expire. Additionally, the Company had $9,644 thousand of gross state net operating loss carryforwards, if not claimed, begin to expire in 2031.</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Pursuant to IRC Sections 382 and 383, utilization of net operating losses and credits may be subject to annual limitations in the event of any significant future changes in its ownership structure. These annual limitations may result in the expiration of net operating losses and credits prior to utilization.</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The Company operates in a number of tax jurisdictions and are subject to examination of its income tax returns by tax authorities in those jurisdictions who may challenge any item on these returns. Because the tax matters challenged by tax authorities are typically complex, the ultimate outcome of these challenges is uncertain. In accordance with </w:t>
      </w:r>
      <w:r>
        <w:rPr>
          <w:rFonts w:ascii="Times New Roman" w:cs="Times New Roman" w:eastAsia="Times New Roman" w:hAnsi="Times New Roman"/>
          <w:sz w:val="18"/>
          <w:szCs w:val="18"/>
          <w:i w:val="1"/>
          <w:iCs w:val="1"/>
          <w:color w:val="auto"/>
        </w:rPr>
        <w:t>ASC 740, Income Taxes</w:t>
      </w:r>
      <w:r>
        <w:rPr>
          <w:rFonts w:ascii="Times New Roman" w:cs="Times New Roman" w:eastAsia="Times New Roman" w:hAnsi="Times New Roman"/>
          <w:sz w:val="18"/>
          <w:szCs w:val="18"/>
          <w:color w:val="auto"/>
        </w:rPr>
        <w:t>, the Company recognizes the benefits of uncertain tax positions in our consolidated financial statements only after determining that it is more likely than not that the uncertain tax positions will be sustained.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200" w:type="dxa"/>
            <w:vAlign w:val="bottom"/>
          </w:tcPr>
          <w:p>
            <w:pPr>
              <w:spacing w:after="0"/>
              <w:rPr>
                <w:sz w:val="21"/>
                <w:szCs w:val="21"/>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14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41"/>
        </w:trPr>
        <w:tc>
          <w:tcPr>
            <w:tcW w:w="6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r>
      <w:tr>
        <w:trPr>
          <w:trHeight w:val="23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Beginning of Year</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13,117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10,341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2,113</w:t>
            </w:r>
          </w:p>
        </w:tc>
      </w:tr>
      <w:tr>
        <w:trPr>
          <w:trHeight w:val="23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increases related to tax positions in a prior period</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9,531</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w:t>
            </w:r>
          </w:p>
        </w:tc>
      </w:tr>
      <w:tr>
        <w:trPr>
          <w:trHeight w:val="247"/>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decreases related to tax positions in a prior period</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(1,100)</w:t>
            </w: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increases related to tax positions in the current period</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21,582</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7,536</w:t>
            </w:r>
          </w:p>
        </w:tc>
      </w:tr>
      <w:tr>
        <w:trPr>
          <w:trHeight w:val="245"/>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decreases related to tax positions in a current period</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r>
      <w:tr>
        <w:trPr>
          <w:trHeight w:val="23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End of Year</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43,130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13,117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10,341</w:t>
            </w:r>
          </w:p>
        </w:tc>
      </w:tr>
      <w:tr>
        <w:trPr>
          <w:trHeight w:val="20"/>
        </w:trPr>
        <w:tc>
          <w:tcPr>
            <w:tcW w:w="6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-187960</wp:posOffset>
            </wp:positionV>
            <wp:extent cx="137160" cy="18859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0">
                      <a:extLst>
                        <a:ext uri="{28A0092B-C50C-407E-A947-70E740481C1C}"/>
                      </a:extLst>
                    </a:blip>
                    <a:srcRect/>
                    <a:stretch>
                      <a:fillRect/>
                    </a:stretch>
                  </pic:blipFill>
                  <pic:spPr bwMode="auto">
                    <a:xfrm>
                      <a:off x="0" y="0"/>
                      <a:ext cx="137160" cy="18859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-187960</wp:posOffset>
            </wp:positionV>
            <wp:extent cx="137160" cy="18859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1">
                      <a:extLst>
                        <a:ext uri="{28A0092B-C50C-407E-A947-70E740481C1C}"/>
                      </a:extLst>
                    </a:blip>
                    <a:srcRect/>
                    <a:stretch>
                      <a:fillRect/>
                    </a:stretch>
                  </pic:blipFill>
                  <pic:spPr bwMode="auto">
                    <a:xfrm>
                      <a:off x="0" y="0"/>
                      <a:ext cx="137160" cy="188595"/>
                    </a:xfrm>
                    <a:prstGeom prst="rect">
                      <a:avLst/>
                    </a:prstGeom>
                    <a:noFill/>
                  </pic:spPr>
                </pic:pic>
              </a:graphicData>
            </a:graphic>
          </wp:anchor>
        </w:drawing>
      </w:r>
    </w:p>
    <w:p>
      <w:pPr>
        <w:spacing w:after="0" w:line="17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unrecognized tax benefits in the provision for income taxes. As of December 31, 2022 and 2021, the Company recognized $3,555 thousand and $1,377 thousand of interest and penalties, respectively. There are no positions for which it is reasonably possible that the uncertain tax benefit will significantly increase or decrease within twelve months. The Company files income tax returns in the U.S., various state jurisdictions, and Canada, which jurisdictions have varying statutes of limitations. The U.S. federal statute of limitation remains open for the 2019 tax year to the present. The state income tax returns generally remain open for the 2019 tax year through the present. Net operating losses arising prior to these years are also open to examination if and when utilized.</w:t>
      </w:r>
    </w:p>
    <w:p>
      <w:pPr>
        <w:spacing w:after="0" w:line="224" w:lineRule="exact"/>
        <w:rPr>
          <w:sz w:val="20"/>
          <w:szCs w:val="20"/>
          <w:color w:val="auto"/>
        </w:rPr>
      </w:pPr>
    </w:p>
    <w:p>
      <w:pPr>
        <w:ind w:left="540" w:hanging="532"/>
        <w:spacing w:after="0"/>
        <w:tabs>
          <w:tab w:leader="none" w:pos="54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2022, 2021 and 2020 other income (expense) was comprised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r>
      <w:tr>
        <w:trPr>
          <w:trHeight w:val="210"/>
        </w:trPr>
        <w:tc>
          <w:tcPr>
            <w:tcW w:w="4780" w:type="dxa"/>
            <w:vAlign w:val="bottom"/>
          </w:tcPr>
          <w:p>
            <w:pPr>
              <w:spacing w:after="0"/>
              <w:rPr>
                <w:sz w:val="18"/>
                <w:szCs w:val="18"/>
                <w:color w:val="auto"/>
              </w:rPr>
            </w:pPr>
          </w:p>
        </w:tc>
        <w:tc>
          <w:tcPr>
            <w:tcW w:w="23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8"/>
                <w:szCs w:val="18"/>
                <w:color w:val="auto"/>
              </w:rPr>
            </w:pPr>
          </w:p>
        </w:tc>
        <w:tc>
          <w:tcPr>
            <w:tcW w:w="1500" w:type="dxa"/>
            <w:vAlign w:val="bottom"/>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9"/>
        </w:trPr>
        <w:tc>
          <w:tcPr>
            <w:tcW w:w="47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spacing w:after="0"/>
              <w:rPr>
                <w:sz w:val="18"/>
                <w:szCs w:val="18"/>
                <w:color w:val="auto"/>
              </w:rPr>
            </w:pPr>
          </w:p>
        </w:tc>
      </w:tr>
      <w:tr>
        <w:trPr>
          <w:trHeight w:val="223"/>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Fair value adjustments on equity investments</w:t>
            </w:r>
          </w:p>
        </w:tc>
        <w:tc>
          <w:tcPr>
            <w:tcW w:w="14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(23,270)</w:t>
            </w: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5,955</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26,371</w:t>
            </w:r>
          </w:p>
        </w:tc>
      </w:tr>
      <w:tr>
        <w:trPr>
          <w:trHeight w:val="220"/>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adjustments on equity method investments</w:t>
            </w:r>
          </w:p>
        </w:tc>
        <w:tc>
          <w:tcPr>
            <w:tcW w:w="1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10,955</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5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Fair value adjustments on variable note receivable</w:t>
            </w:r>
          </w:p>
        </w:tc>
        <w:tc>
          <w:tcPr>
            <w:tcW w:w="14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(816)</w:t>
            </w:r>
          </w:p>
        </w:tc>
      </w:tr>
      <w:tr>
        <w:trPr>
          <w:trHeight w:val="220"/>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(10,645)</w:t>
            </w:r>
          </w:p>
        </w:tc>
        <w:tc>
          <w:tcPr>
            <w:tcW w:w="220" w:type="dxa"/>
            <w:vAlign w:val="bottom"/>
          </w:tcPr>
          <w:p>
            <w:pPr>
              <w:spacing w:after="0"/>
              <w:rPr>
                <w:sz w:val="19"/>
                <w:szCs w:val="19"/>
                <w:color w:val="auto"/>
              </w:rPr>
            </w:pPr>
          </w:p>
        </w:tc>
        <w:tc>
          <w:tcPr>
            <w:tcW w:w="15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Fair value adjustments on warrants issued</w:t>
            </w:r>
          </w:p>
        </w:tc>
        <w:tc>
          <w:tcPr>
            <w:tcW w:w="14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20,357</w:t>
            </w:r>
          </w:p>
        </w:tc>
        <w:tc>
          <w:tcPr>
            <w:tcW w:w="28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14,577</w:t>
            </w:r>
          </w:p>
        </w:tc>
        <w:tc>
          <w:tcPr>
            <w:tcW w:w="22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(23,002)</w:t>
            </w:r>
          </w:p>
        </w:tc>
      </w:tr>
      <w:tr>
        <w:trPr>
          <w:trHeight w:val="220"/>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adjustments on contingent consideration</w:t>
            </w:r>
          </w:p>
        </w:tc>
        <w:tc>
          <w:tcPr>
            <w:tcW w:w="1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5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9,877</w:t>
            </w:r>
          </w:p>
        </w:tc>
      </w:tr>
      <w:tr>
        <w:trPr>
          <w:trHeight w:val="239"/>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Earnings (loss) from equity method investments</w:t>
            </w:r>
          </w:p>
        </w:tc>
        <w:tc>
          <w:tcPr>
            <w:tcW w:w="14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(4,259)</w:t>
            </w:r>
          </w:p>
        </w:tc>
        <w:tc>
          <w:tcPr>
            <w:tcW w:w="28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1,799</w:t>
            </w:r>
          </w:p>
        </w:tc>
        <w:tc>
          <w:tcPr>
            <w:tcW w:w="22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2,320</w:t>
            </w: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4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28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220" w:type="dxa"/>
            <w:vAlign w:val="bottom"/>
          </w:tcPr>
          <w:p>
            <w:pPr>
              <w:spacing w:after="0"/>
              <w:rPr>
                <w:sz w:val="19"/>
                <w:szCs w:val="19"/>
                <w:color w:val="auto"/>
              </w:rPr>
            </w:pPr>
          </w:p>
        </w:tc>
        <w:tc>
          <w:tcPr>
            <w:tcW w:w="15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627</w:t>
            </w:r>
          </w:p>
        </w:tc>
      </w:tr>
      <w:tr>
        <w:trPr>
          <w:trHeight w:val="267"/>
        </w:trPr>
        <w:tc>
          <w:tcPr>
            <w:tcW w:w="4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Income (Expense)</w:t>
            </w:r>
          </w:p>
        </w:tc>
        <w:tc>
          <w:tcPr>
            <w:tcW w:w="1460" w:type="dxa"/>
            <w:vAlign w:val="bottom"/>
            <w:tcBorders>
              <w:bottom w:val="single" w:sz="8" w:color="CFF0FC"/>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Borders>
              <w:bottom w:val="single" w:sz="8" w:color="auto"/>
            </w:tcBorders>
            <w:shd w:val="clear" w:color="auto" w:fill="CFF0FC"/>
          </w:tcPr>
          <w:p>
            <w:pPr>
              <w:spacing w:after="0"/>
              <w:rPr>
                <w:sz w:val="23"/>
                <w:szCs w:val="23"/>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4,499</w:t>
            </w:r>
          </w:p>
        </w:tc>
        <w:tc>
          <w:tcPr>
            <w:tcW w:w="2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10,677</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500" w:type="dxa"/>
            <w:vAlign w:val="bottom"/>
            <w:tcBorders>
              <w:bottom w:val="single" w:sz="8" w:color="auto"/>
            </w:tcBorders>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15,377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-24765</wp:posOffset>
            </wp:positionV>
            <wp:extent cx="17970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3">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-7620</wp:posOffset>
            </wp:positionV>
            <wp:extent cx="17970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4">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13716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13716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03" w:lineRule="exact"/>
        <w:rPr>
          <w:sz w:val="20"/>
          <w:szCs w:val="20"/>
          <w:color w:val="auto"/>
        </w:rPr>
      </w:pPr>
    </w:p>
    <w:p>
      <w:pPr>
        <w:ind w:left="540" w:hanging="532"/>
        <w:spacing w:after="0"/>
        <w:tabs>
          <w:tab w:leader="none" w:pos="54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is subject to lawsuits, investigations and other claims related to employment, commercial and other matters that arise out of operations in the normal course of business. Periodically, the Company reviews the status of each significant matter and assesses the potential financial exposure. If the potential loss from any claim or legal proceeding is considered probable, and the amount can be reliably estimated, such amount is recognized in other liabilities.</w:t>
      </w:r>
    </w:p>
    <w:p>
      <w:pPr>
        <w:spacing w:after="0" w:line="1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Contingent liabilities are measured at management’s best estimate of the expenditure required to settle the obligation at the end of the reporting period and are discounted to present value where the effect is material. The Company performs evaluations to identify contingent liabilities for contracts. Contingent consideration is measured upon acquisition and is estimated using probability weighting of potential payouts. Subsequent changes in the estimated contingent consideration from the final purchase price allocation are recognized in the Company’s consolidated statements of operations. See Note 5</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Acquisitions for details.</w:t>
      </w:r>
    </w:p>
    <w:p>
      <w:pPr>
        <w:spacing w:after="0" w:line="75" w:lineRule="exact"/>
        <w:rPr>
          <w:sz w:val="20"/>
          <w:szCs w:val="20"/>
          <w:color w:val="auto"/>
        </w:rPr>
      </w:pPr>
    </w:p>
    <w:p>
      <w:pPr>
        <w:ind w:left="1020" w:hanging="503"/>
        <w:spacing w:after="0"/>
        <w:tabs>
          <w:tab w:leader="none" w:pos="102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121" w:lineRule="exact"/>
        <w:rPr>
          <w:sz w:val="20"/>
          <w:szCs w:val="20"/>
          <w:color w:val="auto"/>
        </w:rPr>
      </w:pPr>
    </w:p>
    <w:p>
      <w:pPr>
        <w:ind w:left="520" w:right="120"/>
        <w:spacing w:after="0" w:line="258" w:lineRule="auto"/>
        <w:rPr>
          <w:sz w:val="20"/>
          <w:szCs w:val="20"/>
          <w:color w:val="auto"/>
        </w:rPr>
      </w:pPr>
      <w:r>
        <w:rPr>
          <w:rFonts w:ascii="Times New Roman" w:cs="Times New Roman" w:eastAsia="Times New Roman" w:hAnsi="Times New Roman"/>
          <w:sz w:val="18"/>
          <w:szCs w:val="18"/>
          <w:color w:val="auto"/>
        </w:rPr>
        <w:t>The Company’s operations are subject to a variety of local and state regulations. Failure to comply with one or more of those regulations could result in fines, sanctions, restrictions on its operations, or losses of licenses and permits that could result in the Company ceasing operations in that specific state or local jurisdiction. While management believes that the Company is in compliance with applicable local and state regulations at December 31, 2022 and 2021, cannabis and other regulations continue to evolve and are subject to differing interpretations. As a result, the Company may be subject to regulatory fines, penalties, or restrictions in the future.</w:t>
      </w:r>
    </w:p>
    <w:p>
      <w:pPr>
        <w:spacing w:after="0" w:line="71" w:lineRule="exact"/>
        <w:rPr>
          <w:sz w:val="20"/>
          <w:szCs w:val="20"/>
          <w:color w:val="auto"/>
        </w:rPr>
      </w:pPr>
    </w:p>
    <w:p>
      <w:pPr>
        <w:ind w:left="1020" w:hanging="503"/>
        <w:spacing w:after="0"/>
        <w:tabs>
          <w:tab w:leader="none" w:pos="102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Claims and Litigation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From time to time, the Company may be involved in litigation relating to claims arising out of operations in the normal course of business. As of</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December 31, 2022, the following matter was being appealed by the Company:</w:t>
      </w:r>
    </w:p>
    <w:p>
      <w:pPr>
        <w:spacing w:after="0" w:line="99" w:lineRule="exact"/>
        <w:rPr>
          <w:sz w:val="20"/>
          <w:szCs w:val="20"/>
          <w:color w:val="auto"/>
        </w:rPr>
      </w:pPr>
    </w:p>
    <w:p>
      <w:pPr>
        <w:ind w:left="520"/>
        <w:spacing w:after="0" w:line="254" w:lineRule="auto"/>
        <w:rPr>
          <w:sz w:val="20"/>
          <w:szCs w:val="20"/>
          <w:color w:val="auto"/>
        </w:rPr>
      </w:pPr>
      <w:r>
        <w:rPr>
          <w:rFonts w:ascii="Times New Roman" w:cs="Times New Roman" w:eastAsia="Times New Roman" w:hAnsi="Times New Roman"/>
          <w:sz w:val="18"/>
          <w:szCs w:val="18"/>
          <w:color w:val="auto"/>
        </w:rPr>
        <w:t>Cresco Labs New York, LLC and Cresco Labs LLC (“Plaintiffs”) filed an amended complaint against one of the Company’s subsidiaries, Fiorello Pharmaceuticals, Inc. (“Defendant”) on November 20, 2018, in the Supreme Court of the State of New York, NY County alleging Defendant breached the parties’ Equity Purchase Agreement Letter of Intent (“LOI”) relating to the acquisition of Defendant by Plaintiffs. In December 2022, the trial court granted Plaintiffs' motion for summary judgment on their claim that Defendant breached the LOI. Defendant disputes any liability and is vigorously appealing the trial court’s decision. The Company believes a successful appeal is probable, and as such, a $900 thousand loss contingency is reflected within selling, general and administrative expenses within the consolidated statement of operations with respect to this matter. In the event that the Defendant’s appeal is unsuccessful, any damages will be determined by further legal proceedings. The Company has estimated that the possible range of loss is between $900 thousand and $72,915 thousand.</w:t>
      </w:r>
    </w:p>
    <w:p>
      <w:pPr>
        <w:spacing w:after="0" w:line="84" w:lineRule="exact"/>
        <w:rPr>
          <w:sz w:val="20"/>
          <w:szCs w:val="20"/>
          <w:color w:val="auto"/>
        </w:rPr>
      </w:pPr>
    </w:p>
    <w:p>
      <w:pPr>
        <w:ind w:left="520" w:right="140"/>
        <w:spacing w:after="0" w:line="266" w:lineRule="auto"/>
        <w:rPr>
          <w:sz w:val="20"/>
          <w:szCs w:val="20"/>
          <w:color w:val="auto"/>
        </w:rPr>
      </w:pPr>
      <w:r>
        <w:rPr>
          <w:rFonts w:ascii="Times New Roman" w:cs="Times New Roman" w:eastAsia="Times New Roman" w:hAnsi="Times New Roman"/>
          <w:sz w:val="18"/>
          <w:szCs w:val="18"/>
          <w:color w:val="auto"/>
        </w:rPr>
        <w:t>At December 31, 2022 and 2021, other than as discussed above, there were no pending or threatened lawsuits that could reasonably be expected to have a material effect on the results of the Company’s consolidated operations. There are also no proceedings in which any of the Company’s directors, officers or affiliates is an adverse party or has a material interest adverse to the Company’s interest.</w:t>
      </w:r>
    </w:p>
    <w:p>
      <w:pPr>
        <w:spacing w:after="0" w:line="64" w:lineRule="exact"/>
        <w:rPr>
          <w:sz w:val="20"/>
          <w:szCs w:val="20"/>
          <w:color w:val="auto"/>
        </w:rPr>
      </w:pPr>
    </w:p>
    <w:p>
      <w:pPr>
        <w:ind w:left="1020" w:hanging="503"/>
        <w:spacing w:after="0"/>
        <w:tabs>
          <w:tab w:leader="none" w:pos="102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Construction Commitments</w:t>
      </w:r>
    </w:p>
    <w:p>
      <w:pPr>
        <w:spacing w:after="0" w:line="121" w:lineRule="exact"/>
        <w:rPr>
          <w:sz w:val="20"/>
          <w:szCs w:val="20"/>
          <w:color w:val="auto"/>
        </w:rPr>
      </w:pPr>
    </w:p>
    <w:p>
      <w:pPr>
        <w:ind w:left="520" w:right="340"/>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Company held approximately $74,650 thousand of open construction commitments to contractors on work being performed which are generally expected to be completed within 12 months.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18" w:name="page119"/>
    <w:bookmarkEnd w:id="11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43" w:lineRule="exact"/>
        <w:rPr>
          <w:sz w:val="20"/>
          <w:szCs w:val="20"/>
          <w:color w:val="auto"/>
        </w:rPr>
      </w:pPr>
    </w:p>
    <w:p>
      <w:pPr>
        <w:ind w:left="540" w:hanging="532"/>
        <w:spacing w:after="0"/>
        <w:tabs>
          <w:tab w:leader="none" w:pos="54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applies fair value accounting for all financial assets and liabilities that are recognized or disclosed at fair value in the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 risk.</w:t>
      </w:r>
    </w:p>
    <w:p>
      <w:pPr>
        <w:spacing w:after="0" w:line="187" w:lineRule="exact"/>
        <w:rPr>
          <w:sz w:val="20"/>
          <w:szCs w:val="20"/>
          <w:color w:val="auto"/>
        </w:rPr>
      </w:pPr>
    </w:p>
    <w:p>
      <w:pPr>
        <w:ind w:right="980"/>
        <w:spacing w:after="0" w:line="282" w:lineRule="auto"/>
        <w:rPr>
          <w:sz w:val="20"/>
          <w:szCs w:val="20"/>
          <w:color w:val="auto"/>
        </w:rPr>
      </w:pPr>
      <w:r>
        <w:rPr>
          <w:rFonts w:ascii="Times New Roman" w:cs="Times New Roman" w:eastAsia="Times New Roman" w:hAnsi="Times New Roman"/>
          <w:sz w:val="18"/>
          <w:szCs w:val="18"/>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Unadjusted quoted prices in active markets for identical assets or liabilities;</w:t>
      </w:r>
    </w:p>
    <w:p>
      <w:pPr>
        <w:spacing w:after="0" w:line="1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quoted prices that are observable for the asset or liability, either directly or indirectly; and</w:t>
      </w:r>
    </w:p>
    <w:p>
      <w:pPr>
        <w:spacing w:after="0" w:line="1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Inputs for the asset or liability that are not based on observable market data.</w:t>
      </w:r>
    </w:p>
    <w:p>
      <w:pPr>
        <w:spacing w:after="0" w:line="115" w:lineRule="exact"/>
        <w:rPr>
          <w:sz w:val="20"/>
          <w:szCs w:val="20"/>
          <w:color w:val="auto"/>
        </w:rPr>
      </w:pPr>
    </w:p>
    <w:p>
      <w:pPr>
        <w:ind w:left="1020" w:hanging="503"/>
        <w:spacing w:after="0"/>
        <w:tabs>
          <w:tab w:leader="none" w:pos="102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accounts receivable, investments, accounts payable and accrued liabilities, notes payable, warrant liability, and contingent consideration payable.</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Company's long-term notes payable (which consist of charitable contributions, private placement debt and mortgage notes), for which there were no quoted market prices or active trading markets, it was not practicable to estimate the fair value of these financial instruments. The carrying amount of notes payable at December 31, 2022 and 2021 was $275,668 thousand and $239,934 thousand, which includes $1,037 thousand and $783 thousand, respectively, of short-term debt due within one year.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instruments recorded at fair value are classified using a fair value hierarchy that reflects the significance of the inputs to fair value measurements.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financial instruments which are measured at fair value as of December 31, 2022 and 2021:</w:t>
      </w:r>
    </w:p>
    <w:p>
      <w:pPr>
        <w:spacing w:after="0" w:line="241"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2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7"/>
          </w:tcPr>
          <w:p>
            <w:pPr>
              <w:ind w:left="420"/>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2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2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8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Pr>
          <w:p>
            <w:pPr>
              <w:spacing w:after="0"/>
              <w:rPr>
                <w:sz w:val="19"/>
                <w:szCs w:val="19"/>
                <w:color w:val="auto"/>
              </w:rPr>
            </w:pPr>
          </w:p>
        </w:tc>
        <w:tc>
          <w:tcPr>
            <w:tcW w:w="184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9"/>
                <w:szCs w:val="19"/>
                <w:color w:val="auto"/>
              </w:rPr>
            </w:pPr>
          </w:p>
        </w:tc>
      </w:tr>
      <w:tr>
        <w:trPr>
          <w:trHeight w:val="230"/>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top w:val="single" w:sz="8" w:color="auto"/>
              <w:right w:val="single" w:sz="8" w:color="CFF0FC"/>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177,682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top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FF0FC"/>
            </w:tcBorders>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177,682</w:t>
            </w:r>
          </w:p>
        </w:tc>
        <w:tc>
          <w:tcPr>
            <w:tcW w:w="100" w:type="dxa"/>
            <w:vAlign w:val="bottom"/>
            <w:shd w:val="clear" w:color="auto" w:fill="CFF0FC"/>
          </w:tcPr>
          <w:p>
            <w:pPr>
              <w:spacing w:after="0"/>
              <w:rPr>
                <w:sz w:val="19"/>
                <w:szCs w:val="19"/>
                <w:color w:val="auto"/>
              </w:rPr>
            </w:pPr>
          </w:p>
        </w:tc>
      </w:tr>
      <w:tr>
        <w:trPr>
          <w:trHeight w:val="220"/>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Investments</w:t>
            </w:r>
          </w:p>
        </w:tc>
        <w:tc>
          <w:tcPr>
            <w:tcW w:w="860" w:type="dxa"/>
            <w:vAlign w:val="bottom"/>
          </w:tcPr>
          <w:p>
            <w:pPr>
              <w:spacing w:after="0"/>
              <w:rPr>
                <w:sz w:val="19"/>
                <w:szCs w:val="19"/>
                <w:color w:val="auto"/>
              </w:rPr>
            </w:pPr>
          </w:p>
        </w:tc>
        <w:tc>
          <w:tcPr>
            <w:tcW w:w="16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24,749</w:t>
            </w:r>
          </w:p>
        </w:tc>
        <w:tc>
          <w:tcPr>
            <w:tcW w:w="120" w:type="dxa"/>
            <w:vAlign w:val="bottom"/>
          </w:tcPr>
          <w:p>
            <w:pPr>
              <w:spacing w:after="0"/>
              <w:rPr>
                <w:sz w:val="19"/>
                <w:szCs w:val="19"/>
                <w:color w:val="auto"/>
              </w:rPr>
            </w:pPr>
          </w:p>
        </w:tc>
        <w:tc>
          <w:tcPr>
            <w:tcW w:w="1840" w:type="dxa"/>
            <w:vAlign w:val="bottom"/>
            <w:gridSpan w:val="5"/>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74,169</w:t>
            </w:r>
          </w:p>
        </w:tc>
        <w:tc>
          <w:tcPr>
            <w:tcW w:w="100" w:type="dxa"/>
            <w:vAlign w:val="bottom"/>
          </w:tcPr>
          <w:p>
            <w:pPr>
              <w:spacing w:after="0"/>
              <w:rPr>
                <w:sz w:val="19"/>
                <w:szCs w:val="19"/>
                <w:color w:val="auto"/>
              </w:rPr>
            </w:pPr>
          </w:p>
        </w:tc>
      </w:tr>
      <w:tr>
        <w:trPr>
          <w:trHeight w:val="239"/>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Contingent Consideration Payable</w:t>
            </w:r>
          </w:p>
        </w:tc>
        <w:tc>
          <w:tcPr>
            <w:tcW w:w="860" w:type="dxa"/>
            <w:vAlign w:val="bottom"/>
            <w:tcBorders>
              <w:right w:val="single" w:sz="8" w:color="CFF0FC"/>
            </w:tcBorders>
            <w:shd w:val="clear" w:color="auto" w:fill="CFF0FC"/>
          </w:tcPr>
          <w:p>
            <w:pPr>
              <w:spacing w:after="0"/>
              <w:rPr>
                <w:sz w:val="20"/>
                <w:szCs w:val="20"/>
                <w:color w:val="auto"/>
              </w:rPr>
            </w:pPr>
          </w:p>
        </w:tc>
        <w:tc>
          <w:tcPr>
            <w:tcW w:w="1680" w:type="dxa"/>
            <w:vAlign w:val="bottom"/>
            <w:tcBorders>
              <w:right w:val="single" w:sz="8" w:color="CFF0FC"/>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840" w:type="dxa"/>
            <w:vAlign w:val="bottom"/>
            <w:gridSpan w:val="5"/>
            <w:shd w:val="clear" w:color="auto" w:fill="CFF0FC"/>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(41,943 )</w:t>
            </w:r>
          </w:p>
        </w:tc>
        <w:tc>
          <w:tcPr>
            <w:tcW w:w="120" w:type="dxa"/>
            <w:vAlign w:val="bottom"/>
            <w:tcBorders>
              <w:right w:val="single" w:sz="8" w:color="CFF0FC"/>
            </w:tcBorders>
            <w:shd w:val="clear" w:color="auto" w:fill="CFF0FC"/>
          </w:tcPr>
          <w:p>
            <w:pPr>
              <w:spacing w:after="0"/>
              <w:rPr>
                <w:sz w:val="20"/>
                <w:szCs w:val="20"/>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(41,943 )</w:t>
            </w:r>
          </w:p>
        </w:tc>
      </w:tr>
      <w:tr>
        <w:trPr>
          <w:trHeight w:val="22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Warrant Liability</w:t>
            </w:r>
          </w:p>
        </w:tc>
        <w:tc>
          <w:tcPr>
            <w:tcW w:w="860" w:type="dxa"/>
            <w:vAlign w:val="bottom"/>
          </w:tcPr>
          <w:p>
            <w:pPr>
              <w:spacing w:after="0"/>
              <w:rPr>
                <w:sz w:val="19"/>
                <w:szCs w:val="19"/>
                <w:color w:val="auto"/>
              </w:rPr>
            </w:pPr>
          </w:p>
        </w:tc>
        <w:tc>
          <w:tcPr>
            <w:tcW w:w="16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840" w:type="dxa"/>
            <w:vAlign w:val="bottom"/>
            <w:gridSpan w:val="5"/>
          </w:tcPr>
          <w:p>
            <w:pPr>
              <w:jc w:val="right"/>
              <w:ind w:right="420"/>
              <w:spacing w:after="0" w:line="193" w:lineRule="exact"/>
              <w:rPr>
                <w:sz w:val="20"/>
                <w:szCs w:val="20"/>
                <w:color w:val="auto"/>
              </w:rPr>
            </w:pPr>
            <w:r>
              <w:rPr>
                <w:rFonts w:ascii="Calibri" w:cs="Calibri" w:eastAsia="Calibri" w:hAnsi="Calibri"/>
                <w:sz w:val="16"/>
                <w:szCs w:val="16"/>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(4,520 )</w:t>
            </w:r>
          </w:p>
        </w:tc>
        <w:tc>
          <w:tcPr>
            <w:tcW w:w="12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(4,520 )</w:t>
            </w:r>
          </w:p>
        </w:tc>
      </w:tr>
      <w:tr>
        <w:trPr>
          <w:trHeight w:val="266"/>
        </w:trPr>
        <w:tc>
          <w:tcPr>
            <w:tcW w:w="296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CFF0FC"/>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80" w:type="dxa"/>
            <w:vAlign w:val="bottom"/>
            <w:tcBorders>
              <w:top w:val="single" w:sz="8" w:color="auto"/>
              <w:bottom w:val="single" w:sz="8" w:color="auto"/>
              <w:right w:val="single" w:sz="8" w:color="CFF0FC"/>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202,431</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4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00" w:type="dxa"/>
            <w:vAlign w:val="bottom"/>
            <w:tcBorders>
              <w:top w:val="single" w:sz="8" w:color="auto"/>
              <w:bottom w:val="single" w:sz="8" w:color="auto"/>
            </w:tcBorders>
            <w:shd w:val="clear" w:color="auto" w:fill="CFF0FC"/>
          </w:tcPr>
          <w:p>
            <w:pPr>
              <w:spacing w:after="0"/>
              <w:rPr>
                <w:sz w:val="23"/>
                <w:szCs w:val="23"/>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2,957</w:t>
            </w:r>
          </w:p>
        </w:tc>
        <w:tc>
          <w:tcPr>
            <w:tcW w:w="100" w:type="dxa"/>
            <w:vAlign w:val="bottom"/>
            <w:tcBorders>
              <w:left w:val="single" w:sz="8" w:color="CFF0FC"/>
              <w:bottom w:val="single" w:sz="8" w:color="CFF0FC"/>
            </w:tcBorders>
            <w:shd w:val="clear" w:color="auto" w:fill="CFF0FC"/>
          </w:tcPr>
          <w:p>
            <w:pPr>
              <w:spacing w:after="0"/>
              <w:rPr>
                <w:sz w:val="23"/>
                <w:szCs w:val="23"/>
                <w:color w:val="auto"/>
              </w:rPr>
            </w:pPr>
          </w:p>
        </w:tc>
        <w:tc>
          <w:tcPr>
            <w:tcW w:w="120" w:type="dxa"/>
            <w:vAlign w:val="bottom"/>
            <w:tcBorders>
              <w:bottom w:val="single" w:sz="8" w:color="CFF0FC"/>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205,388</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450"/>
        </w:trPr>
        <w:tc>
          <w:tcPr>
            <w:tcW w:w="2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5"/>
          </w:tcPr>
          <w:p>
            <w:pPr>
              <w:jc w:val="center"/>
              <w:ind w:left="53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2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Pr>
          <w:p>
            <w:pPr>
              <w:spacing w:after="0"/>
              <w:rPr>
                <w:sz w:val="19"/>
                <w:szCs w:val="19"/>
                <w:color w:val="auto"/>
              </w:rPr>
            </w:pPr>
          </w:p>
        </w:tc>
        <w:tc>
          <w:tcPr>
            <w:tcW w:w="120" w:type="dxa"/>
            <w:vAlign w:val="bottom"/>
            <w:tcBorders>
              <w:top w:val="single" w:sz="8" w:color="auto"/>
            </w:tcBorders>
            <w:gridSpan w:val="2"/>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9"/>
                <w:szCs w:val="19"/>
                <w:color w:val="auto"/>
              </w:rPr>
            </w:pPr>
          </w:p>
        </w:tc>
      </w:tr>
      <w:tr>
        <w:trPr>
          <w:trHeight w:val="230"/>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right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230,420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FF0FC"/>
          </w:tcPr>
          <w:p>
            <w:pPr>
              <w:jc w:val="center"/>
              <w:ind w:left="1079"/>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FF0FC"/>
            </w:tcBorders>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230,420</w:t>
            </w:r>
          </w:p>
        </w:tc>
        <w:tc>
          <w:tcPr>
            <w:tcW w:w="100" w:type="dxa"/>
            <w:vAlign w:val="bottom"/>
            <w:shd w:val="clear" w:color="auto" w:fill="CFF0FC"/>
          </w:tcPr>
          <w:p>
            <w:pPr>
              <w:spacing w:after="0"/>
              <w:rPr>
                <w:sz w:val="19"/>
                <w:szCs w:val="19"/>
                <w:color w:val="auto"/>
              </w:rPr>
            </w:pPr>
          </w:p>
        </w:tc>
      </w:tr>
      <w:tr>
        <w:trPr>
          <w:trHeight w:val="220"/>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Investments</w:t>
            </w:r>
          </w:p>
        </w:tc>
        <w:tc>
          <w:tcPr>
            <w:tcW w:w="860" w:type="dxa"/>
            <w:vAlign w:val="bottom"/>
          </w:tcPr>
          <w:p>
            <w:pPr>
              <w:spacing w:after="0"/>
              <w:rPr>
                <w:sz w:val="19"/>
                <w:szCs w:val="19"/>
                <w:color w:val="auto"/>
              </w:rPr>
            </w:pP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44,117</w:t>
            </w:r>
          </w:p>
        </w:tc>
        <w:tc>
          <w:tcPr>
            <w:tcW w:w="120" w:type="dxa"/>
            <w:vAlign w:val="bottom"/>
          </w:tcPr>
          <w:p>
            <w:pPr>
              <w:spacing w:after="0"/>
              <w:rPr>
                <w:sz w:val="19"/>
                <w:szCs w:val="19"/>
                <w:color w:val="auto"/>
              </w:rPr>
            </w:pPr>
          </w:p>
        </w:tc>
        <w:tc>
          <w:tcPr>
            <w:tcW w:w="1840" w:type="dxa"/>
            <w:vAlign w:val="bottom"/>
            <w:gridSpan w:val="5"/>
          </w:tcPr>
          <w:p>
            <w:pPr>
              <w:jc w:val="center"/>
              <w:ind w:left="5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94,902</w:t>
            </w:r>
          </w:p>
        </w:tc>
        <w:tc>
          <w:tcPr>
            <w:tcW w:w="100" w:type="dxa"/>
            <w:vAlign w:val="bottom"/>
          </w:tcPr>
          <w:p>
            <w:pPr>
              <w:spacing w:after="0"/>
              <w:rPr>
                <w:sz w:val="19"/>
                <w:szCs w:val="19"/>
                <w:color w:val="auto"/>
              </w:rPr>
            </w:pPr>
          </w:p>
        </w:tc>
      </w:tr>
      <w:tr>
        <w:trPr>
          <w:trHeight w:val="239"/>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Contingent Consideration Payable</w:t>
            </w:r>
          </w:p>
        </w:tc>
        <w:tc>
          <w:tcPr>
            <w:tcW w:w="860" w:type="dxa"/>
            <w:vAlign w:val="bottom"/>
            <w:tcBorders>
              <w:right w:val="single" w:sz="8" w:color="CFF0FC"/>
            </w:tcBorders>
            <w:shd w:val="clear" w:color="auto" w:fill="CFF0FC"/>
          </w:tcPr>
          <w:p>
            <w:pPr>
              <w:spacing w:after="0"/>
              <w:rPr>
                <w:sz w:val="20"/>
                <w:szCs w:val="20"/>
                <w:color w:val="auto"/>
              </w:rPr>
            </w:pPr>
          </w:p>
        </w:tc>
        <w:tc>
          <w:tcPr>
            <w:tcW w:w="1680" w:type="dxa"/>
            <w:vAlign w:val="bottom"/>
            <w:tcBorders>
              <w:right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840" w:type="dxa"/>
            <w:vAlign w:val="bottom"/>
            <w:gridSpan w:val="5"/>
            <w:shd w:val="clear" w:color="auto" w:fill="CFF0FC"/>
          </w:tcPr>
          <w:p>
            <w:pPr>
              <w:jc w:val="center"/>
              <w:ind w:left="5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(83,865 )</w:t>
            </w:r>
          </w:p>
        </w:tc>
        <w:tc>
          <w:tcPr>
            <w:tcW w:w="120" w:type="dxa"/>
            <w:vAlign w:val="bottom"/>
            <w:tcBorders>
              <w:right w:val="single" w:sz="8" w:color="CFF0FC"/>
            </w:tcBorders>
            <w:shd w:val="clear" w:color="auto" w:fill="CFF0FC"/>
          </w:tcPr>
          <w:p>
            <w:pPr>
              <w:spacing w:after="0"/>
              <w:rPr>
                <w:sz w:val="20"/>
                <w:szCs w:val="20"/>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(83,865 )</w:t>
            </w:r>
          </w:p>
        </w:tc>
      </w:tr>
      <w:tr>
        <w:trPr>
          <w:trHeight w:val="220"/>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Warrant Liability</w:t>
            </w:r>
          </w:p>
        </w:tc>
        <w:tc>
          <w:tcPr>
            <w:tcW w:w="860" w:type="dxa"/>
            <w:vAlign w:val="bottom"/>
          </w:tcPr>
          <w:p>
            <w:pPr>
              <w:spacing w:after="0"/>
              <w:rPr>
                <w:sz w:val="19"/>
                <w:szCs w:val="19"/>
                <w:color w:val="auto"/>
              </w:rPr>
            </w:pP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540" w:type="dxa"/>
            <w:vAlign w:val="bottom"/>
            <w:gridSpan w:val="4"/>
          </w:tcPr>
          <w:p>
            <w:pPr>
              <w:jc w:val="center"/>
              <w:ind w:left="859"/>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(24,877 )</w:t>
            </w:r>
          </w:p>
        </w:tc>
        <w:tc>
          <w:tcPr>
            <w:tcW w:w="12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(24,877 )</w:t>
            </w:r>
          </w:p>
        </w:tc>
      </w:tr>
      <w:tr>
        <w:trPr>
          <w:trHeight w:val="23"/>
        </w:trPr>
        <w:tc>
          <w:tcPr>
            <w:tcW w:w="2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right w:val="single" w:sz="8" w:color="auto"/>
            </w:tcBorders>
            <w:gridSpan w:val="4"/>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Borders>
              <w:right w:val="single" w:sz="8" w:color="auto"/>
            </w:tcBorders>
            <w:gridSpan w:val="2"/>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0"/>
        </w:trPr>
        <w:tc>
          <w:tcPr>
            <w:tcW w:w="2960" w:type="dxa"/>
            <w:vAlign w:val="bottom"/>
            <w:tcBorders>
              <w:top w:val="single" w:sz="8" w:color="CFF0FC"/>
            </w:tcBorders>
            <w:shd w:val="clear" w:color="auto" w:fill="CFF0FC"/>
          </w:tcPr>
          <w:p>
            <w:pPr>
              <w:spacing w:after="0"/>
              <w:rPr>
                <w:sz w:val="20"/>
                <w:szCs w:val="20"/>
                <w:color w:val="auto"/>
              </w:rPr>
            </w:pPr>
          </w:p>
        </w:tc>
        <w:tc>
          <w:tcPr>
            <w:tcW w:w="860" w:type="dxa"/>
            <w:vAlign w:val="bottom"/>
            <w:tcBorders>
              <w:top w:val="single" w:sz="8" w:color="CFF0FC"/>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80" w:type="dxa"/>
            <w:vAlign w:val="bottom"/>
            <w:tcBorders>
              <w:top w:val="single" w:sz="8" w:color="auto"/>
              <w:right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274,537</w:t>
            </w:r>
          </w:p>
        </w:tc>
        <w:tc>
          <w:tcPr>
            <w:tcW w:w="12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top w:val="single" w:sz="8" w:color="auto"/>
            </w:tcBorders>
            <w:shd w:val="clear" w:color="auto" w:fill="CFF0FC"/>
          </w:tcPr>
          <w:p>
            <w:pPr>
              <w:jc w:val="center"/>
              <w:ind w:left="1079"/>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top w:val="single" w:sz="8" w:color="CFF0FC"/>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Borders>
              <w:top w:val="single" w:sz="8" w:color="CFF0FC"/>
            </w:tcBorders>
            <w:shd w:val="clear" w:color="auto" w:fill="CFF0FC"/>
          </w:tcPr>
          <w:p>
            <w:pPr>
              <w:spacing w:after="0"/>
              <w:rPr>
                <w:sz w:val="20"/>
                <w:szCs w:val="20"/>
                <w:color w:val="auto"/>
              </w:rPr>
            </w:pPr>
          </w:p>
        </w:tc>
        <w:tc>
          <w:tcPr>
            <w:tcW w:w="1220" w:type="dxa"/>
            <w:vAlign w:val="bottom"/>
            <w:tcBorders>
              <w:top w:val="single" w:sz="8" w:color="CFF0FC"/>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(57,957 ) $</w:t>
            </w:r>
          </w:p>
        </w:tc>
        <w:tc>
          <w:tcPr>
            <w:tcW w:w="132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216,580</w:t>
            </w:r>
          </w:p>
        </w:tc>
        <w:tc>
          <w:tcPr>
            <w:tcW w:w="100" w:type="dxa"/>
            <w:vAlign w:val="bottom"/>
            <w:tcBorders>
              <w:top w:val="single" w:sz="8" w:color="CFF0FC"/>
            </w:tcBorders>
            <w:shd w:val="clear" w:color="auto" w:fill="CFF0FC"/>
          </w:tcPr>
          <w:p>
            <w:pPr>
              <w:spacing w:after="0"/>
              <w:rPr>
                <w:sz w:val="20"/>
                <w:szCs w:val="20"/>
                <w:color w:val="auto"/>
              </w:rPr>
            </w:pPr>
          </w:p>
        </w:tc>
      </w:tr>
      <w:tr>
        <w:trPr>
          <w:trHeight w:val="20"/>
        </w:trPr>
        <w:tc>
          <w:tcPr>
            <w:tcW w:w="29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3747135</wp:posOffset>
            </wp:positionH>
            <wp:positionV relativeFrom="paragraph">
              <wp:posOffset>-2326640</wp:posOffset>
            </wp:positionV>
            <wp:extent cx="3042920" cy="18796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1">
                      <a:extLst>
                        <a:ext uri="{28A0092B-C50C-407E-A947-70E740481C1C}"/>
                      </a:extLst>
                    </a:blip>
                    <a:srcRect/>
                    <a:stretch>
                      <a:fillRect/>
                    </a:stretch>
                  </pic:blipFill>
                  <pic:spPr bwMode="auto">
                    <a:xfrm>
                      <a:off x="0" y="0"/>
                      <a:ext cx="3042920" cy="18796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-1413510</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-1396365</wp:posOffset>
            </wp:positionV>
            <wp:extent cx="6858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-1413510</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-1396365</wp:posOffset>
            </wp:positionV>
            <wp:extent cx="6858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-1413510</wp:posOffset>
            </wp:positionV>
            <wp:extent cx="6032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-1396365</wp:posOffset>
            </wp:positionV>
            <wp:extent cx="6032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-1413510</wp:posOffset>
            </wp:positionV>
            <wp:extent cx="6032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-1396365</wp:posOffset>
            </wp:positionV>
            <wp:extent cx="6032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3781425</wp:posOffset>
            </wp:positionH>
            <wp:positionV relativeFrom="paragraph">
              <wp:posOffset>-946150</wp:posOffset>
            </wp:positionV>
            <wp:extent cx="3008630" cy="18796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0">
                      <a:extLst>
                        <a:ext uri="{28A0092B-C50C-407E-A947-70E740481C1C}"/>
                      </a:extLst>
                    </a:blip>
                    <a:srcRect/>
                    <a:stretch>
                      <a:fillRect/>
                    </a:stretch>
                  </pic:blipFill>
                  <pic:spPr bwMode="auto">
                    <a:xfrm>
                      <a:off x="0" y="0"/>
                      <a:ext cx="3008630" cy="187960"/>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-24765</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-7620</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-179070</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-24765</wp:posOffset>
            </wp:positionV>
            <wp:extent cx="596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5969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-179070</wp:posOffset>
            </wp:positionV>
            <wp:extent cx="5969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-24765</wp:posOffset>
            </wp:positionV>
            <wp:extent cx="6032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032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9" w:name="page120"/>
    <w:bookmarkEnd w:id="11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43" w:lineRule="exact"/>
        <w:rPr>
          <w:sz w:val="20"/>
          <w:szCs w:val="20"/>
          <w:color w:val="auto"/>
        </w:rPr>
      </w:pPr>
    </w:p>
    <w:p>
      <w:pPr>
        <w:ind w:left="540" w:hanging="532"/>
        <w:spacing w:after="0"/>
        <w:tabs>
          <w:tab w:leader="none" w:pos="54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FAIR VALUE MEASUREMENTS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 Remeasurement of Contingent Consideration Arrangements</w:t>
      </w:r>
    </w:p>
    <w:p>
      <w:pPr>
        <w:spacing w:after="0" w:line="121" w:lineRule="exact"/>
        <w:rPr>
          <w:sz w:val="20"/>
          <w:szCs w:val="20"/>
          <w:color w:val="auto"/>
        </w:rPr>
      </w:pPr>
    </w:p>
    <w:p>
      <w:pPr>
        <w:ind w:left="520" w:right="20"/>
        <w:spacing w:after="0" w:line="256" w:lineRule="auto"/>
        <w:rPr>
          <w:sz w:val="20"/>
          <w:szCs w:val="20"/>
          <w:color w:val="auto"/>
        </w:rPr>
      </w:pPr>
      <w:r>
        <w:rPr>
          <w:rFonts w:ascii="Times New Roman" w:cs="Times New Roman" w:eastAsia="Times New Roman" w:hAnsi="Times New Roman"/>
          <w:sz w:val="18"/>
          <w:szCs w:val="18"/>
          <w:color w:val="auto"/>
        </w:rPr>
        <w:t>The Company remeasured its contingent consideration arrangements associated with its 2021 acquisitions of Mobley Pain Management and Wellness Center LLC and Canwell Processing LLC (collectively “Summit”) and GreenStar Herbals Inc. (“GreenStar”) using Monte Carlo simulation models. During the years ended December 31, 2022 and 2021, the remeasurement resulted in a net gain of $35,200 thousand and $11,900 thousand, respectively. The change in the fair value of the contingent consideration was driven by a change in management's estimates and projections of the acquired entities' ability to achieve the performance targets as agreed to in the 2021 acquisition agreements along with the change in fair value of the shares to be issued.</w:t>
      </w:r>
    </w:p>
    <w:p>
      <w:pPr>
        <w:spacing w:after="0" w:line="79" w:lineRule="exact"/>
        <w:rPr>
          <w:sz w:val="20"/>
          <w:szCs w:val="20"/>
          <w:color w:val="auto"/>
        </w:rPr>
      </w:pPr>
    </w:p>
    <w:p>
      <w:pPr>
        <w:ind w:left="520" w:right="140"/>
        <w:spacing w:after="0" w:line="266" w:lineRule="auto"/>
        <w:rPr>
          <w:sz w:val="20"/>
          <w:szCs w:val="20"/>
          <w:color w:val="auto"/>
        </w:rPr>
      </w:pPr>
      <w:r>
        <w:rPr>
          <w:rFonts w:ascii="Times New Roman" w:cs="Times New Roman" w:eastAsia="Times New Roman" w:hAnsi="Times New Roman"/>
          <w:sz w:val="18"/>
          <w:szCs w:val="18"/>
          <w:color w:val="auto"/>
        </w:rPr>
        <w:t>The remeasurement gains were recorded, net, within selling, general, and administrative expenses on the Company's consolidated statements of operations. Significant assumptions used in the Company's December 31, 2022 and 2021 remeasurement included Green Thumb's stock price as of December 31, 2022 and 2021 and projected earnings metrics and revenue targets as of each period then ended.</w:t>
      </w:r>
    </w:p>
    <w:p>
      <w:pPr>
        <w:spacing w:after="0" w:line="320" w:lineRule="exact"/>
        <w:rPr>
          <w:sz w:val="20"/>
          <w:szCs w:val="20"/>
          <w:color w:val="auto"/>
        </w:rPr>
      </w:pPr>
    </w:p>
    <w:p>
      <w:pPr>
        <w:ind w:left="540" w:hanging="532"/>
        <w:spacing w:after="0"/>
        <w:tabs>
          <w:tab w:leader="none" w:pos="54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summarized financial information about the Company’s consolidated variable interest entities (“VIEs”) which are included in the consolidated balance sheets as of December 31, 2022 and 2021. All of these entities were determined to be VIEs as the Company possesses the power to direct activities through management services agreements (“MSAs”):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7"/>
                <w:szCs w:val="17"/>
                <w:color w:val="auto"/>
              </w:rPr>
            </w:pPr>
          </w:p>
        </w:tc>
      </w:tr>
      <w:tr>
        <w:trPr>
          <w:trHeight w:val="225"/>
        </w:trPr>
        <w:tc>
          <w:tcPr>
            <w:tcW w:w="3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ILDISP</w:t>
            </w:r>
          </w:p>
        </w:tc>
        <w:tc>
          <w:tcPr>
            <w:tcW w:w="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tcBorders>
              <w:bottom w:val="single" w:sz="8" w:color="auto"/>
            </w:tcBorders>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Non-material VIEs</w:t>
            </w:r>
          </w:p>
        </w:tc>
        <w:tc>
          <w:tcPr>
            <w:tcW w:w="340" w:type="dxa"/>
            <w:vAlign w:val="bottom"/>
          </w:tcPr>
          <w:p>
            <w:pPr>
              <w:spacing w:after="0"/>
              <w:rPr>
                <w:sz w:val="19"/>
                <w:szCs w:val="19"/>
                <w:color w:val="auto"/>
              </w:rPr>
            </w:pPr>
          </w:p>
        </w:tc>
        <w:tc>
          <w:tcPr>
            <w:tcW w:w="13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ILDISP</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Non-material VIEs</w:t>
            </w:r>
          </w:p>
        </w:tc>
        <w:tc>
          <w:tcPr>
            <w:tcW w:w="100" w:type="dxa"/>
            <w:vAlign w:val="bottom"/>
          </w:tcPr>
          <w:p>
            <w:pPr>
              <w:spacing w:after="0"/>
              <w:rPr>
                <w:sz w:val="19"/>
                <w:szCs w:val="19"/>
                <w:color w:val="auto"/>
              </w:rPr>
            </w:pPr>
          </w:p>
        </w:tc>
      </w:tr>
      <w:tr>
        <w:trPr>
          <w:trHeight w:val="223"/>
        </w:trPr>
        <w:tc>
          <w:tcPr>
            <w:tcW w:w="3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w w:val="98"/>
              </w:rPr>
              <w:t>December 31, 2022</w:t>
            </w:r>
          </w:p>
        </w:tc>
        <w:tc>
          <w:tcPr>
            <w:tcW w:w="11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540" w:type="dxa"/>
            <w:vAlign w:val="bottom"/>
            <w:tcBorders>
              <w:bottom w:val="single" w:sz="8" w:color="auto"/>
            </w:tcBorders>
            <w:gridSpan w:val="4"/>
          </w:tcPr>
          <w:p>
            <w:pPr>
              <w:jc w:val="right"/>
              <w:ind w:right="103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00" w:type="dxa"/>
            <w:vAlign w:val="bottom"/>
          </w:tcPr>
          <w:p>
            <w:pPr>
              <w:spacing w:after="0"/>
              <w:rPr>
                <w:sz w:val="19"/>
                <w:szCs w:val="19"/>
                <w:color w:val="auto"/>
              </w:rPr>
            </w:pPr>
          </w:p>
        </w:tc>
      </w:tr>
      <w:tr>
        <w:trPr>
          <w:trHeight w:val="223"/>
        </w:trPr>
        <w:tc>
          <w:tcPr>
            <w:tcW w:w="3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1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540" w:type="dxa"/>
            <w:vAlign w:val="bottom"/>
            <w:tcBorders>
              <w:bottom w:val="single" w:sz="8" w:color="auto"/>
            </w:tcBorders>
            <w:gridSpan w:val="4"/>
          </w:tcPr>
          <w:p>
            <w:pPr>
              <w:jc w:val="right"/>
              <w:ind w:right="119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9"/>
                <w:szCs w:val="19"/>
                <w:color w:val="auto"/>
              </w:rPr>
            </w:pPr>
          </w:p>
        </w:tc>
      </w:tr>
      <w:tr>
        <w:trPr>
          <w:trHeight w:val="229"/>
        </w:trPr>
        <w:tc>
          <w:tcPr>
            <w:tcW w:w="3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1,294</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4,118</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100" w:type="dxa"/>
            <w:vAlign w:val="bottom"/>
            <w:shd w:val="clear" w:color="auto" w:fill="CFF0FC"/>
          </w:tcPr>
          <w:p>
            <w:pPr>
              <w:spacing w:after="0"/>
              <w:rPr>
                <w:sz w:val="19"/>
                <w:szCs w:val="19"/>
                <w:color w:val="auto"/>
              </w:rPr>
            </w:pPr>
          </w:p>
        </w:tc>
      </w:tr>
      <w:tr>
        <w:trPr>
          <w:trHeight w:val="220"/>
        </w:trPr>
        <w:tc>
          <w:tcPr>
            <w:tcW w:w="3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Non-current assets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6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1,909</w:t>
            </w: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1,761</w:t>
            </w:r>
          </w:p>
        </w:tc>
        <w:tc>
          <w:tcPr>
            <w:tcW w:w="100" w:type="dxa"/>
            <w:vAlign w:val="bottom"/>
          </w:tcPr>
          <w:p>
            <w:pPr>
              <w:spacing w:after="0"/>
              <w:rPr>
                <w:sz w:val="19"/>
                <w:szCs w:val="19"/>
                <w:color w:val="auto"/>
              </w:rPr>
            </w:pPr>
          </w:p>
        </w:tc>
      </w:tr>
      <w:tr>
        <w:trPr>
          <w:trHeight w:val="239"/>
        </w:trPr>
        <w:tc>
          <w:tcPr>
            <w:tcW w:w="3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36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3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10,719</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854</w:t>
            </w:r>
          </w:p>
        </w:tc>
        <w:tc>
          <w:tcPr>
            <w:tcW w:w="100" w:type="dxa"/>
            <w:vAlign w:val="bottom"/>
            <w:shd w:val="clear" w:color="auto" w:fill="CFF0FC"/>
          </w:tcPr>
          <w:p>
            <w:pPr>
              <w:spacing w:after="0"/>
              <w:rPr>
                <w:sz w:val="20"/>
                <w:szCs w:val="20"/>
                <w:color w:val="auto"/>
              </w:rPr>
            </w:pPr>
          </w:p>
        </w:tc>
      </w:tr>
      <w:tr>
        <w:trPr>
          <w:trHeight w:val="220"/>
        </w:trPr>
        <w:tc>
          <w:tcPr>
            <w:tcW w:w="3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Non-current liabilities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6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00" w:type="dxa"/>
            <w:vAlign w:val="bottom"/>
          </w:tcPr>
          <w:p>
            <w:pPr>
              <w:spacing w:after="0"/>
              <w:rPr>
                <w:sz w:val="19"/>
                <w:szCs w:val="19"/>
                <w:color w:val="auto"/>
              </w:rPr>
            </w:pPr>
          </w:p>
        </w:tc>
      </w:tr>
      <w:tr>
        <w:trPr>
          <w:trHeight w:val="239"/>
        </w:trPr>
        <w:tc>
          <w:tcPr>
            <w:tcW w:w="3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36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34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(1,862 )</w:t>
            </w:r>
          </w:p>
        </w:tc>
        <w:tc>
          <w:tcPr>
            <w:tcW w:w="300" w:type="dxa"/>
            <w:vAlign w:val="bottom"/>
            <w:shd w:val="clear" w:color="auto" w:fill="CFF0FC"/>
          </w:tcPr>
          <w:p>
            <w:pPr>
              <w:spacing w:after="0"/>
              <w:rPr>
                <w:sz w:val="20"/>
                <w:szCs w:val="20"/>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shd w:val="clear" w:color="auto" w:fill="CFF0FC"/>
          </w:tcPr>
          <w:p>
            <w:pPr>
              <w:spacing w:after="0"/>
              <w:rPr>
                <w:sz w:val="20"/>
                <w:szCs w:val="20"/>
                <w:color w:val="auto"/>
              </w:rPr>
            </w:pPr>
          </w:p>
        </w:tc>
      </w:tr>
      <w:tr>
        <w:trPr>
          <w:trHeight w:val="210"/>
        </w:trPr>
        <w:tc>
          <w:tcPr>
            <w:tcW w:w="3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Equity attributable to Green Thumb Industries Inc.</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34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(1,862 )</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100" w:type="dxa"/>
            <w:vAlign w:val="bottom"/>
          </w:tcPr>
          <w:p>
            <w:pPr>
              <w:spacing w:after="0"/>
              <w:rPr>
                <w:sz w:val="18"/>
                <w:szCs w:val="18"/>
                <w:color w:val="auto"/>
              </w:rPr>
            </w:pPr>
          </w:p>
        </w:tc>
      </w:tr>
    </w:tbl>
    <w:p>
      <w:pPr>
        <w:spacing w:after="0" w:line="24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March 1, 2022, the Company acquired the remaining 50% minority interest in ILDISP, for $11,857 thousand in cash and the issuance of 128,218 shares of Green Thumb, which had a fair value of $2,379 thousand. As a result, the remaining equity associated with the noncontrolling interest was closed to accumulated surplus (deficit) of Green Thumb as of March 1, 2022.</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Acquisitions for additional details.</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September 1, 2021, the Company acquired the remaining minority interest in Meshow, LLC, a retail store located in Maryland, for $950 thousand in cash and the issuance of 136,075 shares of Green Thumb, which had a fair value of $4,070 thousand, based on the closing price of Green Thumb’s Subordinate Voting Shares as traded on the CSE on the date of the transaction. As a result, the remaining equity associated with the non controlling interest was closed to share capital of Green Thumb as of September 1, 2021.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December 31, 2020, the MSA for Chesapeake Alternatives, LLC was amended and restated to make GTI Maryland, LLC, the sole member of the entity.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the remaining equity associated with the non controlling interest was closed to share capital of Green Thumb as of December 31, 2020.</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0" w:name="page121"/>
    <w:bookmarkEnd w:id="12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43" w:lineRule="exact"/>
        <w:rPr>
          <w:sz w:val="20"/>
          <w:szCs w:val="20"/>
          <w:color w:val="auto"/>
        </w:rPr>
      </w:pPr>
    </w:p>
    <w:p>
      <w:pPr>
        <w:ind w:left="540" w:hanging="532"/>
        <w:spacing w:after="0"/>
        <w:tabs>
          <w:tab w:leader="none" w:pos="54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VARIABLE INTEREST ENTITIES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summarized financial information about the Company’s VIEs which are included in the consolidated statements of operations for the years ended December 31, 2022, 2021 and 2020:</w:t>
      </w:r>
    </w:p>
    <w:p>
      <w:pPr>
        <w:spacing w:after="0" w:line="205" w:lineRule="exact"/>
        <w:rPr>
          <w:sz w:val="20"/>
          <w:szCs w:val="20"/>
          <w:color w:val="auto"/>
        </w:rPr>
      </w:pPr>
    </w:p>
    <w:tbl>
      <w:tblPr>
        <w:tblLayout w:type="fixed"/>
        <w:tblInd w:w="180" w:type="dxa"/>
        <w:tblCellMar>
          <w:top w:w="0" w:type="dxa"/>
          <w:left w:w="0" w:type="dxa"/>
          <w:bottom w:w="0" w:type="dxa"/>
          <w:right w:w="0" w:type="dxa"/>
        </w:tblCellMar>
      </w:tblPr>
      <w:tr>
        <w:trPr>
          <w:trHeight w:val="225"/>
        </w:trPr>
        <w:tc>
          <w:tcPr>
            <w:tcW w:w="2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20" w:type="dxa"/>
            <w:vAlign w:val="bottom"/>
            <w:gridSpan w:val="5"/>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gridSpan w:val="2"/>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80" w:type="dxa"/>
            <w:vAlign w:val="bottom"/>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gridSpan w:val="2"/>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Chesapeake</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Non-</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Non-material</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Non-material</w:t>
            </w:r>
          </w:p>
        </w:tc>
        <w:tc>
          <w:tcPr>
            <w:tcW w:w="2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Alternatives,</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material</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ILDISP</w:t>
            </w:r>
          </w:p>
        </w:tc>
        <w:tc>
          <w:tcPr>
            <w:tcW w:w="28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VIEs</w:t>
            </w:r>
          </w:p>
        </w:tc>
        <w:tc>
          <w:tcPr>
            <w:tcW w:w="280" w:type="dxa"/>
            <w:vAlign w:val="bottom"/>
          </w:tcPr>
          <w:p>
            <w:pPr>
              <w:spacing w:after="0"/>
              <w:rPr>
                <w:sz w:val="19"/>
                <w:szCs w:val="19"/>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ILDISP</w:t>
            </w:r>
          </w:p>
        </w:tc>
        <w:tc>
          <w:tcPr>
            <w:tcW w:w="240" w:type="dxa"/>
            <w:vAlign w:val="bottom"/>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VIEs</w:t>
            </w:r>
          </w:p>
        </w:tc>
        <w:tc>
          <w:tcPr>
            <w:tcW w:w="20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LLC</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ILDISP</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VIEs</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(in</w:t>
            </w:r>
          </w:p>
        </w:tc>
        <w:tc>
          <w:tcPr>
            <w:tcW w:w="1400" w:type="dxa"/>
            <w:vAlign w:val="bottom"/>
            <w:tcBorders>
              <w:bottom w:val="single" w:sz="8" w:color="auto"/>
            </w:tcBorders>
            <w:gridSpan w:val="2"/>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w w:val="96"/>
              </w:rPr>
              <w:t>thousands)</w:t>
            </w:r>
          </w:p>
        </w:tc>
        <w:tc>
          <w:tcPr>
            <w:tcW w:w="280" w:type="dxa"/>
            <w:vAlign w:val="bottom"/>
          </w:tcPr>
          <w:p>
            <w:pPr>
              <w:spacing w:after="0"/>
              <w:rPr>
                <w:sz w:val="19"/>
                <w:szCs w:val="19"/>
                <w:color w:val="auto"/>
              </w:rPr>
            </w:pPr>
          </w:p>
        </w:tc>
        <w:tc>
          <w:tcPr>
            <w:tcW w:w="2260" w:type="dxa"/>
            <w:vAlign w:val="bottom"/>
            <w:tcBorders>
              <w:bottom w:val="single" w:sz="8" w:color="auto"/>
            </w:tcBorders>
            <w:gridSpan w:val="3"/>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 Net of Discounts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3,543</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9,077</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24,420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19,725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18,694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attributable to</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1,215</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3,565</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1,362</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attributable to Green</w:t>
            </w:r>
          </w:p>
        </w:tc>
        <w:tc>
          <w:tcPr>
            <w:tcW w:w="26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28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2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3,565</w:t>
            </w:r>
          </w:p>
        </w:tc>
        <w:tc>
          <w:tcPr>
            <w:tcW w:w="24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2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4,577</w:t>
            </w:r>
          </w:p>
        </w:tc>
        <w:tc>
          <w:tcPr>
            <w:tcW w:w="22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3,035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Thumb Industries Inc.</w:t>
            </w:r>
          </w:p>
        </w:tc>
        <w:tc>
          <w:tcPr>
            <w:tcW w:w="260" w:type="dxa"/>
            <w:vAlign w:val="bottom"/>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2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924</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2,247</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7,130</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3,075</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4,988</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6,069</w:t>
            </w: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1,214</w:t>
            </w:r>
          </w:p>
        </w:tc>
        <w:tc>
          <w:tcPr>
            <w:tcW w:w="12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-1734820</wp:posOffset>
            </wp:positionV>
            <wp:extent cx="5335905" cy="10160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6">
                      <a:extLst>
                        <a:ext uri="{28A0092B-C50C-407E-A947-70E740481C1C}"/>
                      </a:extLst>
                    </a:blip>
                    <a:srcRect/>
                    <a:stretch>
                      <a:fillRect/>
                    </a:stretch>
                  </pic:blipFill>
                  <pic:spPr bwMode="auto">
                    <a:xfrm>
                      <a:off x="0" y="0"/>
                      <a:ext cx="5335905" cy="1016000"/>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-24765</wp:posOffset>
            </wp:positionV>
            <wp:extent cx="7683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-7620</wp:posOffset>
            </wp:positionV>
            <wp:extent cx="7683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-24765</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-7620</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-24765</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-7620</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-24765</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-24765</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-7620</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685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-7620</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-24765</wp:posOffset>
            </wp:positionV>
            <wp:extent cx="685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-7620</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December 31, 2022 and 2021, VIEs included in the Other Non-material VIEs are Bluepoint Wellness of Westport LLC. As of December 31, 2020, VIEs included in the Other Non-material VIEs are Bluepoint Wellness of Westport, LLC and Meshow, LLC.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change in the consolidated VIEs and Other Noncontrolling Interest are as follows for the years ended December 31, 2022 and 2021:</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2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2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4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ILDISP</w:t>
            </w:r>
          </w:p>
        </w:tc>
        <w:tc>
          <w:tcPr>
            <w:tcW w:w="260" w:type="dxa"/>
            <w:vAlign w:val="bottom"/>
          </w:tcPr>
          <w:p>
            <w:pPr>
              <w:spacing w:after="0"/>
              <w:rPr>
                <w:sz w:val="19"/>
                <w:szCs w:val="19"/>
                <w:color w:val="auto"/>
              </w:rPr>
            </w:pPr>
          </w:p>
        </w:tc>
        <w:tc>
          <w:tcPr>
            <w:tcW w:w="15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Non-material VIEs</w:t>
            </w:r>
          </w:p>
        </w:tc>
        <w:tc>
          <w:tcPr>
            <w:tcW w:w="200" w:type="dxa"/>
            <w:vAlign w:val="bottom"/>
          </w:tcPr>
          <w:p>
            <w:pPr>
              <w:spacing w:after="0"/>
              <w:rPr>
                <w:sz w:val="19"/>
                <w:szCs w:val="19"/>
                <w:color w:val="auto"/>
              </w:rPr>
            </w:pPr>
          </w:p>
        </w:tc>
        <w:tc>
          <w:tcPr>
            <w:tcW w:w="13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30"/>
        </w:trPr>
        <w:tc>
          <w:tcPr>
            <w:tcW w:w="42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Balance as at January 1, 2021</w:t>
            </w:r>
          </w:p>
        </w:tc>
        <w:tc>
          <w:tcPr>
            <w:tcW w:w="2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60" w:type="dxa"/>
            <w:vAlign w:val="bottom"/>
            <w:tcBorders>
              <w:bottom w:val="single" w:sz="8" w:color="auto"/>
            </w:tcBorders>
          </w:tcPr>
          <w:p>
            <w:pPr>
              <w:spacing w:after="0"/>
              <w:rPr>
                <w:sz w:val="19"/>
                <w:szCs w:val="19"/>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4260" w:type="dxa"/>
            <w:vAlign w:val="bottom"/>
            <w:vMerge w:val="continue"/>
          </w:tcPr>
          <w:p>
            <w:pPr>
              <w:spacing w:after="0"/>
              <w:rPr>
                <w:sz w:val="22"/>
                <w:szCs w:val="22"/>
                <w:color w:val="auto"/>
              </w:rPr>
            </w:pPr>
          </w:p>
        </w:tc>
        <w:tc>
          <w:tcPr>
            <w:tcW w:w="2060" w:type="dxa"/>
            <w:vAlign w:val="bottom"/>
            <w:vMerge w:val="continue"/>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3,174</w:t>
            </w:r>
          </w:p>
        </w:tc>
        <w:tc>
          <w:tcPr>
            <w:tcW w:w="260" w:type="dxa"/>
            <w:vAlign w:val="bottom"/>
            <w:vMerge w:val="continue"/>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200" w:type="dxa"/>
            <w:vAlign w:val="bottom"/>
            <w:vMerge w:val="continue"/>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3,537</w:t>
            </w:r>
          </w:p>
        </w:tc>
        <w:tc>
          <w:tcPr>
            <w:tcW w:w="0" w:type="dxa"/>
            <w:vAlign w:val="bottom"/>
          </w:tcPr>
          <w:p>
            <w:pPr>
              <w:spacing w:after="0"/>
              <w:rPr>
                <w:sz w:val="1"/>
                <w:szCs w:val="1"/>
                <w:color w:val="auto"/>
              </w:rPr>
            </w:pPr>
          </w:p>
        </w:tc>
      </w:tr>
      <w:tr>
        <w:trPr>
          <w:trHeight w:val="280"/>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Distributions</w:t>
            </w:r>
          </w:p>
        </w:tc>
        <w:tc>
          <w:tcPr>
            <w:tcW w:w="206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(8,600)</w:t>
            </w: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(2,428)</w:t>
            </w: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(11,028)</w:t>
            </w:r>
          </w:p>
        </w:tc>
        <w:tc>
          <w:tcPr>
            <w:tcW w:w="0" w:type="dxa"/>
            <w:vAlign w:val="bottom"/>
          </w:tcPr>
          <w:p>
            <w:pPr>
              <w:spacing w:after="0"/>
              <w:rPr>
                <w:sz w:val="1"/>
                <w:szCs w:val="1"/>
                <w:color w:val="auto"/>
              </w:rPr>
            </w:pPr>
          </w:p>
        </w:tc>
      </w:tr>
      <w:tr>
        <w:trPr>
          <w:trHeight w:val="260"/>
        </w:trPr>
        <w:tc>
          <w:tcPr>
            <w:tcW w:w="4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 (loss)</w:t>
            </w:r>
          </w:p>
        </w:tc>
        <w:tc>
          <w:tcPr>
            <w:tcW w:w="20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3,565</w:t>
            </w:r>
          </w:p>
        </w:tc>
        <w:tc>
          <w:tcPr>
            <w:tcW w:w="2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4,927</w:t>
            </w:r>
          </w:p>
        </w:tc>
        <w:tc>
          <w:tcPr>
            <w:tcW w:w="0" w:type="dxa"/>
            <w:vAlign w:val="bottom"/>
          </w:tcPr>
          <w:p>
            <w:pPr>
              <w:spacing w:after="0"/>
              <w:rPr>
                <w:sz w:val="1"/>
                <w:szCs w:val="1"/>
                <w:color w:val="auto"/>
              </w:rPr>
            </w:pPr>
          </w:p>
        </w:tc>
      </w:tr>
      <w:tr>
        <w:trPr>
          <w:trHeight w:val="273"/>
        </w:trPr>
        <w:tc>
          <w:tcPr>
            <w:tcW w:w="4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Changes in ownership</w:t>
            </w:r>
          </w:p>
        </w:tc>
        <w:tc>
          <w:tcPr>
            <w:tcW w:w="20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0" w:type="dxa"/>
            <w:vAlign w:val="bottom"/>
          </w:tcPr>
          <w:p>
            <w:pPr>
              <w:spacing w:after="0"/>
              <w:rPr>
                <w:sz w:val="1"/>
                <w:szCs w:val="1"/>
                <w:color w:val="auto"/>
              </w:rPr>
            </w:pPr>
          </w:p>
        </w:tc>
      </w:tr>
      <w:tr>
        <w:trPr>
          <w:trHeight w:val="263"/>
        </w:trPr>
        <w:tc>
          <w:tcPr>
            <w:tcW w:w="42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Balance as at December 31, 2021</w:t>
            </w:r>
          </w:p>
        </w:tc>
        <w:tc>
          <w:tcPr>
            <w:tcW w:w="2060" w:type="dxa"/>
            <w:vAlign w:val="bottom"/>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(1,861)</w:t>
            </w:r>
          </w:p>
        </w:tc>
        <w:tc>
          <w:tcPr>
            <w:tcW w:w="260" w:type="dxa"/>
            <w:vAlign w:val="bottom"/>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223</w:t>
            </w:r>
          </w:p>
        </w:tc>
        <w:tc>
          <w:tcPr>
            <w:tcW w:w="200" w:type="dxa"/>
            <w:vAlign w:val="bottom"/>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(1,638)</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Distributions</w:t>
            </w:r>
          </w:p>
        </w:tc>
        <w:tc>
          <w:tcPr>
            <w:tcW w:w="20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(13,957)</w:t>
            </w:r>
          </w:p>
        </w:tc>
        <w:tc>
          <w:tcPr>
            <w:tcW w:w="2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(14,879)</w:t>
            </w:r>
          </w:p>
        </w:tc>
        <w:tc>
          <w:tcPr>
            <w:tcW w:w="0" w:type="dxa"/>
            <w:vAlign w:val="bottom"/>
          </w:tcPr>
          <w:p>
            <w:pPr>
              <w:spacing w:after="0"/>
              <w:rPr>
                <w:sz w:val="1"/>
                <w:szCs w:val="1"/>
                <w:color w:val="auto"/>
              </w:rPr>
            </w:pPr>
          </w:p>
        </w:tc>
      </w:tr>
      <w:tr>
        <w:trPr>
          <w:trHeight w:val="260"/>
        </w:trPr>
        <w:tc>
          <w:tcPr>
            <w:tcW w:w="4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 (loss)</w:t>
            </w:r>
          </w:p>
        </w:tc>
        <w:tc>
          <w:tcPr>
            <w:tcW w:w="20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2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1,677</w:t>
            </w:r>
          </w:p>
        </w:tc>
        <w:tc>
          <w:tcPr>
            <w:tcW w:w="0" w:type="dxa"/>
            <w:vAlign w:val="bottom"/>
          </w:tcPr>
          <w:p>
            <w:pPr>
              <w:spacing w:after="0"/>
              <w:rPr>
                <w:sz w:val="1"/>
                <w:szCs w:val="1"/>
                <w:color w:val="auto"/>
              </w:rPr>
            </w:pPr>
          </w:p>
        </w:tc>
      </w:tr>
      <w:tr>
        <w:trPr>
          <w:trHeight w:val="273"/>
        </w:trPr>
        <w:tc>
          <w:tcPr>
            <w:tcW w:w="4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Changes in ownership</w:t>
            </w:r>
          </w:p>
        </w:tc>
        <w:tc>
          <w:tcPr>
            <w:tcW w:w="20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15,356</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15,356</w:t>
            </w:r>
          </w:p>
        </w:tc>
        <w:tc>
          <w:tcPr>
            <w:tcW w:w="0" w:type="dxa"/>
            <w:vAlign w:val="bottom"/>
          </w:tcPr>
          <w:p>
            <w:pPr>
              <w:spacing w:after="0"/>
              <w:rPr>
                <w:sz w:val="1"/>
                <w:szCs w:val="1"/>
                <w:color w:val="auto"/>
              </w:rPr>
            </w:pPr>
          </w:p>
        </w:tc>
      </w:tr>
      <w:tr>
        <w:trPr>
          <w:trHeight w:val="263"/>
        </w:trPr>
        <w:tc>
          <w:tcPr>
            <w:tcW w:w="42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Balance as at December 31, 2022</w:t>
            </w: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516</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516</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-925195</wp:posOffset>
            </wp:positionV>
            <wp:extent cx="163195" cy="20574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1">
                      <a:extLst>
                        <a:ext uri="{28A0092B-C50C-407E-A947-70E740481C1C}"/>
                      </a:extLst>
                    </a:blip>
                    <a:srcRect/>
                    <a:stretch>
                      <a:fillRect/>
                    </a:stretch>
                  </pic:blipFill>
                  <pic:spPr bwMode="auto">
                    <a:xfrm>
                      <a:off x="0" y="0"/>
                      <a:ext cx="163195" cy="20574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-925195</wp:posOffset>
            </wp:positionV>
            <wp:extent cx="137160" cy="20574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2">
                      <a:extLst>
                        <a:ext uri="{28A0092B-C50C-407E-A947-70E740481C1C}"/>
                      </a:extLst>
                    </a:blip>
                    <a:srcRect/>
                    <a:stretch>
                      <a:fillRect/>
                    </a:stretch>
                  </pic:blipFill>
                  <pic:spPr bwMode="auto">
                    <a:xfrm>
                      <a:off x="0" y="0"/>
                      <a:ext cx="137160" cy="20574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-205105</wp:posOffset>
            </wp:positionV>
            <wp:extent cx="163195" cy="20574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3">
                      <a:extLst>
                        <a:ext uri="{28A0092B-C50C-407E-A947-70E740481C1C}"/>
                      </a:extLst>
                    </a:blip>
                    <a:srcRect/>
                    <a:stretch>
                      <a:fillRect/>
                    </a:stretch>
                  </pic:blipFill>
                  <pic:spPr bwMode="auto">
                    <a:xfrm>
                      <a:off x="0" y="0"/>
                      <a:ext cx="163195" cy="20574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-205105</wp:posOffset>
            </wp:positionV>
            <wp:extent cx="137160" cy="20574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4">
                      <a:extLst>
                        <a:ext uri="{28A0092B-C50C-407E-A947-70E740481C1C}"/>
                      </a:extLst>
                    </a:blip>
                    <a:srcRect/>
                    <a:stretch>
                      <a:fillRect/>
                    </a:stretch>
                  </pic:blipFill>
                  <pic:spPr bwMode="auto">
                    <a:xfrm>
                      <a:off x="0" y="0"/>
                      <a:ext cx="137160" cy="205740"/>
                    </a:xfrm>
                    <a:prstGeom prst="rect">
                      <a:avLst/>
                    </a:prstGeom>
                    <a:noFill/>
                  </pic:spPr>
                </pic:pic>
              </a:graphicData>
            </a:graphic>
          </wp:anchor>
        </w:drawing>
      </w:r>
    </w:p>
    <w:p>
      <w:pPr>
        <w:spacing w:after="0" w:line="3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121" w:name="page122"/>
    <w:bookmarkEnd w:id="12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03" w:lineRule="exact"/>
        <w:rPr>
          <w:sz w:val="20"/>
          <w:szCs w:val="20"/>
          <w:color w:val="auto"/>
        </w:rPr>
      </w:pPr>
    </w:p>
    <w:p>
      <w:pPr>
        <w:ind w:left="540" w:hanging="532"/>
        <w:spacing w:after="0"/>
        <w:tabs>
          <w:tab w:leader="none" w:pos="54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operates in two segments: the cultivation, production and sale of cannabis products to retail stores (“Consumer Packaged Goods”) and retailing of cannabis to patients and consumers (“Retail”). The Company does not allocate operating expenses to these business units, nor does it allocate specific assets. Additionally, the Chief Operating Decision Maker does not review total assets or net income (loss) by segments; therefore, such information is not presented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table presents revenues by type for the years ended December 31, 2022, 2021 and 2020:</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420" w:type="dxa"/>
            <w:vAlign w:val="bottom"/>
            <w:tcBorders>
              <w:bottom w:val="single" w:sz="8" w:color="auto"/>
            </w:tcBorders>
          </w:tcPr>
          <w:p>
            <w:pPr>
              <w:spacing w:after="0"/>
              <w:rPr>
                <w:sz w:val="21"/>
                <w:szCs w:val="21"/>
                <w:color w:val="auto"/>
              </w:rPr>
            </w:pPr>
          </w:p>
        </w:tc>
      </w:tr>
      <w:tr>
        <w:trPr>
          <w:trHeight w:val="241"/>
        </w:trPr>
        <w:tc>
          <w:tcPr>
            <w:tcW w:w="45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20"/>
                <w:szCs w:val="20"/>
                <w:color w:val="auto"/>
              </w:rPr>
            </w:pPr>
          </w:p>
        </w:tc>
        <w:tc>
          <w:tcPr>
            <w:tcW w:w="14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37"/>
        </w:trPr>
        <w:tc>
          <w:tcPr>
            <w:tcW w:w="45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r>
      <w:tr>
        <w:trPr>
          <w:trHeight w:val="239"/>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Revenues, Net of Discounts</w:t>
            </w:r>
          </w:p>
        </w:tc>
        <w:tc>
          <w:tcPr>
            <w:tcW w:w="178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r>
      <w:tr>
        <w:trPr>
          <w:trHeight w:val="23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763,166</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614,739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396,372</w:t>
            </w:r>
          </w:p>
        </w:tc>
      </w:tr>
      <w:tr>
        <w:trPr>
          <w:trHeight w:val="247"/>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Packaged Goods</w:t>
            </w:r>
          </w:p>
        </w:tc>
        <w:tc>
          <w:tcPr>
            <w:tcW w:w="178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495,101</w:t>
            </w: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467,258</w:t>
            </w:r>
          </w:p>
        </w:tc>
        <w:tc>
          <w:tcPr>
            <w:tcW w:w="26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273,977</w:t>
            </w:r>
          </w:p>
        </w:tc>
      </w:tr>
      <w:tr>
        <w:trPr>
          <w:trHeight w:val="23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780" w:type="dxa"/>
            <w:vAlign w:val="bottom"/>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(240,892)</w:t>
            </w:r>
          </w:p>
        </w:tc>
        <w:tc>
          <w:tcPr>
            <w:tcW w:w="28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(188,437)</w:t>
            </w:r>
          </w:p>
        </w:tc>
        <w:tc>
          <w:tcPr>
            <w:tcW w:w="260" w:type="dxa"/>
            <w:vAlign w:val="bottom"/>
          </w:tcPr>
          <w:p>
            <w:pPr>
              <w:spacing w:after="0"/>
              <w:rPr>
                <w:sz w:val="20"/>
                <w:szCs w:val="20"/>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(113,776)</w:t>
            </w:r>
          </w:p>
        </w:tc>
      </w:tr>
      <w:tr>
        <w:trPr>
          <w:trHeight w:val="281"/>
        </w:trPr>
        <w:tc>
          <w:tcPr>
            <w:tcW w:w="4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 Net of Discounts</w:t>
            </w:r>
          </w:p>
        </w:tc>
        <w:tc>
          <w:tcPr>
            <w:tcW w:w="1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1,017,375</w:t>
            </w:r>
          </w:p>
        </w:tc>
        <w:tc>
          <w:tcPr>
            <w:tcW w:w="28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893,560</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556,573</w:t>
            </w:r>
          </w:p>
        </w:tc>
      </w:tr>
      <w:tr>
        <w:trPr>
          <w:trHeight w:val="22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tc>
        <w:tc>
          <w:tcPr>
            <w:tcW w:w="17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46"/>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43,498</w:t>
            </w:r>
          </w:p>
        </w:tc>
        <w:tc>
          <w:tcPr>
            <w:tcW w:w="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31,619</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24,299</w:t>
            </w:r>
          </w:p>
        </w:tc>
      </w:tr>
      <w:tr>
        <w:trPr>
          <w:trHeight w:val="23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Packaged Goods</w:t>
            </w:r>
          </w:p>
        </w:tc>
        <w:tc>
          <w:tcPr>
            <w:tcW w:w="17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53,166</w:t>
            </w: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36,839</w:t>
            </w:r>
          </w:p>
        </w:tc>
        <w:tc>
          <w:tcPr>
            <w:tcW w:w="26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28,207</w:t>
            </w:r>
          </w:p>
        </w:tc>
      </w:tr>
      <w:tr>
        <w:trPr>
          <w:trHeight w:val="243"/>
        </w:trPr>
        <w:tc>
          <w:tcPr>
            <w:tcW w:w="4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78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Depreciation and Amortization</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96,664</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68,458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52,506</w:t>
            </w:r>
          </w:p>
        </w:tc>
      </w:tr>
      <w:tr>
        <w:trPr>
          <w:trHeight w:val="20"/>
        </w:trPr>
        <w:tc>
          <w:tcPr>
            <w:tcW w:w="4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3"/>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Income Taxes</w:t>
            </w:r>
          </w:p>
        </w:tc>
        <w:tc>
          <w:tcPr>
            <w:tcW w:w="17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r>
      <w:tr>
        <w:trPr>
          <w:trHeight w:val="23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53,869</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66,908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49,888</w:t>
            </w:r>
          </w:p>
        </w:tc>
      </w:tr>
      <w:tr>
        <w:trPr>
          <w:trHeight w:val="247"/>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Packaged Goods</w:t>
            </w:r>
          </w:p>
        </w:tc>
        <w:tc>
          <w:tcPr>
            <w:tcW w:w="178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40,908</w:t>
            </w: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57,704</w:t>
            </w:r>
          </w:p>
        </w:tc>
        <w:tc>
          <w:tcPr>
            <w:tcW w:w="26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33,965</w:t>
            </w:r>
          </w:p>
        </w:tc>
      </w:tr>
      <w:tr>
        <w:trPr>
          <w:trHeight w:val="23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780" w:type="dxa"/>
            <w:vAlign w:val="bottom"/>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81"/>
        </w:trPr>
        <w:tc>
          <w:tcPr>
            <w:tcW w:w="4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Income Taxes</w:t>
            </w:r>
          </w:p>
        </w:tc>
        <w:tc>
          <w:tcPr>
            <w:tcW w:w="1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94,777</w:t>
            </w:r>
          </w:p>
        </w:tc>
        <w:tc>
          <w:tcPr>
            <w:tcW w:w="28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124,612</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83,853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-1636395</wp:posOffset>
            </wp:positionV>
            <wp:extent cx="1285875" cy="17970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7">
                      <a:extLst>
                        <a:ext uri="{28A0092B-C50C-407E-A947-70E740481C1C}"/>
                      </a:extLst>
                    </a:blip>
                    <a:srcRect/>
                    <a:stretch>
                      <a:fillRect/>
                    </a:stretch>
                  </pic:blipFill>
                  <pic:spPr bwMode="auto">
                    <a:xfrm>
                      <a:off x="0" y="0"/>
                      <a:ext cx="1285875" cy="17970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-993775</wp:posOffset>
            </wp:positionV>
            <wp:extent cx="179705" cy="18859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8">
                      <a:extLst>
                        <a:ext uri="{28A0092B-C50C-407E-A947-70E740481C1C}"/>
                      </a:extLst>
                    </a:blip>
                    <a:srcRect/>
                    <a:stretch>
                      <a:fillRect/>
                    </a:stretch>
                  </pic:blipFill>
                  <pic:spPr bwMode="auto">
                    <a:xfrm>
                      <a:off x="0" y="0"/>
                      <a:ext cx="179705" cy="18859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-993775</wp:posOffset>
            </wp:positionV>
            <wp:extent cx="162560" cy="18859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9">
                      <a:extLst>
                        <a:ext uri="{28A0092B-C50C-407E-A947-70E740481C1C}"/>
                      </a:extLst>
                    </a:blip>
                    <a:srcRect/>
                    <a:stretch>
                      <a:fillRect/>
                    </a:stretch>
                  </pic:blipFill>
                  <pic:spPr bwMode="auto">
                    <a:xfrm>
                      <a:off x="0" y="0"/>
                      <a:ext cx="162560" cy="18859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-24765</wp:posOffset>
            </wp:positionV>
            <wp:extent cx="17970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0">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-8255</wp:posOffset>
            </wp:positionV>
            <wp:extent cx="17970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1">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16256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2">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16256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3">
                      <a:extLst>
                        <a:ext uri="{28A0092B-C50C-407E-A947-70E740481C1C}"/>
                      </a:extLst>
                    </a:blip>
                    <a:srcRect/>
                    <a:stretch>
                      <a:fillRect/>
                    </a:stretch>
                  </pic:blipFill>
                  <pic:spPr bwMode="auto">
                    <a:xfrm>
                      <a:off x="0" y="0"/>
                      <a:ext cx="162560" cy="8890"/>
                    </a:xfrm>
                    <a:prstGeom prst="rect">
                      <a:avLst/>
                    </a:prstGeom>
                    <a:noFill/>
                  </pic:spPr>
                </pic:pic>
              </a:graphicData>
            </a:graphic>
          </wp:anchor>
        </w:drawing>
      </w:r>
    </w:p>
    <w:p>
      <w:pPr>
        <w:spacing w:after="0" w:line="178"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Goodwill assigned to the Consumer Packaged Goods segment as of December 31, 2022 and 2021 was $315,889 thousand and $358,038 thousand, respectively. Intangible assets, net assigned to the Consumer Packaged Goods segment as of December 31, 2022 and 2021 was $286,922 thousand and $317,454 thousand, respectively.</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Goodwill assigned to the Retail segment as of December 31, 2022 and 2021 was $273,802 thousand and $274,811 thousand, respectively. Intangible assets, net assigned to the Retail segment as of December 31, 2022 and 2021 was $302,597 thousand and $358,037 thousand, respectively.</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Company’s assets are aggregated into two reportable segments (Retail and Consumer Packaged Goods). For the purposes of testing goodwill, effective October 1, 2022, Green Thumb has identified two reporting units which align with our reportable segments (Retail and Consumer Packaged Goods). All revenues are derived from customers domiciled in the United States and all assets are located in the United States.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2" w:name="page123"/>
    <w:bookmarkEnd w:id="12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Where Stated Otherwise)</w:t>
      </w:r>
    </w:p>
    <w:p>
      <w:pPr>
        <w:spacing w:after="0" w:line="243" w:lineRule="exact"/>
        <w:rPr>
          <w:sz w:val="20"/>
          <w:szCs w:val="20"/>
          <w:color w:val="auto"/>
        </w:rPr>
      </w:pPr>
    </w:p>
    <w:p>
      <w:pPr>
        <w:ind w:left="540" w:hanging="532"/>
        <w:spacing w:after="0"/>
        <w:tabs>
          <w:tab w:leader="none" w:pos="54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QUARTERLY FINANCIAL DATA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7"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following table contains selected quarterly data for 2022 and 2021. The information should be read in conjunction with the Company’s financial statements and related notes included elsewhere in this Annual Report on Form 10-K. The Company believes that the following information reflects all normal recurring adjustments necessary for a fair presentation of the information for the periods presented. The operating results for any quarter are not necessarily indicative of results for any future period.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First</w:t>
            </w:r>
          </w:p>
        </w:tc>
        <w:tc>
          <w:tcPr>
            <w:tcW w:w="260" w:type="dxa"/>
            <w:vAlign w:val="bottom"/>
          </w:tcPr>
          <w:p>
            <w:pPr>
              <w:spacing w:after="0"/>
              <w:rPr>
                <w:sz w:val="13"/>
                <w:szCs w:val="13"/>
                <w:color w:val="auto"/>
              </w:rPr>
            </w:pPr>
          </w:p>
        </w:tc>
        <w:tc>
          <w:tcPr>
            <w:tcW w:w="10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260" w:type="dxa"/>
            <w:vAlign w:val="bottom"/>
          </w:tcPr>
          <w:p>
            <w:pPr>
              <w:spacing w:after="0"/>
              <w:rPr>
                <w:sz w:val="13"/>
                <w:szCs w:val="13"/>
                <w:color w:val="auto"/>
              </w:rPr>
            </w:pPr>
          </w:p>
        </w:tc>
        <w:tc>
          <w:tcPr>
            <w:tcW w:w="10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Third</w:t>
            </w:r>
          </w:p>
        </w:tc>
        <w:tc>
          <w:tcPr>
            <w:tcW w:w="240" w:type="dxa"/>
            <w:vAlign w:val="bottom"/>
          </w:tcPr>
          <w:p>
            <w:pPr>
              <w:spacing w:after="0"/>
              <w:rPr>
                <w:sz w:val="13"/>
                <w:szCs w:val="13"/>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140" w:type="dxa"/>
            <w:vAlign w:val="bottom"/>
          </w:tcPr>
          <w:p>
            <w:pPr>
              <w:spacing w:after="0"/>
              <w:rPr>
                <w:sz w:val="13"/>
                <w:szCs w:val="13"/>
                <w:color w:val="auto"/>
              </w:rPr>
            </w:pPr>
          </w:p>
        </w:tc>
        <w:tc>
          <w:tcPr>
            <w:tcW w:w="10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Full</w:t>
            </w:r>
          </w:p>
        </w:tc>
        <w:tc>
          <w:tcPr>
            <w:tcW w:w="100" w:type="dxa"/>
            <w:vAlign w:val="bottom"/>
          </w:tcPr>
          <w:p>
            <w:pPr>
              <w:spacing w:after="0"/>
              <w:rPr>
                <w:sz w:val="13"/>
                <w:szCs w:val="13"/>
                <w:color w:val="auto"/>
              </w:rPr>
            </w:pPr>
          </w:p>
        </w:tc>
      </w:tr>
      <w:tr>
        <w:trPr>
          <w:trHeight w:val="187"/>
        </w:trPr>
        <w:tc>
          <w:tcPr>
            <w:tcW w:w="4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60" w:type="dxa"/>
            <w:vAlign w:val="bottom"/>
          </w:tcPr>
          <w:p>
            <w:pPr>
              <w:spacing w:after="0"/>
              <w:rPr>
                <w:sz w:val="16"/>
                <w:szCs w:val="16"/>
                <w:color w:val="auto"/>
              </w:rPr>
            </w:pPr>
          </w:p>
        </w:tc>
        <w:tc>
          <w:tcPr>
            <w:tcW w:w="10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60" w:type="dxa"/>
            <w:vAlign w:val="bottom"/>
          </w:tcPr>
          <w:p>
            <w:pPr>
              <w:spacing w:after="0"/>
              <w:rPr>
                <w:sz w:val="16"/>
                <w:szCs w:val="16"/>
                <w:color w:val="auto"/>
              </w:rPr>
            </w:pPr>
          </w:p>
        </w:tc>
        <w:tc>
          <w:tcPr>
            <w:tcW w:w="10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40" w:type="dxa"/>
            <w:vAlign w:val="bottom"/>
          </w:tcPr>
          <w:p>
            <w:pPr>
              <w:spacing w:after="0"/>
              <w:rPr>
                <w:sz w:val="16"/>
                <w:szCs w:val="16"/>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40" w:type="dxa"/>
            <w:vAlign w:val="bottom"/>
          </w:tcPr>
          <w:p>
            <w:pPr>
              <w:spacing w:after="0"/>
              <w:rPr>
                <w:sz w:val="16"/>
                <w:szCs w:val="16"/>
                <w:color w:val="auto"/>
              </w:rPr>
            </w:pPr>
          </w:p>
        </w:tc>
        <w:tc>
          <w:tcPr>
            <w:tcW w:w="10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6"/>
                <w:szCs w:val="16"/>
                <w:color w:val="auto"/>
              </w:rPr>
            </w:pPr>
          </w:p>
        </w:tc>
      </w:tr>
      <w:tr>
        <w:trPr>
          <w:trHeight w:val="169"/>
        </w:trPr>
        <w:tc>
          <w:tcPr>
            <w:tcW w:w="4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Borders>
              <w:top w:val="single" w:sz="8" w:color="auto"/>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242,600</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254,311</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261,194</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259,270</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1,017,375</w:t>
            </w:r>
          </w:p>
        </w:tc>
        <w:tc>
          <w:tcPr>
            <w:tcW w:w="100" w:type="dxa"/>
            <w:vAlign w:val="bottom"/>
          </w:tcPr>
          <w:p>
            <w:pPr>
              <w:spacing w:after="0"/>
              <w:rPr>
                <w:sz w:val="15"/>
                <w:szCs w:val="15"/>
                <w:color w:val="auto"/>
              </w:rPr>
            </w:pPr>
          </w:p>
        </w:tc>
      </w:tr>
      <w:tr>
        <w:trPr>
          <w:trHeight w:val="176"/>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5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54,552</w:t>
            </w: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62,263</w:t>
            </w: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48,761</w:t>
            </w:r>
          </w:p>
        </w:tc>
        <w:tc>
          <w:tcPr>
            <w:tcW w:w="24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(44,512 )</w:t>
            </w: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121,064</w:t>
            </w:r>
          </w:p>
        </w:tc>
        <w:tc>
          <w:tcPr>
            <w:tcW w:w="100" w:type="dxa"/>
            <w:vAlign w:val="bottom"/>
            <w:shd w:val="clear" w:color="auto" w:fill="CFF0FC"/>
          </w:tcPr>
          <w:p>
            <w:pPr>
              <w:spacing w:after="0"/>
              <w:rPr>
                <w:sz w:val="15"/>
                <w:szCs w:val="15"/>
                <w:color w:val="auto"/>
              </w:rPr>
            </w:pPr>
          </w:p>
        </w:tc>
      </w:tr>
      <w:tr>
        <w:trPr>
          <w:trHeight w:val="175"/>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Green Thumb Industries Inc.</w:t>
            </w:r>
          </w:p>
        </w:tc>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28,939</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24,437</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9,829</w:t>
            </w:r>
          </w:p>
        </w:tc>
        <w:tc>
          <w:tcPr>
            <w:tcW w:w="240" w:type="dxa"/>
            <w:vAlign w:val="bottom"/>
          </w:tcPr>
          <w:p>
            <w:pPr>
              <w:spacing w:after="0"/>
              <w:rPr>
                <w:sz w:val="15"/>
                <w:szCs w:val="15"/>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(51,227 )</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11,978</w:t>
            </w:r>
          </w:p>
        </w:tc>
        <w:tc>
          <w:tcPr>
            <w:tcW w:w="100" w:type="dxa"/>
            <w:vAlign w:val="bottom"/>
          </w:tcPr>
          <w:p>
            <w:pPr>
              <w:spacing w:after="0"/>
              <w:rPr>
                <w:sz w:val="15"/>
                <w:szCs w:val="15"/>
                <w:color w:val="auto"/>
              </w:rPr>
            </w:pPr>
          </w:p>
        </w:tc>
      </w:tr>
      <w:tr>
        <w:trPr>
          <w:trHeight w:val="176"/>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 (loss) per share – basic</w:t>
            </w:r>
          </w:p>
        </w:tc>
        <w:tc>
          <w:tcPr>
            <w:tcW w:w="5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24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(0.22 )</w:t>
            </w: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shd w:val="clear" w:color="auto" w:fill="CFF0FC"/>
          </w:tcPr>
          <w:p>
            <w:pPr>
              <w:spacing w:after="0"/>
              <w:rPr>
                <w:sz w:val="15"/>
                <w:szCs w:val="15"/>
                <w:color w:val="auto"/>
              </w:rPr>
            </w:pPr>
          </w:p>
        </w:tc>
      </w:tr>
      <w:tr>
        <w:trPr>
          <w:trHeight w:val="175"/>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per share – diluted</w:t>
            </w:r>
          </w:p>
        </w:tc>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240" w:type="dxa"/>
            <w:vAlign w:val="bottom"/>
          </w:tcPr>
          <w:p>
            <w:pPr>
              <w:spacing w:after="0"/>
              <w:rPr>
                <w:sz w:val="15"/>
                <w:szCs w:val="15"/>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(0.22 )</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tcPr>
          <w:p>
            <w:pPr>
              <w:spacing w:after="0"/>
              <w:rPr>
                <w:sz w:val="15"/>
                <w:szCs w:val="15"/>
                <w:color w:val="auto"/>
              </w:rPr>
            </w:pPr>
          </w:p>
        </w:tc>
      </w:tr>
      <w:tr>
        <w:trPr>
          <w:trHeight w:val="176"/>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basic</w:t>
            </w:r>
          </w:p>
        </w:tc>
        <w:tc>
          <w:tcPr>
            <w:tcW w:w="5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235,838,947</w:t>
            </w: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236,783,625</w:t>
            </w: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237,002,873</w:t>
            </w:r>
          </w:p>
        </w:tc>
        <w:tc>
          <w:tcPr>
            <w:tcW w:w="2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237,208,543</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236,713,056</w:t>
            </w:r>
          </w:p>
        </w:tc>
        <w:tc>
          <w:tcPr>
            <w:tcW w:w="100" w:type="dxa"/>
            <w:vAlign w:val="bottom"/>
            <w:shd w:val="clear" w:color="auto" w:fill="CFF0FC"/>
          </w:tcPr>
          <w:p>
            <w:pPr>
              <w:spacing w:after="0"/>
              <w:rPr>
                <w:sz w:val="15"/>
                <w:szCs w:val="15"/>
                <w:color w:val="auto"/>
              </w:rPr>
            </w:pPr>
          </w:p>
        </w:tc>
      </w:tr>
      <w:tr>
        <w:trPr>
          <w:trHeight w:val="188"/>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diluted</w:t>
            </w:r>
          </w:p>
        </w:tc>
        <w:tc>
          <w:tcPr>
            <w:tcW w:w="5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238,225,420</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237,762,903</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237,804,799</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237,208,543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238,080,030</w:t>
            </w:r>
          </w:p>
        </w:tc>
        <w:tc>
          <w:tcPr>
            <w:tcW w:w="100" w:type="dxa"/>
            <w:vAlign w:val="bottom"/>
          </w:tcPr>
          <w:p>
            <w:pPr>
              <w:spacing w:after="0"/>
              <w:rPr>
                <w:sz w:val="16"/>
                <w:szCs w:val="16"/>
                <w:color w:val="auto"/>
              </w:rPr>
            </w:pPr>
          </w:p>
        </w:tc>
      </w:tr>
    </w:tbl>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First</w:t>
            </w:r>
          </w:p>
        </w:tc>
        <w:tc>
          <w:tcPr>
            <w:tcW w:w="260" w:type="dxa"/>
            <w:vAlign w:val="bottom"/>
          </w:tcPr>
          <w:p>
            <w:pPr>
              <w:spacing w:after="0"/>
              <w:rPr>
                <w:sz w:val="13"/>
                <w:szCs w:val="13"/>
                <w:color w:val="auto"/>
              </w:rPr>
            </w:pPr>
          </w:p>
        </w:tc>
        <w:tc>
          <w:tcPr>
            <w:tcW w:w="10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260" w:type="dxa"/>
            <w:vAlign w:val="bottom"/>
          </w:tcPr>
          <w:p>
            <w:pPr>
              <w:spacing w:after="0"/>
              <w:rPr>
                <w:sz w:val="13"/>
                <w:szCs w:val="13"/>
                <w:color w:val="auto"/>
              </w:rPr>
            </w:pPr>
          </w:p>
        </w:tc>
        <w:tc>
          <w:tcPr>
            <w:tcW w:w="10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Third</w:t>
            </w:r>
          </w:p>
        </w:tc>
        <w:tc>
          <w:tcPr>
            <w:tcW w:w="240" w:type="dxa"/>
            <w:vAlign w:val="bottom"/>
          </w:tcPr>
          <w:p>
            <w:pPr>
              <w:spacing w:after="0"/>
              <w:rPr>
                <w:sz w:val="13"/>
                <w:szCs w:val="13"/>
                <w:color w:val="auto"/>
              </w:rPr>
            </w:pPr>
          </w:p>
        </w:tc>
        <w:tc>
          <w:tcPr>
            <w:tcW w:w="10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240" w:type="dxa"/>
            <w:vAlign w:val="bottom"/>
          </w:tcPr>
          <w:p>
            <w:pPr>
              <w:spacing w:after="0"/>
              <w:rPr>
                <w:sz w:val="13"/>
                <w:szCs w:val="13"/>
                <w:color w:val="auto"/>
              </w:rPr>
            </w:pPr>
          </w:p>
        </w:tc>
        <w:tc>
          <w:tcPr>
            <w:tcW w:w="10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Full</w:t>
            </w:r>
          </w:p>
        </w:tc>
        <w:tc>
          <w:tcPr>
            <w:tcW w:w="100" w:type="dxa"/>
            <w:vAlign w:val="bottom"/>
          </w:tcPr>
          <w:p>
            <w:pPr>
              <w:spacing w:after="0"/>
              <w:rPr>
                <w:sz w:val="13"/>
                <w:szCs w:val="13"/>
                <w:color w:val="auto"/>
              </w:rPr>
            </w:pPr>
          </w:p>
        </w:tc>
      </w:tr>
      <w:tr>
        <w:trPr>
          <w:trHeight w:val="187"/>
        </w:trPr>
        <w:tc>
          <w:tcPr>
            <w:tcW w:w="4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60" w:type="dxa"/>
            <w:vAlign w:val="bottom"/>
          </w:tcPr>
          <w:p>
            <w:pPr>
              <w:spacing w:after="0"/>
              <w:rPr>
                <w:sz w:val="16"/>
                <w:szCs w:val="16"/>
                <w:color w:val="auto"/>
              </w:rPr>
            </w:pPr>
          </w:p>
        </w:tc>
        <w:tc>
          <w:tcPr>
            <w:tcW w:w="10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60" w:type="dxa"/>
            <w:vAlign w:val="bottom"/>
          </w:tcPr>
          <w:p>
            <w:pPr>
              <w:spacing w:after="0"/>
              <w:rPr>
                <w:sz w:val="16"/>
                <w:szCs w:val="16"/>
                <w:color w:val="auto"/>
              </w:rPr>
            </w:pPr>
          </w:p>
        </w:tc>
        <w:tc>
          <w:tcPr>
            <w:tcW w:w="10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40" w:type="dxa"/>
            <w:vAlign w:val="bottom"/>
          </w:tcPr>
          <w:p>
            <w:pPr>
              <w:spacing w:after="0"/>
              <w:rPr>
                <w:sz w:val="16"/>
                <w:szCs w:val="16"/>
                <w:color w:val="auto"/>
              </w:rPr>
            </w:pPr>
          </w:p>
        </w:tc>
        <w:tc>
          <w:tcPr>
            <w:tcW w:w="10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40" w:type="dxa"/>
            <w:vAlign w:val="bottom"/>
          </w:tcPr>
          <w:p>
            <w:pPr>
              <w:spacing w:after="0"/>
              <w:rPr>
                <w:sz w:val="16"/>
                <w:szCs w:val="16"/>
                <w:color w:val="auto"/>
              </w:rPr>
            </w:pPr>
          </w:p>
        </w:tc>
        <w:tc>
          <w:tcPr>
            <w:tcW w:w="10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6"/>
                <w:szCs w:val="16"/>
                <w:color w:val="auto"/>
              </w:rPr>
            </w:pPr>
          </w:p>
        </w:tc>
      </w:tr>
      <w:tr>
        <w:trPr>
          <w:trHeight w:val="169"/>
        </w:trPr>
        <w:tc>
          <w:tcPr>
            <w:tcW w:w="4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194,431</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221,872</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233,677</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243,580</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893,560</w:t>
            </w:r>
          </w:p>
        </w:tc>
        <w:tc>
          <w:tcPr>
            <w:tcW w:w="100" w:type="dxa"/>
            <w:vAlign w:val="bottom"/>
          </w:tcPr>
          <w:p>
            <w:pPr>
              <w:spacing w:after="0"/>
              <w:rPr>
                <w:sz w:val="15"/>
                <w:szCs w:val="15"/>
                <w:color w:val="auto"/>
              </w:rPr>
            </w:pPr>
          </w:p>
        </w:tc>
      </w:tr>
      <w:tr>
        <w:trPr>
          <w:trHeight w:val="176"/>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5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51,534</w:t>
            </w: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50,855</w:t>
            </w: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58,069</w:t>
            </w:r>
          </w:p>
        </w:tc>
        <w:tc>
          <w:tcPr>
            <w:tcW w:w="2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54,384</w:t>
            </w:r>
          </w:p>
        </w:tc>
        <w:tc>
          <w:tcPr>
            <w:tcW w:w="2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214,842</w:t>
            </w:r>
          </w:p>
        </w:tc>
        <w:tc>
          <w:tcPr>
            <w:tcW w:w="100" w:type="dxa"/>
            <w:vAlign w:val="bottom"/>
            <w:shd w:val="clear" w:color="auto" w:fill="CFF0FC"/>
          </w:tcPr>
          <w:p>
            <w:pPr>
              <w:spacing w:after="0"/>
              <w:rPr>
                <w:sz w:val="15"/>
                <w:szCs w:val="15"/>
                <w:color w:val="auto"/>
              </w:rPr>
            </w:pPr>
          </w:p>
        </w:tc>
      </w:tr>
      <w:tr>
        <w:trPr>
          <w:trHeight w:val="175"/>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attributable to Green Thumb Industries Inc.</w:t>
            </w:r>
          </w:p>
        </w:tc>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10,369</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22,052</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20,209</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22,806</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75,436</w:t>
            </w:r>
          </w:p>
        </w:tc>
        <w:tc>
          <w:tcPr>
            <w:tcW w:w="100" w:type="dxa"/>
            <w:vAlign w:val="bottom"/>
          </w:tcPr>
          <w:p>
            <w:pPr>
              <w:spacing w:after="0"/>
              <w:rPr>
                <w:sz w:val="15"/>
                <w:szCs w:val="15"/>
                <w:color w:val="auto"/>
              </w:rPr>
            </w:pPr>
          </w:p>
        </w:tc>
      </w:tr>
      <w:tr>
        <w:trPr>
          <w:trHeight w:val="176"/>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 per share - basic</w:t>
            </w:r>
          </w:p>
        </w:tc>
        <w:tc>
          <w:tcPr>
            <w:tcW w:w="5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2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2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00" w:type="dxa"/>
            <w:vAlign w:val="bottom"/>
            <w:shd w:val="clear" w:color="auto" w:fill="CFF0FC"/>
          </w:tcPr>
          <w:p>
            <w:pPr>
              <w:spacing w:after="0"/>
              <w:rPr>
                <w:sz w:val="15"/>
                <w:szCs w:val="15"/>
                <w:color w:val="auto"/>
              </w:rPr>
            </w:pPr>
          </w:p>
        </w:tc>
      </w:tr>
      <w:tr>
        <w:trPr>
          <w:trHeight w:val="175"/>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per share - diluted</w:t>
            </w:r>
          </w:p>
        </w:tc>
        <w:tc>
          <w:tcPr>
            <w:tcW w:w="5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0.33</w:t>
            </w:r>
          </w:p>
        </w:tc>
        <w:tc>
          <w:tcPr>
            <w:tcW w:w="100" w:type="dxa"/>
            <w:vAlign w:val="bottom"/>
          </w:tcPr>
          <w:p>
            <w:pPr>
              <w:spacing w:after="0"/>
              <w:rPr>
                <w:sz w:val="15"/>
                <w:szCs w:val="15"/>
                <w:color w:val="auto"/>
              </w:rPr>
            </w:pPr>
          </w:p>
        </w:tc>
      </w:tr>
      <w:tr>
        <w:trPr>
          <w:trHeight w:val="176"/>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basic</w:t>
            </w:r>
          </w:p>
        </w:tc>
        <w:tc>
          <w:tcPr>
            <w:tcW w:w="5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216,210,429</w:t>
            </w: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220,323,622</w:t>
            </w: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226,529,671</w:t>
            </w:r>
          </w:p>
        </w:tc>
        <w:tc>
          <w:tcPr>
            <w:tcW w:w="2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230,916,901</w:t>
            </w:r>
          </w:p>
        </w:tc>
        <w:tc>
          <w:tcPr>
            <w:tcW w:w="2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223,192,326</w:t>
            </w:r>
          </w:p>
        </w:tc>
        <w:tc>
          <w:tcPr>
            <w:tcW w:w="100" w:type="dxa"/>
            <w:vAlign w:val="bottom"/>
            <w:shd w:val="clear" w:color="auto" w:fill="CFF0FC"/>
          </w:tcPr>
          <w:p>
            <w:pPr>
              <w:spacing w:after="0"/>
              <w:rPr>
                <w:sz w:val="15"/>
                <w:szCs w:val="15"/>
                <w:color w:val="auto"/>
              </w:rPr>
            </w:pPr>
          </w:p>
        </w:tc>
      </w:tr>
      <w:tr>
        <w:trPr>
          <w:trHeight w:val="188"/>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diluted</w:t>
            </w:r>
          </w:p>
        </w:tc>
        <w:tc>
          <w:tcPr>
            <w:tcW w:w="5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221,616,157</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224,843,155</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230,879,437</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233,927,531</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226,758,882</w:t>
            </w:r>
          </w:p>
        </w:tc>
        <w:tc>
          <w:tcPr>
            <w:tcW w:w="10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3" w:name="page124"/>
    <w:bookmarkEnd w:id="123"/>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Green Thumb Industries,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Opinions on the Consolidated Financial Statements and Internal Control over Financial Reporting</w:t>
      </w:r>
    </w:p>
    <w:p>
      <w:pPr>
        <w:spacing w:after="0" w:line="229"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Green Thumb Industries, Inc. (the "Company") as of December 31, 2022 and 2021, the related consolidated statements of operations, changes in shareholders' equity, and cash flows, for each of the two years in the period ended December 31, 2022, and the related notes (collectively referred to as the "consolidated financial statements"). We also have audited the Company’s internal control over financial reporting as of December 31, 2022, based on criteria established in Internal Control – Integrated Framework: (2013) issued by the Committee of Sponsoring Organizations of the Treadway Commission (COSO).</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our opinion, the consolidated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Internal Control – Integrated Framework: (2013) issued by COSO.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Controls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Valuation of Intangibles (Including Goodwill) and Contingent Consideration Arising from Business Combinations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described in Note 5 to the consolidated financial statements, the Company completed the acquisition of ILDISP, LLC during the year ended December 31, 2022. The aggregate consideration for the acquisition was approximately $20 million. In addition, during the year ended December 31, 2022, the Company finalized the purchase price allocation related to the acquisitions of Mobley Pain Management and Wellness Center, LLC and CanWell Processing, LLC, GreenStar Herbals, Inc., MDHWC Management Corp., and LeafLine Industries, LLC (together, the “2021 acquisitions”) which were acquired during the year ended December 31, 2021. The aggregate consideration for these acquisitions was approximately $334 million. Each acquisition was accounted for as a business combination. The Company measured the assets acquired and liabilities assumed at fair value, which resulted in the recognition of intangible assets totaling approximately $360 million (of which approximately $341 million related to the 2021 acquisitions). The Company has recorded identifiable license intangible assets of approximately $191 million and goodwill of approximately $169 million (of which approximately $177 million and $164 million related to license intangible assets and goodwill, respectively, of the 2021 acquisitions) as a result of these acquisitions.</w:t>
      </w:r>
    </w:p>
    <w:p>
      <w:pPr>
        <w:spacing w:after="0" w:line="18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valuation of the intangible assets is complex and judgmental due to the use of subjective assumptions in the valuation models used by management when determining the estimated fair values of the intangible assets acquired and consideration paid. The determination of the fair values of the intangible assets and consideration paid requires management to make significant estimates and assumptions related to forecasts of future revenues, expenses, discount rates, risk-free rates, weighted-average cost of capital, equity risk premium, and the probability of occurrence of certain transactions.</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Auditing management’s valuation of the acquired intangible assets is complex due to the judgments required to evaluate management’s previously noted estimates and assumptions.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333" w:lineRule="exact"/>
        <w:rPr>
          <w:sz w:val="20"/>
          <w:szCs w:val="20"/>
          <w:color w:val="auto"/>
        </w:rPr>
      </w:pPr>
    </w:p>
    <w:p>
      <w:pPr>
        <w:ind w:left="720" w:hanging="503"/>
        <w:spacing w:after="0"/>
        <w:tabs>
          <w:tab w:leader="none" w:pos="72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internal controls relating to the evaluation of the assumptions used to estimate the fair value of the intangible assets acquired including:</w:t>
      </w:r>
    </w:p>
    <w:p>
      <w:pPr>
        <w:spacing w:after="0" w:line="129" w:lineRule="exact"/>
        <w:rPr>
          <w:sz w:val="20"/>
          <w:szCs w:val="20"/>
          <w:color w:val="auto"/>
        </w:rPr>
      </w:pPr>
    </w:p>
    <w:p>
      <w:pPr>
        <w:ind w:left="1180" w:hanging="514"/>
        <w:spacing w:after="0"/>
        <w:tabs>
          <w:tab w:leader="none" w:pos="11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identification of assets acquired, and liabilities incurred.</w:t>
      </w:r>
    </w:p>
    <w:p>
      <w:pPr>
        <w:spacing w:after="0" w:line="117" w:lineRule="exact"/>
        <w:rPr>
          <w:rFonts w:ascii="Times New Roman" w:cs="Times New Roman" w:eastAsia="Times New Roman" w:hAnsi="Times New Roman"/>
          <w:sz w:val="18"/>
          <w:szCs w:val="18"/>
          <w:color w:val="auto"/>
        </w:rPr>
      </w:pPr>
    </w:p>
    <w:p>
      <w:pPr>
        <w:ind w:left="1180" w:right="20" w:hanging="514"/>
        <w:spacing w:after="0" w:line="282" w:lineRule="auto"/>
        <w:tabs>
          <w:tab w:leader="none" w:pos="11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evaluation of the completeness, accuracy and reasonableness of prospective financial information used to determine the fair values of intangible assets acquired.</w:t>
      </w:r>
    </w:p>
    <w:p>
      <w:pPr>
        <w:spacing w:after="0" w:line="53" w:lineRule="exact"/>
        <w:rPr>
          <w:rFonts w:ascii="Times New Roman" w:cs="Times New Roman" w:eastAsia="Times New Roman" w:hAnsi="Times New Roman"/>
          <w:sz w:val="18"/>
          <w:szCs w:val="18"/>
          <w:color w:val="auto"/>
        </w:rPr>
      </w:pPr>
    </w:p>
    <w:p>
      <w:pPr>
        <w:ind w:left="1180" w:right="520" w:hanging="514"/>
        <w:spacing w:after="0" w:line="312" w:lineRule="auto"/>
        <w:tabs>
          <w:tab w:leader="none" w:pos="118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Management’s evaluation of the completeness and accuracy of key assumptions and inputs used by third-party valuation specialists, including the discount rate, risk-free rate, weighted-average cost of capital, and equity risk premium used to determine fair values.</w:t>
      </w:r>
    </w:p>
    <w:p>
      <w:pPr>
        <w:spacing w:after="0" w:line="31" w:lineRule="exact"/>
        <w:rPr>
          <w:rFonts w:ascii="Times New Roman" w:cs="Times New Roman" w:eastAsia="Times New Roman" w:hAnsi="Times New Roman"/>
          <w:sz w:val="17"/>
          <w:szCs w:val="17"/>
          <w:color w:val="auto"/>
        </w:rPr>
      </w:pPr>
    </w:p>
    <w:p>
      <w:pPr>
        <w:ind w:left="1180" w:hanging="514"/>
        <w:spacing w:after="0"/>
        <w:tabs>
          <w:tab w:leader="none" w:pos="11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evaluation of the clerical accuracy of the model used to determine the fair values of intangible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125" w:name="page126"/>
    <w:bookmarkEnd w:id="125"/>
    <w:p>
      <w:pPr>
        <w:ind w:left="720" w:hanging="503"/>
        <w:spacing w:after="0" w:line="266" w:lineRule="auto"/>
        <w:tabs>
          <w:tab w:leader="none" w:pos="7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Substantively tested, with the assistance of firm personnel with experience in the application of fair value and valuation methodologies, the appropriateness of the judgments and assumptions used in management’s estimation process for determining the fair value of the intangible assets acquired, including:</w:t>
      </w:r>
    </w:p>
    <w:p>
      <w:pPr>
        <w:spacing w:after="0" w:line="68" w:lineRule="exact"/>
        <w:rPr>
          <w:sz w:val="20"/>
          <w:szCs w:val="20"/>
          <w:color w:val="auto"/>
        </w:rPr>
      </w:pPr>
    </w:p>
    <w:p>
      <w:pPr>
        <w:ind w:left="1180" w:hanging="514"/>
        <w:spacing w:after="0"/>
        <w:tabs>
          <w:tab w:leader="none" w:pos="11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consideration paid for the acquisitions.</w:t>
      </w:r>
    </w:p>
    <w:p>
      <w:pPr>
        <w:spacing w:after="0" w:line="117" w:lineRule="exact"/>
        <w:rPr>
          <w:rFonts w:ascii="Times New Roman" w:cs="Times New Roman" w:eastAsia="Times New Roman" w:hAnsi="Times New Roman"/>
          <w:sz w:val="18"/>
          <w:szCs w:val="18"/>
          <w:color w:val="auto"/>
        </w:rPr>
      </w:pPr>
    </w:p>
    <w:p>
      <w:pPr>
        <w:ind w:left="1180" w:right="300" w:hanging="514"/>
        <w:spacing w:after="0" w:line="282" w:lineRule="auto"/>
        <w:tabs>
          <w:tab w:leader="none" w:pos="11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mathematical accuracy of the calculations performed along with assessing the completeness and accuracy of the information used in the calculations.</w:t>
      </w:r>
    </w:p>
    <w:p>
      <w:pPr>
        <w:spacing w:after="0" w:line="53" w:lineRule="exact"/>
        <w:rPr>
          <w:rFonts w:ascii="Times New Roman" w:cs="Times New Roman" w:eastAsia="Times New Roman" w:hAnsi="Times New Roman"/>
          <w:sz w:val="18"/>
          <w:szCs w:val="18"/>
          <w:color w:val="auto"/>
        </w:rPr>
      </w:pPr>
    </w:p>
    <w:p>
      <w:pPr>
        <w:ind w:left="1180" w:hanging="514"/>
        <w:spacing w:after="0" w:line="282" w:lineRule="auto"/>
        <w:tabs>
          <w:tab w:leader="none" w:pos="11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appropriateness of the valuation methodologies used, as well as the key assumptions and inputs used, including discount rate, risk-free rate, weighted-average cost of capital, and equity risk premium.</w:t>
      </w:r>
    </w:p>
    <w:p>
      <w:pPr>
        <w:spacing w:after="0" w:line="53" w:lineRule="exact"/>
        <w:rPr>
          <w:rFonts w:ascii="Times New Roman" w:cs="Times New Roman" w:eastAsia="Times New Roman" w:hAnsi="Times New Roman"/>
          <w:sz w:val="18"/>
          <w:szCs w:val="18"/>
          <w:color w:val="auto"/>
        </w:rPr>
      </w:pPr>
    </w:p>
    <w:p>
      <w:pPr>
        <w:ind w:left="1180" w:right="260" w:hanging="514"/>
        <w:spacing w:after="0" w:line="282" w:lineRule="auto"/>
        <w:tabs>
          <w:tab w:leader="none" w:pos="11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sensitivity analyses to evaluate the changes in the fair value of the intangible assets that would result from changes in certain assumptions.</w:t>
      </w:r>
    </w:p>
    <w:p>
      <w:pPr>
        <w:spacing w:after="0" w:line="53" w:lineRule="exact"/>
        <w:rPr>
          <w:rFonts w:ascii="Times New Roman" w:cs="Times New Roman" w:eastAsia="Times New Roman" w:hAnsi="Times New Roman"/>
          <w:sz w:val="18"/>
          <w:szCs w:val="18"/>
          <w:color w:val="auto"/>
        </w:rPr>
      </w:pPr>
    </w:p>
    <w:p>
      <w:pPr>
        <w:ind w:left="1180" w:right="100" w:hanging="514"/>
        <w:spacing w:after="0" w:line="282" w:lineRule="auto"/>
        <w:tabs>
          <w:tab w:leader="none" w:pos="11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significant assumptions used by management to current industry and competitor data, comparable Company owned operations, and other areas of the audit.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Impairment Evaluation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described in Notes 2 and 6 to the consolidated financial statements, the Company tests goodwill for impairment annually, or more frequently if events have occurred or circumstances exist that indicate the carrying amount of goodwill may not be recoverable. The Company has recorded $590 million of goodwill as of December 31, 2022. The Company performs its goodwill impairment analysis utilizing either a qualitative or quantitative analysis. The qualitative impairment test includes the evaluation of factors to determine whether it is more-likely-than-not that the fair value of the reporting units is less than their carrying amount. The quantitative impairment test compares the carrying amount of the reporting units to their fair values.</w:t>
      </w:r>
    </w:p>
    <w:p>
      <w:pPr>
        <w:spacing w:after="0" w:line="183"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The impairment test resulted in the recording of an impairment loss of approximately $57 million for the year ended December 31, 2022. The impairment analysis requires management to make significant estimates and assumptions in performing its assessment including estimates and assumptions related to forecasts of future revenues and expenses, as well as working capital and capital expenditure requirements. Using the quantitative analysis, the Company then discounts the projected cash flows to a present value using a discount rate that reflects the estimated market weight-average cost of capital and risks specific to the projected cash flows.</w:t>
      </w:r>
    </w:p>
    <w:p>
      <w:pPr>
        <w:spacing w:after="0" w:line="183"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Auditing management’s impairment analysis is complex due to the judgments required to evaluate management’s previously noted estimates and assumptions.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333" w:lineRule="exact"/>
        <w:rPr>
          <w:sz w:val="20"/>
          <w:szCs w:val="20"/>
          <w:color w:val="auto"/>
        </w:rPr>
      </w:pPr>
    </w:p>
    <w:p>
      <w:pPr>
        <w:ind w:left="720" w:right="80" w:hanging="503"/>
        <w:spacing w:after="0" w:line="282" w:lineRule="auto"/>
        <w:tabs>
          <w:tab w:leader="none" w:pos="7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internal controls over the Company’s annual goodwill impairment analysis, including assumptions used by management in conducting its impairment analysis, including controls addressing:</w:t>
      </w:r>
    </w:p>
    <w:p>
      <w:pPr>
        <w:spacing w:after="0" w:line="54" w:lineRule="exact"/>
        <w:rPr>
          <w:sz w:val="20"/>
          <w:szCs w:val="20"/>
          <w:color w:val="auto"/>
        </w:rPr>
      </w:pPr>
    </w:p>
    <w:p>
      <w:pPr>
        <w:ind w:left="1180" w:hanging="514"/>
        <w:spacing w:after="0"/>
        <w:tabs>
          <w:tab w:leader="none" w:pos="11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identification of reporting units evaluated for potential impairment.</w:t>
      </w:r>
    </w:p>
    <w:p>
      <w:pPr>
        <w:spacing w:after="0" w:line="117" w:lineRule="exact"/>
        <w:rPr>
          <w:rFonts w:ascii="Times New Roman" w:cs="Times New Roman" w:eastAsia="Times New Roman" w:hAnsi="Times New Roman"/>
          <w:sz w:val="18"/>
          <w:szCs w:val="18"/>
          <w:color w:val="auto"/>
        </w:rPr>
      </w:pPr>
    </w:p>
    <w:p>
      <w:pPr>
        <w:ind w:left="1180" w:hanging="514"/>
        <w:spacing w:after="0"/>
        <w:tabs>
          <w:tab w:leader="none" w:pos="11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assessment of potential triggering events indicating potential impairment.</w:t>
      </w:r>
    </w:p>
    <w:p>
      <w:pPr>
        <w:spacing w:after="0" w:line="117" w:lineRule="exact"/>
        <w:rPr>
          <w:rFonts w:ascii="Times New Roman" w:cs="Times New Roman" w:eastAsia="Times New Roman" w:hAnsi="Times New Roman"/>
          <w:sz w:val="18"/>
          <w:szCs w:val="18"/>
          <w:color w:val="auto"/>
        </w:rPr>
      </w:pPr>
    </w:p>
    <w:p>
      <w:pPr>
        <w:ind w:left="1180" w:hanging="514"/>
        <w:spacing w:after="0" w:line="282" w:lineRule="auto"/>
        <w:tabs>
          <w:tab w:leader="none" w:pos="11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evaluation of the completeness, accuracy, and reasonableness of prospective financial information used to determine the fair values of reporting units, including the eventual repeal of 280E.</w:t>
      </w:r>
    </w:p>
    <w:p>
      <w:pPr>
        <w:spacing w:after="0" w:line="53" w:lineRule="exact"/>
        <w:rPr>
          <w:rFonts w:ascii="Times New Roman" w:cs="Times New Roman" w:eastAsia="Times New Roman" w:hAnsi="Times New Roman"/>
          <w:sz w:val="18"/>
          <w:szCs w:val="18"/>
          <w:color w:val="auto"/>
        </w:rPr>
      </w:pPr>
    </w:p>
    <w:p>
      <w:pPr>
        <w:ind w:left="1180" w:right="220" w:hanging="514"/>
        <w:spacing w:after="0" w:line="266" w:lineRule="auto"/>
        <w:tabs>
          <w:tab w:leader="none" w:pos="11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evaluation of the completeness and accuracy of key assumptions and inputs used by third-party valuation specialists, including the discount rate, market multiples, risk-free rate, weighted-average cost of capital, and equity risk premium used to determine fair values.</w:t>
      </w:r>
    </w:p>
    <w:p>
      <w:pPr>
        <w:spacing w:after="0" w:line="67" w:lineRule="exact"/>
        <w:rPr>
          <w:rFonts w:ascii="Times New Roman" w:cs="Times New Roman" w:eastAsia="Times New Roman" w:hAnsi="Times New Roman"/>
          <w:sz w:val="18"/>
          <w:szCs w:val="18"/>
          <w:color w:val="auto"/>
        </w:rPr>
      </w:pPr>
    </w:p>
    <w:p>
      <w:pPr>
        <w:ind w:left="1180" w:hanging="514"/>
        <w:spacing w:after="0"/>
        <w:tabs>
          <w:tab w:leader="none" w:pos="11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evaluation of the clerical accuracy of the model used to determine the fair values of reporting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26" w:name="page127"/>
    <w:bookmarkEnd w:id="126"/>
    <w:p>
      <w:pPr>
        <w:ind w:left="720" w:right="40" w:hanging="503"/>
        <w:spacing w:after="0" w:line="282" w:lineRule="auto"/>
        <w:tabs>
          <w:tab w:leader="none" w:pos="7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Substantively tested, with the assistance of firm personnel with the experience in the application of fair value and valuation methodologies, the appropriateness of the judgments and assumptions used by management in conducting its impairment analysis, including:</w:t>
      </w:r>
    </w:p>
    <w:p>
      <w:pPr>
        <w:spacing w:after="0" w:line="54" w:lineRule="exact"/>
        <w:rPr>
          <w:sz w:val="20"/>
          <w:szCs w:val="20"/>
          <w:color w:val="auto"/>
        </w:rPr>
      </w:pPr>
    </w:p>
    <w:p>
      <w:pPr>
        <w:ind w:left="1180" w:hanging="514"/>
        <w:spacing w:after="0"/>
        <w:tabs>
          <w:tab w:leader="none" w:pos="11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Confirmed the appropriateness of the reporting units evaluated in performing management’s impairment analysis.</w:t>
      </w:r>
    </w:p>
    <w:p>
      <w:pPr>
        <w:spacing w:after="0" w:line="117" w:lineRule="exact"/>
        <w:rPr>
          <w:rFonts w:ascii="Times New Roman" w:cs="Times New Roman" w:eastAsia="Times New Roman" w:hAnsi="Times New Roman"/>
          <w:sz w:val="18"/>
          <w:szCs w:val="18"/>
          <w:color w:val="auto"/>
        </w:rPr>
      </w:pPr>
    </w:p>
    <w:p>
      <w:pPr>
        <w:ind w:left="1180" w:hanging="514"/>
        <w:spacing w:after="0"/>
        <w:tabs>
          <w:tab w:leader="none" w:pos="11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management’s assessment of potential triggering events indicating potential impairment.</w:t>
      </w:r>
    </w:p>
    <w:p>
      <w:pPr>
        <w:spacing w:after="0" w:line="117" w:lineRule="exact"/>
        <w:rPr>
          <w:rFonts w:ascii="Times New Roman" w:cs="Times New Roman" w:eastAsia="Times New Roman" w:hAnsi="Times New Roman"/>
          <w:sz w:val="18"/>
          <w:szCs w:val="18"/>
          <w:color w:val="auto"/>
        </w:rPr>
      </w:pPr>
    </w:p>
    <w:p>
      <w:pPr>
        <w:ind w:left="1180" w:right="120" w:hanging="514"/>
        <w:spacing w:after="0" w:line="282" w:lineRule="auto"/>
        <w:tabs>
          <w:tab w:leader="none" w:pos="11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mathematical accuracy of the calculations performed along with assessing the completeness and accuracy of the information used in the calculations.</w:t>
      </w:r>
    </w:p>
    <w:p>
      <w:pPr>
        <w:spacing w:after="0" w:line="53" w:lineRule="exact"/>
        <w:rPr>
          <w:rFonts w:ascii="Times New Roman" w:cs="Times New Roman" w:eastAsia="Times New Roman" w:hAnsi="Times New Roman"/>
          <w:sz w:val="18"/>
          <w:szCs w:val="18"/>
          <w:color w:val="auto"/>
        </w:rPr>
      </w:pPr>
    </w:p>
    <w:p>
      <w:pPr>
        <w:ind w:left="1180" w:hanging="514"/>
        <w:spacing w:after="0" w:line="312" w:lineRule="auto"/>
        <w:tabs>
          <w:tab w:leader="none" w:pos="1180"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appropriateness of the valuation methodologies used, as well as the key assumptions and inputs used, including anticipated future cash flows, discount rates, market multiples, risk-free rate, weighted-average cost of capital, and the eventual repeal of 280E.</w:t>
      </w:r>
    </w:p>
    <w:p>
      <w:pPr>
        <w:spacing w:after="0" w:line="31" w:lineRule="exact"/>
        <w:rPr>
          <w:rFonts w:ascii="Times New Roman" w:cs="Times New Roman" w:eastAsia="Times New Roman" w:hAnsi="Times New Roman"/>
          <w:sz w:val="17"/>
          <w:szCs w:val="17"/>
          <w:color w:val="auto"/>
        </w:rPr>
      </w:pPr>
    </w:p>
    <w:p>
      <w:pPr>
        <w:ind w:left="1180" w:right="220" w:hanging="514"/>
        <w:spacing w:after="0" w:line="282" w:lineRule="auto"/>
        <w:tabs>
          <w:tab w:leader="none" w:pos="11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sensitivity analyses to evaluate the changes in the fair value of the reporting units that would result from changes in certain assumptions.</w:t>
      </w:r>
    </w:p>
    <w:p>
      <w:pPr>
        <w:spacing w:after="0" w:line="53" w:lineRule="exact"/>
        <w:rPr>
          <w:rFonts w:ascii="Times New Roman" w:cs="Times New Roman" w:eastAsia="Times New Roman" w:hAnsi="Times New Roman"/>
          <w:sz w:val="18"/>
          <w:szCs w:val="18"/>
          <w:color w:val="auto"/>
        </w:rPr>
      </w:pPr>
    </w:p>
    <w:p>
      <w:pPr>
        <w:ind w:left="1180" w:right="80" w:hanging="514"/>
        <w:spacing w:after="0" w:line="282" w:lineRule="auto"/>
        <w:tabs>
          <w:tab w:leader="none" w:pos="11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significant assumptions used by management to historical results of operations, industry and market data, and other evidence obtained in the performance of the audit.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Baker Tilly US,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445" w:right="539" w:bottom="1440" w:gutter="0" w:footer="0" w:header="0"/>
        </w:sectPr>
      </w:pPr>
    </w:p>
    <w:bookmarkStart w:id="127" w:name="page128"/>
    <w:bookmarkEnd w:id="127"/>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Green Thumb Industries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Consolidated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audited the accompanying consolidated statements of operations, changes in shareholders’ equity, and cash flows of Green Thumb Industries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for the year ended December 31, 2020, and the related notes (collectively referred to as the “consolidated financial statements”).</w:t>
      </w:r>
    </w:p>
    <w:p>
      <w:pPr>
        <w:spacing w:after="0" w:line="20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our opinion, the consolidated financial statements present fairly, in all material respects, the consolidated results of the Company’s operations and its cash flows for the year ended December 31, 2020, in conformity with accounting principles generally accepted in the United States of America.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from 2019 to 2021.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Macias Gini &amp; O’Connell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90" w:right="3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color w:val="auto"/>
        </w:rPr>
        <w:t>GREEN THUMB INDUSTRIES INC. 2018 STOCK AND INCENTIVE PLAN NOTICE OF STOCK OPTION GRANT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have been granted the following option to purchase Subordinate Voting Shares of Green Thumb Industries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Name of Optionee:</w:t>
            </w:r>
          </w:p>
        </w:tc>
        <w:tc>
          <w:tcPr>
            <w:tcW w:w="530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w w:val="99"/>
              </w:rPr>
              <w:t>_________________________________________</w:t>
            </w:r>
          </w:p>
        </w:tc>
      </w:tr>
      <w:tr>
        <w:trPr>
          <w:trHeight w:val="445"/>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Shares Granted:</w:t>
            </w:r>
          </w:p>
        </w:tc>
        <w:tc>
          <w:tcPr>
            <w:tcW w:w="530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w w:val="99"/>
              </w:rPr>
              <w:t>_________________________________________</w:t>
            </w:r>
          </w:p>
        </w:tc>
      </w:tr>
      <w:tr>
        <w:trPr>
          <w:trHeight w:val="44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Type of Option:</w:t>
            </w:r>
          </w:p>
        </w:tc>
        <w:tc>
          <w:tcPr>
            <w:tcW w:w="530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Non-Qualified Stock Option</w:t>
            </w:r>
          </w:p>
        </w:tc>
      </w:tr>
      <w:tr>
        <w:trPr>
          <w:trHeight w:val="405"/>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2080" w:type="dxa"/>
            <w:vAlign w:val="bottom"/>
          </w:tcPr>
          <w:p>
            <w:pPr>
              <w:ind w:left="1620"/>
              <w:spacing w:after="0"/>
              <w:rPr>
                <w:sz w:val="20"/>
                <w:szCs w:val="20"/>
                <w:color w:val="auto"/>
              </w:rPr>
            </w:pPr>
            <w:r>
              <w:rPr>
                <w:rFonts w:ascii="Times New Roman" w:cs="Times New Roman" w:eastAsia="Times New Roman" w:hAnsi="Times New Roman"/>
                <w:sz w:val="18"/>
                <w:szCs w:val="18"/>
                <w:color w:val="auto"/>
                <w:w w:val="93"/>
              </w:rPr>
              <w:t>CDN$</w:t>
            </w:r>
          </w:p>
        </w:tc>
        <w:tc>
          <w:tcPr>
            <w:tcW w:w="720" w:type="dxa"/>
            <w:vAlign w:val="bottom"/>
            <w:tcBorders>
              <w:bottom w:val="single" w:sz="8" w:color="auto"/>
            </w:tcBorders>
          </w:tcPr>
          <w:p>
            <w:pPr>
              <w:spacing w:after="0"/>
              <w:rPr>
                <w:sz w:val="24"/>
                <w:szCs w:val="24"/>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or US$</w:t>
            </w:r>
          </w:p>
        </w:tc>
      </w:tr>
      <w:tr>
        <w:trPr>
          <w:trHeight w:val="46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Date of Grant:</w:t>
            </w:r>
          </w:p>
        </w:tc>
        <w:tc>
          <w:tcPr>
            <w:tcW w:w="530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w w:val="99"/>
              </w:rPr>
              <w:t>_________________________________________</w:t>
            </w:r>
          </w:p>
        </w:tc>
      </w:tr>
      <w:tr>
        <w:trPr>
          <w:trHeight w:val="44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Vesting Terms:</w:t>
            </w:r>
          </w:p>
        </w:tc>
        <w:tc>
          <w:tcPr>
            <w:tcW w:w="530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w w:val="99"/>
              </w:rPr>
              <w:t>_________________________________________</w:t>
            </w:r>
          </w:p>
        </w:tc>
      </w:tr>
      <w:tr>
        <w:trPr>
          <w:trHeight w:val="445"/>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Expiration Date:</w:t>
            </w:r>
          </w:p>
        </w:tc>
        <w:tc>
          <w:tcPr>
            <w:tcW w:w="530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w w:val="99"/>
              </w:rPr>
              <w:t>_________________________________________</w:t>
            </w:r>
          </w:p>
        </w:tc>
      </w:tr>
    </w:tbl>
    <w:p>
      <w:pPr>
        <w:spacing w:after="0" w:line="21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By your signature and the signature of the Company’s representative below, you and the Company agree that this option is granted under and governed by the terms and conditions of the Company’s 2018 Stock and Incentive Plan, as amended and the attached Stock Option Agreement, both of which are made a part of this document.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OPTIONEE:</w:t>
            </w:r>
          </w:p>
        </w:tc>
        <w:tc>
          <w:tcPr>
            <w:tcW w:w="74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GREEN THUMB INDUSTRIES INC.</w:t>
            </w:r>
          </w:p>
        </w:tc>
      </w:tr>
      <w:tr>
        <w:trPr>
          <w:trHeight w:val="234"/>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_____________________________</w:t>
            </w:r>
          </w:p>
        </w:tc>
        <w:tc>
          <w:tcPr>
            <w:tcW w:w="744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By:_____________________________</w:t>
            </w:r>
          </w:p>
        </w:tc>
      </w:tr>
      <w:tr>
        <w:trPr>
          <w:trHeight w:val="427"/>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_____________________________</w:t>
            </w:r>
          </w:p>
        </w:tc>
        <w:tc>
          <w:tcPr>
            <w:tcW w:w="744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Title:____________________________</w:t>
            </w:r>
          </w:p>
        </w:tc>
      </w:tr>
      <w:tr>
        <w:trPr>
          <w:trHeight w:val="234"/>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Print Name</w:t>
            </w:r>
          </w:p>
        </w:tc>
        <w:tc>
          <w:tcPr>
            <w:tcW w:w="7440" w:type="dxa"/>
            <w:vAlign w:val="bottom"/>
          </w:tcPr>
          <w:p>
            <w:pPr>
              <w:spacing w:after="0"/>
              <w:rPr>
                <w:sz w:val="20"/>
                <w:szCs w:val="20"/>
                <w:color w:val="auto"/>
              </w:rPr>
            </w:pPr>
          </w:p>
        </w:tc>
      </w:tr>
      <w:tr>
        <w:trPr>
          <w:trHeight w:val="1424"/>
        </w:trPr>
        <w:tc>
          <w:tcPr>
            <w:tcW w:w="3800" w:type="dxa"/>
            <w:vAlign w:val="bottom"/>
            <w:tcBorders>
              <w:bottom w:val="single" w:sz="8" w:color="9A9A9A"/>
            </w:tcBorders>
          </w:tcPr>
          <w:p>
            <w:pPr>
              <w:spacing w:after="0"/>
              <w:rPr>
                <w:sz w:val="24"/>
                <w:szCs w:val="24"/>
                <w:color w:val="auto"/>
              </w:rPr>
            </w:pPr>
          </w:p>
        </w:tc>
        <w:tc>
          <w:tcPr>
            <w:tcW w:w="7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ind w:left="3340"/>
        <w:spacing w:after="0"/>
        <w:rPr>
          <w:sz w:val="20"/>
          <w:szCs w:val="20"/>
          <w:color w:val="auto"/>
        </w:rPr>
      </w:pPr>
      <w:r>
        <w:rPr>
          <w:rFonts w:ascii="Times New Roman" w:cs="Times New Roman" w:eastAsia="Times New Roman" w:hAnsi="Times New Roman"/>
          <w:sz w:val="18"/>
          <w:szCs w:val="18"/>
          <w:b w:val="1"/>
          <w:bCs w:val="1"/>
          <w:color w:val="auto"/>
        </w:rPr>
        <w:t>GREEN THUMB INDUSTRIES INC. 2018 STOCK AND</w:t>
      </w:r>
    </w:p>
    <w:p>
      <w:pPr>
        <w:spacing w:after="0" w:line="3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INCENTIVE PLAN STOCK OPTION AGREEMENT</w:t>
      </w:r>
    </w:p>
    <w:p>
      <w:pPr>
        <w:spacing w:after="0" w:line="200" w:lineRule="exact"/>
        <w:rPr>
          <w:sz w:val="20"/>
          <w:szCs w:val="20"/>
          <w:color w:val="auto"/>
        </w:rPr>
      </w:pPr>
    </w:p>
    <w:p>
      <w:pPr>
        <w:spacing w:after="0" w:line="2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SECTION 1. GRANT OF OPTION.</w:t>
      </w:r>
    </w:p>
    <w:p>
      <w:pPr>
        <w:spacing w:after="0" w:line="225" w:lineRule="exact"/>
        <w:rPr>
          <w:sz w:val="20"/>
          <w:szCs w:val="20"/>
          <w:color w:val="auto"/>
        </w:rPr>
      </w:pPr>
    </w:p>
    <w:p>
      <w:pPr>
        <w:ind w:left="100" w:firstLine="742"/>
        <w:spacing w:after="0" w:line="268" w:lineRule="auto"/>
        <w:tabs>
          <w:tab w:leader="none" w:pos="1714"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On the terms and conditions set forth in the Notice of Stock Option Grant and this Agreement, the Company grants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Optionee on the Date of Grant the option to purchase at the Exercise Price the number of Shares set forth in the Notice of Stock Option Grant. This option is intended to be a Non-Qualified Stock Option (NSO), as provided in the Notice of Stock Option Grant.</w:t>
      </w:r>
    </w:p>
    <w:p>
      <w:pPr>
        <w:spacing w:after="0" w:line="170" w:lineRule="exact"/>
        <w:rPr>
          <w:rFonts w:ascii="Times New Roman" w:cs="Times New Roman" w:eastAsia="Times New Roman" w:hAnsi="Times New Roman"/>
          <w:sz w:val="18"/>
          <w:szCs w:val="18"/>
          <w:color w:val="auto"/>
        </w:rPr>
      </w:pPr>
    </w:p>
    <w:p>
      <w:pPr>
        <w:ind w:left="100" w:right="20" w:firstLine="742"/>
        <w:spacing w:after="0" w:line="268" w:lineRule="auto"/>
        <w:tabs>
          <w:tab w:leader="none" w:pos="1714"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 Plan and Defined Terms</w:t>
      </w:r>
      <w:r>
        <w:rPr>
          <w:rFonts w:ascii="Times New Roman" w:cs="Times New Roman" w:eastAsia="Times New Roman" w:hAnsi="Times New Roman"/>
          <w:sz w:val="18"/>
          <w:szCs w:val="18"/>
          <w:color w:val="auto"/>
        </w:rPr>
        <w:t>. This option is granted pursuant to the 2018 Stock and Incentive Plan, as amended (the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copy of which the Optionee acknowledges having received. The provisions of the Plan are incorporated into this Agreement by this reference. Capitalized terms are defined in Section 9 of this Agreement, unless otherwise defined elsewhere herein or in Section 2 of the Plan.</w:t>
      </w:r>
    </w:p>
    <w:p>
      <w:pPr>
        <w:spacing w:after="0" w:line="1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SECTION 2. RIGHT TO EXERCISE.</w:t>
      </w:r>
    </w:p>
    <w:p>
      <w:pPr>
        <w:spacing w:after="0" w:line="239" w:lineRule="exact"/>
        <w:rPr>
          <w:sz w:val="20"/>
          <w:szCs w:val="20"/>
          <w:color w:val="auto"/>
        </w:rPr>
      </w:pPr>
    </w:p>
    <w:p>
      <w:pPr>
        <w:ind w:left="100" w:right="480" w:firstLine="742"/>
        <w:spacing w:after="0" w:line="286" w:lineRule="auto"/>
        <w:tabs>
          <w:tab w:leader="none" w:pos="171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 General</w:t>
      </w:r>
      <w:r>
        <w:rPr>
          <w:rFonts w:ascii="Times New Roman" w:cs="Times New Roman" w:eastAsia="Times New Roman" w:hAnsi="Times New Roman"/>
          <w:sz w:val="18"/>
          <w:szCs w:val="18"/>
          <w:color w:val="auto"/>
        </w:rPr>
        <w:t>. Except as set forth below and subject to any other conditions of this Agreement, all or part of this option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exercised prior to its expiration at the time or times set forth in the Notice of Stock Option Grant.</w:t>
      </w:r>
    </w:p>
    <w:p>
      <w:pPr>
        <w:spacing w:after="0" w:line="154" w:lineRule="exact"/>
        <w:rPr>
          <w:rFonts w:ascii="Times New Roman" w:cs="Times New Roman" w:eastAsia="Times New Roman" w:hAnsi="Times New Roman"/>
          <w:sz w:val="18"/>
          <w:szCs w:val="18"/>
          <w:color w:val="auto"/>
        </w:rPr>
      </w:pPr>
    </w:p>
    <w:p>
      <w:pPr>
        <w:ind w:left="100" w:right="20" w:firstLine="742"/>
        <w:spacing w:after="0" w:line="268" w:lineRule="auto"/>
        <w:tabs>
          <w:tab w:leader="none" w:pos="171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If within 12 months following a Change in Control, the Company terminates the Optionee’s service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for reasons other than for Cause, then the option shall become immediately exercisable in full on the date of such termination, and the Optionee may exercise all or part of this option at any time before its expiration.</w:t>
      </w:r>
    </w:p>
    <w:p>
      <w:pPr>
        <w:spacing w:after="0" w:line="1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SECTION 3. NO TRANSFER OR ASSIGNMENT OF OPTION.</w:t>
      </w:r>
    </w:p>
    <w:p>
      <w:pPr>
        <w:spacing w:after="0" w:line="243" w:lineRule="exact"/>
        <w:rPr>
          <w:sz w:val="20"/>
          <w:szCs w:val="20"/>
          <w:color w:val="auto"/>
        </w:rPr>
      </w:pPr>
    </w:p>
    <w:p>
      <w:pPr>
        <w:ind w:left="100" w:right="360" w:firstLine="749"/>
        <w:spacing w:after="0" w:line="312" w:lineRule="auto"/>
        <w:rPr>
          <w:sz w:val="20"/>
          <w:szCs w:val="20"/>
          <w:color w:val="auto"/>
        </w:rPr>
      </w:pPr>
      <w:r>
        <w:rPr>
          <w:rFonts w:ascii="Times New Roman" w:cs="Times New Roman" w:eastAsia="Times New Roman" w:hAnsi="Times New Roman"/>
          <w:sz w:val="17"/>
          <w:szCs w:val="17"/>
          <w:color w:val="auto"/>
        </w:rPr>
        <w:t>Except as otherwise provided in this Agreement, this option and the rights and privileges conferred hereby shall not be sold, pledged or otherwise transferred (whether by operation of law or otherwise) and shall not be subject to sale under execution, attachment, levy or similar process.</w:t>
      </w:r>
    </w:p>
    <w:p>
      <w:pPr>
        <w:spacing w:after="0" w:line="1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SECTION 4. EXERCISE PROCEDURES.</w:t>
      </w:r>
    </w:p>
    <w:p>
      <w:pPr>
        <w:spacing w:after="0" w:line="239" w:lineRule="exact"/>
        <w:rPr>
          <w:sz w:val="20"/>
          <w:szCs w:val="20"/>
          <w:color w:val="auto"/>
        </w:rPr>
      </w:pPr>
    </w:p>
    <w:p>
      <w:pPr>
        <w:ind w:left="100" w:right="40" w:firstLine="742"/>
        <w:spacing w:after="0" w:line="257" w:lineRule="auto"/>
        <w:tabs>
          <w:tab w:leader="none" w:pos="140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 of Exercise</w:t>
      </w:r>
      <w:r>
        <w:rPr>
          <w:rFonts w:ascii="Times New Roman" w:cs="Times New Roman" w:eastAsia="Times New Roman" w:hAnsi="Times New Roman"/>
          <w:sz w:val="18"/>
          <w:szCs w:val="18"/>
          <w:color w:val="auto"/>
        </w:rPr>
        <w:t>. The Optionee or the Optionee’s representative may exercise this option by giving written notice to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notice may be electronic and/or delivered through the Company’s share plan portal. The notice shall specify the election to exercise this option, the number of Shares for which it is being exercised and the form of payment. The notice shall be signed by the person exercising this option. In the event that this option is being exercised by the representative of the Optionee, the notice shall be accompanied by proof (satisfactory to the Company) of the representative’s right to exercise this option. The Optionee or the Optionee’s representative shall deliver to the Company, at the time of giving the notice, payment in a form permissible under Section 5 of this Agreement for the full amount of the Purchase Price.</w:t>
      </w:r>
    </w:p>
    <w:p>
      <w:pPr>
        <w:spacing w:after="0" w:line="195" w:lineRule="exact"/>
        <w:rPr>
          <w:rFonts w:ascii="Times New Roman" w:cs="Times New Roman" w:eastAsia="Times New Roman" w:hAnsi="Times New Roman"/>
          <w:sz w:val="18"/>
          <w:szCs w:val="18"/>
          <w:color w:val="auto"/>
        </w:rPr>
      </w:pPr>
    </w:p>
    <w:p>
      <w:pPr>
        <w:ind w:left="100" w:right="180" w:firstLine="742"/>
        <w:spacing w:after="0" w:line="268" w:lineRule="auto"/>
        <w:tabs>
          <w:tab w:leader="none" w:pos="140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Applicable Exercise Price</w:t>
      </w:r>
      <w:r>
        <w:rPr>
          <w:rFonts w:ascii="Times New Roman" w:cs="Times New Roman" w:eastAsia="Times New Roman" w:hAnsi="Times New Roman"/>
          <w:sz w:val="18"/>
          <w:szCs w:val="18"/>
          <w:color w:val="auto"/>
        </w:rPr>
        <w:t>. The options granted hereby include a Canadian Dollar and U.S. Dollar Exercise Price that are equivalent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Date of Grant. The Company shall have the sole authority, to be exercised in its sole discretion, to determine to apply the U.S. Dollar or Canadian Dollar Exercise Price based on the Company’s share plan administration procedures.</w:t>
      </w:r>
    </w:p>
    <w:p>
      <w:pPr>
        <w:spacing w:after="0" w:line="184" w:lineRule="exact"/>
        <w:rPr>
          <w:rFonts w:ascii="Times New Roman" w:cs="Times New Roman" w:eastAsia="Times New Roman" w:hAnsi="Times New Roman"/>
          <w:sz w:val="18"/>
          <w:szCs w:val="18"/>
          <w:color w:val="auto"/>
        </w:rPr>
      </w:pPr>
    </w:p>
    <w:p>
      <w:pPr>
        <w:ind w:left="100" w:right="20" w:firstLine="742"/>
        <w:spacing w:after="0" w:line="257" w:lineRule="auto"/>
        <w:tabs>
          <w:tab w:leader="none" w:pos="140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Issuance of Shares</w:t>
      </w:r>
      <w:r>
        <w:rPr>
          <w:rFonts w:ascii="Times New Roman" w:cs="Times New Roman" w:eastAsia="Times New Roman" w:hAnsi="Times New Roman"/>
          <w:sz w:val="18"/>
          <w:szCs w:val="18"/>
          <w:color w:val="auto"/>
        </w:rPr>
        <w:t>. After receiving a proper notice of exercise, the Company shall cause to be issued Shares (either in certificate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book entry form, as determined by the Company) as to which this option has been exercised, registered in the name of the person exercising this option (or in the names of such person and his or her spouse as community property or as joint tenants with right of survivorship). If the Optionee is a resident of the United States, the Optionee acknowledges that any securities (the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issued hereunder may be “restricted securities”, as such term is defined under Rule 144 under the Securities Act of 1933, as amended, (the “</w:t>
      </w:r>
      <w:r>
        <w:rPr>
          <w:rFonts w:ascii="Times New Roman" w:cs="Times New Roman" w:eastAsia="Times New Roman" w:hAnsi="Times New Roman"/>
          <w:sz w:val="18"/>
          <w:szCs w:val="18"/>
          <w:i w:val="1"/>
          <w:iCs w:val="1"/>
          <w:color w:val="auto"/>
        </w:rPr>
        <w:t>U.S. Securities Act</w:t>
      </w:r>
      <w:r>
        <w:rPr>
          <w:rFonts w:ascii="Times New Roman" w:cs="Times New Roman" w:eastAsia="Times New Roman" w:hAnsi="Times New Roman"/>
          <w:sz w:val="18"/>
          <w:szCs w:val="18"/>
          <w:color w:val="auto"/>
        </w:rPr>
        <w:t>”) and the Optionee agrees that if it decides to offer, sell or otherwise transfer, pledge or hypothecate all or any part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Updated July 2022</w:t>
      </w: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7" w:right="359" w:bottom="1440" w:gutter="0" w:footer="0" w:header="0"/>
        </w:sectPr>
      </w:pPr>
    </w:p>
    <w:bookmarkStart w:id="130" w:name="page131"/>
    <w:bookmarkEnd w:id="130"/>
    <w:p>
      <w:pPr>
        <w:ind w:left="100"/>
        <w:spacing w:after="0" w:line="261" w:lineRule="auto"/>
        <w:rPr>
          <w:sz w:val="20"/>
          <w:szCs w:val="20"/>
          <w:color w:val="auto"/>
        </w:rPr>
      </w:pPr>
      <w:r>
        <w:rPr>
          <w:rFonts w:ascii="Times New Roman" w:cs="Times New Roman" w:eastAsia="Times New Roman" w:hAnsi="Times New Roman"/>
          <w:sz w:val="18"/>
          <w:szCs w:val="18"/>
          <w:color w:val="auto"/>
        </w:rPr>
        <w:t>of the Securities, it will not offer, sell or otherwise transfer, pledge or hypothecate any or any part of the Securities other than pursuant to an effective registration statement under the U.S. Securities Act or pursuant to an exception to any applicable restrictions imposed thereby, directly or indirectly. Participant further, acknowledges that, if the Securities are not registered pursuant to a valid registration statement, a legend to the foregoing effect will be affixed to any certificates representing the Securities.</w:t>
      </w:r>
    </w:p>
    <w:p>
      <w:pPr>
        <w:spacing w:after="0" w:line="189" w:lineRule="exact"/>
        <w:rPr>
          <w:sz w:val="20"/>
          <w:szCs w:val="20"/>
          <w:color w:val="auto"/>
        </w:rPr>
      </w:pPr>
    </w:p>
    <w:p>
      <w:pPr>
        <w:ind w:left="100" w:firstLine="742"/>
        <w:spacing w:after="0" w:line="268" w:lineRule="auto"/>
        <w:tabs>
          <w:tab w:leader="none" w:pos="1403"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Taxes</w:t>
      </w:r>
      <w:r>
        <w:rPr>
          <w:rFonts w:ascii="Times New Roman" w:cs="Times New Roman" w:eastAsia="Times New Roman" w:hAnsi="Times New Roman"/>
          <w:sz w:val="17"/>
          <w:szCs w:val="17"/>
          <w:color w:val="auto"/>
        </w:rPr>
        <w:t>. The Optionee hereby agrees to make adequate provision for any sums required to satisfy the applicable federal, state, local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foreign employment, social insurance, payroll, income or other tax withholding obligations (the “</w:t>
      </w:r>
      <w:r>
        <w:rPr>
          <w:rFonts w:ascii="Times New Roman" w:cs="Times New Roman" w:eastAsia="Times New Roman" w:hAnsi="Times New Roman"/>
          <w:sz w:val="17"/>
          <w:szCs w:val="17"/>
          <w:i w:val="1"/>
          <w:iCs w:val="1"/>
          <w:color w:val="auto"/>
        </w:rPr>
        <w:t>Withholding Obligations</w:t>
      </w:r>
      <w:r>
        <w:rPr>
          <w:rFonts w:ascii="Times New Roman" w:cs="Times New Roman" w:eastAsia="Times New Roman" w:hAnsi="Times New Roman"/>
          <w:sz w:val="17"/>
          <w:szCs w:val="17"/>
          <w:color w:val="auto"/>
        </w:rPr>
        <w:t>”) that arise in connection with this Agreement, the option, the exercise of the option or any portion thereof and the sale of any Securities acquired pursuant to the exercise of the option or any portion thereof. The Company may establish procedures to ensure satisfaction of all applicable Withholding Obligations arising in connection with this Agreement, including any means permitted in Section 8 of the Plan. The Optionee hereby authorizes the Company, at its sole discretion and subject to any limitations under applicable law, to satisfy any such Tax Obligations by (1) withholding a portion of the Securities otherwise to be issued pursuant to the exercise of the option (or any portion thereof) having a value equal to the amount of Withholding Obligation in accordance with such rules as the Company may from time to time establish; (2) withholding from the wages and other cash compensation payable to the Optionee or by causing the Optionee to tender a cash payment or other Securities to the Company; or (3) selling on the Optionee’s behalf (using any brokerage firm determined acceptable to the Company for such purpose) a portion of the Securities issued in connection with the exercise of the option (or any portion thereof) as the Company determines to be appropriate to generate cash proceeds sufficient to satisfy the Withholding Obligations. The Optionee shall be responsible for all brokerage fees and other costs of sale, and the Optionee further agrees to indemnify and hold the Company harmless from any losses, costs, damages or expenses relating to any such sale. The Company may refuse to deliver Securities if the Optionee fails to comply with the Optionee’s obligations in connection with the Withholding Obligations described in this paragraph. The Optionee agrees to pay to the Company or its applicable Affiliate, any amount of Withholding Obligations that the Company or its applicable Affiliate may be required to withhold or account for as a result of Optionee’s participation in the Plan that cannot be satisfied by the means described in this Agreement. The Company may refuse to issue or deliver the Shares, cash or the proceeds of the sale of Shares, if the Optionee fails to comply with the Optionee’s obligations in connection with the Withholding Obligations.</w:t>
      </w:r>
    </w:p>
    <w:p>
      <w:pPr>
        <w:spacing w:after="0" w:line="17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SECTION 5. PAYMENT FOR STOCK.</w:t>
      </w:r>
    </w:p>
    <w:p>
      <w:pPr>
        <w:spacing w:after="0" w:line="239" w:lineRule="exact"/>
        <w:rPr>
          <w:sz w:val="20"/>
          <w:szCs w:val="20"/>
          <w:color w:val="auto"/>
        </w:rPr>
      </w:pPr>
    </w:p>
    <w:p>
      <w:pPr>
        <w:ind w:left="100" w:right="680" w:firstLine="742"/>
        <w:spacing w:after="0" w:line="286" w:lineRule="auto"/>
        <w:tabs>
          <w:tab w:leader="none" w:pos="171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All or part of the Purchase Price may be paid in cash or cash equivalents, as permitted by the Company’s share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administration procedures.</w:t>
      </w:r>
    </w:p>
    <w:p>
      <w:pPr>
        <w:spacing w:after="0" w:line="154" w:lineRule="exact"/>
        <w:rPr>
          <w:rFonts w:ascii="Times New Roman" w:cs="Times New Roman" w:eastAsia="Times New Roman" w:hAnsi="Times New Roman"/>
          <w:sz w:val="18"/>
          <w:szCs w:val="18"/>
          <w:color w:val="auto"/>
        </w:rPr>
      </w:pPr>
    </w:p>
    <w:p>
      <w:pPr>
        <w:ind w:left="100" w:right="80" w:firstLine="742"/>
        <w:spacing w:after="0" w:line="259" w:lineRule="auto"/>
        <w:tabs>
          <w:tab w:leader="none" w:pos="171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Surrender of Stock</w:t>
      </w:r>
      <w:r>
        <w:rPr>
          <w:rFonts w:ascii="Times New Roman" w:cs="Times New Roman" w:eastAsia="Times New Roman" w:hAnsi="Times New Roman"/>
          <w:sz w:val="18"/>
          <w:szCs w:val="18"/>
          <w:color w:val="auto"/>
        </w:rPr>
        <w:t>. Subject to applicable corporate and securities laws, and stock exchange requirements, all or any part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Price may be paid by surrendering, or attesting to the ownership of, Shares that are already owned by the Optionee. Such Shares shall be surrendered to the Company in good form for cancellation and shall be valued at their Fair Market Value on the date when this option is exercised. The Optionee shall not surrender, or attest to the ownership of, Shares in payment of the Purchase Price if such action would cause the Company to recognize compensation expense (or additional compensation expense) with respect to this option for financial reporting purposes.</w:t>
      </w:r>
    </w:p>
    <w:p>
      <w:pPr>
        <w:spacing w:after="0" w:line="179" w:lineRule="exact"/>
        <w:rPr>
          <w:rFonts w:ascii="Times New Roman" w:cs="Times New Roman" w:eastAsia="Times New Roman" w:hAnsi="Times New Roman"/>
          <w:sz w:val="18"/>
          <w:szCs w:val="18"/>
          <w:color w:val="auto"/>
        </w:rPr>
      </w:pPr>
    </w:p>
    <w:p>
      <w:pPr>
        <w:jc w:val="both"/>
        <w:ind w:left="100" w:firstLine="742"/>
        <w:spacing w:after="0" w:line="268" w:lineRule="auto"/>
        <w:tabs>
          <w:tab w:leader="none" w:pos="171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Exercise/Sale</w:t>
      </w:r>
      <w:r>
        <w:rPr>
          <w:rFonts w:ascii="Times New Roman" w:cs="Times New Roman" w:eastAsia="Times New Roman" w:hAnsi="Times New Roman"/>
          <w:sz w:val="18"/>
          <w:szCs w:val="18"/>
          <w:color w:val="auto"/>
        </w:rPr>
        <w:t>. If Shares are publicly traded, all or part of the Purchase Price and any withholding taxes may be paid by the delivery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a form prescribed by the Company) of an irrevocable direction to a securities broker approved by the Company to sell Shares and to deliver all or part of the sales proceeds to the Company.</w:t>
      </w:r>
    </w:p>
    <w:p>
      <w:pPr>
        <w:spacing w:after="0" w:line="170" w:lineRule="exact"/>
        <w:rPr>
          <w:rFonts w:ascii="Times New Roman" w:cs="Times New Roman" w:eastAsia="Times New Roman" w:hAnsi="Times New Roman"/>
          <w:sz w:val="18"/>
          <w:szCs w:val="18"/>
          <w:color w:val="auto"/>
        </w:rPr>
      </w:pPr>
    </w:p>
    <w:p>
      <w:pPr>
        <w:ind w:left="100" w:right="360" w:firstLine="742"/>
        <w:spacing w:after="0" w:line="268" w:lineRule="auto"/>
        <w:tabs>
          <w:tab w:leader="none" w:pos="171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Net Exercise</w:t>
      </w:r>
      <w:r>
        <w:rPr>
          <w:rFonts w:ascii="Times New Roman" w:cs="Times New Roman" w:eastAsia="Times New Roman" w:hAnsi="Times New Roman"/>
          <w:sz w:val="18"/>
          <w:szCs w:val="18"/>
          <w:color w:val="auto"/>
        </w:rPr>
        <w:t>. The Company may, in its discretion, permit an Option to be exercised by delivering to the Optionee a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having an aggregate Fair Market Value (determined as of the date of exercise) equal to the excess, if positive, of the Fair Market Value of the Shares underlying the Option being exercised on the date of exercise, over the Purchase Price of the Option for such Shares.</w:t>
      </w:r>
    </w:p>
    <w:p>
      <w:pPr>
        <w:spacing w:after="0" w:line="18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SECTION 6. TERM AND EXPIRATION.</w:t>
      </w:r>
    </w:p>
    <w:p>
      <w:pPr>
        <w:spacing w:after="0" w:line="225" w:lineRule="exact"/>
        <w:rPr>
          <w:sz w:val="20"/>
          <w:szCs w:val="20"/>
          <w:color w:val="auto"/>
        </w:rPr>
      </w:pPr>
    </w:p>
    <w:p>
      <w:pPr>
        <w:ind w:left="100" w:right="60" w:firstLine="742"/>
        <w:spacing w:after="0" w:line="268" w:lineRule="auto"/>
        <w:tabs>
          <w:tab w:leader="none" w:pos="159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Basic Term</w:t>
      </w:r>
      <w:r>
        <w:rPr>
          <w:rFonts w:ascii="Times New Roman" w:cs="Times New Roman" w:eastAsia="Times New Roman" w:hAnsi="Times New Roman"/>
          <w:sz w:val="18"/>
          <w:szCs w:val="18"/>
          <w:color w:val="auto"/>
        </w:rPr>
        <w:t>. This option shall in any event expire on the expiration date set forth in the Notice of Stock Option Grant, which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exceed seven years after the Date of Grant (five years after the Date of Grant if this option is designated as an ISO in the Notice of Stock Option Grant, and the Optionee is a 10% owner as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Updated July 2022</w:t>
      </w: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1" w:right="359" w:bottom="1440" w:gutter="0" w:footer="0" w:header="0"/>
        </w:sectPr>
      </w:pPr>
    </w:p>
    <w:bookmarkStart w:id="131" w:name="page132"/>
    <w:bookmarkEnd w:id="131"/>
    <w:p>
      <w:pPr>
        <w:ind w:left="100"/>
        <w:spacing w:after="0"/>
        <w:rPr>
          <w:sz w:val="20"/>
          <w:szCs w:val="20"/>
          <w:color w:val="auto"/>
        </w:rPr>
      </w:pPr>
      <w:r>
        <w:rPr>
          <w:rFonts w:ascii="Times New Roman" w:cs="Times New Roman" w:eastAsia="Times New Roman" w:hAnsi="Times New Roman"/>
          <w:sz w:val="18"/>
          <w:szCs w:val="18"/>
          <w:color w:val="auto"/>
        </w:rPr>
        <w:t>described in Section 6 of the Plan).</w:t>
      </w:r>
    </w:p>
    <w:p>
      <w:pPr>
        <w:spacing w:after="0" w:line="221" w:lineRule="exact"/>
        <w:rPr>
          <w:sz w:val="20"/>
          <w:szCs w:val="20"/>
          <w:color w:val="auto"/>
        </w:rPr>
      </w:pPr>
    </w:p>
    <w:p>
      <w:pPr>
        <w:ind w:left="100" w:right="380" w:firstLine="742"/>
        <w:spacing w:after="0" w:line="286" w:lineRule="auto"/>
        <w:tabs>
          <w:tab w:leader="none" w:pos="159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of Service (Except by Death)</w:t>
      </w:r>
      <w:r>
        <w:rPr>
          <w:rFonts w:ascii="Times New Roman" w:cs="Times New Roman" w:eastAsia="Times New Roman" w:hAnsi="Times New Roman"/>
          <w:sz w:val="18"/>
          <w:szCs w:val="18"/>
          <w:color w:val="auto"/>
        </w:rPr>
        <w:t>. If the Optionee’s service terminates prior to the expirary date of Optionee’s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 if applicable, for any reason other than death, then this option shall expire on the earliest of the following occasions:</w:t>
      </w:r>
    </w:p>
    <w:p>
      <w:pPr>
        <w:spacing w:after="0" w:line="172" w:lineRule="exact"/>
        <w:rPr>
          <w:rFonts w:ascii="Times New Roman" w:cs="Times New Roman" w:eastAsia="Times New Roman" w:hAnsi="Times New Roman"/>
          <w:sz w:val="18"/>
          <w:szCs w:val="18"/>
          <w:color w:val="auto"/>
        </w:rPr>
      </w:pPr>
    </w:p>
    <w:p>
      <w:pPr>
        <w:ind w:left="2340" w:hanging="750"/>
        <w:spacing w:after="0"/>
        <w:tabs>
          <w:tab w:leader="none" w:pos="234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date determined pursuant to Subsection (a) above;</w:t>
      </w:r>
    </w:p>
    <w:p>
      <w:pPr>
        <w:spacing w:after="0" w:line="225" w:lineRule="exact"/>
        <w:rPr>
          <w:rFonts w:ascii="Times New Roman" w:cs="Times New Roman" w:eastAsia="Times New Roman" w:hAnsi="Times New Roman"/>
          <w:sz w:val="18"/>
          <w:szCs w:val="18"/>
          <w:color w:val="auto"/>
        </w:rPr>
      </w:pPr>
    </w:p>
    <w:p>
      <w:pPr>
        <w:ind w:left="2340" w:hanging="750"/>
        <w:spacing w:after="0"/>
        <w:tabs>
          <w:tab w:leader="none" w:pos="234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three months after the termination of the Optionee’s service for any reason other than Cause; or</w:t>
      </w:r>
    </w:p>
    <w:p>
      <w:pPr>
        <w:spacing w:after="0" w:line="292" w:lineRule="exact"/>
        <w:rPr>
          <w:rFonts w:ascii="Times New Roman" w:cs="Times New Roman" w:eastAsia="Times New Roman" w:hAnsi="Times New Roman"/>
          <w:sz w:val="18"/>
          <w:szCs w:val="18"/>
          <w:color w:val="auto"/>
        </w:rPr>
      </w:pPr>
    </w:p>
    <w:p>
      <w:pPr>
        <w:ind w:left="2340" w:hanging="750"/>
        <w:spacing w:after="0"/>
        <w:tabs>
          <w:tab w:leader="none" w:pos="234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termination of the Optionee’s service for Cause.</w:t>
      </w:r>
    </w:p>
    <w:p>
      <w:pPr>
        <w:spacing w:after="0" w:line="239" w:lineRule="exact"/>
        <w:rPr>
          <w:sz w:val="20"/>
          <w:szCs w:val="20"/>
          <w:color w:val="auto"/>
        </w:rPr>
      </w:pPr>
    </w:p>
    <w:p>
      <w:pPr>
        <w:jc w:val="both"/>
        <w:ind w:left="100" w:right="200" w:firstLine="749"/>
        <w:spacing w:after="0" w:line="256" w:lineRule="auto"/>
        <w:rPr>
          <w:sz w:val="20"/>
          <w:szCs w:val="20"/>
          <w:color w:val="auto"/>
        </w:rPr>
      </w:pPr>
      <w:r>
        <w:rPr>
          <w:rFonts w:ascii="Times New Roman" w:cs="Times New Roman" w:eastAsia="Times New Roman" w:hAnsi="Times New Roman"/>
          <w:sz w:val="18"/>
          <w:szCs w:val="18"/>
          <w:color w:val="auto"/>
        </w:rPr>
        <w:t>The Optionee may exercise all or part of this option at any time before its expiration under the preceding sentence, but only to the extent that this option is then vested and exercisable. In the event that the Optionee dies after termination of service but before the expiration of this option, all or part of this option may be exercised (prior to expiration) by the executors or administrators of the Optionee’s estate or by any person who has acquired this option directly from the Optionee by beneficiary designation, bequest or inheritance, but only to the extent that this option had become exercisable before the Optionee’s death. For avoidance of doubt, if the Optionee is employed by an Affiliate that is sold or otherwise ceases to be an Affiliate of the Company, the Optionee shall incur a termination of service.</w:t>
      </w:r>
    </w:p>
    <w:p>
      <w:pPr>
        <w:spacing w:after="0" w:line="183" w:lineRule="exact"/>
        <w:rPr>
          <w:sz w:val="20"/>
          <w:szCs w:val="20"/>
          <w:color w:val="auto"/>
        </w:rPr>
      </w:pPr>
    </w:p>
    <w:p>
      <w:pPr>
        <w:ind w:left="100" w:right="300" w:firstLine="742"/>
        <w:spacing w:after="0" w:line="286" w:lineRule="auto"/>
        <w:tabs>
          <w:tab w:leader="none" w:pos="159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Death of the Optionee</w:t>
      </w:r>
      <w:r>
        <w:rPr>
          <w:rFonts w:ascii="Times New Roman" w:cs="Times New Roman" w:eastAsia="Times New Roman" w:hAnsi="Times New Roman"/>
          <w:sz w:val="18"/>
          <w:szCs w:val="18"/>
          <w:color w:val="auto"/>
        </w:rPr>
        <w:t>. If the Optionee dies while in service, then any unvested portions of the option shall immediately vest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become exercisable in full upon the date of death, and this option shall expire on the earlier of the following dates:</w:t>
      </w:r>
    </w:p>
    <w:p>
      <w:pPr>
        <w:spacing w:after="0" w:line="172" w:lineRule="exact"/>
        <w:rPr>
          <w:rFonts w:ascii="Times New Roman" w:cs="Times New Roman" w:eastAsia="Times New Roman" w:hAnsi="Times New Roman"/>
          <w:sz w:val="18"/>
          <w:szCs w:val="18"/>
          <w:color w:val="auto"/>
        </w:rPr>
      </w:pPr>
    </w:p>
    <w:p>
      <w:pPr>
        <w:ind w:left="2340" w:hanging="750"/>
        <w:spacing w:after="0"/>
        <w:tabs>
          <w:tab w:leader="none" w:pos="234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date determined pursuant to Subsection (a) above; or</w:t>
      </w:r>
    </w:p>
    <w:p>
      <w:pPr>
        <w:spacing w:after="0" w:line="225" w:lineRule="exact"/>
        <w:rPr>
          <w:rFonts w:ascii="Times New Roman" w:cs="Times New Roman" w:eastAsia="Times New Roman" w:hAnsi="Times New Roman"/>
          <w:sz w:val="18"/>
          <w:szCs w:val="18"/>
          <w:color w:val="auto"/>
        </w:rPr>
      </w:pPr>
    </w:p>
    <w:p>
      <w:pPr>
        <w:ind w:left="2340" w:hanging="750"/>
        <w:spacing w:after="0"/>
        <w:tabs>
          <w:tab w:leader="none" w:pos="234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12 months after the Optionee’s death.</w:t>
      </w:r>
    </w:p>
    <w:p>
      <w:pPr>
        <w:spacing w:after="0" w:line="239" w:lineRule="exact"/>
        <w:rPr>
          <w:sz w:val="20"/>
          <w:szCs w:val="20"/>
          <w:color w:val="auto"/>
        </w:rPr>
      </w:pPr>
    </w:p>
    <w:p>
      <w:pPr>
        <w:jc w:val="both"/>
        <w:ind w:left="100" w:right="360" w:firstLine="749"/>
        <w:spacing w:after="0" w:line="266" w:lineRule="auto"/>
        <w:rPr>
          <w:sz w:val="20"/>
          <w:szCs w:val="20"/>
          <w:color w:val="auto"/>
        </w:rPr>
      </w:pPr>
      <w:r>
        <w:rPr>
          <w:rFonts w:ascii="Times New Roman" w:cs="Times New Roman" w:eastAsia="Times New Roman" w:hAnsi="Times New Roman"/>
          <w:sz w:val="18"/>
          <w:szCs w:val="18"/>
          <w:color w:val="auto"/>
        </w:rPr>
        <w:t>All or part of this option may be exercised at any time before its expiration under the preceding sentence by the executors or administrators of the Optionee’s estate or by any person who has acquired this option directly from the Optionee by beneficiary designation, bequest or inheritance, but only to the extent that this option had become exercisable before the Optionee’s death.</w:t>
      </w:r>
    </w:p>
    <w:p>
      <w:pPr>
        <w:spacing w:after="0" w:line="172" w:lineRule="exact"/>
        <w:rPr>
          <w:sz w:val="20"/>
          <w:szCs w:val="20"/>
          <w:color w:val="auto"/>
        </w:rPr>
      </w:pPr>
    </w:p>
    <w:p>
      <w:pPr>
        <w:jc w:val="both"/>
        <w:ind w:left="100" w:firstLine="742"/>
        <w:spacing w:after="0" w:line="268" w:lineRule="auto"/>
        <w:tabs>
          <w:tab w:leader="none" w:pos="159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Leaves of Absence</w:t>
      </w:r>
      <w:r>
        <w:rPr>
          <w:rFonts w:ascii="Times New Roman" w:cs="Times New Roman" w:eastAsia="Times New Roman" w:hAnsi="Times New Roman"/>
          <w:sz w:val="18"/>
          <w:szCs w:val="18"/>
          <w:color w:val="auto"/>
        </w:rPr>
        <w:t>. For any purpose under this Agreement, service shall be deemed to continue while the Optionee is on a bona fide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leave of absence, if such leave was approved by the Company in writing and if continued crediting of service for such purpose is expressly required by the terms of such leave or by applicable law (as determined by the Company).</w:t>
      </w:r>
    </w:p>
    <w:p>
      <w:pPr>
        <w:spacing w:after="0" w:line="18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SECTION 7. ADJUSTMENT OF SHARES.</w:t>
      </w:r>
    </w:p>
    <w:p>
      <w:pPr>
        <w:spacing w:after="0" w:line="229" w:lineRule="exact"/>
        <w:rPr>
          <w:sz w:val="20"/>
          <w:szCs w:val="20"/>
          <w:color w:val="auto"/>
        </w:rPr>
      </w:pPr>
    </w:p>
    <w:p>
      <w:pPr>
        <w:jc w:val="both"/>
        <w:ind w:left="100" w:right="400" w:firstLine="749"/>
        <w:spacing w:after="0" w:line="266" w:lineRule="auto"/>
        <w:rPr>
          <w:sz w:val="20"/>
          <w:szCs w:val="20"/>
          <w:color w:val="auto"/>
        </w:rPr>
      </w:pPr>
      <w:r>
        <w:rPr>
          <w:rFonts w:ascii="Times New Roman" w:cs="Times New Roman" w:eastAsia="Times New Roman" w:hAnsi="Times New Roman"/>
          <w:sz w:val="18"/>
          <w:szCs w:val="18"/>
          <w:color w:val="auto"/>
        </w:rPr>
        <w:t>In the event of any transaction described in Section 4(c) of the Plan, the terms of this option (including, without limitation, the number and kind of Shares subject to this option and the Exercise Price) shall be adjusted as set forth in Section 4(c) of the Plan. In the event that the Company is a party to any corporate transaction, this option shall be subject to amendment as provided in Section 7(b) of the Plan.</w:t>
      </w:r>
    </w:p>
    <w:p>
      <w:pPr>
        <w:spacing w:after="0" w:line="18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SECTION 8. MISCELLANEOUS PROVISIONS.</w:t>
      </w:r>
    </w:p>
    <w:p>
      <w:pPr>
        <w:spacing w:after="0" w:line="225" w:lineRule="exact"/>
        <w:rPr>
          <w:sz w:val="20"/>
          <w:szCs w:val="20"/>
          <w:color w:val="auto"/>
        </w:rPr>
      </w:pPr>
    </w:p>
    <w:p>
      <w:pPr>
        <w:ind w:left="100" w:firstLine="742"/>
        <w:spacing w:after="0" w:line="268" w:lineRule="auto"/>
        <w:tabs>
          <w:tab w:leader="none" w:pos="171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Rights as a Shareholder</w:t>
      </w:r>
      <w:r>
        <w:rPr>
          <w:rFonts w:ascii="Times New Roman" w:cs="Times New Roman" w:eastAsia="Times New Roman" w:hAnsi="Times New Roman"/>
          <w:sz w:val="18"/>
          <w:szCs w:val="18"/>
          <w:color w:val="auto"/>
        </w:rPr>
        <w:t>. Neither the Optionee nor the Optionee’s representative shall have any rights as a shareholder with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any Shares subject to this option until the Optionee or the Optionee’s representative becomes entitled to receive such Shares by filing a notice of exercise and paying the Purchase Price pursuant to Sections 4 and 5 of this Agreement.</w:t>
      </w:r>
    </w:p>
    <w:p>
      <w:pPr>
        <w:spacing w:after="0" w:line="170" w:lineRule="exact"/>
        <w:rPr>
          <w:rFonts w:ascii="Times New Roman" w:cs="Times New Roman" w:eastAsia="Times New Roman" w:hAnsi="Times New Roman"/>
          <w:sz w:val="18"/>
          <w:szCs w:val="18"/>
          <w:color w:val="auto"/>
        </w:rPr>
      </w:pPr>
    </w:p>
    <w:p>
      <w:pPr>
        <w:jc w:val="both"/>
        <w:ind w:left="100" w:right="80" w:firstLine="742"/>
        <w:spacing w:after="0" w:line="268" w:lineRule="auto"/>
        <w:tabs>
          <w:tab w:leader="none" w:pos="171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Matters</w:t>
      </w:r>
      <w:r>
        <w:rPr>
          <w:rFonts w:ascii="Times New Roman" w:cs="Times New Roman" w:eastAsia="Times New Roman" w:hAnsi="Times New Roman"/>
          <w:sz w:val="18"/>
          <w:szCs w:val="18"/>
          <w:color w:val="auto"/>
        </w:rPr>
        <w:t>. The Company may require from the Optionee such investment representation, undertaking or agreement,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as the Company may consider necessary in order to comply with applicable laws and policies of any applicable exchange. The Optionee understands and acknowledges that Shares to be issued upon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Updated July 2022</w:t>
      </w: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132" w:name="page133"/>
    <w:bookmarkEnd w:id="132"/>
    <w:p>
      <w:pPr>
        <w:ind w:left="100" w:right="260"/>
        <w:spacing w:after="0" w:line="282" w:lineRule="auto"/>
        <w:rPr>
          <w:sz w:val="20"/>
          <w:szCs w:val="20"/>
          <w:color w:val="auto"/>
        </w:rPr>
      </w:pPr>
      <w:r>
        <w:rPr>
          <w:rFonts w:ascii="Times New Roman" w:cs="Times New Roman" w:eastAsia="Times New Roman" w:hAnsi="Times New Roman"/>
          <w:sz w:val="18"/>
          <w:szCs w:val="18"/>
          <w:color w:val="auto"/>
        </w:rPr>
        <w:t>exercise of this option may be issued subject to any restrictive legend or other transfer restrictions as may be required by applicable securities laws and stock exchange requirements.</w:t>
      </w:r>
    </w:p>
    <w:p>
      <w:pPr>
        <w:spacing w:after="0" w:line="158" w:lineRule="exact"/>
        <w:rPr>
          <w:sz w:val="20"/>
          <w:szCs w:val="20"/>
          <w:color w:val="auto"/>
        </w:rPr>
      </w:pPr>
    </w:p>
    <w:p>
      <w:pPr>
        <w:ind w:left="100" w:right="160" w:firstLine="742"/>
        <w:spacing w:after="0" w:line="262" w:lineRule="auto"/>
        <w:tabs>
          <w:tab w:leader="none" w:pos="171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Retention Rights</w:t>
      </w:r>
      <w:r>
        <w:rPr>
          <w:rFonts w:ascii="Times New Roman" w:cs="Times New Roman" w:eastAsia="Times New Roman" w:hAnsi="Times New Roman"/>
          <w:sz w:val="18"/>
          <w:szCs w:val="18"/>
          <w:color w:val="auto"/>
        </w:rPr>
        <w:t>. Nothing in this option or in the Plan shall confer upon the Optionee any right to continue in service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of specific duration or interfere with or otherwise restrict in any way the rights of the Company (or any Affiliate employing or retaining the Optionee) or of the Optionee, which rights are hereby expressly reserved by each, to terminate his or her service at any time and for any reason, with or without Cause.</w:t>
      </w:r>
    </w:p>
    <w:p>
      <w:pPr>
        <w:spacing w:after="0" w:line="189" w:lineRule="exact"/>
        <w:rPr>
          <w:rFonts w:ascii="Times New Roman" w:cs="Times New Roman" w:eastAsia="Times New Roman" w:hAnsi="Times New Roman"/>
          <w:sz w:val="18"/>
          <w:szCs w:val="18"/>
          <w:color w:val="auto"/>
        </w:rPr>
      </w:pPr>
    </w:p>
    <w:p>
      <w:pPr>
        <w:ind w:left="100" w:right="200" w:firstLine="742"/>
        <w:spacing w:after="0" w:line="259" w:lineRule="auto"/>
        <w:tabs>
          <w:tab w:leader="none" w:pos="1403"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Any notice required by the terms of this Agreement shall be given in writing and notice to the Company shall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upon receipt by the Company (i) upon personal delivery, (ii) through registered or certified mail with postage and fees prepaid; or (iii) through electronic notification using a form and process approved by the Company. If mailed or delivered, notice to the Company shall be addressed to the Company at its principal executive office and notice to the Optionee shall be addressed to the address that he or she most recently provided to the Company.</w:t>
      </w:r>
    </w:p>
    <w:p>
      <w:pPr>
        <w:spacing w:after="0" w:line="179" w:lineRule="exact"/>
        <w:rPr>
          <w:rFonts w:ascii="Times New Roman" w:cs="Times New Roman" w:eastAsia="Times New Roman" w:hAnsi="Times New Roman"/>
          <w:sz w:val="18"/>
          <w:szCs w:val="18"/>
          <w:color w:val="auto"/>
        </w:rPr>
      </w:pPr>
    </w:p>
    <w:p>
      <w:pPr>
        <w:ind w:left="100" w:right="260" w:firstLine="742"/>
        <w:spacing w:after="0" w:line="268" w:lineRule="auto"/>
        <w:tabs>
          <w:tab w:leader="none" w:pos="1403"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The Notice of Stock Option Grant, this Agreement and the Plan constitute the entire contract between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with regard to the subject matter hereof. They supersede any other agreements, representations or understandings (whether oral or written and whether express or implied) which relate to the subject matter hereof.</w:t>
      </w:r>
    </w:p>
    <w:p>
      <w:pPr>
        <w:spacing w:after="0" w:line="170" w:lineRule="exact"/>
        <w:rPr>
          <w:rFonts w:ascii="Times New Roman" w:cs="Times New Roman" w:eastAsia="Times New Roman" w:hAnsi="Times New Roman"/>
          <w:sz w:val="18"/>
          <w:szCs w:val="18"/>
          <w:color w:val="auto"/>
        </w:rPr>
      </w:pPr>
    </w:p>
    <w:p>
      <w:pPr>
        <w:ind w:left="100" w:right="340" w:firstLine="742"/>
        <w:spacing w:after="0" w:line="286" w:lineRule="auto"/>
        <w:tabs>
          <w:tab w:leader="none" w:pos="1403"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Choice of Law</w:t>
      </w:r>
      <w:r>
        <w:rPr>
          <w:rFonts w:ascii="Times New Roman" w:cs="Times New Roman" w:eastAsia="Times New Roman" w:hAnsi="Times New Roman"/>
          <w:sz w:val="18"/>
          <w:szCs w:val="18"/>
          <w:color w:val="auto"/>
        </w:rPr>
        <w:t>. This Agreement shall be governed by, and construed in accordance with, the laws of the State of Delaware, as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are applied to contracts entered into and performed in such State.</w:t>
      </w:r>
    </w:p>
    <w:p>
      <w:pPr>
        <w:spacing w:after="0" w:line="168" w:lineRule="exact"/>
        <w:rPr>
          <w:rFonts w:ascii="Times New Roman" w:cs="Times New Roman" w:eastAsia="Times New Roman" w:hAnsi="Times New Roman"/>
          <w:sz w:val="18"/>
          <w:szCs w:val="18"/>
          <w:color w:val="auto"/>
        </w:rPr>
      </w:pPr>
    </w:p>
    <w:p>
      <w:pPr>
        <w:ind w:left="100" w:right="160" w:firstLine="742"/>
        <w:spacing w:after="0" w:line="259" w:lineRule="auto"/>
        <w:tabs>
          <w:tab w:leader="none" w:pos="1403"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Insider Trading / Market Abuse Laws</w:t>
      </w:r>
      <w:r>
        <w:rPr>
          <w:rFonts w:ascii="Times New Roman" w:cs="Times New Roman" w:eastAsia="Times New Roman" w:hAnsi="Times New Roman"/>
          <w:sz w:val="18"/>
          <w:szCs w:val="18"/>
          <w:color w:val="auto"/>
        </w:rPr>
        <w:t>. By participating in the Plan, the Optionee agrees to comply with the Company’s policy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insider trading as in effect at any given time. The Optionee further acknowledges that the Optionee may be subject to local insider trading and/or market abuse laws and regulations that are separate from and in addition to any restrictions that may be imposed under any applicable Company insider trading policy. The Optionee acknowledges that it is the Optionee’s personal responsibility to comply with any applicable restrictions, and that the Optionee should consult the Optionee’s personal advisor on this matter.</w:t>
      </w:r>
    </w:p>
    <w:p>
      <w:pPr>
        <w:spacing w:after="0" w:line="192" w:lineRule="exact"/>
        <w:rPr>
          <w:rFonts w:ascii="Times New Roman" w:cs="Times New Roman" w:eastAsia="Times New Roman" w:hAnsi="Times New Roman"/>
          <w:sz w:val="18"/>
          <w:szCs w:val="18"/>
          <w:color w:val="auto"/>
        </w:rPr>
      </w:pPr>
    </w:p>
    <w:p>
      <w:pPr>
        <w:ind w:left="100" w:right="20" w:firstLine="742"/>
        <w:spacing w:after="0" w:line="259" w:lineRule="auto"/>
        <w:tabs>
          <w:tab w:leader="none" w:pos="1403"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Electronic Delivery</w:t>
      </w:r>
      <w:r>
        <w:rPr>
          <w:rFonts w:ascii="Times New Roman" w:cs="Times New Roman" w:eastAsia="Times New Roman" w:hAnsi="Times New Roman"/>
          <w:sz w:val="18"/>
          <w:szCs w:val="18"/>
          <w:color w:val="auto"/>
        </w:rPr>
        <w:t>. The Company may, in its sole discretion, deliver by electronic means any documents related to the option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Optionee’s future participation in the Plan. The Optionee hereby consents to receive such documents by electronic delivery and agrees to participate in the Plan through an on-line or electronic system established and maintained by the Company or a third party designated by the Company. To the extent that this Agreement is manually signed, instead of electronically accepted by the Optionee (if permitted by the Company), it may be signed in counterparts, each of which shall be deemed an original, with the same effect as if the signatures thereto and hereto were upon the same instrument.</w:t>
      </w:r>
    </w:p>
    <w:p>
      <w:pPr>
        <w:spacing w:after="0" w:line="192" w:lineRule="exact"/>
        <w:rPr>
          <w:rFonts w:ascii="Times New Roman" w:cs="Times New Roman" w:eastAsia="Times New Roman" w:hAnsi="Times New Roman"/>
          <w:sz w:val="18"/>
          <w:szCs w:val="18"/>
          <w:color w:val="auto"/>
        </w:rPr>
      </w:pPr>
    </w:p>
    <w:p>
      <w:pPr>
        <w:ind w:left="100" w:firstLine="742"/>
        <w:spacing w:after="0" w:line="256" w:lineRule="auto"/>
        <w:tabs>
          <w:tab w:leader="none" w:pos="1403"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Legend on Certificates. </w:t>
      </w:r>
      <w:r>
        <w:rPr>
          <w:rFonts w:ascii="Times New Roman" w:cs="Times New Roman" w:eastAsia="Times New Roman" w:hAnsi="Times New Roman"/>
          <w:sz w:val="18"/>
          <w:szCs w:val="18"/>
          <w:color w:val="auto"/>
        </w:rPr>
        <w:t>Any Shares issued or transferred to the Optionee pursuant to this Agreement shall be subject to such stop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orders and other restrictions as the Board of Directors of the Company or the Compensation Committee thereof may deem advisable under the Plan or the rules, regulations, and other requirements of the U.S. Securities and Exchange Commission, the British Columbia Securities Commission, or any other applicable regulator, or any stock exchange upon which such Shares are listed, any applicable Canadian Federal or provincial, or U.S. Federal or state laws or relevant securities laws of the jurisdiction of the domicile of the Optionee or to ensure compliance with any additional transfer restrictions that may be in effect from time to time, and the Board of Directors of the Company or the Compensation Committee thereof may cause a legend or legends to be put on any certificates representing such Shares to make appropriate reference to such restrictions.</w:t>
      </w:r>
    </w:p>
    <w:p>
      <w:pPr>
        <w:spacing w:after="0" w:line="196" w:lineRule="exact"/>
        <w:rPr>
          <w:rFonts w:ascii="Times New Roman" w:cs="Times New Roman" w:eastAsia="Times New Roman" w:hAnsi="Times New Roman"/>
          <w:sz w:val="18"/>
          <w:szCs w:val="18"/>
          <w:color w:val="auto"/>
        </w:rPr>
      </w:pPr>
    </w:p>
    <w:p>
      <w:pPr>
        <w:ind w:left="100" w:right="100" w:firstLine="742"/>
        <w:spacing w:after="0" w:line="286" w:lineRule="auto"/>
        <w:tabs>
          <w:tab w:leader="none" w:pos="1403"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Rights of a Shareholder. </w:t>
      </w:r>
      <w:r>
        <w:rPr>
          <w:rFonts w:ascii="Times New Roman" w:cs="Times New Roman" w:eastAsia="Times New Roman" w:hAnsi="Times New Roman"/>
          <w:sz w:val="18"/>
          <w:szCs w:val="18"/>
          <w:color w:val="auto"/>
        </w:rPr>
        <w:t>The Optionee pant shall not have any rights as a shareholder of the Company until the Shares in question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been registered in the Company’s register of shareholders.</w:t>
      </w:r>
    </w:p>
    <w:p>
      <w:pPr>
        <w:spacing w:after="0" w:line="168" w:lineRule="exact"/>
        <w:rPr>
          <w:rFonts w:ascii="Times New Roman" w:cs="Times New Roman" w:eastAsia="Times New Roman" w:hAnsi="Times New Roman"/>
          <w:sz w:val="18"/>
          <w:szCs w:val="18"/>
          <w:color w:val="auto"/>
        </w:rPr>
      </w:pPr>
    </w:p>
    <w:p>
      <w:pPr>
        <w:ind w:left="100" w:right="20" w:firstLine="742"/>
        <w:spacing w:after="0" w:line="259" w:lineRule="auto"/>
        <w:tabs>
          <w:tab w:leader="none" w:pos="1403"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Acknowledgement of Exchange Rate Risks</w:t>
      </w:r>
      <w:r>
        <w:rPr>
          <w:rFonts w:ascii="Times New Roman" w:cs="Times New Roman" w:eastAsia="Times New Roman" w:hAnsi="Times New Roman"/>
          <w:sz w:val="18"/>
          <w:szCs w:val="18"/>
          <w:color w:val="auto"/>
        </w:rPr>
        <w:t>. By accepting te award, the Optionee acknowledges that the Company has the authority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 the U.S. Dollar or Canadian Dollar Exercise Price in its sole discretion, and that fluctuations in the exchange rate for U.S. Dollars and Canadian Dollars may impact the value of the Options pursuant to the exercise of the options or the subsequent sale of any Shares acquired in connection therewith. The Optionee accepts all foreign exchange risk and understands that the Company shall have no liability with respect to any changes in the value of the options (including if the options have no value) due to currency fluctuations, and has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Updated July 2022</w:t>
      </w: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133" w:name="page134"/>
    <w:bookmarkEnd w:id="133"/>
    <w:p>
      <w:pPr>
        <w:ind w:left="100"/>
        <w:spacing w:after="0"/>
        <w:rPr>
          <w:sz w:val="20"/>
          <w:szCs w:val="20"/>
          <w:color w:val="auto"/>
        </w:rPr>
      </w:pPr>
      <w:r>
        <w:rPr>
          <w:rFonts w:ascii="Times New Roman" w:cs="Times New Roman" w:eastAsia="Times New Roman" w:hAnsi="Times New Roman"/>
          <w:sz w:val="18"/>
          <w:szCs w:val="18"/>
          <w:color w:val="auto"/>
        </w:rPr>
        <w:t>no obligation to elect to administer the awards in any currency or the currency most favorable to the Optionee.</w:t>
      </w:r>
    </w:p>
    <w:p>
      <w:pPr>
        <w:spacing w:after="0" w:line="235" w:lineRule="exact"/>
        <w:rPr>
          <w:sz w:val="20"/>
          <w:szCs w:val="20"/>
          <w:color w:val="auto"/>
        </w:rPr>
      </w:pPr>
    </w:p>
    <w:p>
      <w:pPr>
        <w:ind w:left="100" w:right="120" w:firstLine="742"/>
        <w:spacing w:after="0" w:line="268" w:lineRule="auto"/>
        <w:tabs>
          <w:tab w:leader="none" w:pos="1403"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Rule 16b-3</w:t>
      </w:r>
      <w:r>
        <w:rPr>
          <w:rFonts w:ascii="Times New Roman" w:cs="Times New Roman" w:eastAsia="Times New Roman" w:hAnsi="Times New Roman"/>
          <w:sz w:val="18"/>
          <w:szCs w:val="18"/>
          <w:color w:val="auto"/>
        </w:rPr>
        <w:t>. If the Optionee has been designated by the Company’s Board of Directors as a “Section 16 Officer” as of the Date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the grant of the option to the Optionee hereunder is intended to be exempt from the provisions of Section 16(b) of the Securities Exchange Act of 1934, as amended from time to time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pursuant to Rule 16b-3 promulgated under the Exchange Act.</w:t>
      </w:r>
    </w:p>
    <w:p>
      <w:pPr>
        <w:spacing w:after="0" w:line="1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SECTION 9. DEFINITIONS.</w:t>
      </w:r>
    </w:p>
    <w:p>
      <w:pPr>
        <w:spacing w:after="0" w:line="243" w:lineRule="exact"/>
        <w:rPr>
          <w:sz w:val="20"/>
          <w:szCs w:val="20"/>
          <w:color w:val="auto"/>
        </w:rPr>
      </w:pPr>
    </w:p>
    <w:p>
      <w:pPr>
        <w:ind w:left="100" w:right="760" w:firstLine="749"/>
        <w:spacing w:after="0" w:line="282" w:lineRule="auto"/>
        <w:rPr>
          <w:sz w:val="20"/>
          <w:szCs w:val="20"/>
          <w:color w:val="auto"/>
        </w:rPr>
      </w:pPr>
      <w:r>
        <w:rPr>
          <w:rFonts w:ascii="Times New Roman" w:cs="Times New Roman" w:eastAsia="Times New Roman" w:hAnsi="Times New Roman"/>
          <w:sz w:val="18"/>
          <w:szCs w:val="18"/>
          <w:color w:val="auto"/>
        </w:rPr>
        <w:t>In addition to the definitions set forth in the Plan, the following terms shall have the meanings ascribed herein (in the event a conflict exists, the meaning set forth in this Agreement shall prevail):</w:t>
      </w:r>
    </w:p>
    <w:p>
      <w:pPr>
        <w:spacing w:after="0" w:line="158" w:lineRule="exact"/>
        <w:rPr>
          <w:sz w:val="20"/>
          <w:szCs w:val="20"/>
          <w:color w:val="auto"/>
        </w:rPr>
      </w:pPr>
    </w:p>
    <w:p>
      <w:pPr>
        <w:ind w:left="1600" w:hanging="758"/>
        <w:spacing w:after="0"/>
        <w:tabs>
          <w:tab w:leader="none" w:pos="160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shall mean this Stock Option Agreement.</w:t>
      </w:r>
    </w:p>
    <w:p>
      <w:pPr>
        <w:spacing w:after="0" w:line="238" w:lineRule="exact"/>
        <w:rPr>
          <w:rFonts w:ascii="Times New Roman" w:cs="Times New Roman" w:eastAsia="Times New Roman" w:hAnsi="Times New Roman"/>
          <w:sz w:val="18"/>
          <w:szCs w:val="18"/>
          <w:color w:val="auto"/>
        </w:rPr>
      </w:pPr>
    </w:p>
    <w:p>
      <w:pPr>
        <w:ind w:left="100" w:firstLine="742"/>
        <w:spacing w:after="0" w:line="278" w:lineRule="auto"/>
        <w:tabs>
          <w:tab w:leader="none" w:pos="1598" w:val="left"/>
        </w:tabs>
        <w:numPr>
          <w:ilvl w:val="1"/>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Cause</w:t>
      </w:r>
      <w:r>
        <w:rPr>
          <w:rFonts w:ascii="Times New Roman" w:cs="Times New Roman" w:eastAsia="Times New Roman" w:hAnsi="Times New Roman"/>
          <w:sz w:val="17"/>
          <w:szCs w:val="17"/>
          <w:color w:val="auto"/>
        </w:rPr>
        <w:t>” shall mean a (i) willful and repeated failure to perform duties or contravention in any material respect of specific written lawful directions related to a material duty or responsibility which is directed to be undertaken by the Board (other than due to physical or mental illness);</w:t>
      </w:r>
    </w:p>
    <w:p>
      <w:pPr>
        <w:spacing w:after="0" w:line="1" w:lineRule="exact"/>
        <w:rPr>
          <w:rFonts w:ascii="Times New Roman" w:cs="Times New Roman" w:eastAsia="Times New Roman" w:hAnsi="Times New Roman"/>
          <w:sz w:val="17"/>
          <w:szCs w:val="17"/>
          <w:color w:val="auto"/>
        </w:rPr>
      </w:pPr>
    </w:p>
    <w:p>
      <w:pPr>
        <w:ind w:left="100" w:right="80" w:hanging="7"/>
        <w:spacing w:after="0" w:line="251" w:lineRule="auto"/>
        <w:tabs>
          <w:tab w:leader="none" w:pos="36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conviction of guilty or </w:t>
      </w:r>
      <w:r>
        <w:rPr>
          <w:rFonts w:ascii="Times New Roman" w:cs="Times New Roman" w:eastAsia="Times New Roman" w:hAnsi="Times New Roman"/>
          <w:sz w:val="18"/>
          <w:szCs w:val="18"/>
          <w:i w:val="1"/>
          <w:iCs w:val="1"/>
          <w:color w:val="auto"/>
        </w:rPr>
        <w:t>nolo contendere plea</w:t>
      </w:r>
      <w:r>
        <w:rPr>
          <w:rFonts w:ascii="Times New Roman" w:cs="Times New Roman" w:eastAsia="Times New Roman" w:hAnsi="Times New Roman"/>
          <w:sz w:val="18"/>
          <w:szCs w:val="18"/>
          <w:color w:val="auto"/>
        </w:rPr>
        <w:t xml:space="preserve"> to, a misdemeanor which is materially and demonstrably injurious to the Company or any of its subsidiaries or any felony; (iii) commission of an act, or a failure to act, that constitutes fraud, gross negligence or willful misconduct (including without limitation, embezzlement, misappropriation or breach of fiduciary duty resulting or intending to result in personal gain at the expense of the Company or any of its subsidiaries); and (iv) violation of any applicable laws, rules or regulations or failure to comply with applicable confidentiality, non-solicitation and non-competition obligations to the Company or any of its subsidiaries, corporate code of business conduct or other material policies of the Company or any of its subsidiaries in connection with or during performance of the Optionee’s duties to the Company or any of its subsidiaries that could, in the Board’s opinion, cause material injury to the Company or any of its subsidiaries; and (v) failure to maintain applicable professional licenses or certifications. In the case of a violation or failure under (iv) or (v), if such violation or failure is curable, such violation or failure shall only constitute “Cause” if it is not cured within thirty (30) days after notice thereof to the Optionee.</w:t>
      </w:r>
    </w:p>
    <w:p>
      <w:pPr>
        <w:spacing w:after="0" w:line="189" w:lineRule="exact"/>
        <w:rPr>
          <w:rFonts w:ascii="Times New Roman" w:cs="Times New Roman" w:eastAsia="Times New Roman" w:hAnsi="Times New Roman"/>
          <w:sz w:val="18"/>
          <w:szCs w:val="18"/>
          <w:color w:val="auto"/>
        </w:rPr>
      </w:pPr>
    </w:p>
    <w:p>
      <w:pPr>
        <w:ind w:left="1600" w:hanging="758"/>
        <w:spacing w:after="0"/>
        <w:tabs>
          <w:tab w:leader="none" w:pos="160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shall mean:</w:t>
      </w:r>
    </w:p>
    <w:p>
      <w:pPr>
        <w:spacing w:after="0" w:line="229" w:lineRule="exact"/>
        <w:rPr>
          <w:rFonts w:ascii="Times New Roman" w:cs="Times New Roman" w:eastAsia="Times New Roman" w:hAnsi="Times New Roman"/>
          <w:sz w:val="18"/>
          <w:szCs w:val="18"/>
          <w:color w:val="auto"/>
        </w:rPr>
      </w:pPr>
    </w:p>
    <w:p>
      <w:pPr>
        <w:jc w:val="both"/>
        <w:ind w:left="840" w:right="280" w:firstLine="750"/>
        <w:spacing w:after="0" w:line="255" w:lineRule="auto"/>
        <w:tabs>
          <w:tab w:leader="none" w:pos="2439" w:val="left"/>
        </w:tabs>
        <w:numPr>
          <w:ilvl w:val="3"/>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of the following events (each, a “Business Combination”): (a) the sale of more than 50% of the outstanding equity securities of the Company in a single transaction or in a series of transactions occurring during a period of not more than twelve months; (b) the Company is merged, amalgamated or consolidated with another corporation; or (c) a sale of substantially all of the assets of the Company to another entity, unless, following any of the foregoing Business Combinations in</w:t>
      </w:r>
    </w:p>
    <w:p>
      <w:pPr>
        <w:spacing w:after="0" w:line="2" w:lineRule="exact"/>
        <w:rPr>
          <w:rFonts w:ascii="Times New Roman" w:cs="Times New Roman" w:eastAsia="Times New Roman" w:hAnsi="Times New Roman"/>
          <w:sz w:val="18"/>
          <w:szCs w:val="18"/>
          <w:color w:val="auto"/>
        </w:rPr>
      </w:pPr>
    </w:p>
    <w:p>
      <w:pPr>
        <w:ind w:left="840" w:right="400"/>
        <w:spacing w:after="0" w:line="252" w:lineRule="auto"/>
        <w:tabs>
          <w:tab w:leader="none" w:pos="1085" w:val="left"/>
        </w:tabs>
        <w:numPr>
          <w:ilvl w:val="2"/>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(c) above, all or substantially all of the individuals and entities that were the beneficial owners of the Company’s outstanding voting securities immediately prior to such Business Combination beneficially own immediately after the transaction or transactions, directly or indirectly, 50% or more of the combined voting power of the then outstanding voting securities (or comparable interests) of the entity resulting from such Business Combination (including an entity that, as a result of such transaction, owns the Company or all or substantially all of the Company’s assets either directly or through one or more Affiliates) in substantially the same proportions as their ownership of the Company’s voting securities immediately prior to such Business Combination; or</w:t>
      </w:r>
    </w:p>
    <w:p>
      <w:pPr>
        <w:spacing w:after="0" w:line="203" w:lineRule="exact"/>
        <w:rPr>
          <w:rFonts w:ascii="Times New Roman" w:cs="Times New Roman" w:eastAsia="Times New Roman" w:hAnsi="Times New Roman"/>
          <w:sz w:val="18"/>
          <w:szCs w:val="18"/>
          <w:color w:val="auto"/>
        </w:rPr>
      </w:pPr>
    </w:p>
    <w:p>
      <w:pPr>
        <w:ind w:left="2400" w:hanging="810"/>
        <w:spacing w:after="0"/>
        <w:tabs>
          <w:tab w:leader="none" w:pos="2400" w:val="left"/>
        </w:tabs>
        <w:numPr>
          <w:ilvl w:val="3"/>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twelve (12) month period, the individuals who, as of the beginning of the 12-month period, constitute</w:t>
      </w:r>
    </w:p>
    <w:p>
      <w:pPr>
        <w:spacing w:after="0" w:line="27" w:lineRule="exact"/>
        <w:rPr>
          <w:sz w:val="20"/>
          <w:szCs w:val="20"/>
          <w:color w:val="auto"/>
        </w:rPr>
      </w:pPr>
    </w:p>
    <w:p>
      <w:pPr>
        <w:ind w:left="840" w:right="940"/>
        <w:spacing w:after="0" w:line="252" w:lineRule="auto"/>
        <w:rPr>
          <w:sz w:val="20"/>
          <w:szCs w:val="20"/>
          <w:color w:val="auto"/>
        </w:rPr>
      </w:pPr>
      <w:r>
        <w:rPr>
          <w:rFonts w:ascii="Times New Roman" w:cs="Times New Roman" w:eastAsia="Times New Roman" w:hAnsi="Times New Roman"/>
          <w:sz w:val="18"/>
          <w:szCs w:val="18"/>
          <w:color w:val="auto"/>
        </w:rPr>
        <w:t>the Board of Directors (the “Incumbent Board”) cease for any reason to constitute at least a majority of the Board of Directors; provided, however, that any individual becoming a director subsequent to the Effective Date whose election or appointment, or nomination for election by Company’s shareholders, was approved by a vote of at least a majority of the directors then comprising the Incumbent Board will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of Directors.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Updated July 2022</w:t>
      </w: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21" w:right="379" w:bottom="1440" w:gutter="0" w:footer="0" w:header="0"/>
        </w:sectPr>
      </w:pPr>
    </w:p>
    <w:bookmarkStart w:id="134" w:name="page135"/>
    <w:bookmarkEnd w:id="134"/>
    <w:p>
      <w:pPr>
        <w:ind w:left="1700" w:hanging="858"/>
        <w:spacing w:after="0"/>
        <w:tabs>
          <w:tab w:leader="none" w:pos="17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Date of Grant</w:t>
      </w:r>
      <w:r>
        <w:rPr>
          <w:rFonts w:ascii="Times New Roman" w:cs="Times New Roman" w:eastAsia="Times New Roman" w:hAnsi="Times New Roman"/>
          <w:sz w:val="18"/>
          <w:szCs w:val="18"/>
          <w:color w:val="auto"/>
        </w:rPr>
        <w:t>” shall mean the date specified in the Notice of Stock Option Grant.</w:t>
      </w:r>
    </w:p>
    <w:p>
      <w:pPr>
        <w:spacing w:after="0" w:line="225" w:lineRule="exact"/>
        <w:rPr>
          <w:rFonts w:ascii="Times New Roman" w:cs="Times New Roman" w:eastAsia="Times New Roman" w:hAnsi="Times New Roman"/>
          <w:sz w:val="18"/>
          <w:szCs w:val="18"/>
          <w:color w:val="auto"/>
        </w:rPr>
      </w:pPr>
    </w:p>
    <w:p>
      <w:pPr>
        <w:ind w:left="100" w:firstLine="742"/>
        <w:spacing w:after="0" w:line="286" w:lineRule="auto"/>
        <w:tabs>
          <w:tab w:leader="none" w:pos="171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 shall mean the amount for which one Share may be purchased upon exercise of this option, as specified in the Notice of Stock Option Grant.</w:t>
      </w:r>
    </w:p>
    <w:p>
      <w:pPr>
        <w:spacing w:after="0" w:line="168" w:lineRule="exact"/>
        <w:rPr>
          <w:rFonts w:ascii="Times New Roman" w:cs="Times New Roman" w:eastAsia="Times New Roman" w:hAnsi="Times New Roman"/>
          <w:sz w:val="18"/>
          <w:szCs w:val="18"/>
          <w:color w:val="auto"/>
        </w:rPr>
      </w:pPr>
    </w:p>
    <w:p>
      <w:pPr>
        <w:ind w:left="1700" w:hanging="858"/>
        <w:spacing w:after="0"/>
        <w:tabs>
          <w:tab w:leader="none" w:pos="17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Notice of Stock Option Grant</w:t>
      </w:r>
      <w:r>
        <w:rPr>
          <w:rFonts w:ascii="Times New Roman" w:cs="Times New Roman" w:eastAsia="Times New Roman" w:hAnsi="Times New Roman"/>
          <w:sz w:val="18"/>
          <w:szCs w:val="18"/>
          <w:color w:val="auto"/>
        </w:rPr>
        <w:t>” shall mean the document so entitled to which this Agreement</w:t>
      </w:r>
    </w:p>
    <w:p>
      <w:pPr>
        <w:spacing w:after="0" w:line="225" w:lineRule="exact"/>
        <w:rPr>
          <w:rFonts w:ascii="Times New Roman" w:cs="Times New Roman" w:eastAsia="Times New Roman" w:hAnsi="Times New Roman"/>
          <w:sz w:val="18"/>
          <w:szCs w:val="18"/>
          <w:color w:val="auto"/>
        </w:rPr>
      </w:pPr>
    </w:p>
    <w:p>
      <w:pPr>
        <w:ind w:left="1700" w:hanging="858"/>
        <w:spacing w:after="0"/>
        <w:tabs>
          <w:tab w:leader="none" w:pos="17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Optionee</w:t>
      </w:r>
      <w:r>
        <w:rPr>
          <w:rFonts w:ascii="Times New Roman" w:cs="Times New Roman" w:eastAsia="Times New Roman" w:hAnsi="Times New Roman"/>
          <w:sz w:val="18"/>
          <w:szCs w:val="18"/>
          <w:color w:val="auto"/>
        </w:rPr>
        <w:t>” shall mean the individual named in the Notice of Stock Option Grant.</w:t>
      </w:r>
    </w:p>
    <w:p>
      <w:pPr>
        <w:spacing w:after="0" w:line="225" w:lineRule="exact"/>
        <w:rPr>
          <w:rFonts w:ascii="Times New Roman" w:cs="Times New Roman" w:eastAsia="Times New Roman" w:hAnsi="Times New Roman"/>
          <w:sz w:val="18"/>
          <w:szCs w:val="18"/>
          <w:color w:val="auto"/>
        </w:rPr>
      </w:pPr>
    </w:p>
    <w:p>
      <w:pPr>
        <w:ind w:left="1700" w:hanging="858"/>
        <w:spacing w:after="0"/>
        <w:tabs>
          <w:tab w:leader="none" w:pos="17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Price</w:t>
      </w:r>
      <w:r>
        <w:rPr>
          <w:rFonts w:ascii="Times New Roman" w:cs="Times New Roman" w:eastAsia="Times New Roman" w:hAnsi="Times New Roman"/>
          <w:sz w:val="18"/>
          <w:szCs w:val="18"/>
          <w:color w:val="auto"/>
        </w:rPr>
        <w:t>” shall mean the Exercise Price multiplied by the number of Shares with respect to which this option is being</w:t>
      </w:r>
    </w:p>
    <w:p>
      <w:pPr>
        <w:spacing w:after="0" w:line="31" w:lineRule="exact"/>
        <w:rPr>
          <w:rFonts w:ascii="Times New Roman" w:cs="Times New Roman" w:eastAsia="Times New Roman" w:hAnsi="Times New Roman"/>
          <w:sz w:val="18"/>
          <w:szCs w:val="18"/>
          <w:color w:val="auto"/>
        </w:rPr>
      </w:pPr>
    </w:p>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Updated July 2022</w:t>
      </w: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40" w:top="117" w:right="679" w:bottom="1440" w:gutter="0" w:footer="0" w:header="0"/>
        </w:sectPr>
      </w:pPr>
    </w:p>
    <w:bookmarkStart w:id="135" w:name="page136"/>
    <w:bookmarkEnd w:id="135"/>
    <w:p>
      <w:pPr>
        <w:ind w:left="100"/>
        <w:spacing w:after="0" w:line="273" w:lineRule="auto"/>
        <w:rPr>
          <w:sz w:val="20"/>
          <w:szCs w:val="20"/>
          <w:color w:val="auto"/>
        </w:rPr>
      </w:pPr>
      <w:r>
        <w:rPr>
          <w:rFonts w:ascii="Times New Roman" w:cs="Times New Roman" w:eastAsia="Times New Roman" w:hAnsi="Times New Roman"/>
          <w:sz w:val="20"/>
          <w:szCs w:val="20"/>
          <w:b w:val="1"/>
          <w:bCs w:val="1"/>
          <w:color w:val="auto"/>
        </w:rPr>
        <w:t>DELIVERY OF THIS CERTIFICATE MAY NOT CONSTITUTE “GOOD DELIVERY” IN SETTLEMENT OF TRANSACTIONS ON STOCK EXCHANGES IN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GREEN THUMB INDUSTRIES INC. 2018 STOCK AND</w:t>
      </w:r>
    </w:p>
    <w:p>
      <w:pPr>
        <w:spacing w:after="0" w:line="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INCENTIVE PLAN</w:t>
      </w:r>
    </w:p>
    <w:p>
      <w:pPr>
        <w:spacing w:after="0" w:line="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RESTRICTED STOCK UNIT AWARD AGREEMENT</w:t>
      </w:r>
    </w:p>
    <w:p>
      <w:pPr>
        <w:spacing w:after="0" w:line="200" w:lineRule="exact"/>
        <w:rPr>
          <w:sz w:val="20"/>
          <w:szCs w:val="20"/>
          <w:color w:val="auto"/>
        </w:rPr>
      </w:pPr>
    </w:p>
    <w:p>
      <w:pPr>
        <w:spacing w:after="0" w:line="27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RESTRICTED STOCK UNIT AWARD AGREEMENT</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i w:val="1"/>
          <w:iCs w:val="1"/>
          <w:color w:val="auto"/>
        </w:rPr>
        <w:t>Agreement</w:t>
      </w:r>
      <w:r>
        <w:rPr>
          <w:rFonts w:ascii="Times New Roman" w:cs="Times New Roman" w:eastAsia="Times New Roman" w:hAnsi="Times New Roman"/>
          <w:sz w:val="22"/>
          <w:szCs w:val="22"/>
          <w:color w:val="auto"/>
        </w:rPr>
        <w:t>”) is</w:t>
      </w:r>
    </w:p>
    <w:p>
      <w:pPr>
        <w:spacing w:after="0" w:line="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made this_______day of_______, 20______ (the “</w:t>
      </w:r>
      <w:r>
        <w:rPr>
          <w:rFonts w:ascii="Times New Roman" w:cs="Times New Roman" w:eastAsia="Times New Roman" w:hAnsi="Times New Roman"/>
          <w:sz w:val="22"/>
          <w:szCs w:val="22"/>
          <w:i w:val="1"/>
          <w:iCs w:val="1"/>
          <w:color w:val="auto"/>
        </w:rPr>
        <w:t>Effective Date</w:t>
      </w:r>
      <w:r>
        <w:rPr>
          <w:rFonts w:ascii="Times New Roman" w:cs="Times New Roman" w:eastAsia="Times New Roman" w:hAnsi="Times New Roman"/>
          <w:sz w:val="22"/>
          <w:szCs w:val="22"/>
          <w:color w:val="auto"/>
        </w:rPr>
        <w:t xml:space="preserve">”), by and between </w:t>
      </w:r>
      <w:r>
        <w:rPr>
          <w:rFonts w:ascii="Times New Roman" w:cs="Times New Roman" w:eastAsia="Times New Roman" w:hAnsi="Times New Roman"/>
          <w:sz w:val="22"/>
          <w:szCs w:val="22"/>
          <w:b w:val="1"/>
          <w:bCs w:val="1"/>
          <w:color w:val="auto"/>
        </w:rPr>
        <w:t>Green Thumb Industries Inc.</w:t>
      </w:r>
      <w:r>
        <w:rPr>
          <w:rFonts w:ascii="Times New Roman" w:cs="Times New Roman" w:eastAsia="Times New Roman" w:hAnsi="Times New Roman"/>
          <w:sz w:val="22"/>
          <w:szCs w:val="22"/>
          <w:color w:val="auto"/>
        </w:rPr>
        <w:t>, a</w:t>
      </w:r>
    </w:p>
    <w:p>
      <w:pPr>
        <w:ind w:left="100"/>
        <w:spacing w:after="0"/>
        <w:tabs>
          <w:tab w:leader="none" w:pos="5740" w:val="left"/>
        </w:tabs>
        <w:rPr>
          <w:sz w:val="20"/>
          <w:szCs w:val="20"/>
          <w:color w:val="auto"/>
        </w:rPr>
      </w:pPr>
      <w:r>
        <w:rPr>
          <w:rFonts w:ascii="Times New Roman" w:cs="Times New Roman" w:eastAsia="Times New Roman" w:hAnsi="Times New Roman"/>
          <w:sz w:val="22"/>
          <w:szCs w:val="22"/>
          <w:color w:val="auto"/>
        </w:rPr>
        <w:t>British Columbia, Canada corporation (the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and</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Participant</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3394710</wp:posOffset>
            </wp:positionH>
            <wp:positionV relativeFrom="paragraph">
              <wp:posOffset>-29210</wp:posOffset>
            </wp:positionV>
            <wp:extent cx="22923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0">
                      <a:extLst>
                        <a:ext uri="{28A0092B-C50C-407E-A947-70E740481C1C}"/>
                      </a:extLst>
                    </a:blip>
                    <a:srcRect/>
                    <a:stretch>
                      <a:fillRect/>
                    </a:stretch>
                  </pic:blipFill>
                  <pic:spPr bwMode="auto">
                    <a:xfrm>
                      <a:off x="0" y="0"/>
                      <a:ext cx="229235" cy="8255"/>
                    </a:xfrm>
                    <a:prstGeom prst="rect">
                      <a:avLst/>
                    </a:prstGeom>
                    <a:noFill/>
                  </pic:spPr>
                </pic:pic>
              </a:graphicData>
            </a:graphic>
          </wp:anchor>
        </w:drawing>
      </w:r>
    </w:p>
    <w:p>
      <w:pPr>
        <w:spacing w:after="0" w:line="203" w:lineRule="exact"/>
        <w:rPr>
          <w:sz w:val="20"/>
          <w:szCs w:val="20"/>
          <w:color w:val="auto"/>
        </w:rPr>
      </w:pPr>
    </w:p>
    <w:p>
      <w:pPr>
        <w:ind w:left="1580" w:hanging="738"/>
        <w:spacing w:after="0"/>
        <w:tabs>
          <w:tab w:leader="none" w:pos="1580"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The Company hereby grants to Participant a restricted stock unit award</w:t>
      </w:r>
    </w:p>
    <w:p>
      <w:pPr>
        <w:spacing w:after="0" w:line="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covering________Subordinate Voting Shares (the “</w:t>
      </w:r>
      <w:r>
        <w:rPr>
          <w:rFonts w:ascii="Times New Roman" w:cs="Times New Roman" w:eastAsia="Times New Roman" w:hAnsi="Times New Roman"/>
          <w:sz w:val="22"/>
          <w:szCs w:val="22"/>
          <w:i w:val="1"/>
          <w:iCs w:val="1"/>
          <w:color w:val="auto"/>
        </w:rPr>
        <w:t>Shares</w:t>
      </w:r>
      <w:r>
        <w:rPr>
          <w:rFonts w:ascii="Times New Roman" w:cs="Times New Roman" w:eastAsia="Times New Roman" w:hAnsi="Times New Roman"/>
          <w:sz w:val="22"/>
          <w:szCs w:val="22"/>
          <w:color w:val="auto"/>
        </w:rPr>
        <w:t>”) of the Company according to the terms and conditions set forth</w:t>
      </w:r>
    </w:p>
    <w:p>
      <w:pPr>
        <w:ind w:left="100" w:right="540"/>
        <w:spacing w:after="0" w:line="247" w:lineRule="auto"/>
        <w:rPr>
          <w:sz w:val="20"/>
          <w:szCs w:val="20"/>
          <w:color w:val="auto"/>
        </w:rPr>
      </w:pPr>
      <w:r>
        <w:rPr>
          <w:rFonts w:ascii="Times New Roman" w:cs="Times New Roman" w:eastAsia="Times New Roman" w:hAnsi="Times New Roman"/>
          <w:sz w:val="21"/>
          <w:szCs w:val="21"/>
          <w:color w:val="auto"/>
        </w:rPr>
        <w:t>herein and in the Green Thumb Industries Inc. 2018 Stock and Incentive Plan, as amended (the “</w:t>
      </w:r>
      <w:r>
        <w:rPr>
          <w:rFonts w:ascii="Times New Roman" w:cs="Times New Roman" w:eastAsia="Times New Roman" w:hAnsi="Times New Roman"/>
          <w:sz w:val="21"/>
          <w:szCs w:val="21"/>
          <w:i w:val="1"/>
          <w:iCs w:val="1"/>
          <w:color w:val="auto"/>
        </w:rPr>
        <w:t>Plan</w:t>
      </w:r>
      <w:r>
        <w:rPr>
          <w:rFonts w:ascii="Times New Roman" w:cs="Times New Roman" w:eastAsia="Times New Roman" w:hAnsi="Times New Roman"/>
          <w:sz w:val="21"/>
          <w:szCs w:val="21"/>
          <w:color w:val="auto"/>
        </w:rPr>
        <w:t>”). Each restricted stock unit (a “</w:t>
      </w:r>
      <w:r>
        <w:rPr>
          <w:rFonts w:ascii="Times New Roman" w:cs="Times New Roman" w:eastAsia="Times New Roman" w:hAnsi="Times New Roman"/>
          <w:sz w:val="21"/>
          <w:szCs w:val="21"/>
          <w:i w:val="1"/>
          <w:iCs w:val="1"/>
          <w:color w:val="auto"/>
        </w:rPr>
        <w:t>Unit</w:t>
      </w:r>
      <w:r>
        <w:rPr>
          <w:rFonts w:ascii="Times New Roman" w:cs="Times New Roman" w:eastAsia="Times New Roman" w:hAnsi="Times New Roman"/>
          <w:sz w:val="21"/>
          <w:szCs w:val="21"/>
          <w:color w:val="auto"/>
        </w:rPr>
        <w:t>”) represents the right to receive one Subordinate Voting Share, subject to the terms of this Agreement, including the vesting requirements, and the terms of the Plan. The Units are granted under Section 6(c) of the Plan. Capitalized terms used but not otherwise defined herein shall have the meaning ascribed to such terms in the Plan.</w:t>
      </w:r>
    </w:p>
    <w:p>
      <w:pPr>
        <w:spacing w:after="0" w:line="310" w:lineRule="exact"/>
        <w:rPr>
          <w:sz w:val="20"/>
          <w:szCs w:val="20"/>
          <w:color w:val="auto"/>
        </w:rPr>
      </w:pPr>
    </w:p>
    <w:p>
      <w:pPr>
        <w:ind w:left="100" w:right="3540" w:firstLine="741"/>
        <w:spacing w:after="0" w:line="269" w:lineRule="auto"/>
        <w:tabs>
          <w:tab w:leader="none" w:pos="1254"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w:t>
      </w:r>
      <w:r>
        <w:rPr>
          <w:rFonts w:ascii="Times New Roman" w:cs="Times New Roman" w:eastAsia="Times New Roman" w:hAnsi="Times New Roman"/>
          <w:sz w:val="20"/>
          <w:szCs w:val="20"/>
          <w:color w:val="auto"/>
        </w:rPr>
        <w:t>. Except as otherwise provided in this Agreement, the Units shall vest in accordance with the following schedule:</w:t>
      </w:r>
    </w:p>
    <w:p>
      <w:pPr>
        <w:sectPr>
          <w:pgSz w:w="11900" w:h="16838" w:orient="portrait"/>
          <w:cols w:equalWidth="0" w:num="1">
            <w:col w:w="11100"/>
          </w:cols>
          <w:pgMar w:left="340" w:top="842" w:right="45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On or after each of</w:t>
      </w:r>
    </w:p>
    <w:p>
      <w:pPr>
        <w:spacing w:after="0" w:line="2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the following dates</w:t>
      </w:r>
    </w:p>
    <w:p>
      <w:pPr>
        <w:ind w:left="1120"/>
        <w:spacing w:after="0"/>
        <w:rPr>
          <w:sz w:val="20"/>
          <w:szCs w:val="20"/>
          <w:color w:val="auto"/>
        </w:rPr>
      </w:pPr>
      <w:r>
        <w:rPr>
          <w:rFonts w:ascii="Times New Roman" w:cs="Times New Roman" w:eastAsia="Times New Roman" w:hAnsi="Times New Roman"/>
          <w:sz w:val="19"/>
          <w:szCs w:val="19"/>
          <w:color w:val="auto"/>
        </w:rPr>
        <w:t>________________________________</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20"/>
          <w:szCs w:val="20"/>
          <w:color w:val="auto"/>
        </w:rPr>
        <w:t>Number of Units</w:t>
      </w:r>
    </w:p>
    <w:p>
      <w:pPr>
        <w:spacing w:after="0" w:line="21"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20"/>
          <w:szCs w:val="20"/>
          <w:color w:val="auto"/>
        </w:rPr>
        <w:t>Vested</w:t>
      </w:r>
    </w:p>
    <w:p>
      <w:pPr>
        <w:jc w:val="center"/>
        <w:ind w:right="1120"/>
        <w:spacing w:after="0"/>
        <w:rPr>
          <w:sz w:val="20"/>
          <w:szCs w:val="20"/>
          <w:color w:val="auto"/>
        </w:rPr>
      </w:pPr>
      <w:r>
        <w:rPr>
          <w:rFonts w:ascii="Times New Roman" w:cs="Times New Roman" w:eastAsia="Times New Roman" w:hAnsi="Times New Roman"/>
          <w:sz w:val="19"/>
          <w:szCs w:val="19"/>
          <w:color w:val="auto"/>
        </w:rPr>
        <w:t>________________________________</w:t>
      </w:r>
    </w:p>
    <w:p>
      <w:pPr>
        <w:spacing w:after="0" w:line="200" w:lineRule="exact"/>
        <w:rPr>
          <w:sz w:val="20"/>
          <w:szCs w:val="20"/>
          <w:color w:val="auto"/>
        </w:rPr>
      </w:pPr>
    </w:p>
    <w:p>
      <w:pPr>
        <w:sectPr>
          <w:pgSz w:w="11900" w:h="16838" w:orient="portrait"/>
          <w:cols w:equalWidth="0" w:num="2">
            <w:col w:w="6080" w:space="720"/>
            <w:col w:w="4300"/>
          </w:cols>
          <w:pgMar w:left="340" w:top="842" w:right="459"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ind w:left="100" w:right="320" w:firstLine="742"/>
        <w:spacing w:after="0" w:line="258" w:lineRule="auto"/>
        <w:tabs>
          <w:tab w:leader="none" w:pos="1577"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Transfer</w:t>
      </w:r>
      <w:r>
        <w:rPr>
          <w:rFonts w:ascii="Times New Roman" w:cs="Times New Roman" w:eastAsia="Times New Roman" w:hAnsi="Times New Roman"/>
          <w:sz w:val="22"/>
          <w:szCs w:val="22"/>
          <w:color w:val="auto"/>
        </w:rPr>
        <w:t>. The Units may not be sold, assigned, transferred or pledged, other than by will or the laws of descent and distribution, and any such attempted transfer shall be void.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Last Updated: March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842" w:right="459" w:bottom="1440" w:gutter="0" w:footer="0" w:header="0"/>
          <w:type w:val="continuous"/>
        </w:sectPr>
      </w:pPr>
    </w:p>
    <w:bookmarkStart w:id="136" w:name="page137"/>
    <w:bookmarkEnd w:id="136"/>
    <w:p>
      <w:pPr>
        <w:ind w:left="100" w:right="200" w:firstLine="742"/>
        <w:spacing w:after="0" w:line="234" w:lineRule="auto"/>
        <w:tabs>
          <w:tab w:leader="none" w:pos="1577"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Early Vesting</w:t>
      </w:r>
      <w:r>
        <w:rPr>
          <w:rFonts w:ascii="Times New Roman" w:cs="Times New Roman" w:eastAsia="Times New Roman" w:hAnsi="Times New Roman"/>
          <w:sz w:val="22"/>
          <w:szCs w:val="22"/>
          <w:color w:val="auto"/>
        </w:rPr>
        <w:t>. If Participant ceases to perform services for the Company or any Affiliate for any reason other than the Participant's death, whether or not terminated for Cause (as defined below), prior to vesting of the Units pursuant to Section 2 or Section 4 hereof, all of Participant’s rights to all of the unvested Units shall be immediately and irrevocably forfeited, except that if within 12 months following a Change in Control (as defined below), the Company terminates the Participant’s service with the Company for reasons other than for Cause, all Units granted hereunder not already forfeited under operation of this Section 4 shall become fully vested with all restrictions lifted, and be issued pursuant to Section 5(a) hereof. Upon forfeiture, Participant will no longer have any rights relating to the unvested Units. In the event of the Participant’s death, all of the Units shall immediately vest as of the date of death. For purposes of this Agreement:</w:t>
      </w:r>
    </w:p>
    <w:p>
      <w:pPr>
        <w:spacing w:after="0" w:line="206" w:lineRule="exact"/>
        <w:rPr>
          <w:sz w:val="20"/>
          <w:szCs w:val="20"/>
          <w:color w:val="auto"/>
        </w:rPr>
      </w:pPr>
    </w:p>
    <w:p>
      <w:pPr>
        <w:ind w:left="100" w:right="260" w:firstLine="742"/>
        <w:spacing w:after="0" w:line="243" w:lineRule="auto"/>
        <w:tabs>
          <w:tab w:leader="none" w:pos="1213"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“Cause” </w:t>
      </w:r>
      <w:r>
        <w:rPr>
          <w:rFonts w:ascii="Times New Roman" w:cs="Times New Roman" w:eastAsia="Times New Roman" w:hAnsi="Times New Roman"/>
          <w:sz w:val="22"/>
          <w:szCs w:val="22"/>
          <w:color w:val="auto"/>
        </w:rPr>
        <w:t>shall mean a (i) repeated failure to competently and diligently perform duties of Participant’s position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the Company (other than due to physical or mental illness);</w:t>
      </w:r>
    </w:p>
    <w:p>
      <w:pPr>
        <w:spacing w:after="0" w:line="1" w:lineRule="exact"/>
        <w:rPr>
          <w:rFonts w:ascii="Times New Roman" w:cs="Times New Roman" w:eastAsia="Times New Roman" w:hAnsi="Times New Roman"/>
          <w:sz w:val="22"/>
          <w:szCs w:val="22"/>
          <w:color w:val="auto"/>
        </w:rPr>
      </w:pPr>
    </w:p>
    <w:p>
      <w:pPr>
        <w:ind w:left="100" w:right="260" w:hanging="9"/>
        <w:spacing w:after="0" w:line="241" w:lineRule="auto"/>
        <w:tabs>
          <w:tab w:leader="none" w:pos="418"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conviction of guilty or nolo contendere plea to, a misdemeanor which is materially and demonstrably injurious to the Company or any of its subsidiaries or Affiliates, or any felony; (iii) commission of an act, or a failure to act, that constitutes fraud, gross negligence or willful misconduct (including without limitation, embezzlement, misappropriation or breach of fiduciary duty resulting or intending to result in personal gain at the expense of the Company or any of its subsidiaries); and</w:t>
      </w:r>
    </w:p>
    <w:p>
      <w:pPr>
        <w:spacing w:after="0" w:line="2" w:lineRule="exact"/>
        <w:rPr>
          <w:rFonts w:ascii="Times New Roman" w:cs="Times New Roman" w:eastAsia="Times New Roman" w:hAnsi="Times New Roman"/>
          <w:sz w:val="21"/>
          <w:szCs w:val="21"/>
          <w:color w:val="auto"/>
        </w:rPr>
      </w:pPr>
    </w:p>
    <w:p>
      <w:pPr>
        <w:ind w:left="100" w:hanging="9"/>
        <w:spacing w:after="0" w:line="232" w:lineRule="auto"/>
        <w:tabs>
          <w:tab w:leader="none" w:pos="466"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violation of any applicable laws, rules or regulations or failure to comply with applicable confidentiality, non solicitation and non competition obligations to the Company or any of its subsidiaries, corporate code of business conduct or other material policies of the Company or any of its subsidiaries in connection with or during performance of the Participant’s duties to the Company or any of its subsidiaries that could, in the Board’s opinion, cause material injury to the Company or any of its subsidiaries; and (v) failure to maintain applicable professional licenses or certifications. In the case of a violation or failure under (i), (iv) or (v), if such violation or failure is curable, such violation or failure shall only constitute “</w:t>
      </w:r>
      <w:r>
        <w:rPr>
          <w:rFonts w:ascii="Times New Roman" w:cs="Times New Roman" w:eastAsia="Times New Roman" w:hAnsi="Times New Roman"/>
          <w:sz w:val="22"/>
          <w:szCs w:val="22"/>
          <w:i w:val="1"/>
          <w:iCs w:val="1"/>
          <w:color w:val="auto"/>
        </w:rPr>
        <w:t>Cause</w:t>
      </w:r>
      <w:r>
        <w:rPr>
          <w:rFonts w:ascii="Times New Roman" w:cs="Times New Roman" w:eastAsia="Times New Roman" w:hAnsi="Times New Roman"/>
          <w:sz w:val="22"/>
          <w:szCs w:val="22"/>
          <w:color w:val="auto"/>
        </w:rPr>
        <w:t>” if it is not cured within thirty (30) days after notice thereof to the Participant; and</w:t>
      </w:r>
    </w:p>
    <w:p>
      <w:pPr>
        <w:spacing w:after="0" w:line="258" w:lineRule="exact"/>
        <w:rPr>
          <w:rFonts w:ascii="Times New Roman" w:cs="Times New Roman" w:eastAsia="Times New Roman" w:hAnsi="Times New Roman"/>
          <w:sz w:val="22"/>
          <w:szCs w:val="22"/>
          <w:color w:val="auto"/>
        </w:rPr>
      </w:pPr>
    </w:p>
    <w:p>
      <w:pPr>
        <w:ind w:left="100" w:right="340" w:firstLine="742"/>
        <w:spacing w:after="0" w:line="262" w:lineRule="auto"/>
        <w:tabs>
          <w:tab w:leader="none" w:pos="1213"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Change in Control</w:t>
      </w:r>
      <w:r>
        <w:rPr>
          <w:rFonts w:ascii="Times New Roman" w:cs="Times New Roman" w:eastAsia="Times New Roman" w:hAnsi="Times New Roman"/>
          <w:sz w:val="22"/>
          <w:szCs w:val="22"/>
          <w:color w:val="auto"/>
        </w:rPr>
        <w:t>” shall mean the occurrence, in a single transaction or in a series of related transactions, of any one or more of the following events:</w:t>
      </w:r>
    </w:p>
    <w:p>
      <w:pPr>
        <w:spacing w:after="0" w:line="190" w:lineRule="exact"/>
        <w:rPr>
          <w:rFonts w:ascii="Times New Roman" w:cs="Times New Roman" w:eastAsia="Times New Roman" w:hAnsi="Times New Roman"/>
          <w:sz w:val="22"/>
          <w:szCs w:val="22"/>
          <w:color w:val="auto"/>
        </w:rPr>
      </w:pPr>
    </w:p>
    <w:p>
      <w:pPr>
        <w:ind w:left="840" w:right="40" w:firstLine="616"/>
        <w:spacing w:after="0" w:line="233" w:lineRule="auto"/>
        <w:tabs>
          <w:tab w:leader="none" w:pos="2324" w:val="left"/>
        </w:tabs>
        <w:numPr>
          <w:ilvl w:val="2"/>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of the following events (each, a “</w:t>
      </w:r>
      <w:r>
        <w:rPr>
          <w:rFonts w:ascii="Times New Roman" w:cs="Times New Roman" w:eastAsia="Times New Roman" w:hAnsi="Times New Roman"/>
          <w:sz w:val="22"/>
          <w:szCs w:val="22"/>
          <w:i w:val="1"/>
          <w:iCs w:val="1"/>
          <w:color w:val="auto"/>
        </w:rPr>
        <w:t>Business Combination</w:t>
      </w:r>
      <w:r>
        <w:rPr>
          <w:rFonts w:ascii="Times New Roman" w:cs="Times New Roman" w:eastAsia="Times New Roman" w:hAnsi="Times New Roman"/>
          <w:sz w:val="22"/>
          <w:szCs w:val="22"/>
          <w:color w:val="auto"/>
        </w:rPr>
        <w:t>”): (a) the sale of more than 50% of the outstanding equity securities of the Company in a single transaction or in a series of transactions occurring during a period of not more than twelve months; (b) the Company is merged, amalgamated or consolidated with another corporation; or (c) a sale of substantially all of the assets of the Company to another entity, unless, following any of the foregoing Business Combinations in (a) through (c) above, all or substantially all of the individuals and entities that were the beneficial owners of the Company’s outstanding voting securities immediately prior to such Business Combination beneficially own immediately after the transaction or transactions, directly or indirectly, 50% or more of the combined voting power of the then outstanding voting securities (or comparable interests) of the entity resulting from such Business Combination (including an entity that, as a result of such transaction, owns the Company or all or substantially all of the Company’s assets either directly or through one or more Affiliates) in substantially the same proportions as their ownership of the Company’s voting securities immediately prior to such Business Combination; or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Last Updated: March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368" w:right="499" w:bottom="1440" w:gutter="0" w:footer="0" w:header="0"/>
        </w:sectPr>
      </w:pPr>
    </w:p>
    <w:bookmarkStart w:id="137" w:name="page138"/>
    <w:bookmarkEnd w:id="137"/>
    <w:p>
      <w:pPr>
        <w:ind w:left="860" w:right="60" w:firstLine="556"/>
        <w:spacing w:after="0" w:line="234" w:lineRule="auto"/>
        <w:tabs>
          <w:tab w:leader="none" w:pos="2281"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any twelve (12) month period, the individuals who, as of the beginning of the 12-month period, constitute the Board of Directors (the “</w:t>
      </w:r>
      <w:r>
        <w:rPr>
          <w:rFonts w:ascii="Times New Roman" w:cs="Times New Roman" w:eastAsia="Times New Roman" w:hAnsi="Times New Roman"/>
          <w:sz w:val="22"/>
          <w:szCs w:val="22"/>
          <w:i w:val="1"/>
          <w:iCs w:val="1"/>
          <w:color w:val="auto"/>
        </w:rPr>
        <w:t>Incumbent Board</w:t>
      </w:r>
      <w:r>
        <w:rPr>
          <w:rFonts w:ascii="Times New Roman" w:cs="Times New Roman" w:eastAsia="Times New Roman" w:hAnsi="Times New Roman"/>
          <w:sz w:val="22"/>
          <w:szCs w:val="22"/>
          <w:color w:val="auto"/>
        </w:rPr>
        <w:t>”) cease for any reason to constitute at least a majority of the Board of Directors; provided, however, that any individual becoming a director subsequent to the Effective Date whose election or appointment, or nomination for election by Company’s shareholders, was approved by a vote of at least a majority of the directors then comprising the Incumbent Board will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of Directors.</w:t>
      </w:r>
    </w:p>
    <w:p>
      <w:pPr>
        <w:spacing w:after="0" w:line="210" w:lineRule="exact"/>
        <w:rPr>
          <w:sz w:val="20"/>
          <w:szCs w:val="20"/>
          <w:color w:val="auto"/>
        </w:rPr>
      </w:pPr>
    </w:p>
    <w:p>
      <w:pPr>
        <w:ind w:left="120" w:right="340"/>
        <w:spacing w:after="0" w:line="244" w:lineRule="auto"/>
        <w:rPr>
          <w:sz w:val="20"/>
          <w:szCs w:val="20"/>
          <w:color w:val="auto"/>
        </w:rPr>
      </w:pPr>
      <w:r>
        <w:rPr>
          <w:rFonts w:ascii="Times New Roman" w:cs="Times New Roman" w:eastAsia="Times New Roman" w:hAnsi="Times New Roman"/>
          <w:sz w:val="22"/>
          <w:szCs w:val="22"/>
          <w:color w:val="auto"/>
        </w:rPr>
        <w:t>Notwithstanding the foregoing Change in Control definition or any other provision of this Agreement or the Plan, the term Change in Control shall not include a sale of assets, merger or other transaction effected exclusively for the purpose of changing the domicile of the Company.</w:t>
      </w:r>
    </w:p>
    <w:p>
      <w:pPr>
        <w:spacing w:after="0" w:line="214" w:lineRule="exact"/>
        <w:rPr>
          <w:sz w:val="20"/>
          <w:szCs w:val="20"/>
          <w:color w:val="auto"/>
        </w:rPr>
      </w:pPr>
    </w:p>
    <w:p>
      <w:pPr>
        <w:ind w:left="1620" w:hanging="758"/>
        <w:spacing w:after="0"/>
        <w:tabs>
          <w:tab w:leader="none" w:pos="162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p>
    <w:p>
      <w:pPr>
        <w:spacing w:after="0" w:line="247" w:lineRule="exact"/>
        <w:rPr>
          <w:sz w:val="20"/>
          <w:szCs w:val="20"/>
          <w:color w:val="auto"/>
        </w:rPr>
      </w:pPr>
    </w:p>
    <w:p>
      <w:pPr>
        <w:ind w:left="120" w:firstLine="741"/>
        <w:spacing w:after="0" w:line="235" w:lineRule="auto"/>
        <w:tabs>
          <w:tab w:leader="none" w:pos="1608"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of Shares</w:t>
      </w:r>
      <w:r>
        <w:rPr>
          <w:rFonts w:ascii="Times New Roman" w:cs="Times New Roman" w:eastAsia="Times New Roman" w:hAnsi="Times New Roman"/>
          <w:sz w:val="22"/>
          <w:szCs w:val="22"/>
          <w:color w:val="auto"/>
        </w:rPr>
        <w:t>. As soon as administratively practicable following the Participant’s vesting date under Section 2 or Section 4 hereof, as applicable, and the Participant’s satisfaction of any required Withholding Obligations (but in no event later than 60 days following the vesting date), the Company shall cause to be issued and delivered to the Participant a certificate or certificates evidencing Shares registered in the name of the Participant (or in the name of the Participant’s legal representatives, beneficiaries or heirs, as the case may be) or to instruct the Company’s transfer agent to electronically deliver such shares to the respective Participant. The number of Shares issued shall equal the number of Units vested, reduced as necessary to cover applicable withholding obligations in accordance with Section 5(c) hereof. If it is administratively impracticable to issue Shares within the time frame described above</w:t>
      </w:r>
    </w:p>
    <w:p>
      <w:pPr>
        <w:spacing w:after="0" w:line="16" w:lineRule="exact"/>
        <w:rPr>
          <w:sz w:val="20"/>
          <w:szCs w:val="20"/>
          <w:color w:val="auto"/>
        </w:rPr>
      </w:pPr>
    </w:p>
    <w:p>
      <w:pPr>
        <w:jc w:val="both"/>
        <w:ind w:right="240"/>
        <w:spacing w:after="0" w:line="244" w:lineRule="auto"/>
        <w:rPr>
          <w:sz w:val="20"/>
          <w:szCs w:val="20"/>
          <w:color w:val="auto"/>
        </w:rPr>
      </w:pPr>
      <w:r>
        <w:rPr>
          <w:rFonts w:ascii="Times New Roman" w:cs="Times New Roman" w:eastAsia="Times New Roman" w:hAnsi="Times New Roman"/>
          <w:sz w:val="22"/>
          <w:szCs w:val="22"/>
          <w:color w:val="auto"/>
        </w:rPr>
        <w:t>because issuances of Shares are prohibited or restricted pursuant to the policies of the Company that are reasonably designed to ensure compliance with applicable securities laws or stock exchange rules, then such issuance shall be delayed until such prohibitions or restrictions lapse.</w:t>
      </w:r>
    </w:p>
    <w:p>
      <w:pPr>
        <w:spacing w:after="0" w:line="200" w:lineRule="exact"/>
        <w:rPr>
          <w:sz w:val="20"/>
          <w:szCs w:val="20"/>
          <w:color w:val="auto"/>
        </w:rPr>
      </w:pPr>
    </w:p>
    <w:p>
      <w:pPr>
        <w:ind w:left="120" w:right="20" w:firstLine="741"/>
        <w:spacing w:after="0" w:line="239" w:lineRule="auto"/>
        <w:tabs>
          <w:tab w:leader="none" w:pos="1608"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Shareholder</w:t>
      </w:r>
      <w:r>
        <w:rPr>
          <w:rFonts w:ascii="Times New Roman" w:cs="Times New Roman" w:eastAsia="Times New Roman" w:hAnsi="Times New Roman"/>
          <w:sz w:val="22"/>
          <w:szCs w:val="22"/>
          <w:color w:val="auto"/>
        </w:rPr>
        <w:t xml:space="preserve">. Units are not actual Shares, but rather, represent a right to receive Shares according to the terms and conditions set forth herein and the terms of the Plan. Accordingly, the issuance of a Unit shall not entitle the Participant to any of the rights or benefits generally accorded to stockholders unless and until a Share is actually issued under Section 5(a) hereof and the </w:t>
      </w:r>
      <w:r>
        <w:rPr>
          <w:rFonts w:ascii="Times New Roman" w:cs="Times New Roman" w:eastAsia="Times New Roman" w:hAnsi="Times New Roman"/>
          <w:sz w:val="19"/>
          <w:szCs w:val="19"/>
          <w:color w:val="auto"/>
        </w:rPr>
        <w:t>Shares in question have been registered in the Company’s register of shareholders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Last Updated: March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68" w:right="539" w:bottom="1440" w:gutter="0" w:footer="0" w:header="0"/>
        </w:sectPr>
      </w:pPr>
    </w:p>
    <w:bookmarkStart w:id="138" w:name="page139"/>
    <w:bookmarkEnd w:id="138"/>
    <w:p>
      <w:pPr>
        <w:ind w:left="100" w:firstLine="741"/>
        <w:spacing w:after="0" w:line="243" w:lineRule="auto"/>
        <w:tabs>
          <w:tab w:leader="none" w:pos="1585"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The Participant hereby agrees to make adequate provision for any sums required to satisfy the applicable federal, state, local or foreign employment, social insurance, payroll, income or other tax withholding obligations (the “</w:t>
      </w:r>
      <w:r>
        <w:rPr>
          <w:rFonts w:ascii="Times New Roman" w:cs="Times New Roman" w:eastAsia="Times New Roman" w:hAnsi="Times New Roman"/>
          <w:sz w:val="21"/>
          <w:szCs w:val="21"/>
          <w:i w:val="1"/>
          <w:iCs w:val="1"/>
          <w:color w:val="auto"/>
        </w:rPr>
        <w:t>Withholding Obligations</w:t>
      </w:r>
      <w:r>
        <w:rPr>
          <w:rFonts w:ascii="Times New Roman" w:cs="Times New Roman" w:eastAsia="Times New Roman" w:hAnsi="Times New Roman"/>
          <w:sz w:val="21"/>
          <w:szCs w:val="21"/>
          <w:color w:val="auto"/>
        </w:rPr>
        <w:t>”) that arise in connection with this Agreement. The Company may establish procedures to ensure satisfaction of all applicable Withholding Obligations arising in connection with this Agreement, including any means permitted in Section 8 of the Plan. The Participant hereby authorizes the Company, at its sole discretion and subject to any limitations under applicable law, to satisfy any such Tax Obligations by (1) withholding a portion of the Shares otherwise to be issued in payment of the Units having a value equal to the amount of Withholding Obligation in accordance with such rules as the Company may from time to time establish; (2) withholding from the wages and other cash compensation payable to the Participant or by causing the Participant to tender a cash payment or other Shares to the Company; or (3) selling on the Participant’s behalf (using any brokerage firm determined acceptable to the Company for such purpose) a portion of the Shares issued in payment of the Units as the Company determines to be appropriate to generate cash proceeds sufficient to satisfy the Withholding Obligations. The Participant shall be responsible for all brokerage fees and other costs of sale, and the Participant further agrees to indemnify and hold the Company harmless from any losses, costs, damages or expenses relating to any such sale. The Company may refuse to deliver Shares if the Participant fails to comply with the Participant’s obligations in connection with the Withholding Obligations described in this paragraph. The Participant agrees to pay to the Company or its applicable Affiliate, any amount of Withholding Obligations that the Company or its applicable Affiliate may be required to withhold or account for as a result of Participant’s participation in the Plan that cannot be satisfied by the means described in this Agreement. The Company may refuse to issue or deliver the Shares, cash or the proceeds of the sale of Shares, if the Participant fails to comply with the Participant’s obligations in connection with the Withholding Obligations.</w:t>
      </w:r>
    </w:p>
    <w:p>
      <w:pPr>
        <w:spacing w:after="0" w:line="227" w:lineRule="exact"/>
        <w:rPr>
          <w:rFonts w:ascii="Times New Roman" w:cs="Times New Roman" w:eastAsia="Times New Roman" w:hAnsi="Times New Roman"/>
          <w:sz w:val="21"/>
          <w:szCs w:val="21"/>
          <w:color w:val="auto"/>
        </w:rPr>
      </w:pPr>
    </w:p>
    <w:p>
      <w:pPr>
        <w:ind w:left="100" w:right="80" w:firstLine="742"/>
        <w:spacing w:after="0" w:line="239" w:lineRule="auto"/>
        <w:tabs>
          <w:tab w:leader="none" w:pos="1589"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Subject to Plan</w:t>
      </w:r>
      <w:r>
        <w:rPr>
          <w:rFonts w:ascii="Times New Roman" w:cs="Times New Roman" w:eastAsia="Times New Roman" w:hAnsi="Times New Roman"/>
          <w:sz w:val="22"/>
          <w:szCs w:val="22"/>
          <w:color w:val="auto"/>
        </w:rPr>
        <w:t>. This Award is subject to the terms and conditions of the Plan, but the terms of the Plan shall not be considered an enlargement of any benefits under this Agreement. In addition, this Award is subject to the rules and regulations promulgated pursuant to the Plan, now or hereafter in effect. Participant acknowledges receipt of a copy of the Plan.</w:t>
      </w:r>
    </w:p>
    <w:p>
      <w:pPr>
        <w:spacing w:after="0" w:line="207" w:lineRule="exact"/>
        <w:rPr>
          <w:rFonts w:ascii="Times New Roman" w:cs="Times New Roman" w:eastAsia="Times New Roman" w:hAnsi="Times New Roman"/>
          <w:sz w:val="22"/>
          <w:szCs w:val="22"/>
          <w:color w:val="auto"/>
        </w:rPr>
      </w:pPr>
    </w:p>
    <w:p>
      <w:pPr>
        <w:ind w:left="100" w:right="140" w:firstLine="742"/>
        <w:spacing w:after="0" w:line="244" w:lineRule="auto"/>
        <w:tabs>
          <w:tab w:leader="none" w:pos="1577"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 to Continued Service</w:t>
      </w:r>
      <w:r>
        <w:rPr>
          <w:rFonts w:ascii="Times New Roman" w:cs="Times New Roman" w:eastAsia="Times New Roman" w:hAnsi="Times New Roman"/>
          <w:sz w:val="22"/>
          <w:szCs w:val="22"/>
          <w:color w:val="auto"/>
        </w:rPr>
        <w:t>. This Agreement shall not confer on the Participant any right with respect to continuance of service to the Company, nor will it interfere in any way with the right of the Company to terminate such service at any time.</w:t>
      </w:r>
    </w:p>
    <w:p>
      <w:pPr>
        <w:spacing w:after="0" w:line="213" w:lineRule="exact"/>
        <w:rPr>
          <w:rFonts w:ascii="Times New Roman" w:cs="Times New Roman" w:eastAsia="Times New Roman" w:hAnsi="Times New Roman"/>
          <w:sz w:val="22"/>
          <w:szCs w:val="22"/>
          <w:color w:val="auto"/>
        </w:rPr>
      </w:pPr>
    </w:p>
    <w:p>
      <w:pPr>
        <w:jc w:val="both"/>
        <w:ind w:left="100" w:right="540" w:firstLine="741"/>
        <w:spacing w:after="0" w:line="244" w:lineRule="auto"/>
        <w:tabs>
          <w:tab w:leader="none" w:pos="1551"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The validity, construction and effect of the Plan and the Agreement, and any rules and regulations relating to the Plan and the Agreement, shall be determined in accordance with the internal laws, and not the law of conflicts, of the State of Delaware.</w:t>
      </w:r>
    </w:p>
    <w:p>
      <w:pPr>
        <w:spacing w:after="0" w:line="11" w:lineRule="exact"/>
        <w:rPr>
          <w:rFonts w:ascii="Times New Roman" w:cs="Times New Roman" w:eastAsia="Times New Roman" w:hAnsi="Times New Roman"/>
          <w:sz w:val="22"/>
          <w:szCs w:val="22"/>
          <w:color w:val="auto"/>
        </w:rPr>
      </w:pPr>
    </w:p>
    <w:p>
      <w:pPr>
        <w:ind w:left="100" w:firstLine="741"/>
        <w:spacing w:after="0" w:line="236" w:lineRule="auto"/>
        <w:tabs>
          <w:tab w:leader="none" w:pos="1585"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the Agreement is or becomes or is deemed to be invalid, illegal or unenforceable in any jurisdiction or would disqualify the Agreement under any law deemed applicable by the Committee, such provision shall be construed or deemed amended to conform to applicable laws, or if it cannot be so construed or deemed amended without, in the determination of the Committee, materially altering the purpose or intent of the Plan or the Agreement, such provision shall be stricken as to such jurisdiction or the Agreement, and the remainder of the Agreement shall remain in full force and effect.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Last Updated: March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328" w:right="539" w:bottom="1440" w:gutter="0" w:footer="0" w:header="0"/>
        </w:sectPr>
      </w:pPr>
    </w:p>
    <w:bookmarkStart w:id="139" w:name="page140"/>
    <w:bookmarkEnd w:id="139"/>
    <w:p>
      <w:pPr>
        <w:ind w:left="100" w:right="300" w:firstLine="741"/>
        <w:spacing w:after="0" w:line="244" w:lineRule="auto"/>
        <w:tabs>
          <w:tab w:leader="none" w:pos="1578"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Trust or Fund Created</w:t>
      </w:r>
      <w:r>
        <w:rPr>
          <w:rFonts w:ascii="Times New Roman" w:cs="Times New Roman" w:eastAsia="Times New Roman" w:hAnsi="Times New Roman"/>
          <w:sz w:val="22"/>
          <w:szCs w:val="22"/>
          <w:color w:val="auto"/>
        </w:rPr>
        <w:t>. Neither the Plan nor the Agreement shall create or be construed to create a trust or separate fund of any kind or a fiduciary relationship between the Company or any Affiliate and Participant or any other person.</w:t>
      </w:r>
    </w:p>
    <w:p>
      <w:pPr>
        <w:spacing w:after="0" w:line="200" w:lineRule="exact"/>
        <w:rPr>
          <w:rFonts w:ascii="Times New Roman" w:cs="Times New Roman" w:eastAsia="Times New Roman" w:hAnsi="Times New Roman"/>
          <w:sz w:val="22"/>
          <w:szCs w:val="22"/>
          <w:color w:val="auto"/>
        </w:rPr>
      </w:pPr>
    </w:p>
    <w:p>
      <w:pPr>
        <w:ind w:left="100" w:firstLine="741"/>
        <w:spacing w:after="0" w:line="232" w:lineRule="auto"/>
        <w:tabs>
          <w:tab w:leader="none" w:pos="1588"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 Provisions</w:t>
      </w:r>
      <w:r>
        <w:rPr>
          <w:rFonts w:ascii="Times New Roman" w:cs="Times New Roman" w:eastAsia="Times New Roman" w:hAnsi="Times New Roman"/>
          <w:sz w:val="22"/>
          <w:szCs w:val="22"/>
          <w:color w:val="auto"/>
        </w:rPr>
        <w:t>. The payment of Shares under this Agreement are intended to be exempt from the application of section 409A of the Internal Revenue Code, as amended (“</w:t>
      </w:r>
      <w:r>
        <w:rPr>
          <w:rFonts w:ascii="Times New Roman" w:cs="Times New Roman" w:eastAsia="Times New Roman" w:hAnsi="Times New Roman"/>
          <w:sz w:val="22"/>
          <w:szCs w:val="22"/>
          <w:i w:val="1"/>
          <w:iCs w:val="1"/>
          <w:color w:val="auto"/>
        </w:rPr>
        <w:t>Section 409A</w:t>
      </w:r>
      <w:r>
        <w:rPr>
          <w:rFonts w:ascii="Times New Roman" w:cs="Times New Roman" w:eastAsia="Times New Roman" w:hAnsi="Times New Roman"/>
          <w:sz w:val="22"/>
          <w:szCs w:val="22"/>
          <w:color w:val="auto"/>
        </w:rPr>
        <w:t>”) by reason of the short-term deferral exemption set forth in Treasury Regulation §1.409A-1(b)(4). Notwithstanding anything in the Plan or this Agreement to the contrary, to the extent that any amount or benefit hereunder that constitutes “deferred compensation” to the Participant under section 409A and applicable guidance thereunder is otherwise payable or distributable to the Participant under the Plan or this Agreement solely by reason of the occurrence of a Change in Control or due to the Participant’s Disability or termination of employment, such amount or benefit will not be payable or distributable to the Participant by reason of such circumstance unless the Committee determines in good faith that (i) the circumstances giving rise to such Change in Control, Disability or separation from service meet the definition of a change in ownership or control, disability, or separation from service, as the case may be, in Section 409A(a)(2)(A) of the Code and applicable final regulations, or (ii) the payment or distribution of such amount or benefit would be exempt from the application of Section 409A by reason of the short-term deferral exemption or otherwise (including, but not limited to, a payment made pursuant to an involuntary separation arrangement that is exempt from Section 409A under the “short-term deferral” exception). Any payment or distribution that otherwise would be made to a Participant who is a specified employee as defined in Section 409A(a)(2)(B) of the Code on account of separation from service may not be made before the date which is six months after the date of the specified employee’s separation from service (or if earlier, upon the specified employee’s death) unless the payment or distribution is exempt from the application of Section 409A by reason of the short term deferral exemption or otherwise.</w:t>
      </w:r>
    </w:p>
    <w:p>
      <w:pPr>
        <w:spacing w:after="0" w:line="212" w:lineRule="exact"/>
        <w:rPr>
          <w:rFonts w:ascii="Times New Roman" w:cs="Times New Roman" w:eastAsia="Times New Roman" w:hAnsi="Times New Roman"/>
          <w:sz w:val="22"/>
          <w:szCs w:val="22"/>
          <w:color w:val="auto"/>
        </w:rPr>
      </w:pPr>
    </w:p>
    <w:p>
      <w:pPr>
        <w:ind w:left="100" w:right="480" w:firstLine="921"/>
        <w:spacing w:after="0" w:line="237" w:lineRule="auto"/>
        <w:tabs>
          <w:tab w:leader="none" w:pos="1737" w:val="left"/>
        </w:tabs>
        <w:numPr>
          <w:ilvl w:val="1"/>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Insider Trading / Market Abuse Laws</w:t>
      </w:r>
      <w:r>
        <w:rPr>
          <w:rFonts w:ascii="Times New Roman" w:cs="Times New Roman" w:eastAsia="Times New Roman" w:hAnsi="Times New Roman"/>
          <w:sz w:val="22"/>
          <w:szCs w:val="22"/>
          <w:color w:val="auto"/>
        </w:rPr>
        <w:t>. By participating in the Plan, the Participant agrees to comply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Company’s policy on insider trading as in effect at any given time. The Participant further acknowledges that the Participant may be subject to local insider trading and/or market abuse laws and regulations that are separate from and in addition to any restrictions that may be imposed under any applicable Company insider trading policy. The Participant acknowledges that it is the Participant’s personal responsibility to comply with any applicable restrictions, and that the Participant should consult the Participant’s personal advisor on this matter.</w:t>
      </w:r>
    </w:p>
    <w:p>
      <w:pPr>
        <w:spacing w:after="0" w:line="202" w:lineRule="exact"/>
        <w:rPr>
          <w:rFonts w:ascii="Times New Roman" w:cs="Times New Roman" w:eastAsia="Times New Roman" w:hAnsi="Times New Roman"/>
          <w:sz w:val="22"/>
          <w:szCs w:val="22"/>
          <w:color w:val="auto"/>
        </w:rPr>
      </w:pPr>
    </w:p>
    <w:p>
      <w:pPr>
        <w:ind w:left="1720" w:hanging="699"/>
        <w:spacing w:after="0"/>
        <w:tabs>
          <w:tab w:leader="none" w:pos="1720" w:val="left"/>
        </w:tabs>
        <w:numPr>
          <w:ilvl w:val="1"/>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Electronic Delivery</w:t>
      </w:r>
      <w:r>
        <w:rPr>
          <w:rFonts w:ascii="Times New Roman" w:cs="Times New Roman" w:eastAsia="Times New Roman" w:hAnsi="Times New Roman"/>
          <w:sz w:val="22"/>
          <w:szCs w:val="22"/>
          <w:color w:val="auto"/>
        </w:rPr>
        <w:t>. The Company may, in its sole discretion, deliver by electronic means any</w:t>
      </w:r>
    </w:p>
    <w:p>
      <w:pPr>
        <w:spacing w:after="0" w:line="18" w:lineRule="exact"/>
        <w:rPr>
          <w:sz w:val="20"/>
          <w:szCs w:val="20"/>
          <w:color w:val="auto"/>
        </w:rPr>
      </w:pPr>
    </w:p>
    <w:p>
      <w:pPr>
        <w:ind w:left="100" w:right="480"/>
        <w:spacing w:after="0" w:line="232" w:lineRule="auto"/>
        <w:rPr>
          <w:sz w:val="20"/>
          <w:szCs w:val="20"/>
          <w:color w:val="auto"/>
        </w:rPr>
      </w:pPr>
      <w:r>
        <w:rPr>
          <w:rFonts w:ascii="Times New Roman" w:cs="Times New Roman" w:eastAsia="Times New Roman" w:hAnsi="Times New Roman"/>
          <w:sz w:val="22"/>
          <w:szCs w:val="22"/>
          <w:color w:val="auto"/>
        </w:rPr>
        <w:t>documents related to the Units or the Participant’s future participation in the Plan. The Participant hereby consents to receive such documents by electronic delivery and agrees to participate in the Plan through an on-line or electronic system established and maintained by the Company or a third party designated by the Company. To the extent that this Agreement is manually signed, instead of electronically accepted by the Participant (if permitted by the Company), it may be signed in counterparts, each of which shall be deemed an original, with the same effect as if the signatures thereto and hereto were upon the same instrument.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Last Updated: March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368" w:right="479" w:bottom="1440" w:gutter="0" w:footer="0" w:header="0"/>
        </w:sectPr>
      </w:pPr>
    </w:p>
    <w:bookmarkStart w:id="140" w:name="page141"/>
    <w:bookmarkEnd w:id="140"/>
    <w:p>
      <w:pPr>
        <w:ind w:left="100" w:right="280" w:firstLine="921"/>
        <w:spacing w:after="0" w:line="235" w:lineRule="auto"/>
        <w:tabs>
          <w:tab w:leader="none" w:pos="1737"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Legend on Certificates. </w:t>
      </w:r>
      <w:r>
        <w:rPr>
          <w:rFonts w:ascii="Times New Roman" w:cs="Times New Roman" w:eastAsia="Times New Roman" w:hAnsi="Times New Roman"/>
          <w:sz w:val="22"/>
          <w:szCs w:val="22"/>
          <w:color w:val="auto"/>
        </w:rPr>
        <w:t>Any Shares issued or transferred to the Participant pursuant to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be subject to such stop transfer orders and other restrictions as the Board of Directors of the Company or the Compensation Committee thereof may deem advisable under the Plan or the rules, regulations, and other requirements of the U.S. Securities and Exchange Commission, the British Columbia Securities Commission, or any other applicable regulator, or any stock exchange upon which such Shares are listed, any applicable Canadian Federal or provincial, or U.S. Federal or state laws or relevant securities laws of the jurisdiction of the domicile of the Participant or to ensure compliance with any additional transfer restrictions that may be in effect from time to time, and the Board of Directors of the Company or the Compensation Committee thereof may cause a legend or legends to be put on any certificates representing such Shares to make appropriate reference to such restrictions.</w:t>
      </w:r>
    </w:p>
    <w:p>
      <w:pPr>
        <w:spacing w:after="0" w:line="201" w:lineRule="exact"/>
        <w:rPr>
          <w:rFonts w:ascii="Times New Roman" w:cs="Times New Roman" w:eastAsia="Times New Roman" w:hAnsi="Times New Roman"/>
          <w:sz w:val="22"/>
          <w:szCs w:val="22"/>
          <w:color w:val="auto"/>
        </w:rPr>
      </w:pPr>
    </w:p>
    <w:p>
      <w:pPr>
        <w:ind w:left="100" w:right="340" w:firstLine="921"/>
        <w:spacing w:after="0" w:line="241" w:lineRule="auto"/>
        <w:tabs>
          <w:tab w:leader="none" w:pos="1737"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Rule 16b-3</w:t>
      </w:r>
      <w:r>
        <w:rPr>
          <w:rFonts w:ascii="Times New Roman" w:cs="Times New Roman" w:eastAsia="Times New Roman" w:hAnsi="Times New Roman"/>
          <w:sz w:val="22"/>
          <w:szCs w:val="22"/>
          <w:color w:val="auto"/>
        </w:rPr>
        <w:t>. If the Participant has been designated by the Company’s Board of Directors as a “Section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16 Officer” as of the Date of Grant, the grant of the Units to the Participant hereunder is intended to be exempt from the provisions of Section 16(b) of the Securities Exchange Act of 1934, as amended from time to time (the “</w:t>
      </w:r>
      <w:r>
        <w:rPr>
          <w:rFonts w:ascii="Times New Roman" w:cs="Times New Roman" w:eastAsia="Times New Roman" w:hAnsi="Times New Roman"/>
          <w:sz w:val="22"/>
          <w:szCs w:val="22"/>
          <w:i w:val="1"/>
          <w:iCs w:val="1"/>
          <w:color w:val="auto"/>
        </w:rPr>
        <w:t>Exchange Act</w:t>
      </w:r>
      <w:r>
        <w:rPr>
          <w:rFonts w:ascii="Times New Roman" w:cs="Times New Roman" w:eastAsia="Times New Roman" w:hAnsi="Times New Roman"/>
          <w:sz w:val="22"/>
          <w:szCs w:val="22"/>
          <w:color w:val="auto"/>
        </w:rPr>
        <w:t>”) pursuant to Rule 16b-3 promulgated under the Exchange Act.</w:t>
      </w:r>
    </w:p>
    <w:p>
      <w:pPr>
        <w:spacing w:after="0" w:line="200" w:lineRule="exact"/>
        <w:rPr>
          <w:sz w:val="20"/>
          <w:szCs w:val="20"/>
          <w:color w:val="auto"/>
        </w:rPr>
      </w:pPr>
    </w:p>
    <w:p>
      <w:pPr>
        <w:spacing w:after="0" w:line="259" w:lineRule="exact"/>
        <w:rPr>
          <w:sz w:val="20"/>
          <w:szCs w:val="20"/>
          <w:color w:val="auto"/>
        </w:rPr>
      </w:pPr>
    </w:p>
    <w:p>
      <w:pPr>
        <w:jc w:val="both"/>
        <w:ind w:left="100" w:right="120" w:firstLine="741"/>
        <w:spacing w:after="0" w:line="244" w:lineRule="auto"/>
        <w:tabs>
          <w:tab w:leader="none" w:pos="1575"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Headings are given to the Sections and subsections of the Agreement solely as a convenience to facilitate reference. Such headings shall not be deemed in any way material or relevant to the construction or interpretation of the Agreement or any provision thereof.</w:t>
      </w:r>
    </w:p>
    <w:p>
      <w:pPr>
        <w:spacing w:after="0" w:line="223" w:lineRule="exact"/>
        <w:rPr>
          <w:sz w:val="20"/>
          <w:szCs w:val="20"/>
          <w:color w:val="auto"/>
        </w:rPr>
      </w:pPr>
    </w:p>
    <w:p>
      <w:pPr>
        <w:ind w:left="10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Company and Participant have executed this Agreement on the date set forth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first paragraph.</w:t>
      </w:r>
    </w:p>
    <w:p>
      <w:pPr>
        <w:spacing w:after="0" w:line="36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b w:val="1"/>
          <w:bCs w:val="1"/>
          <w:color w:val="auto"/>
        </w:rPr>
        <w:t>GREEN THUMB INDUSTRIES INC.</w:t>
      </w:r>
    </w:p>
    <w:p>
      <w:pPr>
        <w:spacing w:after="0" w:line="200" w:lineRule="exact"/>
        <w:rPr>
          <w:sz w:val="20"/>
          <w:szCs w:val="20"/>
          <w:color w:val="auto"/>
        </w:rPr>
      </w:pPr>
    </w:p>
    <w:p>
      <w:pPr>
        <w:spacing w:after="0" w:line="294" w:lineRule="exact"/>
        <w:rPr>
          <w:sz w:val="20"/>
          <w:szCs w:val="20"/>
          <w:color w:val="auto"/>
        </w:rPr>
      </w:pPr>
    </w:p>
    <w:p>
      <w:pPr>
        <w:ind w:left="4580"/>
        <w:spacing w:after="0"/>
        <w:tabs>
          <w:tab w:leader="none" w:pos="9800" w:val="left"/>
        </w:tabs>
        <w:rPr>
          <w:sz w:val="20"/>
          <w:szCs w:val="20"/>
          <w:color w:val="auto"/>
        </w:rPr>
      </w:pPr>
      <w:r>
        <w:rPr>
          <w:rFonts w:ascii="Times New Roman" w:cs="Times New Roman" w:eastAsia="Times New Roman" w:hAnsi="Times New Roman"/>
          <w:sz w:val="22"/>
          <w:szCs w:val="22"/>
          <w:color w:val="auto"/>
        </w:rPr>
        <w:t>By:______________________________________</w:t>
      </w:r>
      <w:r>
        <w:rPr>
          <w:sz w:val="20"/>
          <w:szCs w:val="20"/>
          <w:color w:val="auto"/>
        </w:rPr>
        <w:tab/>
      </w: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5715000</wp:posOffset>
            </wp:positionH>
            <wp:positionV relativeFrom="paragraph">
              <wp:posOffset>-13970</wp:posOffset>
            </wp:positionV>
            <wp:extent cx="48768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6">
                      <a:extLst>
                        <a:ext uri="{28A0092B-C50C-407E-A947-70E740481C1C}"/>
                      </a:extLst>
                    </a:blip>
                    <a:srcRect/>
                    <a:stretch>
                      <a:fillRect/>
                    </a:stretch>
                  </pic:blipFill>
                  <pic:spPr bwMode="auto">
                    <a:xfrm>
                      <a:off x="0" y="0"/>
                      <a:ext cx="487680" cy="8890"/>
                    </a:xfrm>
                    <a:prstGeom prst="rect">
                      <a:avLst/>
                    </a:prstGeom>
                    <a:noFill/>
                  </pic:spPr>
                </pic:pic>
              </a:graphicData>
            </a:graphic>
          </wp:anchor>
        </w:drawing>
      </w:r>
    </w:p>
    <w:p>
      <w:pPr>
        <w:jc w:val="center"/>
        <w:ind w:right="-519"/>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62"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Print Name: ______________________________</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Last Updated: March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40" w:top="108" w:right="65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color w:val="auto"/>
        </w:rPr>
        <w:t>Exhibit 10.13</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INDEMNIFICATION AGREEMENT</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This Indemnification Agreement (the “</w:t>
      </w:r>
      <w:r>
        <w:rPr>
          <w:rFonts w:ascii="Arial" w:cs="Arial" w:eastAsia="Arial" w:hAnsi="Arial"/>
          <w:sz w:val="18"/>
          <w:szCs w:val="18"/>
          <w:b w:val="1"/>
          <w:bCs w:val="1"/>
          <w:color w:val="auto"/>
        </w:rPr>
        <w:t>Agreement</w:t>
      </w:r>
      <w:r>
        <w:rPr>
          <w:rFonts w:ascii="Arial" w:cs="Arial" w:eastAsia="Arial" w:hAnsi="Arial"/>
          <w:sz w:val="18"/>
          <w:szCs w:val="18"/>
          <w:color w:val="auto"/>
        </w:rPr>
        <w:t>”) dated as of the __ day of _____________.</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 T W E E N:</w:t>
      </w:r>
    </w:p>
    <w:p>
      <w:pPr>
        <w:spacing w:after="0" w:line="21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[____________], an individual having an address of ____________, United States of America.</w:t>
      </w:r>
    </w:p>
    <w:p>
      <w:pPr>
        <w:spacing w:after="0" w:line="21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(hereinafter referred to as the “</w:t>
      </w:r>
      <w:r>
        <w:rPr>
          <w:rFonts w:ascii="Arial" w:cs="Arial" w:eastAsia="Arial" w:hAnsi="Arial"/>
          <w:sz w:val="18"/>
          <w:szCs w:val="18"/>
          <w:b w:val="1"/>
          <w:bCs w:val="1"/>
          <w:color w:val="auto"/>
        </w:rPr>
        <w:t>Indemnitee</w:t>
      </w:r>
      <w:r>
        <w:rPr>
          <w:rFonts w:ascii="Arial" w:cs="Arial" w:eastAsia="Arial" w:hAnsi="Arial"/>
          <w:sz w:val="18"/>
          <w:szCs w:val="18"/>
          <w:color w:val="auto"/>
        </w:rPr>
        <w: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and -</w:t>
      </w:r>
    </w:p>
    <w:p>
      <w:pPr>
        <w:spacing w:after="0" w:line="212"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Green Thumb Industries Inc</w:t>
      </w:r>
      <w:r>
        <w:rPr>
          <w:rFonts w:ascii="Arial" w:cs="Arial" w:eastAsia="Arial" w:hAnsi="Arial"/>
          <w:sz w:val="18"/>
          <w:szCs w:val="18"/>
          <w:color w:val="auto"/>
        </w:rPr>
        <w:t>., a company incorporated under the laws of British Columbia</w:t>
      </w:r>
    </w:p>
    <w:p>
      <w:pPr>
        <w:spacing w:after="0" w:line="21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(hereinafter referred to as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212" w:lineRule="exact"/>
        <w:rPr>
          <w:sz w:val="20"/>
          <w:szCs w:val="20"/>
          <w:color w:val="auto"/>
        </w:rPr>
      </w:pPr>
    </w:p>
    <w:p>
      <w:pPr>
        <w:ind w:left="760" w:right="260" w:hanging="752"/>
        <w:spacing w:after="0" w:line="271" w:lineRule="auto"/>
        <w:tabs>
          <w:tab w:leader="none" w:pos="760" w:val="left"/>
        </w:tabs>
        <w:numPr>
          <w:ilvl w:val="0"/>
          <w:numId w:val="178"/>
        </w:numPr>
        <w:rPr>
          <w:rFonts w:ascii="Arial" w:cs="Arial" w:eastAsia="Arial" w:hAnsi="Arial"/>
          <w:sz w:val="18"/>
          <w:szCs w:val="18"/>
          <w:color w:val="010000"/>
        </w:rPr>
      </w:pPr>
      <w:r>
        <w:rPr>
          <w:rFonts w:ascii="Arial" w:cs="Arial" w:eastAsia="Arial" w:hAnsi="Arial"/>
          <w:sz w:val="18"/>
          <w:szCs w:val="18"/>
          <w:color w:val="auto"/>
        </w:rPr>
        <w:t>the Company desires to attract and retain the services of highly qualified individuals such as the Indemnitee to serve as directors and/or officers;</w:t>
      </w:r>
    </w:p>
    <w:p>
      <w:pPr>
        <w:spacing w:after="0" w:line="153" w:lineRule="exact"/>
        <w:rPr>
          <w:rFonts w:ascii="Arial" w:cs="Arial" w:eastAsia="Arial" w:hAnsi="Arial"/>
          <w:sz w:val="18"/>
          <w:szCs w:val="18"/>
          <w:color w:val="010000"/>
        </w:rPr>
      </w:pPr>
    </w:p>
    <w:p>
      <w:pPr>
        <w:ind w:left="760" w:right="260" w:hanging="752"/>
        <w:spacing w:after="0" w:line="253" w:lineRule="auto"/>
        <w:tabs>
          <w:tab w:leader="none" w:pos="760" w:val="left"/>
        </w:tabs>
        <w:numPr>
          <w:ilvl w:val="0"/>
          <w:numId w:val="178"/>
        </w:numPr>
        <w:rPr>
          <w:rFonts w:ascii="Arial" w:cs="Arial" w:eastAsia="Arial" w:hAnsi="Arial"/>
          <w:sz w:val="18"/>
          <w:szCs w:val="18"/>
          <w:color w:val="010000"/>
        </w:rPr>
      </w:pPr>
      <w:r>
        <w:rPr>
          <w:rFonts w:ascii="Arial" w:cs="Arial" w:eastAsia="Arial" w:hAnsi="Arial"/>
          <w:sz w:val="18"/>
          <w:szCs w:val="18"/>
          <w:color w:val="auto"/>
        </w:rPr>
        <w:t>in consideration for the prior, current or continuing services of such individuals, the Company desires to provide them with the maximum protection permitted by applicable law against liabilities they may incur in their capacities as directors and/or officers of the Company or its affiliated entities or in any other capacity in which they may act at the request of the Company;</w:t>
      </w:r>
    </w:p>
    <w:p>
      <w:pPr>
        <w:spacing w:after="0" w:line="168" w:lineRule="exact"/>
        <w:rPr>
          <w:rFonts w:ascii="Arial" w:cs="Arial" w:eastAsia="Arial" w:hAnsi="Arial"/>
          <w:sz w:val="18"/>
          <w:szCs w:val="18"/>
          <w:color w:val="010000"/>
        </w:rPr>
      </w:pPr>
    </w:p>
    <w:p>
      <w:pPr>
        <w:ind w:left="760" w:hanging="752"/>
        <w:spacing w:after="0"/>
        <w:tabs>
          <w:tab w:leader="none" w:pos="760" w:val="left"/>
        </w:tabs>
        <w:numPr>
          <w:ilvl w:val="0"/>
          <w:numId w:val="178"/>
        </w:numPr>
        <w:rPr>
          <w:rFonts w:ascii="Arial" w:cs="Arial" w:eastAsia="Arial" w:hAnsi="Arial"/>
          <w:sz w:val="18"/>
          <w:szCs w:val="18"/>
          <w:color w:val="010000"/>
        </w:rPr>
      </w:pPr>
      <w:r>
        <w:rPr>
          <w:rFonts w:ascii="Arial" w:cs="Arial" w:eastAsia="Arial" w:hAnsi="Arial"/>
          <w:sz w:val="18"/>
          <w:szCs w:val="18"/>
          <w:color w:val="auto"/>
        </w:rPr>
        <w:t>the Indemnitee either currently acts, or has been appointed or elected to act, as a director or officer of the Company; and</w:t>
      </w:r>
    </w:p>
    <w:p>
      <w:pPr>
        <w:spacing w:after="0" w:line="211" w:lineRule="exact"/>
        <w:rPr>
          <w:rFonts w:ascii="Arial" w:cs="Arial" w:eastAsia="Arial" w:hAnsi="Arial"/>
          <w:sz w:val="18"/>
          <w:szCs w:val="18"/>
          <w:color w:val="010000"/>
        </w:rPr>
      </w:pPr>
    </w:p>
    <w:p>
      <w:pPr>
        <w:ind w:left="760" w:hanging="752"/>
        <w:spacing w:after="0"/>
        <w:tabs>
          <w:tab w:leader="none" w:pos="760" w:val="left"/>
        </w:tabs>
        <w:numPr>
          <w:ilvl w:val="0"/>
          <w:numId w:val="178"/>
        </w:numPr>
        <w:rPr>
          <w:rFonts w:ascii="Arial" w:cs="Arial" w:eastAsia="Arial" w:hAnsi="Arial"/>
          <w:sz w:val="18"/>
          <w:szCs w:val="18"/>
          <w:color w:val="010000"/>
        </w:rPr>
      </w:pPr>
      <w:r>
        <w:rPr>
          <w:rFonts w:ascii="Arial" w:cs="Arial" w:eastAsia="Arial" w:hAnsi="Arial"/>
          <w:sz w:val="18"/>
          <w:szCs w:val="18"/>
          <w:color w:val="auto"/>
        </w:rPr>
        <w:t>the Company desires to provide the Indemnitee with such maximum protection.</w:t>
      </w:r>
    </w:p>
    <w:p>
      <w:pPr>
        <w:spacing w:after="0" w:line="212" w:lineRule="exact"/>
        <w:rPr>
          <w:sz w:val="20"/>
          <w:szCs w:val="20"/>
          <w:color w:val="auto"/>
        </w:rPr>
      </w:pPr>
    </w:p>
    <w:p>
      <w:pPr>
        <w:ind w:right="360" w:firstLine="749"/>
        <w:spacing w:after="0" w:line="271" w:lineRule="auto"/>
        <w:rPr>
          <w:sz w:val="20"/>
          <w:szCs w:val="20"/>
          <w:color w:val="auto"/>
        </w:rPr>
      </w:pPr>
      <w:r>
        <w:rPr>
          <w:rFonts w:ascii="Arial" w:cs="Arial" w:eastAsia="Arial" w:hAnsi="Arial"/>
          <w:sz w:val="18"/>
          <w:szCs w:val="18"/>
          <w:color w:val="auto"/>
        </w:rPr>
        <w:t>NOW THEREFORE in consideration of the premises, the respective covenants of each party set forth in this Agreement and for other good and valuable consideration (the receipt and sufficiency of which is acknowledged), the parties hereby agree as follows: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010000"/>
        </w:rPr>
        <w:t>Section 1.</w:t>
      </w:r>
      <w:r>
        <w:rPr>
          <w:rFonts w:ascii="Arial" w:cs="Arial" w:eastAsia="Arial" w:hAnsi="Arial"/>
          <w:sz w:val="18"/>
          <w:szCs w:val="18"/>
          <w:b w:val="1"/>
          <w:bCs w:val="1"/>
          <w:color w:val="000000"/>
        </w:rPr>
        <w:t>Definitions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this Agreement: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Business Corporation Act</w:t>
      </w:r>
      <w:r>
        <w:rPr>
          <w:rFonts w:ascii="Arial" w:cs="Arial" w:eastAsia="Arial" w:hAnsi="Arial"/>
          <w:sz w:val="18"/>
          <w:szCs w:val="18"/>
          <w:color w:val="auto"/>
        </w:rPr>
        <w:t xml:space="preserve"> (British Columbia) as in force from time to time during the term of this Agreement;</w:t>
      </w:r>
    </w:p>
    <w:p>
      <w:pPr>
        <w:spacing w:after="0" w:line="212" w:lineRule="exact"/>
        <w:rPr>
          <w:sz w:val="20"/>
          <w:szCs w:val="20"/>
          <w:color w:val="auto"/>
        </w:rPr>
      </w:pPr>
    </w:p>
    <w:p>
      <w:pPr>
        <w:ind w:right="300" w:firstLine="749"/>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means any person who is or was a director, officer, employee or other agent of the Company, or is or was serving at the request of the Company as a director, officer, employee or agent of another corporation, partnership, joint venture, trust, body corporate, employee benefit plan or other entity or enterprise (the Company and such other corporation, partnership, joint venture, trust, body corporate, employee benefit plan or other entity or enterprise being hereinafter referred to as the “</w:t>
      </w:r>
      <w:r>
        <w:rPr>
          <w:rFonts w:ascii="Arial" w:cs="Arial" w:eastAsia="Arial" w:hAnsi="Arial"/>
          <w:sz w:val="18"/>
          <w:szCs w:val="18"/>
          <w:b w:val="1"/>
          <w:bCs w:val="1"/>
          <w:color w:val="auto"/>
        </w:rPr>
        <w:t>Subject Entity</w:t>
      </w:r>
      <w:r>
        <w:rPr>
          <w:rFonts w:ascii="Arial" w:cs="Arial" w:eastAsia="Arial" w:hAnsi="Arial"/>
          <w:sz w:val="18"/>
          <w:szCs w:val="18"/>
          <w:color w:val="auto"/>
        </w:rPr>
        <w: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color w:val="auto"/>
        </w:rPr>
        <w:t>Exhibit 10.13</w:t>
      </w:r>
    </w:p>
    <w:p>
      <w:pPr>
        <w:spacing w:after="0" w:line="1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194" w:lineRule="exact"/>
        <w:rPr>
          <w:sz w:val="20"/>
          <w:szCs w:val="20"/>
          <w:color w:val="auto"/>
        </w:rPr>
      </w:pPr>
    </w:p>
    <w:p>
      <w:pPr>
        <w:ind w:right="80" w:firstLine="74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Expenses</w:t>
      </w:r>
      <w:r>
        <w:rPr>
          <w:rFonts w:ascii="Arial" w:cs="Arial" w:eastAsia="Arial" w:hAnsi="Arial"/>
          <w:sz w:val="18"/>
          <w:szCs w:val="18"/>
          <w:color w:val="auto"/>
        </w:rPr>
        <w:t>” means, without limitation, lawyers’ fees and disbursements and any expenses of establishing a right to indemnification under this Agreement, the Act or otherwise; and</w:t>
      </w:r>
    </w:p>
    <w:p>
      <w:pPr>
        <w:spacing w:after="0" w:line="154" w:lineRule="exact"/>
        <w:rPr>
          <w:sz w:val="20"/>
          <w:szCs w:val="20"/>
          <w:color w:val="auto"/>
        </w:rPr>
      </w:pPr>
    </w:p>
    <w:p>
      <w:pPr>
        <w:ind w:firstLine="74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Proceeding</w:t>
      </w:r>
      <w:r>
        <w:rPr>
          <w:rFonts w:ascii="Arial" w:cs="Arial" w:eastAsia="Arial" w:hAnsi="Arial"/>
          <w:sz w:val="18"/>
          <w:szCs w:val="18"/>
          <w:color w:val="auto"/>
        </w:rPr>
        <w:t>” means any threatened, pending, contemplated or completed action, suit or proceeding, whether a civil, criminal, administrative, investigative or other proceeding, including any appeal therefrom, to which the Indemnitee is or was a party or is threatened to be made a party by reason of the fact that the Indemnitee is or was an director or officer of the Company or by reason of anything done or not done by the Indemnitee in such capacity.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10000"/>
        </w:rPr>
        <w:t>Section 2.</w:t>
      </w:r>
      <w:r>
        <w:rPr>
          <w:rFonts w:ascii="Arial" w:cs="Arial" w:eastAsia="Arial" w:hAnsi="Arial"/>
          <w:sz w:val="18"/>
          <w:szCs w:val="18"/>
          <w:b w:val="1"/>
          <w:bCs w:val="1"/>
          <w:color w:val="000000"/>
        </w:rPr>
        <w:t>Agreement to Serve</w:t>
      </w:r>
    </w:p>
    <w:p>
      <w:pPr>
        <w:spacing w:after="0" w:line="212" w:lineRule="exact"/>
        <w:rPr>
          <w:sz w:val="20"/>
          <w:szCs w:val="20"/>
          <w:color w:val="auto"/>
        </w:rPr>
      </w:pPr>
    </w:p>
    <w:p>
      <w:pPr>
        <w:ind w:right="460" w:firstLine="749"/>
        <w:spacing w:after="0" w:line="271" w:lineRule="auto"/>
        <w:rPr>
          <w:sz w:val="20"/>
          <w:szCs w:val="20"/>
          <w:color w:val="auto"/>
        </w:rPr>
      </w:pPr>
      <w:r>
        <w:rPr>
          <w:rFonts w:ascii="Arial" w:cs="Arial" w:eastAsia="Arial" w:hAnsi="Arial"/>
          <w:sz w:val="18"/>
          <w:szCs w:val="18"/>
          <w:color w:val="auto"/>
        </w:rPr>
        <w:t>In consideration of the protection afforded by this agreement, the Indemnitee agrees to serve as a director and/or officer of the Company, provided that nothing in this Agreement shall prohibit the Indemnitee from resigning as such at any time.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010000"/>
        </w:rPr>
        <w:t>Section 3.</w:t>
      </w:r>
      <w:r>
        <w:rPr>
          <w:rFonts w:ascii="Arial" w:cs="Arial" w:eastAsia="Arial" w:hAnsi="Arial"/>
          <w:sz w:val="18"/>
          <w:szCs w:val="18"/>
          <w:b w:val="1"/>
          <w:bCs w:val="1"/>
          <w:color w:val="000000"/>
        </w:rPr>
        <w:t>Indemnification</w:t>
      </w:r>
    </w:p>
    <w:p>
      <w:pPr>
        <w:spacing w:after="0" w:line="212" w:lineRule="exact"/>
        <w:rPr>
          <w:sz w:val="20"/>
          <w:szCs w:val="20"/>
          <w:color w:val="auto"/>
        </w:rPr>
      </w:pPr>
    </w:p>
    <w:p>
      <w:pPr>
        <w:ind w:left="760" w:right="240" w:hanging="752"/>
        <w:spacing w:after="0" w:line="247" w:lineRule="auto"/>
        <w:tabs>
          <w:tab w:leader="none" w:pos="760" w:val="left"/>
        </w:tabs>
        <w:numPr>
          <w:ilvl w:val="0"/>
          <w:numId w:val="179"/>
        </w:numPr>
        <w:rPr>
          <w:rFonts w:ascii="Arial" w:cs="Arial" w:eastAsia="Arial" w:hAnsi="Arial"/>
          <w:sz w:val="18"/>
          <w:szCs w:val="18"/>
          <w:color w:val="010000"/>
        </w:rPr>
      </w:pPr>
      <w:r>
        <w:rPr>
          <w:rFonts w:ascii="Arial" w:cs="Arial" w:eastAsia="Arial" w:hAnsi="Arial"/>
          <w:sz w:val="18"/>
          <w:szCs w:val="18"/>
          <w:i w:val="1"/>
          <w:iCs w:val="1"/>
          <w:u w:val="single" w:color="auto"/>
          <w:color w:val="auto"/>
        </w:rPr>
        <w:t>Indemnity.</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shall indemnify the Indemnitee, effective from the date the Indemnitee was first elected to the Board or</w:t>
      </w:r>
      <w:r>
        <w:rPr>
          <w:rFonts w:ascii="Arial" w:cs="Arial" w:eastAsia="Arial" w:hAnsi="Arial"/>
          <w:sz w:val="18"/>
          <w:szCs w:val="18"/>
          <w:i w:val="1"/>
          <w:iCs w:val="1"/>
          <w:color w:val="auto"/>
        </w:rPr>
        <w:t xml:space="preserve"> </w:t>
      </w:r>
      <w:r>
        <w:rPr>
          <w:rFonts w:ascii="Arial" w:cs="Arial" w:eastAsia="Arial" w:hAnsi="Arial"/>
          <w:sz w:val="18"/>
          <w:szCs w:val="18"/>
          <w:color w:val="auto"/>
        </w:rPr>
        <w:t>appointed as an officer of the Company, against any and all Expenses, judgments, fines, penalties, settlements and any other amounts actually and reasonably incurred by the Indemnitee in connection with any Proceeding to the full extent permitted by the Act and,</w:t>
      </w:r>
    </w:p>
    <w:p>
      <w:pPr>
        <w:spacing w:after="0" w:line="173" w:lineRule="exact"/>
        <w:rPr>
          <w:rFonts w:ascii="Arial" w:cs="Arial" w:eastAsia="Arial" w:hAnsi="Arial"/>
          <w:sz w:val="18"/>
          <w:szCs w:val="18"/>
          <w:color w:val="010000"/>
        </w:rPr>
      </w:pPr>
    </w:p>
    <w:p>
      <w:pPr>
        <w:ind w:left="1500" w:hanging="743"/>
        <w:spacing w:after="0"/>
        <w:tabs>
          <w:tab w:leader="none" w:pos="1500" w:val="left"/>
        </w:tabs>
        <w:numPr>
          <w:ilvl w:val="1"/>
          <w:numId w:val="179"/>
        </w:numPr>
        <w:rPr>
          <w:rFonts w:ascii="Arial" w:cs="Arial" w:eastAsia="Arial" w:hAnsi="Arial"/>
          <w:sz w:val="18"/>
          <w:szCs w:val="18"/>
          <w:color w:val="010000"/>
        </w:rPr>
      </w:pPr>
      <w:r>
        <w:rPr>
          <w:rFonts w:ascii="Arial" w:cs="Arial" w:eastAsia="Arial" w:hAnsi="Arial"/>
          <w:sz w:val="18"/>
          <w:szCs w:val="18"/>
          <w:color w:val="auto"/>
        </w:rPr>
        <w:t>the Indemnitee acted honestly and in good faith with a view to the best interests of the Company; and s</w:t>
      </w:r>
    </w:p>
    <w:p>
      <w:pPr>
        <w:spacing w:after="0" w:line="211" w:lineRule="exact"/>
        <w:rPr>
          <w:rFonts w:ascii="Arial" w:cs="Arial" w:eastAsia="Arial" w:hAnsi="Arial"/>
          <w:sz w:val="18"/>
          <w:szCs w:val="18"/>
          <w:color w:val="010000"/>
        </w:rPr>
      </w:pPr>
    </w:p>
    <w:p>
      <w:pPr>
        <w:jc w:val="both"/>
        <w:ind w:left="1500" w:right="40" w:hanging="743"/>
        <w:spacing w:after="0" w:line="257" w:lineRule="auto"/>
        <w:tabs>
          <w:tab w:leader="none" w:pos="1500" w:val="left"/>
        </w:tabs>
        <w:numPr>
          <w:ilvl w:val="1"/>
          <w:numId w:val="179"/>
        </w:numPr>
        <w:rPr>
          <w:rFonts w:ascii="Arial" w:cs="Arial" w:eastAsia="Arial" w:hAnsi="Arial"/>
          <w:sz w:val="18"/>
          <w:szCs w:val="18"/>
          <w:color w:val="010000"/>
        </w:rPr>
      </w:pPr>
      <w:r>
        <w:rPr>
          <w:rFonts w:ascii="Arial" w:cs="Arial" w:eastAsia="Arial" w:hAnsi="Arial"/>
          <w:sz w:val="18"/>
          <w:szCs w:val="18"/>
          <w:color w:val="auto"/>
        </w:rPr>
        <w:t xml:space="preserve">in the case of a criminal or administrative action or proceeding that is enforced by a monetary penalty, the Indemnitee had reasonable grounds for believing that his or her conduct was lawful (such sections 3(1)(a) and (b) being herein collectively referred to as the </w:t>
      </w:r>
      <w:r>
        <w:rPr>
          <w:rFonts w:ascii="Arial" w:cs="Arial" w:eastAsia="Arial" w:hAnsi="Arial"/>
          <w:sz w:val="18"/>
          <w:szCs w:val="18"/>
          <w:b w:val="1"/>
          <w:bCs w:val="1"/>
          <w:color w:val="auto"/>
        </w:rPr>
        <w:t>“Conditions</w:t>
      </w:r>
      <w:r>
        <w:rPr>
          <w:rFonts w:ascii="Arial" w:cs="Arial" w:eastAsia="Arial" w:hAnsi="Arial"/>
          <w:sz w:val="18"/>
          <w:szCs w:val="18"/>
          <w:color w:val="auto"/>
        </w:rPr>
        <w:t>”).</w:t>
      </w:r>
    </w:p>
    <w:p>
      <w:pPr>
        <w:spacing w:after="0" w:line="159" w:lineRule="exact"/>
        <w:rPr>
          <w:sz w:val="20"/>
          <w:szCs w:val="20"/>
          <w:color w:val="auto"/>
        </w:rPr>
      </w:pPr>
    </w:p>
    <w:p>
      <w:pPr>
        <w:ind w:left="760" w:right="140"/>
        <w:spacing w:after="0" w:line="244" w:lineRule="auto"/>
        <w:rPr>
          <w:sz w:val="20"/>
          <w:szCs w:val="20"/>
          <w:color w:val="auto"/>
        </w:rPr>
      </w:pPr>
      <w:r>
        <w:rPr>
          <w:rFonts w:ascii="Arial" w:cs="Arial" w:eastAsia="Arial" w:hAnsi="Arial"/>
          <w:sz w:val="18"/>
          <w:szCs w:val="18"/>
          <w:color w:val="auto"/>
        </w:rPr>
        <w:t>No determination in any Proceeding against the Indemnitee by judgment, order, settlement (with or without court approval) or conviction shall, of itself, create a presumption that the Indemnitee did not meet the Conditions. The Indemnitee shall be deemed, subject only to compelling evidence to the contrary, to have acted honestly and in good faith with a view to the best interests of the Company, and the Company shall have the burden of establishing the absence of good faith or acting with a view to best interests of the Company on the part of the Indemnitee.</w:t>
      </w:r>
    </w:p>
    <w:p>
      <w:pPr>
        <w:spacing w:after="0" w:line="176" w:lineRule="exact"/>
        <w:rPr>
          <w:sz w:val="20"/>
          <w:szCs w:val="20"/>
          <w:color w:val="auto"/>
        </w:rPr>
      </w:pPr>
    </w:p>
    <w:p>
      <w:pPr>
        <w:ind w:left="760" w:right="160"/>
        <w:spacing w:after="0" w:line="244" w:lineRule="auto"/>
        <w:rPr>
          <w:sz w:val="20"/>
          <w:szCs w:val="20"/>
          <w:color w:val="auto"/>
        </w:rPr>
      </w:pPr>
      <w:r>
        <w:rPr>
          <w:rFonts w:ascii="Arial" w:cs="Arial" w:eastAsia="Arial" w:hAnsi="Arial"/>
          <w:sz w:val="18"/>
          <w:szCs w:val="18"/>
          <w:color w:val="auto"/>
        </w:rPr>
        <w:t>Notwithstanding any other provision of this Agreement to the contrary, to the extent that the Indemnitee is, by reason of the Indemnitee’s status with respect to the Company or any other Subject Entity, a witness or otherwise participates in any action, suit or proceeding at a time when the Indemnitee is not a party in the action, suit or proceeding, the Company shall indemnify the Indemnitee against all expenses (including Expenses) actually and reasonably incurred by the Indemnitee or on the Indemnitee’s behalf in connection therewith.</w:t>
      </w:r>
    </w:p>
    <w:p>
      <w:pPr>
        <w:spacing w:after="0" w:line="176" w:lineRule="exact"/>
        <w:rPr>
          <w:sz w:val="20"/>
          <w:szCs w:val="20"/>
          <w:color w:val="auto"/>
        </w:rPr>
      </w:pPr>
    </w:p>
    <w:p>
      <w:pPr>
        <w:ind w:left="760" w:right="60"/>
        <w:spacing w:after="0" w:line="253" w:lineRule="auto"/>
        <w:rPr>
          <w:sz w:val="20"/>
          <w:szCs w:val="20"/>
          <w:color w:val="auto"/>
        </w:rPr>
      </w:pPr>
      <w:r>
        <w:rPr>
          <w:rFonts w:ascii="Arial" w:cs="Arial" w:eastAsia="Arial" w:hAnsi="Arial"/>
          <w:sz w:val="18"/>
          <w:szCs w:val="18"/>
          <w:color w:val="auto"/>
        </w:rPr>
        <w:t>The Indemnitee shall be presumed to be entitled to indemnification under this Agreement upon notice pursuant to Section 3(2), and the Company shall have the burden of proof in overcoming that presumption in reaching a determination contrary to that presumption. Such presumption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ind w:left="10200"/>
        <w:spacing w:after="0"/>
        <w:rPr>
          <w:sz w:val="20"/>
          <w:szCs w:val="20"/>
          <w:color w:val="auto"/>
        </w:rPr>
      </w:pPr>
      <w:r>
        <w:rPr>
          <w:rFonts w:ascii="Arial" w:cs="Arial" w:eastAsia="Arial" w:hAnsi="Arial"/>
          <w:sz w:val="17"/>
          <w:szCs w:val="17"/>
          <w:color w:val="auto"/>
        </w:rPr>
        <w:t>Exhibit 10.13</w:t>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shall be used as a basis for a determination of entitlement to indemnification unless the Company overcomes such presumption by</w:t>
      </w:r>
    </w:p>
    <w:p>
      <w:pPr>
        <w:ind w:left="760"/>
        <w:spacing w:after="0"/>
        <w:rPr>
          <w:sz w:val="20"/>
          <w:szCs w:val="20"/>
          <w:color w:val="auto"/>
        </w:rPr>
      </w:pPr>
      <w:r>
        <w:rPr>
          <w:rFonts w:ascii="Arial" w:cs="Arial" w:eastAsia="Arial" w:hAnsi="Arial"/>
          <w:sz w:val="18"/>
          <w:szCs w:val="18"/>
          <w:color w:val="auto"/>
        </w:rPr>
        <w:t>clear and convincing evidence.</w:t>
      </w:r>
    </w:p>
    <w:p>
      <w:pPr>
        <w:spacing w:after="0" w:line="194" w:lineRule="exact"/>
        <w:rPr>
          <w:sz w:val="20"/>
          <w:szCs w:val="20"/>
          <w:color w:val="auto"/>
        </w:rPr>
      </w:pPr>
    </w:p>
    <w:p>
      <w:pPr>
        <w:ind w:left="760" w:right="420"/>
        <w:spacing w:after="0" w:line="253" w:lineRule="auto"/>
        <w:rPr>
          <w:sz w:val="20"/>
          <w:szCs w:val="20"/>
          <w:color w:val="auto"/>
        </w:rPr>
      </w:pPr>
      <w:r>
        <w:rPr>
          <w:rFonts w:ascii="Arial" w:cs="Arial" w:eastAsia="Arial" w:hAnsi="Arial"/>
          <w:sz w:val="18"/>
          <w:szCs w:val="18"/>
          <w:color w:val="auto"/>
        </w:rPr>
        <w:t>For greater certainty, the Indemnitee shall not be prevented from seeking indemnification under this Section 3 as a result of the industry in which the Company operates (including as a result of the Company being involved in business activities that are regulated under the United States Controlled Substances Act).</w:t>
      </w:r>
    </w:p>
    <w:p>
      <w:pPr>
        <w:spacing w:after="0" w:line="169" w:lineRule="exact"/>
        <w:rPr>
          <w:sz w:val="20"/>
          <w:szCs w:val="20"/>
          <w:color w:val="auto"/>
        </w:rPr>
      </w:pPr>
    </w:p>
    <w:p>
      <w:pPr>
        <w:ind w:left="760" w:right="140" w:hanging="752"/>
        <w:spacing w:after="0" w:line="247" w:lineRule="auto"/>
        <w:tabs>
          <w:tab w:leader="none" w:pos="760" w:val="left"/>
        </w:tabs>
        <w:numPr>
          <w:ilvl w:val="0"/>
          <w:numId w:val="180"/>
        </w:numPr>
        <w:rPr>
          <w:rFonts w:ascii="Arial" w:cs="Arial" w:eastAsia="Arial" w:hAnsi="Arial"/>
          <w:sz w:val="18"/>
          <w:szCs w:val="18"/>
          <w:color w:val="010000"/>
        </w:rPr>
      </w:pPr>
      <w:r>
        <w:rPr>
          <w:rFonts w:ascii="Arial" w:cs="Arial" w:eastAsia="Arial" w:hAnsi="Arial"/>
          <w:sz w:val="18"/>
          <w:szCs w:val="18"/>
          <w:i w:val="1"/>
          <w:iCs w:val="1"/>
          <w:u w:val="single" w:color="auto"/>
          <w:color w:val="auto"/>
        </w:rPr>
        <w:t>Claims Brought Against Indemnitee by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court approval as contemplated by section 164 of the Act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restrictions set out in Section 10 of the Agreement, the Company shall indemnify the Indemnitee against any and all Expenses, judgments, fines, penalties, settlements and any other amounts actually and reasonably incurred by the Indemnitee in connection with any Proceeding brought by or on behalf of the Company, provided the Conditions are met.</w:t>
      </w:r>
    </w:p>
    <w:p>
      <w:pPr>
        <w:spacing w:after="0" w:line="173" w:lineRule="exact"/>
        <w:rPr>
          <w:rFonts w:ascii="Arial" w:cs="Arial" w:eastAsia="Arial" w:hAnsi="Arial"/>
          <w:sz w:val="18"/>
          <w:szCs w:val="18"/>
          <w:color w:val="010000"/>
        </w:rPr>
      </w:pPr>
    </w:p>
    <w:p>
      <w:pPr>
        <w:ind w:left="760" w:right="80" w:hanging="752"/>
        <w:spacing w:after="0" w:line="238" w:lineRule="auto"/>
        <w:tabs>
          <w:tab w:leader="none" w:pos="760" w:val="left"/>
        </w:tabs>
        <w:numPr>
          <w:ilvl w:val="0"/>
          <w:numId w:val="180"/>
        </w:numPr>
        <w:rPr>
          <w:rFonts w:ascii="Arial" w:cs="Arial" w:eastAsia="Arial" w:hAnsi="Arial"/>
          <w:sz w:val="18"/>
          <w:szCs w:val="18"/>
          <w:color w:val="010000"/>
        </w:rPr>
      </w:pPr>
      <w:r>
        <w:rPr>
          <w:rFonts w:ascii="Arial" w:cs="Arial" w:eastAsia="Arial" w:hAnsi="Arial"/>
          <w:sz w:val="18"/>
          <w:szCs w:val="18"/>
          <w:i w:val="1"/>
          <w:iCs w:val="1"/>
          <w:u w:val="single" w:color="auto"/>
          <w:color w:val="auto"/>
        </w:rPr>
        <w:t>Notice and Co-operation by the Indemnitee.</w:t>
      </w:r>
      <w:r>
        <w:rPr>
          <w:rFonts w:ascii="Arial" w:cs="Arial" w:eastAsia="Arial" w:hAnsi="Arial"/>
          <w:sz w:val="18"/>
          <w:szCs w:val="18"/>
          <w:i w:val="1"/>
          <w:iCs w:val="1"/>
          <w:color w:val="auto"/>
        </w:rPr>
        <w:t xml:space="preserve"> </w:t>
      </w:r>
      <w:r>
        <w:rPr>
          <w:rFonts w:ascii="Arial" w:cs="Arial" w:eastAsia="Arial" w:hAnsi="Arial"/>
          <w:sz w:val="18"/>
          <w:szCs w:val="18"/>
          <w:color w:val="auto"/>
        </w:rPr>
        <w:t>The Indemnitee shall, as a condition precedent to his or her right to be indemnified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this Agreement, give the Company notice in writing as soon as practicable of the commencement or the threatened commencement of any Proceeding against the Indemnitee for which indemnification will or could be sought under this Agreement, including with such notice such documentation and information as is reasonably available to the Indemnitee and is reasonably necessary to determine whether and to what extent the Indemnitee is entitled to indemnification. In addition, the Indemnitee shall co-operate with the Company regarding such Proceeding as the Company may reasonably require and as shall be within the Indemnitee’s power. Notice to the Company shall be directed to the address set-out below (or such other address as the Company shall designate in writing to the Indemnitee). The failure to promptly notify the Company of the commencement or threatened commencement of the Proceeding, or the Indemnitee’s request for indemnification, will not relieve the Company from any liability that it may have to the Indemnitee hereunder, except to the extent the Company is materially prejudiced in its defense of such Proceeding as a result of such failure.</w:t>
      </w:r>
    </w:p>
    <w:p>
      <w:pPr>
        <w:spacing w:after="0" w:line="185" w:lineRule="exact"/>
        <w:rPr>
          <w:rFonts w:ascii="Arial" w:cs="Arial" w:eastAsia="Arial" w:hAnsi="Arial"/>
          <w:sz w:val="18"/>
          <w:szCs w:val="18"/>
          <w:color w:val="010000"/>
        </w:rPr>
      </w:pPr>
    </w:p>
    <w:p>
      <w:pPr>
        <w:ind w:left="760" w:right="20" w:hanging="752"/>
        <w:spacing w:after="0" w:line="237" w:lineRule="auto"/>
        <w:tabs>
          <w:tab w:leader="none" w:pos="760" w:val="left"/>
        </w:tabs>
        <w:numPr>
          <w:ilvl w:val="0"/>
          <w:numId w:val="180"/>
        </w:numPr>
        <w:rPr>
          <w:rFonts w:ascii="Arial" w:cs="Arial" w:eastAsia="Arial" w:hAnsi="Arial"/>
          <w:sz w:val="18"/>
          <w:szCs w:val="18"/>
          <w:color w:val="010000"/>
        </w:rPr>
      </w:pPr>
      <w:r>
        <w:rPr>
          <w:rFonts w:ascii="Arial" w:cs="Arial" w:eastAsia="Arial" w:hAnsi="Arial"/>
          <w:sz w:val="18"/>
          <w:szCs w:val="18"/>
          <w:i w:val="1"/>
          <w:iCs w:val="1"/>
          <w:u w:val="single" w:color="auto"/>
          <w:color w:val="auto"/>
        </w:rPr>
        <w:t>Procedure.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provisions of Section 4 as to the advancement of Expenses, any indemnification provided for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3 shall be paid no later than 30 days after receipt of written request of the Indemnitee. If a claim under this Agreement, the Act, or any other statute, or any provision of the Company’s articles providing for indemnification is not paid in full by the Company within 45 days after a written request for payment thereof has first been received by the Company, the Indemnitee may, but need not, at any time thereafter bring an action against the Company to recover the unpaid amount of the claim and, subject to Section 14 of this Agreement, the Indemnitee shall also be entitled to be paid the Expenses of bringing such action. The Company shall have as a defense to any such action (other than an action brought to enforce a claim for Expenses incurred in connection with any action, suit or proceeding in advance of its final disposition) that the Indemnitee has not satisfied the Conditions. The burden of proving such defense shall be on the Company and the Indemnitee shall be entitled to receive advances of Expenses pursuant to section 4 hereof unless and until it shall be finally adjudicated by court order or judgment from which no further right of appeal exists that such defense is available to the Company. It is the parties’ intention that if the Company contests the Indemnitee’s right to indemnification, the question of the Indemnitee’s right to indemnification shall be for the court to decide, and neither the failure of the Company (including the Board, any committee or subgroup of the Board, independent legal counsel or the Company’s shareholders) to have made a determination that indemnification of the Indemnitee is proper in the circumstances because the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ind w:left="10200"/>
        <w:spacing w:after="0"/>
        <w:rPr>
          <w:sz w:val="20"/>
          <w:szCs w:val="20"/>
          <w:color w:val="auto"/>
        </w:rPr>
      </w:pPr>
      <w:r>
        <w:rPr>
          <w:rFonts w:ascii="Arial" w:cs="Arial" w:eastAsia="Arial" w:hAnsi="Arial"/>
          <w:sz w:val="17"/>
          <w:szCs w:val="17"/>
          <w:color w:val="auto"/>
        </w:rPr>
        <w:t>Exhibit 10.13</w:t>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Indemnitee has met the Conditions, nor an actual determination by the Company (including the Board, any committee or subgroup</w:t>
      </w:r>
    </w:p>
    <w:p>
      <w:pPr>
        <w:ind w:left="760"/>
        <w:spacing w:after="0" w:line="234" w:lineRule="auto"/>
        <w:rPr>
          <w:sz w:val="20"/>
          <w:szCs w:val="20"/>
          <w:color w:val="auto"/>
        </w:rPr>
      </w:pPr>
      <w:r>
        <w:rPr>
          <w:rFonts w:ascii="Arial" w:cs="Arial" w:eastAsia="Arial" w:hAnsi="Arial"/>
          <w:sz w:val="18"/>
          <w:szCs w:val="18"/>
          <w:color w:val="auto"/>
        </w:rPr>
        <w:t>of the Board, independent legal counsel, or the Company’s shareholders) that the Indemnitee has not met the Conditions, shall</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create a presumption that the Indemnitee has or has not met the Conditions.</w:t>
      </w:r>
    </w:p>
    <w:p>
      <w:pPr>
        <w:spacing w:after="0" w:line="194" w:lineRule="exact"/>
        <w:rPr>
          <w:sz w:val="20"/>
          <w:szCs w:val="20"/>
          <w:color w:val="auto"/>
        </w:rPr>
      </w:pPr>
    </w:p>
    <w:p>
      <w:pPr>
        <w:ind w:left="760" w:right="100" w:hanging="752"/>
        <w:spacing w:after="0" w:line="247" w:lineRule="auto"/>
        <w:tabs>
          <w:tab w:leader="none" w:pos="760" w:val="left"/>
        </w:tabs>
        <w:numPr>
          <w:ilvl w:val="0"/>
          <w:numId w:val="181"/>
        </w:numPr>
        <w:rPr>
          <w:rFonts w:ascii="Arial" w:cs="Arial" w:eastAsia="Arial" w:hAnsi="Arial"/>
          <w:sz w:val="18"/>
          <w:szCs w:val="18"/>
          <w:color w:val="010000"/>
        </w:rPr>
      </w:pPr>
      <w:r>
        <w:rPr>
          <w:rFonts w:ascii="Arial" w:cs="Arial" w:eastAsia="Arial" w:hAnsi="Arial"/>
          <w:sz w:val="18"/>
          <w:szCs w:val="18"/>
          <w:i w:val="1"/>
          <w:iCs w:val="1"/>
          <w:u w:val="single" w:color="auto"/>
          <w:color w:val="auto"/>
        </w:rPr>
        <w:t>Notice to Insurers.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shall give prompt notice of such Proceeding to the insurers of the Company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procedures set forth in the Company’s policies. The Company shall thereafter take all necessary or desirable action to cause such insurers to pay, on behalf of the Indemnitee, all amounts payable as a result of such Proceeding in accordance with the terms of such policies.</w:t>
      </w:r>
    </w:p>
    <w:p>
      <w:pPr>
        <w:spacing w:after="0" w:line="173" w:lineRule="exact"/>
        <w:rPr>
          <w:rFonts w:ascii="Arial" w:cs="Arial" w:eastAsia="Arial" w:hAnsi="Arial"/>
          <w:sz w:val="18"/>
          <w:szCs w:val="18"/>
          <w:color w:val="010000"/>
        </w:rPr>
      </w:pPr>
    </w:p>
    <w:p>
      <w:pPr>
        <w:ind w:left="760" w:right="20" w:hanging="752"/>
        <w:spacing w:after="0" w:line="239" w:lineRule="auto"/>
        <w:tabs>
          <w:tab w:leader="none" w:pos="760" w:val="left"/>
        </w:tabs>
        <w:numPr>
          <w:ilvl w:val="0"/>
          <w:numId w:val="181"/>
        </w:numPr>
        <w:rPr>
          <w:rFonts w:ascii="Arial" w:cs="Arial" w:eastAsia="Arial" w:hAnsi="Arial"/>
          <w:sz w:val="18"/>
          <w:szCs w:val="18"/>
          <w:color w:val="010000"/>
        </w:rPr>
      </w:pPr>
      <w:r>
        <w:rPr>
          <w:rFonts w:ascii="Arial" w:cs="Arial" w:eastAsia="Arial" w:hAnsi="Arial"/>
          <w:sz w:val="18"/>
          <w:szCs w:val="18"/>
          <w:i w:val="1"/>
          <w:iCs w:val="1"/>
          <w:u w:val="single" w:color="auto"/>
          <w:color w:val="auto"/>
        </w:rPr>
        <w:t>Selection of Counsel.</w:t>
      </w:r>
      <w:r>
        <w:rPr>
          <w:rFonts w:ascii="Arial" w:cs="Arial" w:eastAsia="Arial" w:hAnsi="Arial"/>
          <w:sz w:val="18"/>
          <w:szCs w:val="18"/>
          <w:i w:val="1"/>
          <w:iCs w:val="1"/>
          <w:color w:val="auto"/>
        </w:rPr>
        <w:t xml:space="preserve"> </w:t>
      </w:r>
      <w:r>
        <w:rPr>
          <w:rFonts w:ascii="Arial" w:cs="Arial" w:eastAsia="Arial" w:hAnsi="Arial"/>
          <w:sz w:val="18"/>
          <w:szCs w:val="18"/>
          <w:color w:val="auto"/>
        </w:rPr>
        <w:t>In the event the Company shall be obligated under this Section 3 to indemnify the Indemnitee,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entitled to assume the defense of such Proceeding upon the delivery to the Indemnitee of written notice of its election so to do. After delivery of such notice and the retention of counsel by the Company, the Company shall not be liable to the Indemnitee under this Agreement for any fees of counsel subsequently incurred by the Indemnitee with respect to the same Proceeding, provided that (i) the Indemnitee shall have the right to employ his or her own counsel in any such Proceeding at the Indemnitee’s expense; and (ii) if (A) the employment of counsel by the Indemnitee has been previously authorized by the Company, (B) the Indemnitee shall have been advised in a written opinion of counsel acceptable to the Company, acting reasonably, addressed to the Indemnitee and to the Company stating that there may be a conflict of interest between the Company and the Indemnitee in the conduct of any such defense, or (C) the Company shall not, in fact, have employed counsel to assume the defense of such Proceeding, then the fees and expenses (including Expenses) of the Indemnitee’s counsel shall be borne by the Company.</w:t>
      </w:r>
    </w:p>
    <w:p>
      <w:pPr>
        <w:spacing w:after="0" w:line="179" w:lineRule="exact"/>
        <w:rPr>
          <w:rFonts w:ascii="Arial" w:cs="Arial" w:eastAsia="Arial" w:hAnsi="Arial"/>
          <w:sz w:val="18"/>
          <w:szCs w:val="18"/>
          <w:color w:val="010000"/>
        </w:rPr>
      </w:pPr>
    </w:p>
    <w:p>
      <w:pPr>
        <w:ind w:left="760" w:right="140" w:hanging="752"/>
        <w:spacing w:after="0" w:line="244" w:lineRule="auto"/>
        <w:tabs>
          <w:tab w:leader="none" w:pos="760" w:val="left"/>
        </w:tabs>
        <w:numPr>
          <w:ilvl w:val="0"/>
          <w:numId w:val="181"/>
        </w:numPr>
        <w:rPr>
          <w:rFonts w:ascii="Arial" w:cs="Arial" w:eastAsia="Arial" w:hAnsi="Arial"/>
          <w:sz w:val="18"/>
          <w:szCs w:val="18"/>
          <w:color w:val="010000"/>
        </w:rPr>
      </w:pPr>
      <w:r>
        <w:rPr>
          <w:rFonts w:ascii="Arial" w:cs="Arial" w:eastAsia="Arial" w:hAnsi="Arial"/>
          <w:sz w:val="18"/>
          <w:szCs w:val="18"/>
          <w:i w:val="1"/>
          <w:iCs w:val="1"/>
          <w:u w:val="single" w:color="auto"/>
          <w:color w:val="auto"/>
        </w:rPr>
        <w:t>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Should any payment made to the Indemnitee pursuant to this Agreement be deemed by any taxation authority in any</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 to constitute a taxable benefit or otherwise be or become subject to any tax or levy, then the Company shall pay such greater amount as may be necessary to ensure that the amount received by or on behalf of the Indemnitee, after payment of or withholding for such tax, is equal to the amount of the actual cost, expense or liability incurred by or on behalf of the Indemnitee, such that this Agreement shall serve to indemnify the Indemnitee against all liability for any and all such taxes.</w:t>
      </w:r>
    </w:p>
    <w:p>
      <w:pPr>
        <w:spacing w:after="0" w:line="176" w:lineRule="exact"/>
        <w:rPr>
          <w:rFonts w:ascii="Arial" w:cs="Arial" w:eastAsia="Arial" w:hAnsi="Arial"/>
          <w:sz w:val="18"/>
          <w:szCs w:val="18"/>
          <w:color w:val="010000"/>
        </w:rPr>
      </w:pPr>
    </w:p>
    <w:p>
      <w:pPr>
        <w:ind w:left="760" w:right="40" w:hanging="752"/>
        <w:spacing w:after="0" w:line="253" w:lineRule="auto"/>
        <w:tabs>
          <w:tab w:leader="none" w:pos="760" w:val="left"/>
        </w:tabs>
        <w:numPr>
          <w:ilvl w:val="0"/>
          <w:numId w:val="181"/>
        </w:numPr>
        <w:rPr>
          <w:rFonts w:ascii="Arial" w:cs="Arial" w:eastAsia="Arial" w:hAnsi="Arial"/>
          <w:sz w:val="18"/>
          <w:szCs w:val="18"/>
          <w:color w:val="010000"/>
        </w:rPr>
      </w:pPr>
      <w:r>
        <w:rPr>
          <w:rFonts w:ascii="Arial" w:cs="Arial" w:eastAsia="Arial" w:hAnsi="Arial"/>
          <w:sz w:val="18"/>
          <w:szCs w:val="18"/>
          <w:i w:val="1"/>
          <w:iCs w:val="1"/>
          <w:u w:val="single" w:color="auto"/>
          <w:color w:val="auto"/>
        </w:rPr>
        <w:t>Company to Seek Court Approval.</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extent that prior court or other approval is required in connection with any indemnification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 of the Company under this Agreement, the Company shall seek and use all reasonable efforts to obtain that approval as soon as reasonably possible in the circumstances.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10000"/>
        </w:rPr>
        <w:t>Section 4.</w:t>
      </w:r>
      <w:r>
        <w:rPr>
          <w:rFonts w:ascii="Arial" w:cs="Arial" w:eastAsia="Arial" w:hAnsi="Arial"/>
          <w:sz w:val="18"/>
          <w:szCs w:val="18"/>
          <w:b w:val="1"/>
          <w:bCs w:val="1"/>
          <w:color w:val="000000"/>
        </w:rPr>
        <w:t>Advances of Expenses</w:t>
      </w:r>
    </w:p>
    <w:p>
      <w:pPr>
        <w:spacing w:after="0" w:line="212" w:lineRule="exact"/>
        <w:rPr>
          <w:sz w:val="20"/>
          <w:szCs w:val="20"/>
          <w:color w:val="auto"/>
        </w:rPr>
      </w:pPr>
    </w:p>
    <w:p>
      <w:pPr>
        <w:ind w:right="80" w:firstLine="749"/>
        <w:spacing w:after="0"/>
        <w:rPr>
          <w:sz w:val="20"/>
          <w:szCs w:val="20"/>
          <w:color w:val="auto"/>
        </w:rPr>
      </w:pPr>
      <w:r>
        <w:rPr>
          <w:rFonts w:ascii="Arial" w:cs="Arial" w:eastAsia="Arial" w:hAnsi="Arial"/>
          <w:sz w:val="18"/>
          <w:szCs w:val="18"/>
          <w:color w:val="auto"/>
        </w:rPr>
        <w:t>The Company shall advance all Expenses incurred by the Indemnitee in connection with the investigation, defense, settlement or appeal of any Proceeding prior to the final disposition thereof upon receipt by the Company of an undertaking by or on behalf of the Indemnitee to repay the Company such advanced amounts if it shall be determined ultimately that the Indemnitee is not entitled to be indemnified by the Company hereunder and provided that the Indemnitee offers reasonable proof of the Indemnitee’s ability to repay such advanced amounts under such circumstances and if it is not then contrary to applicable law for the Company to do so. Notwithstanding the foregoing, however, such advances shall not be made if it is determined by a court of competent jurisdiction that the Indemnitee acted in bad faith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ind w:left="10200"/>
        <w:spacing w:after="0"/>
        <w:rPr>
          <w:sz w:val="20"/>
          <w:szCs w:val="20"/>
          <w:color w:val="auto"/>
        </w:rPr>
      </w:pPr>
      <w:r>
        <w:rPr>
          <w:rFonts w:ascii="Arial" w:cs="Arial" w:eastAsia="Arial" w:hAnsi="Arial"/>
          <w:sz w:val="17"/>
          <w:szCs w:val="17"/>
          <w:color w:val="auto"/>
        </w:rPr>
        <w:t>Exhibit 10.13</w:t>
      </w:r>
    </w:p>
    <w:p>
      <w:pPr>
        <w:spacing w:after="0" w:line="24" w:lineRule="exact"/>
        <w:rPr>
          <w:sz w:val="20"/>
          <w:szCs w:val="20"/>
          <w:color w:val="auto"/>
        </w:rPr>
      </w:pPr>
    </w:p>
    <w:p>
      <w:pPr>
        <w:jc w:val="both"/>
        <w:ind w:right="180"/>
        <w:spacing w:after="0" w:line="242" w:lineRule="auto"/>
        <w:rPr>
          <w:sz w:val="20"/>
          <w:szCs w:val="20"/>
          <w:color w:val="auto"/>
        </w:rPr>
      </w:pPr>
      <w:r>
        <w:rPr>
          <w:rFonts w:ascii="Arial" w:cs="Arial" w:eastAsia="Arial" w:hAnsi="Arial"/>
          <w:sz w:val="18"/>
          <w:szCs w:val="18"/>
          <w:color w:val="auto"/>
        </w:rPr>
        <w:t>or deliberately breached his or her duty to the Company and its shareholders and, as a result, it is more likely than not that the Indemnitee will not be entitled to indemnification under the terms of this Agreement. The advances of Expenses to be made hereunder shall be paid by the Company to the Indemnitee within 30 days following delivery of a written request therefor by the Indemnitee to the Company.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10000"/>
        </w:rPr>
        <w:t>Section 5.</w:t>
      </w:r>
      <w:r>
        <w:rPr>
          <w:rFonts w:ascii="Arial" w:cs="Arial" w:eastAsia="Arial" w:hAnsi="Arial"/>
          <w:sz w:val="18"/>
          <w:szCs w:val="18"/>
          <w:b w:val="1"/>
          <w:bCs w:val="1"/>
          <w:color w:val="000000"/>
        </w:rPr>
        <w:t>Additional Indemnification Rights; Non-Exclusivity</w:t>
      </w:r>
    </w:p>
    <w:p>
      <w:pPr>
        <w:spacing w:after="0" w:line="212" w:lineRule="exact"/>
        <w:rPr>
          <w:sz w:val="20"/>
          <w:szCs w:val="20"/>
          <w:color w:val="auto"/>
        </w:rPr>
      </w:pPr>
    </w:p>
    <w:p>
      <w:pPr>
        <w:ind w:left="760" w:right="120" w:hanging="752"/>
        <w:spacing w:after="0"/>
        <w:tabs>
          <w:tab w:leader="none" w:pos="760" w:val="left"/>
        </w:tabs>
        <w:numPr>
          <w:ilvl w:val="0"/>
          <w:numId w:val="182"/>
        </w:numPr>
        <w:rPr>
          <w:rFonts w:ascii="Arial" w:cs="Arial" w:eastAsia="Arial" w:hAnsi="Arial"/>
          <w:sz w:val="18"/>
          <w:szCs w:val="18"/>
          <w:color w:val="010000"/>
        </w:rPr>
      </w:pPr>
      <w:r>
        <w:rPr>
          <w:rFonts w:ascii="Arial" w:cs="Arial" w:eastAsia="Arial" w:hAnsi="Arial"/>
          <w:sz w:val="18"/>
          <w:szCs w:val="18"/>
          <w:i w:val="1"/>
          <w:iCs w:val="1"/>
          <w:u w:val="single" w:color="auto"/>
          <w:color w:val="auto"/>
        </w:rPr>
        <w:t>Scope.</w:t>
      </w:r>
      <w:r>
        <w:rPr>
          <w:rFonts w:ascii="Arial" w:cs="Arial" w:eastAsia="Arial" w:hAnsi="Arial"/>
          <w:sz w:val="18"/>
          <w:szCs w:val="18"/>
          <w:i w:val="1"/>
          <w:iCs w:val="1"/>
          <w:color w:val="auto"/>
        </w:rPr>
        <w:t xml:space="preserve"> </w:t>
      </w:r>
      <w:r>
        <w:rPr>
          <w:rFonts w:ascii="Arial" w:cs="Arial" w:eastAsia="Arial" w:hAnsi="Arial"/>
          <w:sz w:val="18"/>
          <w:szCs w:val="18"/>
          <w:color w:val="auto"/>
        </w:rPr>
        <w:t>Notwithstanding any other provision of this Agreement, the Company hereby agrees to indemnify the Indemnitee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fullest extent permitted by law, notwithstanding that such indemnification is not specifically authorized by other provisions of this Agreement, the Act, the Company’s articles, or by other statute. In the event of any change after the date of this Agreement in any applicable law, statute or rule which expands the right of a British Columbia company to indemnify an Agent, such changes shall, without any formality, be within the purview of the Indemnitee’s rights and the Company’s obligations under this Agreement. In the event of any change in applicable law, statute or rule which narrows the right of a British Columbia company to indemnify an Agent such changes, to the extent not otherwise required by such law, statute or rule to be applied to this Agreement shall have no effect on this Agreement or the parties’ rights and obligations hereunder.</w:t>
      </w:r>
    </w:p>
    <w:p>
      <w:pPr>
        <w:spacing w:after="0" w:line="180" w:lineRule="exact"/>
        <w:rPr>
          <w:rFonts w:ascii="Arial" w:cs="Arial" w:eastAsia="Arial" w:hAnsi="Arial"/>
          <w:sz w:val="18"/>
          <w:szCs w:val="18"/>
          <w:color w:val="010000"/>
        </w:rPr>
      </w:pPr>
    </w:p>
    <w:p>
      <w:pPr>
        <w:ind w:left="760" w:right="400" w:hanging="752"/>
        <w:spacing w:after="0" w:line="253" w:lineRule="auto"/>
        <w:tabs>
          <w:tab w:leader="none" w:pos="760" w:val="left"/>
        </w:tabs>
        <w:numPr>
          <w:ilvl w:val="0"/>
          <w:numId w:val="182"/>
        </w:numPr>
        <w:rPr>
          <w:rFonts w:ascii="Arial" w:cs="Arial" w:eastAsia="Arial" w:hAnsi="Arial"/>
          <w:sz w:val="18"/>
          <w:szCs w:val="18"/>
          <w:color w:val="010000"/>
        </w:rPr>
      </w:pPr>
      <w:r>
        <w:rPr>
          <w:rFonts w:ascii="Arial" w:cs="Arial" w:eastAsia="Arial" w:hAnsi="Arial"/>
          <w:sz w:val="18"/>
          <w:szCs w:val="18"/>
          <w:i w:val="1"/>
          <w:iCs w:val="1"/>
          <w:u w:val="single" w:color="auto"/>
          <w:color w:val="auto"/>
        </w:rPr>
        <w:t>Non-Exclusivity.</w:t>
      </w:r>
      <w:r>
        <w:rPr>
          <w:rFonts w:ascii="Arial" w:cs="Arial" w:eastAsia="Arial" w:hAnsi="Arial"/>
          <w:sz w:val="18"/>
          <w:szCs w:val="18"/>
          <w:i w:val="1"/>
          <w:iCs w:val="1"/>
          <w:color w:val="auto"/>
        </w:rPr>
        <w:t xml:space="preserve"> </w:t>
      </w:r>
      <w:r>
        <w:rPr>
          <w:rFonts w:ascii="Arial" w:cs="Arial" w:eastAsia="Arial" w:hAnsi="Arial"/>
          <w:sz w:val="18"/>
          <w:szCs w:val="18"/>
          <w:color w:val="auto"/>
        </w:rPr>
        <w:t>The indemnification provided by this Agreement shall not be deemed exclusive of any rights to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Indemnitee may be entitled under the Company’s articles, or any other agreement by which the Company is bound, any vote of shareholders or disinterested Indemnitees, the Act or otherwise.</w:t>
      </w:r>
    </w:p>
    <w:p>
      <w:pPr>
        <w:spacing w:after="0" w:line="168" w:lineRule="exact"/>
        <w:rPr>
          <w:rFonts w:ascii="Arial" w:cs="Arial" w:eastAsia="Arial" w:hAnsi="Arial"/>
          <w:sz w:val="18"/>
          <w:szCs w:val="18"/>
          <w:color w:val="010000"/>
        </w:rPr>
      </w:pPr>
    </w:p>
    <w:p>
      <w:pPr>
        <w:ind w:left="760" w:hanging="752"/>
        <w:spacing w:after="0" w:line="244" w:lineRule="auto"/>
        <w:tabs>
          <w:tab w:leader="none" w:pos="760" w:val="left"/>
        </w:tabs>
        <w:numPr>
          <w:ilvl w:val="0"/>
          <w:numId w:val="182"/>
        </w:numPr>
        <w:rPr>
          <w:rFonts w:ascii="Arial" w:cs="Arial" w:eastAsia="Arial" w:hAnsi="Arial"/>
          <w:sz w:val="18"/>
          <w:szCs w:val="18"/>
          <w:color w:val="010000"/>
        </w:rPr>
      </w:pPr>
      <w:r>
        <w:rPr>
          <w:rFonts w:ascii="Arial" w:cs="Arial" w:eastAsia="Arial" w:hAnsi="Arial"/>
          <w:sz w:val="18"/>
          <w:szCs w:val="18"/>
          <w:i w:val="1"/>
          <w:iCs w:val="1"/>
          <w:u w:val="single" w:color="auto"/>
          <w:color w:val="auto"/>
        </w:rPr>
        <w:t>Partial Indemnification.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If the Indemnitee is entitled under any provision of this Agreement to indemnification by the Company for</w:t>
      </w:r>
      <w:r>
        <w:rPr>
          <w:rFonts w:ascii="Arial" w:cs="Arial" w:eastAsia="Arial" w:hAnsi="Arial"/>
          <w:sz w:val="18"/>
          <w:szCs w:val="18"/>
          <w:i w:val="1"/>
          <w:iCs w:val="1"/>
          <w:color w:val="auto"/>
        </w:rPr>
        <w:t xml:space="preserve"> </w:t>
      </w:r>
      <w:r>
        <w:rPr>
          <w:rFonts w:ascii="Arial" w:cs="Arial" w:eastAsia="Arial" w:hAnsi="Arial"/>
          <w:sz w:val="18"/>
          <w:szCs w:val="18"/>
          <w:color w:val="auto"/>
        </w:rPr>
        <w:t>some or a portion of the Expenses, judgments, fines, penalties, settlements or other amounts actually or reasonably incurred by the Indemnitee in the investigation, defense, appeal or settlement of, or otherwise in connection with, any Proceeding, but not, however, for the total amount thereof, the Company shall nevertheless indemnify the Indemnitee for that portion for which the Indemnitee is entitled to indemnification.</w:t>
      </w:r>
    </w:p>
    <w:p>
      <w:pPr>
        <w:spacing w:after="0" w:line="176" w:lineRule="exact"/>
        <w:rPr>
          <w:rFonts w:ascii="Arial" w:cs="Arial" w:eastAsia="Arial" w:hAnsi="Arial"/>
          <w:sz w:val="18"/>
          <w:szCs w:val="18"/>
          <w:color w:val="010000"/>
        </w:rPr>
      </w:pPr>
    </w:p>
    <w:p>
      <w:pPr>
        <w:ind w:left="760" w:right="80" w:hanging="752"/>
        <w:spacing w:after="0"/>
        <w:tabs>
          <w:tab w:leader="none" w:pos="760" w:val="left"/>
        </w:tabs>
        <w:numPr>
          <w:ilvl w:val="0"/>
          <w:numId w:val="182"/>
        </w:numPr>
        <w:rPr>
          <w:rFonts w:ascii="Arial" w:cs="Arial" w:eastAsia="Arial" w:hAnsi="Arial"/>
          <w:sz w:val="18"/>
          <w:szCs w:val="18"/>
          <w:color w:val="010000"/>
        </w:rPr>
      </w:pPr>
      <w:r>
        <w:rPr>
          <w:rFonts w:ascii="Arial" w:cs="Arial" w:eastAsia="Arial" w:hAnsi="Arial"/>
          <w:sz w:val="18"/>
          <w:szCs w:val="18"/>
          <w:i w:val="1"/>
          <w:iCs w:val="1"/>
          <w:u w:val="single" w:color="auto"/>
          <w:color w:val="auto"/>
        </w:rPr>
        <w:t>Contribution.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To the fullest extent permissible under applicable law, if the indemnification provided for in this Agreement is</w:t>
      </w:r>
      <w:r>
        <w:rPr>
          <w:rFonts w:ascii="Arial" w:cs="Arial" w:eastAsia="Arial" w:hAnsi="Arial"/>
          <w:sz w:val="18"/>
          <w:szCs w:val="18"/>
          <w:i w:val="1"/>
          <w:iCs w:val="1"/>
          <w:color w:val="auto"/>
        </w:rPr>
        <w:t xml:space="preserve"> </w:t>
      </w:r>
      <w:r>
        <w:rPr>
          <w:rFonts w:ascii="Arial" w:cs="Arial" w:eastAsia="Arial" w:hAnsi="Arial"/>
          <w:sz w:val="18"/>
          <w:szCs w:val="18"/>
          <w:color w:val="auto"/>
        </w:rPr>
        <w:t>unavailable to the Indemnitee for any reason whatsoever, the Company, in lieu of indemnifying the Indemnitee, shall contribute to the amount actually or reasonably incurred by the Indemnitee in the investigation, defense, appeal or settlement of, or otherwise in connection with, any Proceeding, other than any Proceeding by or in the right of the Company, in such proportion as is deemed fair and reasonable in light of all of the circumstances of such Proceeding in order to reflect (i) the relative benefits received by the Company and the Indemnitee as a result of the event(s) and/or transaction(s) giving cause to such Proceeding and/or (ii) the relative fault of the Company (and its directors, officers, employees and agents) and the Indemnitee in connection with such event(s) and/or transaction(s).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color w:val="auto"/>
        </w:rPr>
        <w:t>Exhibit 10.13</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010000"/>
        </w:rPr>
        <w:t>Section 6.</w:t>
      </w:r>
      <w:r>
        <w:rPr>
          <w:rFonts w:ascii="Arial" w:cs="Arial" w:eastAsia="Arial" w:hAnsi="Arial"/>
          <w:sz w:val="18"/>
          <w:szCs w:val="18"/>
          <w:b w:val="1"/>
          <w:bCs w:val="1"/>
          <w:color w:val="000000"/>
        </w:rPr>
        <w:t>Mutual Acknowledgement</w:t>
      </w:r>
    </w:p>
    <w:p>
      <w:pPr>
        <w:spacing w:after="0" w:line="194" w:lineRule="exact"/>
        <w:rPr>
          <w:sz w:val="20"/>
          <w:szCs w:val="20"/>
          <w:color w:val="auto"/>
        </w:rPr>
      </w:pPr>
    </w:p>
    <w:p>
      <w:pPr>
        <w:ind w:firstLine="749"/>
        <w:spacing w:after="0" w:line="247" w:lineRule="auto"/>
        <w:rPr>
          <w:sz w:val="20"/>
          <w:szCs w:val="20"/>
          <w:color w:val="auto"/>
        </w:rPr>
      </w:pPr>
      <w:r>
        <w:rPr>
          <w:rFonts w:ascii="Arial" w:cs="Arial" w:eastAsia="Arial" w:hAnsi="Arial"/>
          <w:sz w:val="18"/>
          <w:szCs w:val="18"/>
          <w:color w:val="auto"/>
        </w:rPr>
        <w:t>Both the Company and the Indemnitee acknowledge that in certain instances the Act, applicable law or public policy may prohibit the Company from indemnifying the Indemnitee under this Agreement or otherwise. The Indemnitee understands and acknowledges that the Company has undertaken or may be required in the future to undertake with the regulatory authorities to submit the question of indemnification to a court in certain circumstances for a determination of the Company’s right under public policy to indemnify the Indemnitee.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10000"/>
        </w:rPr>
        <w:t>Section 7.</w:t>
      </w:r>
      <w:r>
        <w:rPr>
          <w:rFonts w:ascii="Arial" w:cs="Arial" w:eastAsia="Arial" w:hAnsi="Arial"/>
          <w:sz w:val="18"/>
          <w:szCs w:val="18"/>
          <w:b w:val="1"/>
          <w:bCs w:val="1"/>
          <w:color w:val="000000"/>
        </w:rPr>
        <w:t>Settlement</w:t>
      </w:r>
    </w:p>
    <w:p>
      <w:pPr>
        <w:spacing w:after="0" w:line="212" w:lineRule="exact"/>
        <w:rPr>
          <w:sz w:val="20"/>
          <w:szCs w:val="20"/>
          <w:color w:val="auto"/>
        </w:rPr>
      </w:pPr>
    </w:p>
    <w:p>
      <w:pPr>
        <w:ind w:left="760" w:right="500" w:hanging="752"/>
        <w:spacing w:after="0" w:line="271" w:lineRule="auto"/>
        <w:tabs>
          <w:tab w:leader="none" w:pos="760" w:val="left"/>
        </w:tabs>
        <w:numPr>
          <w:ilvl w:val="0"/>
          <w:numId w:val="183"/>
        </w:numPr>
        <w:rPr>
          <w:rFonts w:ascii="Arial" w:cs="Arial" w:eastAsia="Arial" w:hAnsi="Arial"/>
          <w:sz w:val="18"/>
          <w:szCs w:val="18"/>
          <w:color w:val="010000"/>
        </w:rPr>
      </w:pPr>
      <w:r>
        <w:rPr>
          <w:rFonts w:ascii="Arial" w:cs="Arial" w:eastAsia="Arial" w:hAnsi="Arial"/>
          <w:sz w:val="18"/>
          <w:szCs w:val="18"/>
          <w:i w:val="1"/>
          <w:iCs w:val="1"/>
          <w:u w:val="single" w:color="auto"/>
          <w:color w:val="auto"/>
        </w:rPr>
        <w:t>Determination of Settlement Terms.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shall be entitled to settle any Proceeding against the Indemnitee for which</w:t>
      </w:r>
      <w:r>
        <w:rPr>
          <w:rFonts w:ascii="Arial" w:cs="Arial" w:eastAsia="Arial" w:hAnsi="Arial"/>
          <w:sz w:val="18"/>
          <w:szCs w:val="18"/>
          <w:i w:val="1"/>
          <w:iCs w:val="1"/>
          <w:color w:val="auto"/>
        </w:rPr>
        <w:t xml:space="preserve"> </w:t>
      </w:r>
      <w:r>
        <w:rPr>
          <w:rFonts w:ascii="Arial" w:cs="Arial" w:eastAsia="Arial" w:hAnsi="Arial"/>
          <w:sz w:val="18"/>
          <w:szCs w:val="18"/>
          <w:color w:val="auto"/>
        </w:rPr>
        <w:t>indemnity is sought by the Indemnitee hereunder on terms and conditions determined by the Company, provided that:</w:t>
      </w:r>
    </w:p>
    <w:p>
      <w:pPr>
        <w:spacing w:after="0" w:line="153" w:lineRule="exact"/>
        <w:rPr>
          <w:rFonts w:ascii="Arial" w:cs="Arial" w:eastAsia="Arial" w:hAnsi="Arial"/>
          <w:sz w:val="18"/>
          <w:szCs w:val="18"/>
          <w:color w:val="010000"/>
        </w:rPr>
      </w:pPr>
    </w:p>
    <w:p>
      <w:pPr>
        <w:ind w:left="1500" w:hanging="743"/>
        <w:spacing w:after="0"/>
        <w:tabs>
          <w:tab w:leader="none" w:pos="1500" w:val="left"/>
        </w:tabs>
        <w:numPr>
          <w:ilvl w:val="1"/>
          <w:numId w:val="183"/>
        </w:numPr>
        <w:rPr>
          <w:rFonts w:ascii="Arial" w:cs="Arial" w:eastAsia="Arial" w:hAnsi="Arial"/>
          <w:sz w:val="18"/>
          <w:szCs w:val="18"/>
          <w:color w:val="010000"/>
        </w:rPr>
      </w:pPr>
      <w:r>
        <w:rPr>
          <w:rFonts w:ascii="Arial" w:cs="Arial" w:eastAsia="Arial" w:hAnsi="Arial"/>
          <w:sz w:val="18"/>
          <w:szCs w:val="18"/>
          <w:color w:val="auto"/>
        </w:rPr>
        <w:t>the settlement does not involve any obligation or liability of the Indemnitee other than the payment of a monetary amount;</w:t>
      </w:r>
    </w:p>
    <w:p>
      <w:pPr>
        <w:spacing w:after="0" w:line="211" w:lineRule="exact"/>
        <w:rPr>
          <w:rFonts w:ascii="Arial" w:cs="Arial" w:eastAsia="Arial" w:hAnsi="Arial"/>
          <w:sz w:val="18"/>
          <w:szCs w:val="18"/>
          <w:color w:val="010000"/>
        </w:rPr>
      </w:pPr>
    </w:p>
    <w:p>
      <w:pPr>
        <w:ind w:left="1500" w:right="680" w:hanging="743"/>
        <w:spacing w:after="0" w:line="271" w:lineRule="auto"/>
        <w:tabs>
          <w:tab w:leader="none" w:pos="1500" w:val="left"/>
        </w:tabs>
        <w:numPr>
          <w:ilvl w:val="1"/>
          <w:numId w:val="183"/>
        </w:numPr>
        <w:rPr>
          <w:rFonts w:ascii="Arial" w:cs="Arial" w:eastAsia="Arial" w:hAnsi="Arial"/>
          <w:sz w:val="18"/>
          <w:szCs w:val="18"/>
          <w:color w:val="010000"/>
        </w:rPr>
      </w:pPr>
      <w:r>
        <w:rPr>
          <w:rFonts w:ascii="Arial" w:cs="Arial" w:eastAsia="Arial" w:hAnsi="Arial"/>
          <w:sz w:val="18"/>
          <w:szCs w:val="18"/>
          <w:color w:val="auto"/>
        </w:rPr>
        <w:t>the Indemnitee is indemnified in full against payment of such monetary amount together with all related Expenses, whether or not such Expenses would otherwise be payable hereunder;</w:t>
      </w:r>
    </w:p>
    <w:p>
      <w:pPr>
        <w:spacing w:after="0" w:line="153" w:lineRule="exact"/>
        <w:rPr>
          <w:rFonts w:ascii="Arial" w:cs="Arial" w:eastAsia="Arial" w:hAnsi="Arial"/>
          <w:sz w:val="18"/>
          <w:szCs w:val="18"/>
          <w:color w:val="010000"/>
        </w:rPr>
      </w:pPr>
    </w:p>
    <w:p>
      <w:pPr>
        <w:ind w:left="1500" w:right="460" w:hanging="743"/>
        <w:spacing w:after="0" w:line="271" w:lineRule="auto"/>
        <w:tabs>
          <w:tab w:leader="none" w:pos="1500" w:val="left"/>
        </w:tabs>
        <w:numPr>
          <w:ilvl w:val="1"/>
          <w:numId w:val="183"/>
        </w:numPr>
        <w:rPr>
          <w:rFonts w:ascii="Arial" w:cs="Arial" w:eastAsia="Arial" w:hAnsi="Arial"/>
          <w:sz w:val="18"/>
          <w:szCs w:val="18"/>
          <w:color w:val="010000"/>
        </w:rPr>
      </w:pPr>
      <w:r>
        <w:rPr>
          <w:rFonts w:ascii="Arial" w:cs="Arial" w:eastAsia="Arial" w:hAnsi="Arial"/>
          <w:sz w:val="18"/>
          <w:szCs w:val="18"/>
          <w:color w:val="auto"/>
        </w:rPr>
        <w:t>the settlement is expressly stated to be made by the Company on behalf of the Indemnitee, without any admission of liability by the Indemnitee; and</w:t>
      </w:r>
    </w:p>
    <w:p>
      <w:pPr>
        <w:spacing w:after="0" w:line="153" w:lineRule="exact"/>
        <w:rPr>
          <w:rFonts w:ascii="Arial" w:cs="Arial" w:eastAsia="Arial" w:hAnsi="Arial"/>
          <w:sz w:val="18"/>
          <w:szCs w:val="18"/>
          <w:color w:val="010000"/>
        </w:rPr>
      </w:pPr>
    </w:p>
    <w:p>
      <w:pPr>
        <w:ind w:left="1500" w:hanging="743"/>
        <w:spacing w:after="0"/>
        <w:tabs>
          <w:tab w:leader="none" w:pos="1500" w:val="left"/>
        </w:tabs>
        <w:numPr>
          <w:ilvl w:val="1"/>
          <w:numId w:val="183"/>
        </w:numPr>
        <w:rPr>
          <w:rFonts w:ascii="Arial" w:cs="Arial" w:eastAsia="Arial" w:hAnsi="Arial"/>
          <w:sz w:val="18"/>
          <w:szCs w:val="18"/>
          <w:color w:val="010000"/>
        </w:rPr>
      </w:pPr>
      <w:r>
        <w:rPr>
          <w:rFonts w:ascii="Arial" w:cs="Arial" w:eastAsia="Arial" w:hAnsi="Arial"/>
          <w:sz w:val="18"/>
          <w:szCs w:val="18"/>
          <w:color w:val="auto"/>
        </w:rPr>
        <w:t>the Indemnitee receives a full and complete release in respect of the Proceeding.</w:t>
      </w:r>
    </w:p>
    <w:p>
      <w:pPr>
        <w:spacing w:after="0" w:line="211" w:lineRule="exact"/>
        <w:rPr>
          <w:rFonts w:ascii="Arial" w:cs="Arial" w:eastAsia="Arial" w:hAnsi="Arial"/>
          <w:sz w:val="18"/>
          <w:szCs w:val="18"/>
          <w:color w:val="010000"/>
        </w:rPr>
      </w:pPr>
    </w:p>
    <w:p>
      <w:pPr>
        <w:ind w:left="760" w:right="340" w:hanging="752"/>
        <w:spacing w:after="0" w:line="253" w:lineRule="auto"/>
        <w:tabs>
          <w:tab w:leader="none" w:pos="760" w:val="left"/>
        </w:tabs>
        <w:numPr>
          <w:ilvl w:val="0"/>
          <w:numId w:val="183"/>
        </w:numPr>
        <w:rPr>
          <w:rFonts w:ascii="Arial" w:cs="Arial" w:eastAsia="Arial" w:hAnsi="Arial"/>
          <w:sz w:val="18"/>
          <w:szCs w:val="18"/>
          <w:color w:val="010000"/>
        </w:rPr>
      </w:pPr>
      <w:r>
        <w:rPr>
          <w:rFonts w:ascii="Arial" w:cs="Arial" w:eastAsia="Arial" w:hAnsi="Arial"/>
          <w:sz w:val="18"/>
          <w:szCs w:val="18"/>
          <w:i w:val="1"/>
          <w:iCs w:val="1"/>
          <w:u w:val="single" w:color="auto"/>
          <w:color w:val="auto"/>
        </w:rPr>
        <w:t>Indemnitee Co-operation.</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that all of the conditions referred to in Section 7(1) are met, the Indemnitee shall execute all</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and do such other things as are reasonably requested by the Company to give effect to a settlement referred to in Section 7(1).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10000"/>
        </w:rPr>
        <w:t>Section 8.</w:t>
      </w:r>
      <w:r>
        <w:rPr>
          <w:rFonts w:ascii="Arial" w:cs="Arial" w:eastAsia="Arial" w:hAnsi="Arial"/>
          <w:sz w:val="18"/>
          <w:szCs w:val="18"/>
          <w:b w:val="1"/>
          <w:bCs w:val="1"/>
          <w:color w:val="000000"/>
        </w:rPr>
        <w:t>Insurance and Subrogation</w:t>
      </w:r>
    </w:p>
    <w:p>
      <w:pPr>
        <w:spacing w:after="0" w:line="212"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In all policies of the Subject Entities’ liability insurance, the Indemnitee shall be named as an insured in such a manner as to provide the Indemnitee the same rights and benefits as are accorded to the most favorably insured of the Company’s Indemnitees. In the event of any payment by the Company under this Agreement, the Company shall be subrogated to the extent of such payment to all of the rights of recovery of the Indemnitee with respect to any insurance policy, who shall execute all papers required and take all action necessary to secure such rights, including execution of such documents as are necessary to enable the Company to bring suit to enforce such rights in accordance with the terms of such insurance policy. The Company shall pay or reimburse all expenses actually and reasonably incurred by the Indemnitee in connection with such subrogation.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color w:val="auto"/>
        </w:rPr>
        <w:t>Exhibit 10.13</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010000"/>
        </w:rPr>
        <w:t>Section 9.</w:t>
      </w:r>
      <w:r>
        <w:rPr>
          <w:rFonts w:ascii="Arial" w:cs="Arial" w:eastAsia="Arial" w:hAnsi="Arial"/>
          <w:sz w:val="18"/>
          <w:szCs w:val="18"/>
          <w:b w:val="1"/>
          <w:bCs w:val="1"/>
          <w:color w:val="000000"/>
        </w:rPr>
        <w:t>Severability</w:t>
      </w:r>
    </w:p>
    <w:p>
      <w:pPr>
        <w:spacing w:after="0" w:line="194" w:lineRule="exact"/>
        <w:rPr>
          <w:sz w:val="20"/>
          <w:szCs w:val="20"/>
          <w:color w:val="auto"/>
        </w:rPr>
      </w:pPr>
    </w:p>
    <w:p>
      <w:pPr>
        <w:ind w:right="200" w:firstLine="749"/>
        <w:spacing w:after="0" w:line="244" w:lineRule="auto"/>
        <w:rPr>
          <w:sz w:val="20"/>
          <w:szCs w:val="20"/>
          <w:color w:val="auto"/>
        </w:rPr>
      </w:pPr>
      <w:r>
        <w:rPr>
          <w:rFonts w:ascii="Arial" w:cs="Arial" w:eastAsia="Arial" w:hAnsi="Arial"/>
          <w:sz w:val="18"/>
          <w:szCs w:val="18"/>
          <w:color w:val="auto"/>
        </w:rPr>
        <w:t>If any section, paragraph, clause or other provision of this Agreement is determined by a court of competent jurisdiction to be invalid, illegal or unenforceable, in whole or in part, such determination shall not affect or impair and shall not be deemed to affect or impair the validity, legality or enforceability of any other section, paragraph, clause or other provision hereof and each such section, paragraph, clause or other provision shall be interpreted in such a manner as shall render them valid, legal and enforceable to the greatest extent permitted by applicable law.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10000"/>
        </w:rPr>
        <w:t>Section 10.</w:t>
      </w:r>
      <w:r>
        <w:rPr>
          <w:rFonts w:ascii="Arial" w:cs="Arial" w:eastAsia="Arial" w:hAnsi="Arial"/>
          <w:sz w:val="18"/>
          <w:szCs w:val="18"/>
          <w:b w:val="1"/>
          <w:bCs w:val="1"/>
          <w:color w:val="000000"/>
        </w:rPr>
        <w:t>Exceptions</w:t>
      </w:r>
    </w:p>
    <w:p>
      <w:pPr>
        <w:spacing w:after="0" w:line="212" w:lineRule="exact"/>
        <w:rPr>
          <w:sz w:val="20"/>
          <w:szCs w:val="20"/>
          <w:color w:val="auto"/>
        </w:rPr>
      </w:pPr>
    </w:p>
    <w:p>
      <w:pPr>
        <w:ind w:right="540" w:firstLine="749"/>
        <w:spacing w:after="0" w:line="271" w:lineRule="auto"/>
        <w:rPr>
          <w:sz w:val="20"/>
          <w:szCs w:val="20"/>
          <w:color w:val="auto"/>
        </w:rPr>
      </w:pPr>
      <w:r>
        <w:rPr>
          <w:rFonts w:ascii="Arial" w:cs="Arial" w:eastAsia="Arial" w:hAnsi="Arial"/>
          <w:sz w:val="18"/>
          <w:szCs w:val="18"/>
          <w:color w:val="auto"/>
        </w:rPr>
        <w:t>Notwithstanding any other provision herein to the contrary, pursuant to the terms of this Agreement the Company shall not be obligated:</w:t>
      </w:r>
    </w:p>
    <w:p>
      <w:pPr>
        <w:spacing w:after="0" w:line="154" w:lineRule="exact"/>
        <w:rPr>
          <w:sz w:val="20"/>
          <w:szCs w:val="20"/>
          <w:color w:val="auto"/>
        </w:rPr>
      </w:pPr>
    </w:p>
    <w:p>
      <w:pPr>
        <w:ind w:left="1500" w:right="60" w:hanging="743"/>
        <w:spacing w:after="0" w:line="271" w:lineRule="auto"/>
        <w:tabs>
          <w:tab w:leader="none" w:pos="1500" w:val="left"/>
        </w:tabs>
        <w:numPr>
          <w:ilvl w:val="0"/>
          <w:numId w:val="184"/>
        </w:numPr>
        <w:rPr>
          <w:rFonts w:ascii="Arial" w:cs="Arial" w:eastAsia="Arial" w:hAnsi="Arial"/>
          <w:sz w:val="18"/>
          <w:szCs w:val="18"/>
          <w:color w:val="010000"/>
        </w:rPr>
      </w:pPr>
      <w:r>
        <w:rPr>
          <w:rFonts w:ascii="Arial" w:cs="Arial" w:eastAsia="Arial" w:hAnsi="Arial"/>
          <w:sz w:val="18"/>
          <w:szCs w:val="18"/>
          <w:i w:val="1"/>
          <w:iCs w:val="1"/>
          <w:u w:val="single" w:color="auto"/>
          <w:color w:val="auto"/>
        </w:rPr>
        <w:t>Excluded Acts.</w:t>
      </w:r>
      <w:r>
        <w:rPr>
          <w:rFonts w:ascii="Arial" w:cs="Arial" w:eastAsia="Arial" w:hAnsi="Arial"/>
          <w:sz w:val="18"/>
          <w:szCs w:val="18"/>
          <w:i w:val="1"/>
          <w:iCs w:val="1"/>
          <w:color w:val="auto"/>
        </w:rPr>
        <w:t xml:space="preserve"> </w:t>
      </w:r>
      <w:r>
        <w:rPr>
          <w:rFonts w:ascii="Arial" w:cs="Arial" w:eastAsia="Arial" w:hAnsi="Arial"/>
          <w:sz w:val="18"/>
          <w:szCs w:val="18"/>
          <w:color w:val="auto"/>
        </w:rPr>
        <w:t>to indemnify the Indemnitee for any acts or omissions or transactions from which a Indemnitee may not be</w:t>
      </w:r>
      <w:r>
        <w:rPr>
          <w:rFonts w:ascii="Arial" w:cs="Arial" w:eastAsia="Arial" w:hAnsi="Arial"/>
          <w:sz w:val="18"/>
          <w:szCs w:val="18"/>
          <w:i w:val="1"/>
          <w:iCs w:val="1"/>
          <w:color w:val="auto"/>
        </w:rPr>
        <w:t xml:space="preserve"> </w:t>
      </w:r>
      <w:r>
        <w:rPr>
          <w:rFonts w:ascii="Arial" w:cs="Arial" w:eastAsia="Arial" w:hAnsi="Arial"/>
          <w:sz w:val="18"/>
          <w:szCs w:val="18"/>
          <w:color w:val="auto"/>
        </w:rPr>
        <w:t>relieved of liability as set forth in the Act; or</w:t>
      </w:r>
    </w:p>
    <w:p>
      <w:pPr>
        <w:spacing w:after="0" w:line="153" w:lineRule="exact"/>
        <w:rPr>
          <w:rFonts w:ascii="Arial" w:cs="Arial" w:eastAsia="Arial" w:hAnsi="Arial"/>
          <w:sz w:val="18"/>
          <w:szCs w:val="18"/>
          <w:color w:val="010000"/>
        </w:rPr>
      </w:pPr>
    </w:p>
    <w:p>
      <w:pPr>
        <w:ind w:left="1500" w:right="280" w:hanging="743"/>
        <w:spacing w:after="0" w:line="244" w:lineRule="auto"/>
        <w:tabs>
          <w:tab w:leader="none" w:pos="1500" w:val="left"/>
        </w:tabs>
        <w:numPr>
          <w:ilvl w:val="0"/>
          <w:numId w:val="184"/>
        </w:numPr>
        <w:rPr>
          <w:rFonts w:ascii="Arial" w:cs="Arial" w:eastAsia="Arial" w:hAnsi="Arial"/>
          <w:sz w:val="18"/>
          <w:szCs w:val="18"/>
          <w:color w:val="010000"/>
        </w:rPr>
      </w:pPr>
      <w:r>
        <w:rPr>
          <w:rFonts w:ascii="Arial" w:cs="Arial" w:eastAsia="Arial" w:hAnsi="Arial"/>
          <w:sz w:val="18"/>
          <w:szCs w:val="18"/>
          <w:i w:val="1"/>
          <w:iCs w:val="1"/>
          <w:u w:val="single" w:color="auto"/>
          <w:color w:val="auto"/>
        </w:rPr>
        <w:t>Claims Initiated by the Indemnitee.</w:t>
      </w:r>
      <w:r>
        <w:rPr>
          <w:rFonts w:ascii="Arial" w:cs="Arial" w:eastAsia="Arial" w:hAnsi="Arial"/>
          <w:sz w:val="18"/>
          <w:szCs w:val="18"/>
          <w:i w:val="1"/>
          <w:iCs w:val="1"/>
          <w:color w:val="auto"/>
        </w:rPr>
        <w:t xml:space="preserve"> </w:t>
      </w:r>
      <w:r>
        <w:rPr>
          <w:rFonts w:ascii="Arial" w:cs="Arial" w:eastAsia="Arial" w:hAnsi="Arial"/>
          <w:sz w:val="18"/>
          <w:szCs w:val="18"/>
          <w:color w:val="auto"/>
        </w:rPr>
        <w:t>to indemnify or advance Expenses to the Indemnitee with respect to proceedings or</w:t>
      </w:r>
      <w:r>
        <w:rPr>
          <w:rFonts w:ascii="Arial" w:cs="Arial" w:eastAsia="Arial" w:hAnsi="Arial"/>
          <w:sz w:val="18"/>
          <w:szCs w:val="18"/>
          <w:i w:val="1"/>
          <w:iCs w:val="1"/>
          <w:color w:val="auto"/>
        </w:rPr>
        <w:t xml:space="preserve"> </w:t>
      </w:r>
      <w:r>
        <w:rPr>
          <w:rFonts w:ascii="Arial" w:cs="Arial" w:eastAsia="Arial" w:hAnsi="Arial"/>
          <w:sz w:val="18"/>
          <w:szCs w:val="18"/>
          <w:color w:val="auto"/>
        </w:rPr>
        <w:t>claims initiated or brought voluntarily by the Indemnitee and not by way of defense, except with respect to proceedings brought to establish or enforce a right to indemnification under this Agreement, the Company’s articles, any other agreement by which the Company is bound, the Act or any other statute or law, or except if such proceedings or claims were authorized or consented to by the Board; or</w:t>
      </w:r>
    </w:p>
    <w:p>
      <w:pPr>
        <w:spacing w:after="0" w:line="176" w:lineRule="exact"/>
        <w:rPr>
          <w:rFonts w:ascii="Arial" w:cs="Arial" w:eastAsia="Arial" w:hAnsi="Arial"/>
          <w:sz w:val="18"/>
          <w:szCs w:val="18"/>
          <w:color w:val="010000"/>
        </w:rPr>
      </w:pPr>
    </w:p>
    <w:p>
      <w:pPr>
        <w:ind w:left="1500" w:right="120" w:hanging="743"/>
        <w:spacing w:after="0" w:line="253" w:lineRule="auto"/>
        <w:tabs>
          <w:tab w:leader="none" w:pos="1500" w:val="left"/>
        </w:tabs>
        <w:numPr>
          <w:ilvl w:val="0"/>
          <w:numId w:val="184"/>
        </w:numPr>
        <w:rPr>
          <w:rFonts w:ascii="Arial" w:cs="Arial" w:eastAsia="Arial" w:hAnsi="Arial"/>
          <w:sz w:val="18"/>
          <w:szCs w:val="18"/>
          <w:color w:val="010000"/>
        </w:rPr>
      </w:pPr>
      <w:r>
        <w:rPr>
          <w:rFonts w:ascii="Arial" w:cs="Arial" w:eastAsia="Arial" w:hAnsi="Arial"/>
          <w:sz w:val="18"/>
          <w:szCs w:val="18"/>
          <w:i w:val="1"/>
          <w:iCs w:val="1"/>
          <w:u w:val="single" w:color="auto"/>
          <w:color w:val="auto"/>
        </w:rPr>
        <w:t>Lack of Good Faith.</w:t>
      </w:r>
      <w:r>
        <w:rPr>
          <w:rFonts w:ascii="Arial" w:cs="Arial" w:eastAsia="Arial" w:hAnsi="Arial"/>
          <w:sz w:val="18"/>
          <w:szCs w:val="18"/>
          <w:i w:val="1"/>
          <w:iCs w:val="1"/>
          <w:color w:val="auto"/>
        </w:rPr>
        <w:t xml:space="preserve"> </w:t>
      </w:r>
      <w:r>
        <w:rPr>
          <w:rFonts w:ascii="Arial" w:cs="Arial" w:eastAsia="Arial" w:hAnsi="Arial"/>
          <w:sz w:val="18"/>
          <w:szCs w:val="18"/>
          <w:color w:val="auto"/>
        </w:rPr>
        <w:t>to indemnify the Indemnitee for any Expenses incurred by the Indemnitee with respect to any</w:t>
      </w:r>
      <w:r>
        <w:rPr>
          <w:rFonts w:ascii="Arial" w:cs="Arial" w:eastAsia="Arial" w:hAnsi="Arial"/>
          <w:sz w:val="18"/>
          <w:szCs w:val="18"/>
          <w:i w:val="1"/>
          <w:iCs w:val="1"/>
          <w:color w:val="auto"/>
        </w:rPr>
        <w:t xml:space="preserve"> </w:t>
      </w:r>
      <w:r>
        <w:rPr>
          <w:rFonts w:ascii="Arial" w:cs="Arial" w:eastAsia="Arial" w:hAnsi="Arial"/>
          <w:sz w:val="18"/>
          <w:szCs w:val="18"/>
          <w:color w:val="auto"/>
        </w:rPr>
        <w:t>Proceeding instituted to enforce or interpret this Agreement, if a court of competent jurisdiction determines that any of the material assertions made by the Indemnitee in such proceedings were not made in good faith or were frivolous; or</w:t>
      </w:r>
    </w:p>
    <w:p>
      <w:pPr>
        <w:spacing w:after="0" w:line="168" w:lineRule="exact"/>
        <w:rPr>
          <w:rFonts w:ascii="Arial" w:cs="Arial" w:eastAsia="Arial" w:hAnsi="Arial"/>
          <w:sz w:val="18"/>
          <w:szCs w:val="18"/>
          <w:color w:val="010000"/>
        </w:rPr>
      </w:pPr>
    </w:p>
    <w:p>
      <w:pPr>
        <w:ind w:left="1500" w:right="60" w:hanging="743"/>
        <w:spacing w:after="0" w:line="253" w:lineRule="auto"/>
        <w:tabs>
          <w:tab w:leader="none" w:pos="1500" w:val="left"/>
        </w:tabs>
        <w:numPr>
          <w:ilvl w:val="0"/>
          <w:numId w:val="184"/>
        </w:numPr>
        <w:rPr>
          <w:rFonts w:ascii="Arial" w:cs="Arial" w:eastAsia="Arial" w:hAnsi="Arial"/>
          <w:sz w:val="18"/>
          <w:szCs w:val="18"/>
          <w:color w:val="010000"/>
        </w:rPr>
      </w:pPr>
      <w:r>
        <w:rPr>
          <w:rFonts w:ascii="Arial" w:cs="Arial" w:eastAsia="Arial" w:hAnsi="Arial"/>
          <w:sz w:val="18"/>
          <w:szCs w:val="18"/>
          <w:i w:val="1"/>
          <w:iCs w:val="1"/>
          <w:u w:val="single" w:color="auto"/>
          <w:color w:val="auto"/>
        </w:rPr>
        <w:t>Insured Claims.</w:t>
      </w:r>
      <w:r>
        <w:rPr>
          <w:rFonts w:ascii="Arial" w:cs="Arial" w:eastAsia="Arial" w:hAnsi="Arial"/>
          <w:sz w:val="18"/>
          <w:szCs w:val="18"/>
          <w:i w:val="1"/>
          <w:iCs w:val="1"/>
          <w:color w:val="auto"/>
        </w:rPr>
        <w:t xml:space="preserve"> </w:t>
      </w:r>
      <w:r>
        <w:rPr>
          <w:rFonts w:ascii="Arial" w:cs="Arial" w:eastAsia="Arial" w:hAnsi="Arial"/>
          <w:sz w:val="18"/>
          <w:szCs w:val="18"/>
          <w:color w:val="auto"/>
        </w:rPr>
        <w:t>to indemnify the Indemnitee for expenses or liabilities of any type whatsoever which have been paid</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to the Indemnitee by an insurance carrier under a policy of Agents’ liability insurance maintained by the Company; or</w:t>
      </w:r>
    </w:p>
    <w:p>
      <w:pPr>
        <w:spacing w:after="0" w:line="168" w:lineRule="exact"/>
        <w:rPr>
          <w:rFonts w:ascii="Arial" w:cs="Arial" w:eastAsia="Arial" w:hAnsi="Arial"/>
          <w:sz w:val="18"/>
          <w:szCs w:val="18"/>
          <w:color w:val="010000"/>
        </w:rPr>
      </w:pPr>
    </w:p>
    <w:p>
      <w:pPr>
        <w:jc w:val="both"/>
        <w:ind w:left="1500" w:right="140" w:hanging="743"/>
        <w:spacing w:after="0" w:line="275" w:lineRule="auto"/>
        <w:tabs>
          <w:tab w:leader="none" w:pos="1500" w:val="left"/>
        </w:tabs>
        <w:numPr>
          <w:ilvl w:val="0"/>
          <w:numId w:val="184"/>
        </w:numPr>
        <w:rPr>
          <w:rFonts w:ascii="Arial" w:cs="Arial" w:eastAsia="Arial" w:hAnsi="Arial"/>
          <w:sz w:val="17"/>
          <w:szCs w:val="17"/>
          <w:color w:val="010000"/>
        </w:rPr>
      </w:pPr>
      <w:r>
        <w:rPr>
          <w:rFonts w:ascii="Arial" w:cs="Arial" w:eastAsia="Arial" w:hAnsi="Arial"/>
          <w:sz w:val="17"/>
          <w:szCs w:val="17"/>
          <w:i w:val="1"/>
          <w:iCs w:val="1"/>
          <w:u w:val="single" w:color="auto"/>
          <w:color w:val="auto"/>
        </w:rPr>
        <w:t>Insider Trading/Tipping Violation(s).</w:t>
      </w:r>
      <w:r>
        <w:rPr>
          <w:rFonts w:ascii="Arial" w:cs="Arial" w:eastAsia="Arial" w:hAnsi="Arial"/>
          <w:sz w:val="17"/>
          <w:szCs w:val="17"/>
          <w:i w:val="1"/>
          <w:iCs w:val="1"/>
          <w:color w:val="auto"/>
        </w:rPr>
        <w:t xml:space="preserve"> </w:t>
      </w:r>
      <w:r>
        <w:rPr>
          <w:rFonts w:ascii="Arial" w:cs="Arial" w:eastAsia="Arial" w:hAnsi="Arial"/>
          <w:sz w:val="17"/>
          <w:szCs w:val="17"/>
          <w:color w:val="auto"/>
        </w:rPr>
        <w:t>to indemnify the Indemnitee on account of any proceeding with respect to which final</w:t>
      </w:r>
      <w:r>
        <w:rPr>
          <w:rFonts w:ascii="Arial" w:cs="Arial" w:eastAsia="Arial" w:hAnsi="Arial"/>
          <w:sz w:val="17"/>
          <w:szCs w:val="17"/>
          <w:i w:val="1"/>
          <w:iCs w:val="1"/>
          <w:color w:val="auto"/>
        </w:rPr>
        <w:t xml:space="preserve"> </w:t>
      </w:r>
      <w:r>
        <w:rPr>
          <w:rFonts w:ascii="Arial" w:cs="Arial" w:eastAsia="Arial" w:hAnsi="Arial"/>
          <w:sz w:val="17"/>
          <w:szCs w:val="17"/>
          <w:color w:val="auto"/>
        </w:rPr>
        <w:t>judgment is rendered against the Indemnitee for, including, but not limited to, payment or an accounting of profits arising from the purchase or sale by the Indemnitee of securities in violation of any laws regulating insider trading or tipping; or</w:t>
      </w:r>
    </w:p>
    <w:p>
      <w:pPr>
        <w:spacing w:after="0" w:line="151" w:lineRule="exact"/>
        <w:rPr>
          <w:rFonts w:ascii="Arial" w:cs="Arial" w:eastAsia="Arial" w:hAnsi="Arial"/>
          <w:sz w:val="17"/>
          <w:szCs w:val="17"/>
          <w:color w:val="010000"/>
        </w:rPr>
      </w:pPr>
    </w:p>
    <w:p>
      <w:pPr>
        <w:ind w:left="1500" w:right="20" w:hanging="743"/>
        <w:spacing w:after="0" w:line="244" w:lineRule="auto"/>
        <w:tabs>
          <w:tab w:leader="none" w:pos="1500" w:val="left"/>
        </w:tabs>
        <w:numPr>
          <w:ilvl w:val="0"/>
          <w:numId w:val="184"/>
        </w:numPr>
        <w:rPr>
          <w:rFonts w:ascii="Arial" w:cs="Arial" w:eastAsia="Arial" w:hAnsi="Arial"/>
          <w:sz w:val="18"/>
          <w:szCs w:val="18"/>
          <w:color w:val="010000"/>
        </w:rPr>
      </w:pPr>
      <w:r>
        <w:rPr>
          <w:rFonts w:ascii="Arial" w:cs="Arial" w:eastAsia="Arial" w:hAnsi="Arial"/>
          <w:sz w:val="18"/>
          <w:szCs w:val="18"/>
          <w:i w:val="1"/>
          <w:iCs w:val="1"/>
          <w:u w:val="single" w:color="auto"/>
          <w:color w:val="auto"/>
        </w:rPr>
        <w:t>Non-compete and Non-disclosure.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to indemnify the Indemnitee in connection with proceedings or claims involving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enforcement of non-compete and/or non-disclosure agreements or the non-compete and/or non-disclosure provisions of employment, consulting or similar agreements the Indemnitee may be a party to with the Company, or any subsidiary of the Company or any other applicable foreign or domestic corporation, partnership, joint venture, trust or other enterprise, if any; or</w:t>
      </w:r>
    </w:p>
    <w:p>
      <w:pPr>
        <w:spacing w:after="0" w:line="176" w:lineRule="exact"/>
        <w:rPr>
          <w:rFonts w:ascii="Arial" w:cs="Arial" w:eastAsia="Arial" w:hAnsi="Arial"/>
          <w:sz w:val="18"/>
          <w:szCs w:val="18"/>
          <w:color w:val="010000"/>
        </w:rPr>
      </w:pPr>
    </w:p>
    <w:p>
      <w:pPr>
        <w:ind w:left="1500" w:right="280" w:hanging="743"/>
        <w:spacing w:after="0" w:line="271" w:lineRule="auto"/>
        <w:tabs>
          <w:tab w:leader="none" w:pos="1500" w:val="left"/>
        </w:tabs>
        <w:numPr>
          <w:ilvl w:val="0"/>
          <w:numId w:val="184"/>
        </w:numPr>
        <w:rPr>
          <w:rFonts w:ascii="Arial" w:cs="Arial" w:eastAsia="Arial" w:hAnsi="Arial"/>
          <w:sz w:val="18"/>
          <w:szCs w:val="18"/>
          <w:color w:val="010000"/>
        </w:rPr>
      </w:pPr>
      <w:r>
        <w:rPr>
          <w:rFonts w:ascii="Arial" w:cs="Arial" w:eastAsia="Arial" w:hAnsi="Arial"/>
          <w:sz w:val="18"/>
          <w:szCs w:val="18"/>
          <w:i w:val="1"/>
          <w:iCs w:val="1"/>
          <w:u w:val="single" w:color="auto"/>
          <w:color w:val="auto"/>
        </w:rPr>
        <w:t>Certain Settlement Provisions.</w:t>
      </w:r>
      <w:r>
        <w:rPr>
          <w:rFonts w:ascii="Arial" w:cs="Arial" w:eastAsia="Arial" w:hAnsi="Arial"/>
          <w:sz w:val="18"/>
          <w:szCs w:val="18"/>
          <w:i w:val="1"/>
          <w:iCs w:val="1"/>
          <w:color w:val="auto"/>
        </w:rPr>
        <w:t xml:space="preserve"> </w:t>
      </w:r>
      <w:r>
        <w:rPr>
          <w:rFonts w:ascii="Arial" w:cs="Arial" w:eastAsia="Arial" w:hAnsi="Arial"/>
          <w:sz w:val="18"/>
          <w:szCs w:val="18"/>
          <w:color w:val="auto"/>
        </w:rPr>
        <w:t>to indemnify the Indemnitee under this Agreement for amounts paid in settlement of any</w:t>
      </w:r>
      <w:r>
        <w:rPr>
          <w:rFonts w:ascii="Arial" w:cs="Arial" w:eastAsia="Arial" w:hAnsi="Arial"/>
          <w:sz w:val="18"/>
          <w:szCs w:val="18"/>
          <w:i w:val="1"/>
          <w:iCs w:val="1"/>
          <w:color w:val="auto"/>
        </w:rPr>
        <w:t xml:space="preserve"> </w:t>
      </w:r>
      <w:r>
        <w:rPr>
          <w:rFonts w:ascii="Arial" w:cs="Arial" w:eastAsia="Arial" w:hAnsi="Arial"/>
          <w:sz w:val="18"/>
          <w:szCs w:val="18"/>
          <w:color w:val="auto"/>
        </w:rPr>
        <w:t>Proceeding without the Company’s prior written consent, which shall not be unreasonably withheld; or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color w:val="auto"/>
        </w:rPr>
        <w:t>Exhibit 10.13</w:t>
      </w:r>
    </w:p>
    <w:p>
      <w:pPr>
        <w:spacing w:after="0" w:line="13" w:lineRule="exact"/>
        <w:rPr>
          <w:sz w:val="20"/>
          <w:szCs w:val="20"/>
          <w:color w:val="auto"/>
        </w:rPr>
      </w:pPr>
    </w:p>
    <w:p>
      <w:pPr>
        <w:ind w:left="1500" w:right="100" w:hanging="743"/>
        <w:spacing w:after="0" w:line="250" w:lineRule="auto"/>
        <w:tabs>
          <w:tab w:leader="none" w:pos="1500" w:val="left"/>
        </w:tabs>
        <w:numPr>
          <w:ilvl w:val="0"/>
          <w:numId w:val="185"/>
        </w:numPr>
        <w:rPr>
          <w:rFonts w:ascii="Arial" w:cs="Arial" w:eastAsia="Arial" w:hAnsi="Arial"/>
          <w:sz w:val="18"/>
          <w:szCs w:val="18"/>
          <w:color w:val="010000"/>
        </w:rPr>
      </w:pPr>
      <w:r>
        <w:rPr>
          <w:rFonts w:ascii="Arial" w:cs="Arial" w:eastAsia="Arial" w:hAnsi="Arial"/>
          <w:sz w:val="18"/>
          <w:szCs w:val="18"/>
          <w:i w:val="1"/>
          <w:iCs w:val="1"/>
          <w:u w:val="single" w:color="auto"/>
          <w:color w:val="auto"/>
        </w:rPr>
        <w:t>Other Indemnification.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to indemnify the Indemnitee for Expenses for which the Indemnitee is indemnified by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than pursuant to this Agreement.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010000"/>
        </w:rPr>
        <w:t>Section 11.</w:t>
      </w:r>
      <w:r>
        <w:rPr>
          <w:rFonts w:ascii="Arial" w:cs="Arial" w:eastAsia="Arial" w:hAnsi="Arial"/>
          <w:sz w:val="18"/>
          <w:szCs w:val="18"/>
          <w:b w:val="1"/>
          <w:bCs w:val="1"/>
          <w:color w:val="000000"/>
        </w:rPr>
        <w:t>Rights of Indemnitee to Apply to Court</w:t>
      </w:r>
    </w:p>
    <w:p>
      <w:pPr>
        <w:spacing w:after="0" w:line="212" w:lineRule="exact"/>
        <w:rPr>
          <w:sz w:val="20"/>
          <w:szCs w:val="20"/>
          <w:color w:val="auto"/>
        </w:rPr>
      </w:pPr>
    </w:p>
    <w:p>
      <w:pPr>
        <w:ind w:right="320" w:firstLine="749"/>
        <w:spacing w:after="0" w:line="271" w:lineRule="auto"/>
        <w:rPr>
          <w:sz w:val="20"/>
          <w:szCs w:val="20"/>
          <w:color w:val="auto"/>
        </w:rPr>
      </w:pPr>
      <w:r>
        <w:rPr>
          <w:rFonts w:ascii="Arial" w:cs="Arial" w:eastAsia="Arial" w:hAnsi="Arial"/>
          <w:sz w:val="18"/>
          <w:szCs w:val="18"/>
          <w:color w:val="auto"/>
        </w:rPr>
        <w:t>The Company and the Indemnitee hereby acknowledge that pursuant to the provisions of section 164 of the Act, this Agreement shall not prejudice or restrict the rights of the Indemnitee to make application to the court for an order:</w:t>
      </w:r>
    </w:p>
    <w:p>
      <w:pPr>
        <w:spacing w:after="0" w:line="154" w:lineRule="exact"/>
        <w:rPr>
          <w:sz w:val="20"/>
          <w:szCs w:val="20"/>
          <w:color w:val="auto"/>
        </w:rPr>
      </w:pPr>
    </w:p>
    <w:p>
      <w:pPr>
        <w:ind w:left="1500" w:hanging="743"/>
        <w:spacing w:after="0"/>
        <w:tabs>
          <w:tab w:leader="none" w:pos="1500" w:val="left"/>
        </w:tabs>
        <w:numPr>
          <w:ilvl w:val="0"/>
          <w:numId w:val="186"/>
        </w:numPr>
        <w:rPr>
          <w:rFonts w:ascii="Arial" w:cs="Arial" w:eastAsia="Arial" w:hAnsi="Arial"/>
          <w:sz w:val="18"/>
          <w:szCs w:val="18"/>
          <w:color w:val="010000"/>
        </w:rPr>
      </w:pPr>
      <w:r>
        <w:rPr>
          <w:rFonts w:ascii="Arial" w:cs="Arial" w:eastAsia="Arial" w:hAnsi="Arial"/>
          <w:sz w:val="18"/>
          <w:szCs w:val="18"/>
          <w:color w:val="auto"/>
        </w:rPr>
        <w:t>that the Company indemnify the Indemnitee against any liability incurred by the Indemnitee in respect of a Proceeding;</w:t>
      </w:r>
    </w:p>
    <w:p>
      <w:pPr>
        <w:spacing w:after="0" w:line="211" w:lineRule="exact"/>
        <w:rPr>
          <w:rFonts w:ascii="Arial" w:cs="Arial" w:eastAsia="Arial" w:hAnsi="Arial"/>
          <w:sz w:val="18"/>
          <w:szCs w:val="18"/>
          <w:color w:val="010000"/>
        </w:rPr>
      </w:pPr>
    </w:p>
    <w:p>
      <w:pPr>
        <w:ind w:left="1500" w:hanging="743"/>
        <w:spacing w:after="0"/>
        <w:tabs>
          <w:tab w:leader="none" w:pos="1500" w:val="left"/>
        </w:tabs>
        <w:numPr>
          <w:ilvl w:val="0"/>
          <w:numId w:val="186"/>
        </w:numPr>
        <w:rPr>
          <w:rFonts w:ascii="Arial" w:cs="Arial" w:eastAsia="Arial" w:hAnsi="Arial"/>
          <w:sz w:val="18"/>
          <w:szCs w:val="18"/>
          <w:color w:val="010000"/>
        </w:rPr>
      </w:pPr>
      <w:r>
        <w:rPr>
          <w:rFonts w:ascii="Arial" w:cs="Arial" w:eastAsia="Arial" w:hAnsi="Arial"/>
          <w:sz w:val="18"/>
          <w:szCs w:val="18"/>
          <w:color w:val="auto"/>
        </w:rPr>
        <w:t>that the Company pay some or all of the expenses incurred by the Indemnitee in respect of a Proceeding;</w:t>
      </w:r>
    </w:p>
    <w:p>
      <w:pPr>
        <w:spacing w:after="0" w:line="211" w:lineRule="exact"/>
        <w:rPr>
          <w:rFonts w:ascii="Arial" w:cs="Arial" w:eastAsia="Arial" w:hAnsi="Arial"/>
          <w:sz w:val="18"/>
          <w:szCs w:val="18"/>
          <w:color w:val="010000"/>
        </w:rPr>
      </w:pPr>
    </w:p>
    <w:p>
      <w:pPr>
        <w:ind w:left="1500" w:hanging="743"/>
        <w:spacing w:after="0"/>
        <w:tabs>
          <w:tab w:leader="none" w:pos="1500" w:val="left"/>
        </w:tabs>
        <w:numPr>
          <w:ilvl w:val="0"/>
          <w:numId w:val="186"/>
        </w:numPr>
        <w:rPr>
          <w:rFonts w:ascii="Arial" w:cs="Arial" w:eastAsia="Arial" w:hAnsi="Arial"/>
          <w:sz w:val="18"/>
          <w:szCs w:val="18"/>
          <w:color w:val="010000"/>
        </w:rPr>
      </w:pPr>
      <w:r>
        <w:rPr>
          <w:rFonts w:ascii="Arial" w:cs="Arial" w:eastAsia="Arial" w:hAnsi="Arial"/>
          <w:sz w:val="18"/>
          <w:szCs w:val="18"/>
          <w:color w:val="auto"/>
        </w:rPr>
        <w:t>enforcing this Agreement or a payment under this Agreement; or</w:t>
      </w:r>
    </w:p>
    <w:p>
      <w:pPr>
        <w:spacing w:after="0" w:line="211" w:lineRule="exact"/>
        <w:rPr>
          <w:rFonts w:ascii="Arial" w:cs="Arial" w:eastAsia="Arial" w:hAnsi="Arial"/>
          <w:sz w:val="18"/>
          <w:szCs w:val="18"/>
          <w:color w:val="010000"/>
        </w:rPr>
      </w:pPr>
    </w:p>
    <w:p>
      <w:pPr>
        <w:ind w:left="1500" w:right="620" w:hanging="743"/>
        <w:spacing w:after="0" w:line="271" w:lineRule="auto"/>
        <w:tabs>
          <w:tab w:leader="none" w:pos="1500" w:val="left"/>
        </w:tabs>
        <w:numPr>
          <w:ilvl w:val="0"/>
          <w:numId w:val="186"/>
        </w:numPr>
        <w:rPr>
          <w:rFonts w:ascii="Arial" w:cs="Arial" w:eastAsia="Arial" w:hAnsi="Arial"/>
          <w:sz w:val="18"/>
          <w:szCs w:val="18"/>
          <w:color w:val="010000"/>
        </w:rPr>
      </w:pPr>
      <w:r>
        <w:rPr>
          <w:rFonts w:ascii="Arial" w:cs="Arial" w:eastAsia="Arial" w:hAnsi="Arial"/>
          <w:sz w:val="18"/>
          <w:szCs w:val="18"/>
          <w:color w:val="auto"/>
        </w:rPr>
        <w:t>pursuant to Section 15, that the Company pay some or all of the Expenses actually and reasonably incurred by the Indemnitee in obtaining an order contemplated hereby and under section 164 of the Act.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010000"/>
        </w:rPr>
        <w:t>Section 12.</w:t>
      </w:r>
      <w:r>
        <w:rPr>
          <w:rFonts w:ascii="Arial" w:cs="Arial" w:eastAsia="Arial" w:hAnsi="Arial"/>
          <w:sz w:val="18"/>
          <w:szCs w:val="18"/>
          <w:b w:val="1"/>
          <w:bCs w:val="1"/>
          <w:color w:val="000000"/>
        </w:rPr>
        <w:t>Effectiveness of Agreement; Continuation of Indemnity</w:t>
      </w:r>
    </w:p>
    <w:p>
      <w:pPr>
        <w:spacing w:after="0" w:line="212" w:lineRule="exact"/>
        <w:rPr>
          <w:sz w:val="20"/>
          <w:szCs w:val="20"/>
          <w:color w:val="auto"/>
        </w:rPr>
      </w:pPr>
    </w:p>
    <w:p>
      <w:pPr>
        <w:jc w:val="both"/>
        <w:ind w:left="760" w:right="280" w:hanging="752"/>
        <w:spacing w:after="0" w:line="253" w:lineRule="auto"/>
        <w:tabs>
          <w:tab w:leader="none" w:pos="760" w:val="left"/>
        </w:tabs>
        <w:numPr>
          <w:ilvl w:val="0"/>
          <w:numId w:val="187"/>
        </w:numPr>
        <w:rPr>
          <w:rFonts w:ascii="Arial" w:cs="Arial" w:eastAsia="Arial" w:hAnsi="Arial"/>
          <w:sz w:val="18"/>
          <w:szCs w:val="18"/>
          <w:color w:val="010000"/>
        </w:rPr>
      </w:pPr>
      <w:r>
        <w:rPr>
          <w:rFonts w:ascii="Arial" w:cs="Arial" w:eastAsia="Arial" w:hAnsi="Arial"/>
          <w:sz w:val="18"/>
          <w:szCs w:val="18"/>
          <w:color w:val="auto"/>
        </w:rPr>
        <w:t>Effectiveness. Nothing in this Agreement is intended to require or shall be construed as requiring the Company to do or fail to do any act in violation of applicable law. The Company’s inability, pursuant to applicable law or court order, to perform its obligations under this Agreement shall not constitute a breach of this Agreement.</w:t>
      </w:r>
    </w:p>
    <w:p>
      <w:pPr>
        <w:spacing w:after="0" w:line="168" w:lineRule="exact"/>
        <w:rPr>
          <w:rFonts w:ascii="Arial" w:cs="Arial" w:eastAsia="Arial" w:hAnsi="Arial"/>
          <w:sz w:val="18"/>
          <w:szCs w:val="18"/>
          <w:color w:val="010000"/>
        </w:rPr>
      </w:pPr>
    </w:p>
    <w:p>
      <w:pPr>
        <w:ind w:left="760" w:right="140" w:hanging="752"/>
        <w:spacing w:after="0" w:line="253" w:lineRule="auto"/>
        <w:tabs>
          <w:tab w:leader="none" w:pos="760" w:val="left"/>
        </w:tabs>
        <w:numPr>
          <w:ilvl w:val="0"/>
          <w:numId w:val="187"/>
        </w:numPr>
        <w:rPr>
          <w:rFonts w:ascii="Arial" w:cs="Arial" w:eastAsia="Arial" w:hAnsi="Arial"/>
          <w:sz w:val="18"/>
          <w:szCs w:val="18"/>
          <w:color w:val="010000"/>
        </w:rPr>
      </w:pPr>
      <w:r>
        <w:rPr>
          <w:rFonts w:ascii="Arial" w:cs="Arial" w:eastAsia="Arial" w:hAnsi="Arial"/>
          <w:sz w:val="18"/>
          <w:szCs w:val="18"/>
          <w:color w:val="auto"/>
        </w:rPr>
        <w:t>Continuation. The indemnification and advancement of Expenses by the Company to the Indemnitee provided for under this Agreement shall survive and continue after termination of the Indemnitee as an officer, director, employee or other Agent as to any acts or omissions by the Indemnitee while serving in such capacity.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10000"/>
        </w:rPr>
        <w:t>Section 13.</w:t>
      </w:r>
      <w:r>
        <w:rPr>
          <w:rFonts w:ascii="Arial" w:cs="Arial" w:eastAsia="Arial" w:hAnsi="Arial"/>
          <w:sz w:val="18"/>
          <w:szCs w:val="18"/>
          <w:b w:val="1"/>
          <w:bCs w:val="1"/>
          <w:color w:val="000000"/>
        </w:rPr>
        <w:t>Counterparts</w:t>
      </w:r>
    </w:p>
    <w:p>
      <w:pPr>
        <w:spacing w:after="0" w:line="212" w:lineRule="exact"/>
        <w:rPr>
          <w:sz w:val="20"/>
          <w:szCs w:val="20"/>
          <w:color w:val="auto"/>
        </w:rPr>
      </w:pPr>
    </w:p>
    <w:p>
      <w:pPr>
        <w:ind w:right="220" w:firstLine="749"/>
        <w:spacing w:after="0" w:line="271" w:lineRule="auto"/>
        <w:rPr>
          <w:sz w:val="20"/>
          <w:szCs w:val="20"/>
          <w:color w:val="auto"/>
        </w:rPr>
      </w:pPr>
      <w:r>
        <w:rPr>
          <w:rFonts w:ascii="Arial" w:cs="Arial" w:eastAsia="Arial" w:hAnsi="Arial"/>
          <w:sz w:val="18"/>
          <w:szCs w:val="18"/>
          <w:color w:val="auto"/>
        </w:rPr>
        <w:t>This Agreement may be executed in one or more counterparts, each of which shall constitute an original and all of which together shall constitute one and the same instrument.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010000"/>
        </w:rPr>
        <w:t>Section 14.</w:t>
      </w:r>
      <w:r>
        <w:rPr>
          <w:rFonts w:ascii="Arial" w:cs="Arial" w:eastAsia="Arial" w:hAnsi="Arial"/>
          <w:sz w:val="18"/>
          <w:szCs w:val="18"/>
          <w:b w:val="1"/>
          <w:bCs w:val="1"/>
          <w:color w:val="000000"/>
        </w:rPr>
        <w:t>Successors and Assigns</w:t>
      </w:r>
    </w:p>
    <w:p>
      <w:pPr>
        <w:spacing w:after="0" w:line="212" w:lineRule="exact"/>
        <w:rPr>
          <w:sz w:val="20"/>
          <w:szCs w:val="20"/>
          <w:color w:val="auto"/>
        </w:rPr>
      </w:pPr>
    </w:p>
    <w:p>
      <w:pPr>
        <w:ind w:right="60" w:firstLine="749"/>
        <w:spacing w:after="0" w:line="271" w:lineRule="auto"/>
        <w:rPr>
          <w:sz w:val="20"/>
          <w:szCs w:val="20"/>
          <w:color w:val="auto"/>
        </w:rPr>
      </w:pPr>
      <w:r>
        <w:rPr>
          <w:rFonts w:ascii="Arial" w:cs="Arial" w:eastAsia="Arial" w:hAnsi="Arial"/>
          <w:sz w:val="18"/>
          <w:szCs w:val="18"/>
          <w:color w:val="auto"/>
        </w:rPr>
        <w:t>This Agreement shall be binding upon the Company and its successors and assigns and shall inure to the benefit of the Indemnitee and the Indemnitee’s estate, heirs, legal representatives and assigns.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010000"/>
        </w:rPr>
        <w:t>Section 15.</w:t>
      </w:r>
      <w:r>
        <w:rPr>
          <w:rFonts w:ascii="Arial" w:cs="Arial" w:eastAsia="Arial" w:hAnsi="Arial"/>
          <w:sz w:val="18"/>
          <w:szCs w:val="18"/>
          <w:b w:val="1"/>
          <w:bCs w:val="1"/>
          <w:color w:val="000000"/>
        </w:rPr>
        <w:t>Legal Expenses</w:t>
      </w:r>
    </w:p>
    <w:p>
      <w:pPr>
        <w:spacing w:after="0" w:line="212" w:lineRule="exact"/>
        <w:rPr>
          <w:sz w:val="20"/>
          <w:szCs w:val="20"/>
          <w:color w:val="auto"/>
        </w:rPr>
      </w:pPr>
    </w:p>
    <w:p>
      <w:pPr>
        <w:ind w:right="60" w:firstLine="749"/>
        <w:spacing w:after="0" w:line="253" w:lineRule="auto"/>
        <w:rPr>
          <w:sz w:val="20"/>
          <w:szCs w:val="20"/>
          <w:color w:val="auto"/>
        </w:rPr>
      </w:pPr>
      <w:r>
        <w:rPr>
          <w:rFonts w:ascii="Arial" w:cs="Arial" w:eastAsia="Arial" w:hAnsi="Arial"/>
          <w:sz w:val="18"/>
          <w:szCs w:val="18"/>
          <w:color w:val="auto"/>
        </w:rPr>
        <w:t>If any action is instituted by the Indemnitee under this Agreement to enforce or interpret any of the terms hereof, the Indemnitee shall be entitled to be paid all court costs and expenses, including the reasonable fees of counsel, incurred by the Indemnitee with respect to such action, unless as a part of</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ind w:left="10200"/>
        <w:spacing w:after="0"/>
        <w:rPr>
          <w:sz w:val="20"/>
          <w:szCs w:val="20"/>
          <w:color w:val="auto"/>
        </w:rPr>
      </w:pPr>
      <w:r>
        <w:rPr>
          <w:rFonts w:ascii="Arial" w:cs="Arial" w:eastAsia="Arial" w:hAnsi="Arial"/>
          <w:sz w:val="17"/>
          <w:szCs w:val="17"/>
          <w:color w:val="auto"/>
        </w:rPr>
        <w:t>Exhibit 10.13</w:t>
      </w:r>
    </w:p>
    <w:p>
      <w:pPr>
        <w:spacing w:after="0" w:line="24"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color w:val="auto"/>
        </w:rPr>
        <w:t>such action, the court of competent jurisdiction determines that any of the material assertions made by the Indemnitee as a basis for such action were not made in good faith or were frivolous.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010000"/>
        </w:rPr>
        <w:t>Section 16.</w:t>
      </w:r>
      <w:r>
        <w:rPr>
          <w:rFonts w:ascii="Arial" w:cs="Arial" w:eastAsia="Arial" w:hAnsi="Arial"/>
          <w:sz w:val="18"/>
          <w:szCs w:val="18"/>
          <w:b w:val="1"/>
          <w:bCs w:val="1"/>
          <w:color w:val="000000"/>
        </w:rPr>
        <w:t>Notices</w:t>
      </w:r>
    </w:p>
    <w:p>
      <w:pPr>
        <w:spacing w:after="0" w:line="212" w:lineRule="exact"/>
        <w:rPr>
          <w:sz w:val="20"/>
          <w:szCs w:val="20"/>
          <w:color w:val="auto"/>
        </w:rPr>
      </w:pPr>
    </w:p>
    <w:p>
      <w:pPr>
        <w:jc w:val="both"/>
        <w:ind w:right="240" w:firstLine="749"/>
        <w:spacing w:after="0" w:line="253" w:lineRule="auto"/>
        <w:rPr>
          <w:sz w:val="20"/>
          <w:szCs w:val="20"/>
          <w:color w:val="auto"/>
        </w:rPr>
      </w:pPr>
      <w:r>
        <w:rPr>
          <w:rFonts w:ascii="Arial" w:cs="Arial" w:eastAsia="Arial" w:hAnsi="Arial"/>
          <w:sz w:val="18"/>
          <w:szCs w:val="18"/>
          <w:color w:val="auto"/>
        </w:rPr>
        <w:t>All notices, requests and other communications hereunder shall be in writing, and shall be delivered by courier or other means of personal service, or sent by electronic mail, or mailed first class, postage prepaid, by registered mail, return receipt requested, in all cases, addressed to:</w:t>
      </w:r>
    </w:p>
    <w:p>
      <w:pPr>
        <w:sectPr>
          <w:pgSz w:w="11900" w:h="16838" w:orient="portrait"/>
          <w:cols w:equalWidth="0" w:num="1">
            <w:col w:w="11240"/>
          </w:cols>
          <w:pgMar w:left="320" w:top="121" w:right="339" w:bottom="1440" w:gutter="0" w:footer="0" w:header="0"/>
        </w:sectPr>
      </w:pP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Indemnitee: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To the address set out in the recitals hereto</w:t>
      </w:r>
    </w:p>
    <w:p>
      <w:pPr>
        <w:spacing w:after="0" w:line="61" w:lineRule="exact"/>
        <w:rPr>
          <w:sz w:val="20"/>
          <w:szCs w:val="20"/>
          <w:color w:val="auto"/>
        </w:rPr>
      </w:pPr>
    </w:p>
    <w:p>
      <w:pPr>
        <w:sectPr>
          <w:pgSz w:w="11900" w:h="16838" w:orient="portrait"/>
          <w:cols w:equalWidth="0" w:num="2">
            <w:col w:w="940" w:space="260"/>
            <w:col w:w="10040"/>
          </w:cols>
          <w:pgMar w:left="320" w:top="121" w:right="339" w:bottom="1440" w:gutter="0" w:footer="0" w:header="0"/>
          <w:type w:val="continuous"/>
        </w:sectPr>
      </w:pPr>
    </w:p>
    <w:p>
      <w:pPr>
        <w:ind w:left="1500"/>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_____________________</w:t>
      </w:r>
    </w:p>
    <w:p>
      <w:pPr>
        <w:spacing w:after="0" w:line="200" w:lineRule="exact"/>
        <w:rPr>
          <w:sz w:val="20"/>
          <w:szCs w:val="20"/>
          <w:color w:val="auto"/>
        </w:rPr>
      </w:pPr>
    </w:p>
    <w:p>
      <w:pPr>
        <w:sectPr>
          <w:pgSz w:w="11900" w:h="16838" w:orient="portrait"/>
          <w:cols w:equalWidth="0" w:num="2">
            <w:col w:w="2000" w:space="300"/>
            <w:col w:w="8940"/>
          </w:cols>
          <w:pgMar w:left="320" w:top="121" w:right="3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Company:</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Green Thumb Industries Inc.</w:t>
      </w:r>
    </w:p>
    <w:p>
      <w:pPr>
        <w:spacing w:after="0" w:line="61" w:lineRule="exact"/>
        <w:rPr>
          <w:sz w:val="20"/>
          <w:szCs w:val="20"/>
          <w:color w:val="auto"/>
        </w:rPr>
      </w:pPr>
    </w:p>
    <w:p>
      <w:pPr>
        <w:sectPr>
          <w:pgSz w:w="11900" w:h="16838" w:orient="portrait"/>
          <w:cols w:equalWidth="0" w:num="2">
            <w:col w:w="820" w:space="380"/>
            <w:col w:w="10040"/>
          </w:cols>
          <w:pgMar w:left="320" w:top="121" w:right="339" w:bottom="1440" w:gutter="0" w:footer="0" w:header="0"/>
          <w:type w:val="continuous"/>
        </w:sectPr>
      </w:pPr>
    </w:p>
    <w:p>
      <w:pPr>
        <w:ind w:left="1500"/>
        <w:spacing w:after="0"/>
        <w:rPr>
          <w:sz w:val="20"/>
          <w:szCs w:val="20"/>
          <w:color w:val="auto"/>
        </w:rPr>
      </w:pPr>
      <w:r>
        <w:rPr>
          <w:rFonts w:ascii="Arial" w:cs="Arial" w:eastAsia="Arial" w:hAnsi="Arial"/>
          <w:sz w:val="18"/>
          <w:szCs w:val="18"/>
          <w:color w:val="auto"/>
        </w:rPr>
        <w:t>325 West Huron Street, Suite 700</w:t>
      </w:r>
    </w:p>
    <w:p>
      <w:pPr>
        <w:spacing w:after="0" w:line="5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Chicago, Illinois 60654</w:t>
      </w:r>
    </w:p>
    <w:p>
      <w:pPr>
        <w:spacing w:after="0" w:line="21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General Counsel</w:t>
      </w:r>
    </w:p>
    <w:p>
      <w:pPr>
        <w:sectPr>
          <w:pgSz w:w="11900" w:h="16838" w:orient="portrait"/>
          <w:cols w:equalWidth="0" w:num="1">
            <w:col w:w="11240"/>
          </w:cols>
          <w:pgMar w:left="320" w:top="121" w:right="339" w:bottom="1440" w:gutter="0" w:footer="0" w:header="0"/>
          <w:type w:val="continuous"/>
        </w:sectPr>
      </w:pPr>
    </w:p>
    <w:p>
      <w:pPr>
        <w:spacing w:after="0" w:line="50"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w:t>
      </w:r>
    </w:p>
    <w:p>
      <w:pPr>
        <w:spacing w:after="0" w:line="200" w:lineRule="exact"/>
        <w:rPr>
          <w:sz w:val="20"/>
          <w:szCs w:val="20"/>
          <w:color w:val="auto"/>
        </w:rPr>
      </w:pPr>
    </w:p>
    <w:p>
      <w:pPr>
        <w:sectPr>
          <w:pgSz w:w="11900" w:h="16838" w:orient="portrait"/>
          <w:cols w:equalWidth="0" w:num="2">
            <w:col w:w="2000" w:space="700"/>
            <w:col w:w="8540"/>
          </w:cols>
          <w:pgMar w:left="320" w:top="121" w:right="339" w:bottom="1440" w:gutter="0" w:footer="0" w:header="0"/>
          <w:type w:val="continuous"/>
        </w:sectPr>
      </w:pPr>
    </w:p>
    <w:p>
      <w:pPr>
        <w:spacing w:after="0" w:line="23" w:lineRule="exact"/>
        <w:rPr>
          <w:sz w:val="20"/>
          <w:szCs w:val="20"/>
          <w:color w:val="auto"/>
        </w:rPr>
      </w:pPr>
    </w:p>
    <w:p>
      <w:pPr>
        <w:ind w:right="360" w:firstLine="749"/>
        <w:spacing w:after="0" w:line="271" w:lineRule="auto"/>
        <w:rPr>
          <w:sz w:val="20"/>
          <w:szCs w:val="20"/>
          <w:color w:val="auto"/>
        </w:rPr>
      </w:pPr>
      <w:r>
        <w:rPr>
          <w:rFonts w:ascii="Arial" w:cs="Arial" w:eastAsia="Arial" w:hAnsi="Arial"/>
          <w:sz w:val="18"/>
          <w:szCs w:val="18"/>
          <w:color w:val="auto"/>
        </w:rPr>
        <w:t>All notices, requests and other communications shall be deemed given on the date of actual receipt or delivery as evidenced by written receipt, acknowledgement or other evidence of actual receipt or delivery to the address.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010000"/>
        </w:rPr>
        <w:t>Section 17.</w:t>
      </w:r>
      <w:r>
        <w:rPr>
          <w:rFonts w:ascii="Arial" w:cs="Arial" w:eastAsia="Arial" w:hAnsi="Arial"/>
          <w:sz w:val="18"/>
          <w:szCs w:val="18"/>
          <w:b w:val="1"/>
          <w:bCs w:val="1"/>
          <w:color w:val="000000"/>
        </w:rPr>
        <w:t>Consents to Jurisdiction</w:t>
      </w:r>
    </w:p>
    <w:p>
      <w:pPr>
        <w:spacing w:after="0" w:line="212" w:lineRule="exact"/>
        <w:rPr>
          <w:sz w:val="20"/>
          <w:szCs w:val="20"/>
          <w:color w:val="auto"/>
        </w:rPr>
      </w:pPr>
    </w:p>
    <w:p>
      <w:pPr>
        <w:ind w:right="120" w:firstLine="749"/>
        <w:spacing w:after="0" w:line="242" w:lineRule="auto"/>
        <w:rPr>
          <w:sz w:val="20"/>
          <w:szCs w:val="20"/>
          <w:color w:val="auto"/>
        </w:rPr>
      </w:pPr>
      <w:r>
        <w:rPr>
          <w:rFonts w:ascii="Arial" w:cs="Arial" w:eastAsia="Arial" w:hAnsi="Arial"/>
          <w:sz w:val="18"/>
          <w:szCs w:val="18"/>
          <w:color w:val="auto"/>
        </w:rPr>
        <w:t>Any and all legal proceedings to enforce this Agreement, whether in contract, tort, equity or otherwise, shall be brought in the appropriate court in the Province of British Columbia, and the parties hereto hereby agree to attorn to the jurisdiction of the court in the Province of British Columbia and waive any claim or defense that such forum is not convenient or proper. The Company and the Indemnitee each hereby agrees that any court shall have in personam jurisdiction over it, consents to service of process in any manner prescribed in Section 16 or in any other manner authorized by British Columbia law, and agrees that a final judgment in any such action or proceeding shall be conclusive and may be enforced in other jurisdictions by suit on the judgment or in any other manner specified by law.</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10000"/>
        </w:rPr>
        <w:t>Section 18.</w:t>
      </w:r>
      <w:r>
        <w:rPr>
          <w:rFonts w:ascii="Arial" w:cs="Arial" w:eastAsia="Arial" w:hAnsi="Arial"/>
          <w:sz w:val="18"/>
          <w:szCs w:val="18"/>
          <w:b w:val="1"/>
          <w:bCs w:val="1"/>
          <w:color w:val="000000"/>
        </w:rPr>
        <w:t>Governing Law</w:t>
      </w:r>
    </w:p>
    <w:p>
      <w:pPr>
        <w:spacing w:after="0" w:line="212" w:lineRule="exact"/>
        <w:rPr>
          <w:sz w:val="20"/>
          <w:szCs w:val="20"/>
          <w:color w:val="auto"/>
        </w:rPr>
      </w:pPr>
    </w:p>
    <w:p>
      <w:pPr>
        <w:ind w:right="180" w:firstLine="749"/>
        <w:spacing w:after="0" w:line="271" w:lineRule="auto"/>
        <w:rPr>
          <w:sz w:val="20"/>
          <w:szCs w:val="20"/>
          <w:color w:val="auto"/>
        </w:rPr>
      </w:pPr>
      <w:r>
        <w:rPr>
          <w:rFonts w:ascii="Arial" w:cs="Arial" w:eastAsia="Arial" w:hAnsi="Arial"/>
          <w:sz w:val="18"/>
          <w:szCs w:val="18"/>
          <w:color w:val="auto"/>
        </w:rPr>
        <w:t>This Agreement shall be governed by and construed in accordance with the laws of the Province of British Columbia as applied to contracts between British Columbia residents entered into and performed entirely within British Columbia.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010000"/>
        </w:rPr>
        <w:t>Section 19.</w:t>
      </w:r>
      <w:r>
        <w:rPr>
          <w:rFonts w:ascii="Arial" w:cs="Arial" w:eastAsia="Arial" w:hAnsi="Arial"/>
          <w:sz w:val="18"/>
          <w:szCs w:val="18"/>
          <w:b w:val="1"/>
          <w:bCs w:val="1"/>
          <w:color w:val="000000"/>
        </w:rPr>
        <w:t>Entire Agreement</w:t>
      </w:r>
    </w:p>
    <w:p>
      <w:pPr>
        <w:spacing w:after="0" w:line="212" w:lineRule="exact"/>
        <w:rPr>
          <w:sz w:val="20"/>
          <w:szCs w:val="20"/>
          <w:color w:val="auto"/>
        </w:rPr>
      </w:pPr>
    </w:p>
    <w:p>
      <w:pPr>
        <w:ind w:right="60" w:firstLine="749"/>
        <w:spacing w:after="0" w:line="253" w:lineRule="auto"/>
        <w:rPr>
          <w:sz w:val="20"/>
          <w:szCs w:val="20"/>
          <w:color w:val="auto"/>
        </w:rPr>
      </w:pPr>
      <w:r>
        <w:rPr>
          <w:rFonts w:ascii="Arial" w:cs="Arial" w:eastAsia="Arial" w:hAnsi="Arial"/>
          <w:sz w:val="18"/>
          <w:szCs w:val="18"/>
          <w:color w:val="auto"/>
        </w:rPr>
        <w:t>This Agreement and the documents expressly referred to herein constitute the entire agreement between the parties hereto with respect to the matters covered hereby, and any other prior or contemporaneous oral or written understandings or agreements with respect to the matters covered hereby are expressly superseded by this Agreement.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0" w:name="page151"/>
    <w:bookmarkEnd w:id="150"/>
    <w:p>
      <w:pPr>
        <w:jc w:val="right"/>
        <w:spacing w:after="0"/>
        <w:rPr>
          <w:sz w:val="20"/>
          <w:szCs w:val="20"/>
          <w:color w:val="auto"/>
        </w:rPr>
      </w:pPr>
      <w:r>
        <w:rPr>
          <w:rFonts w:ascii="Arial" w:cs="Arial" w:eastAsia="Arial" w:hAnsi="Arial"/>
          <w:sz w:val="18"/>
          <w:szCs w:val="18"/>
          <w:color w:val="auto"/>
        </w:rPr>
        <w:t>Exhibit 10.13</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010000"/>
        </w:rPr>
        <w:t>Section 20.</w:t>
      </w:r>
      <w:r>
        <w:rPr>
          <w:rFonts w:ascii="Arial" w:cs="Arial" w:eastAsia="Arial" w:hAnsi="Arial"/>
          <w:sz w:val="18"/>
          <w:szCs w:val="18"/>
          <w:b w:val="1"/>
          <w:bCs w:val="1"/>
          <w:color w:val="000000"/>
        </w:rPr>
        <w:t>Modification and Waiver</w:t>
      </w:r>
    </w:p>
    <w:p>
      <w:pPr>
        <w:spacing w:after="0" w:line="194" w:lineRule="exact"/>
        <w:rPr>
          <w:sz w:val="20"/>
          <w:szCs w:val="20"/>
          <w:color w:val="auto"/>
        </w:rPr>
      </w:pPr>
    </w:p>
    <w:p>
      <w:pPr>
        <w:ind w:right="400" w:firstLine="749"/>
        <w:spacing w:after="0" w:line="253" w:lineRule="auto"/>
        <w:rPr>
          <w:sz w:val="20"/>
          <w:szCs w:val="20"/>
          <w:color w:val="auto"/>
        </w:rPr>
      </w:pPr>
      <w:r>
        <w:rPr>
          <w:rFonts w:ascii="Arial" w:cs="Arial" w:eastAsia="Arial" w:hAnsi="Arial"/>
          <w:sz w:val="18"/>
          <w:szCs w:val="18"/>
          <w:color w:val="auto"/>
        </w:rPr>
        <w:t>No supplement, modification or amendment of this Agreement shall be binding unless executed in writing by both of the parties hereto. No waiver of any of the provisions of this Agreement shall be deemed or shall constitute a waiver of any other provision hereof (whether or not similar) nor shall such waiver constitute a continuing waiver.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10000"/>
        </w:rPr>
        <w:t>Section 21.</w:t>
      </w:r>
      <w:r>
        <w:rPr>
          <w:rFonts w:ascii="Arial" w:cs="Arial" w:eastAsia="Arial" w:hAnsi="Arial"/>
          <w:sz w:val="18"/>
          <w:szCs w:val="18"/>
          <w:b w:val="1"/>
          <w:bCs w:val="1"/>
          <w:color w:val="000000"/>
        </w:rPr>
        <w:t>Enforcement</w:t>
      </w:r>
    </w:p>
    <w:p>
      <w:pPr>
        <w:spacing w:after="0" w:line="212" w:lineRule="exact"/>
        <w:rPr>
          <w:sz w:val="20"/>
          <w:szCs w:val="20"/>
          <w:color w:val="auto"/>
        </w:rPr>
      </w:pPr>
    </w:p>
    <w:p>
      <w:pPr>
        <w:ind w:right="40" w:firstLine="749"/>
        <w:spacing w:after="0"/>
        <w:rPr>
          <w:sz w:val="20"/>
          <w:szCs w:val="20"/>
          <w:color w:val="auto"/>
        </w:rPr>
      </w:pPr>
      <w:r>
        <w:rPr>
          <w:rFonts w:ascii="Arial" w:cs="Arial" w:eastAsia="Arial" w:hAnsi="Arial"/>
          <w:sz w:val="18"/>
          <w:szCs w:val="18"/>
          <w:color w:val="auto"/>
        </w:rPr>
        <w:t>The Company shall be precluded from asserting in any judicial proceeding that the procedures and presumptions of this Agreement are not valid, binding and enforceable. The Company agrees that its execution of this Agreement shall constitute a stipulation by which it shall be irrevocably bound in any court of competent jurisdiction in which a proceeding by the Indemnitee for enforcement of his or her rights hereunder shall have been commenced, continued or appealed, that its obligations set forth in this Agreement are unique and special, and that failure of the Company to comply with the provisions of this Agreement will cause irreparable and irremediable injury to the Indemnitee, for which a remedy at law will be inadequate. As a result, in addition to any other right or remedy the Indemnitee may have at law or in equity with respect to breach of this Agreement, the Indemnitee shall be entitled to injunctive or mandatory relief directing specific performance by the Company of its obligations under this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10000"/>
        </w:rPr>
        <w:t>Section 22.</w:t>
      </w:r>
      <w:r>
        <w:rPr>
          <w:rFonts w:ascii="Arial" w:cs="Arial" w:eastAsia="Arial" w:hAnsi="Arial"/>
          <w:sz w:val="18"/>
          <w:szCs w:val="18"/>
          <w:b w:val="1"/>
          <w:bCs w:val="1"/>
          <w:color w:val="000000"/>
        </w:rPr>
        <w:t>Counterparts</w:t>
      </w:r>
    </w:p>
    <w:p>
      <w:pPr>
        <w:spacing w:after="0" w:line="212" w:lineRule="exact"/>
        <w:rPr>
          <w:sz w:val="20"/>
          <w:szCs w:val="20"/>
          <w:color w:val="auto"/>
        </w:rPr>
      </w:pPr>
    </w:p>
    <w:p>
      <w:pPr>
        <w:jc w:val="both"/>
        <w:ind w:right="320" w:firstLine="749"/>
        <w:spacing w:after="0" w:line="253" w:lineRule="auto"/>
        <w:rPr>
          <w:sz w:val="20"/>
          <w:szCs w:val="20"/>
          <w:color w:val="auto"/>
        </w:rPr>
      </w:pPr>
      <w:r>
        <w:rPr>
          <w:rFonts w:ascii="Arial" w:cs="Arial" w:eastAsia="Arial" w:hAnsi="Arial"/>
          <w:sz w:val="18"/>
          <w:szCs w:val="18"/>
          <w:color w:val="auto"/>
        </w:rPr>
        <w:t>This Agreement may be executed in two or more counterparts, each of which shall be deemed to be an original and all of which together shall be deemed to be one and the same instrument, notwithstanding that both parties are not signatories to the original or same counterpart.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color w:val="auto"/>
        </w:rPr>
        <w:t>Exhibit 10.13</w:t>
      </w:r>
    </w:p>
    <w:p>
      <w:pPr>
        <w:spacing w:after="0" w:line="1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executed this Agreement as of the date first above written.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70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tcPr>
          <w:p>
            <w:pPr>
              <w:spacing w:after="0"/>
              <w:rPr>
                <w:sz w:val="20"/>
                <w:szCs w:val="20"/>
                <w:color w:val="auto"/>
              </w:rPr>
            </w:pPr>
          </w:p>
        </w:tc>
        <w:tc>
          <w:tcPr>
            <w:tcW w:w="64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5160" w:type="dxa"/>
            <w:vAlign w:val="bottom"/>
            <w:tcBorders>
              <w:bottom w:val="single" w:sz="8" w:color="auto"/>
            </w:tcBorders>
          </w:tcPr>
          <w:p>
            <w:pPr>
              <w:spacing w:after="0"/>
              <w:rPr>
                <w:sz w:val="20"/>
                <w:szCs w:val="20"/>
                <w:color w:val="auto"/>
              </w:rPr>
            </w:pPr>
          </w:p>
        </w:tc>
      </w:tr>
      <w:tr>
        <w:trPr>
          <w:trHeight w:val="191"/>
        </w:trPr>
        <w:tc>
          <w:tcPr>
            <w:tcW w:w="5440" w:type="dxa"/>
            <w:vAlign w:val="bottom"/>
            <w:gridSpan w:val="2"/>
          </w:tcPr>
          <w:p>
            <w:pPr>
              <w:ind w:left="100"/>
              <w:spacing w:after="0" w:line="191" w:lineRule="exact"/>
              <w:rPr>
                <w:sz w:val="20"/>
                <w:szCs w:val="20"/>
                <w:color w:val="auto"/>
              </w:rPr>
            </w:pPr>
            <w:r>
              <w:rPr>
                <w:rFonts w:ascii="Arial" w:cs="Arial" w:eastAsia="Arial" w:hAnsi="Arial"/>
                <w:sz w:val="18"/>
                <w:szCs w:val="18"/>
                <w:color w:val="auto"/>
              </w:rPr>
              <w:t>Witness signature</w:t>
            </w:r>
          </w:p>
        </w:tc>
        <w:tc>
          <w:tcPr>
            <w:tcW w:w="640" w:type="dxa"/>
            <w:vAlign w:val="bottom"/>
          </w:tcPr>
          <w:p>
            <w:pPr>
              <w:ind w:left="100"/>
              <w:spacing w:after="0" w:line="191" w:lineRule="exact"/>
              <w:rPr>
                <w:sz w:val="20"/>
                <w:szCs w:val="20"/>
                <w:color w:val="auto"/>
              </w:rPr>
            </w:pPr>
            <w:r>
              <w:rPr>
                <w:rFonts w:ascii="Arial" w:cs="Arial" w:eastAsia="Arial" w:hAnsi="Arial"/>
                <w:sz w:val="18"/>
                <w:szCs w:val="18"/>
                <w:b w:val="1"/>
                <w:bCs w:val="1"/>
                <w:color w:val="auto"/>
              </w:rPr>
              <w:t>)))</w:t>
            </w:r>
          </w:p>
        </w:tc>
        <w:tc>
          <w:tcPr>
            <w:tcW w:w="5160" w:type="dxa"/>
            <w:vAlign w:val="bottom"/>
          </w:tcPr>
          <w:p>
            <w:pPr>
              <w:ind w:left="100"/>
              <w:spacing w:after="0" w:line="191" w:lineRule="exact"/>
              <w:rPr>
                <w:sz w:val="20"/>
                <w:szCs w:val="20"/>
                <w:color w:val="auto"/>
              </w:rPr>
            </w:pPr>
            <w:r>
              <w:rPr>
                <w:rFonts w:ascii="Arial" w:cs="Arial" w:eastAsia="Arial" w:hAnsi="Arial"/>
                <w:sz w:val="18"/>
                <w:szCs w:val="18"/>
                <w:b w:val="1"/>
                <w:bCs w:val="1"/>
                <w:color w:val="auto"/>
              </w:rPr>
              <w:t>[NAME]</w:t>
            </w:r>
          </w:p>
        </w:tc>
      </w:tr>
      <w:tr>
        <w:trPr>
          <w:trHeight w:val="203"/>
        </w:trPr>
        <w:tc>
          <w:tcPr>
            <w:tcW w:w="170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64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w:t>
            </w:r>
          </w:p>
        </w:tc>
        <w:tc>
          <w:tcPr>
            <w:tcW w:w="5160" w:type="dxa"/>
            <w:vAlign w:val="bottom"/>
          </w:tcPr>
          <w:p>
            <w:pPr>
              <w:spacing w:after="0"/>
              <w:rPr>
                <w:sz w:val="17"/>
                <w:szCs w:val="17"/>
                <w:color w:val="auto"/>
              </w:rPr>
            </w:pPr>
          </w:p>
        </w:tc>
      </w:tr>
      <w:tr>
        <w:trPr>
          <w:trHeight w:val="229"/>
        </w:trPr>
        <w:tc>
          <w:tcPr>
            <w:tcW w:w="170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64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5160" w:type="dxa"/>
            <w:vAlign w:val="bottom"/>
          </w:tcPr>
          <w:p>
            <w:pPr>
              <w:spacing w:after="0"/>
              <w:rPr>
                <w:sz w:val="19"/>
                <w:szCs w:val="19"/>
                <w:color w:val="auto"/>
              </w:rPr>
            </w:pPr>
          </w:p>
        </w:tc>
      </w:tr>
      <w:tr>
        <w:trPr>
          <w:trHeight w:val="203"/>
        </w:trPr>
        <w:tc>
          <w:tcPr>
            <w:tcW w:w="54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Name:</w:t>
            </w:r>
          </w:p>
        </w:tc>
        <w:tc>
          <w:tcPr>
            <w:tcW w:w="64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w:t>
            </w:r>
          </w:p>
        </w:tc>
        <w:tc>
          <w:tcPr>
            <w:tcW w:w="5160" w:type="dxa"/>
            <w:vAlign w:val="bottom"/>
          </w:tcPr>
          <w:p>
            <w:pPr>
              <w:spacing w:after="0"/>
              <w:rPr>
                <w:sz w:val="17"/>
                <w:szCs w:val="17"/>
                <w:color w:val="auto"/>
              </w:rPr>
            </w:pPr>
          </w:p>
        </w:tc>
      </w:tr>
      <w:tr>
        <w:trPr>
          <w:trHeight w:val="235"/>
        </w:trPr>
        <w:tc>
          <w:tcPr>
            <w:tcW w:w="5440" w:type="dxa"/>
            <w:vAlign w:val="bottom"/>
            <w:gridSpan w:val="2"/>
          </w:tcPr>
          <w:p>
            <w:pPr>
              <w:ind w:left="100"/>
              <w:spacing w:after="0"/>
              <w:rPr>
                <w:sz w:val="20"/>
                <w:szCs w:val="20"/>
                <w:color w:val="auto"/>
              </w:rPr>
            </w:pPr>
            <w:r>
              <w:rPr>
                <w:rFonts w:ascii="Arial" w:cs="Arial" w:eastAsia="Arial" w:hAnsi="Arial"/>
                <w:sz w:val="18"/>
                <w:szCs w:val="18"/>
                <w:i w:val="1"/>
                <w:iCs w:val="1"/>
                <w:color w:val="auto"/>
              </w:rPr>
              <w:t>(please print)</w:t>
            </w:r>
          </w:p>
        </w:tc>
        <w:tc>
          <w:tcPr>
            <w:tcW w:w="64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5160" w:type="dxa"/>
            <w:vAlign w:val="bottom"/>
          </w:tcPr>
          <w:p>
            <w:pPr>
              <w:spacing w:after="0"/>
              <w:rPr>
                <w:sz w:val="20"/>
                <w:szCs w:val="20"/>
                <w:color w:val="auto"/>
              </w:rPr>
            </w:pPr>
          </w:p>
        </w:tc>
      </w:tr>
      <w:tr>
        <w:trPr>
          <w:trHeight w:val="223"/>
        </w:trPr>
        <w:tc>
          <w:tcPr>
            <w:tcW w:w="1700" w:type="dxa"/>
            <w:vAlign w:val="bottom"/>
          </w:tcPr>
          <w:p>
            <w:pPr>
              <w:ind w:left="100"/>
              <w:spacing w:after="0"/>
              <w:rPr>
                <w:sz w:val="20"/>
                <w:szCs w:val="20"/>
                <w:color w:val="auto"/>
              </w:rPr>
            </w:pPr>
            <w:r>
              <w:rPr>
                <w:rFonts w:ascii="Arial" w:cs="Arial" w:eastAsia="Arial" w:hAnsi="Arial"/>
                <w:sz w:val="18"/>
                <w:szCs w:val="18"/>
                <w:color w:val="auto"/>
              </w:rPr>
              <w:t>Address:</w:t>
            </w:r>
          </w:p>
        </w:tc>
        <w:tc>
          <w:tcPr>
            <w:tcW w:w="3740" w:type="dxa"/>
            <w:vAlign w:val="bottom"/>
            <w:tcBorders>
              <w:top w:val="single" w:sz="8" w:color="auto"/>
              <w:bottom w:val="single" w:sz="8" w:color="auto"/>
            </w:tcBorders>
          </w:tcPr>
          <w:p>
            <w:pPr>
              <w:spacing w:after="0"/>
              <w:rPr>
                <w:sz w:val="19"/>
                <w:szCs w:val="19"/>
                <w:color w:val="auto"/>
              </w:rPr>
            </w:pPr>
          </w:p>
        </w:tc>
        <w:tc>
          <w:tcPr>
            <w:tcW w:w="64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516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3740" w:type="dxa"/>
            <w:vAlign w:val="bottom"/>
            <w:tcBorders>
              <w:bottom w:val="single" w:sz="8" w:color="auto"/>
            </w:tcBorders>
          </w:tcPr>
          <w:p>
            <w:pPr>
              <w:spacing w:after="0"/>
              <w:rPr>
                <w:sz w:val="19"/>
                <w:szCs w:val="19"/>
                <w:color w:val="auto"/>
              </w:rPr>
            </w:pPr>
          </w:p>
        </w:tc>
        <w:tc>
          <w:tcPr>
            <w:tcW w:w="64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51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GREEN THUMB INDUSTRIES INC.</w:t>
      </w:r>
    </w:p>
    <w:p>
      <w:pPr>
        <w:spacing w:after="0" w:line="200" w:lineRule="exact"/>
        <w:rPr>
          <w:sz w:val="20"/>
          <w:szCs w:val="20"/>
          <w:color w:val="auto"/>
        </w:rPr>
      </w:pPr>
    </w:p>
    <w:p>
      <w:pPr>
        <w:spacing w:after="0" w:line="24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34925</wp:posOffset>
            </wp:positionV>
            <wp:extent cx="301752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8">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43" w:lineRule="exact"/>
        <w:rPr>
          <w:sz w:val="20"/>
          <w:szCs w:val="20"/>
          <w:color w:val="auto"/>
        </w:rPr>
      </w:pPr>
    </w:p>
    <w:p>
      <w:pPr>
        <w:ind w:left="6600"/>
        <w:spacing w:after="0"/>
        <w:tabs>
          <w:tab w:leader="none" w:pos="7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[_________]</w:t>
      </w:r>
    </w:p>
    <w:p>
      <w:pPr>
        <w:spacing w:after="0" w:line="32" w:lineRule="exact"/>
        <w:rPr>
          <w:sz w:val="20"/>
          <w:szCs w:val="20"/>
          <w:color w:val="auto"/>
        </w:rPr>
      </w:pPr>
    </w:p>
    <w:p>
      <w:pPr>
        <w:ind w:left="6600"/>
        <w:spacing w:after="0"/>
        <w:tabs>
          <w:tab w:leader="none" w:pos="7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jc w:val="center"/>
        <w:ind w:right="380"/>
        <w:spacing w:after="0"/>
        <w:rPr>
          <w:sz w:val="20"/>
          <w:szCs w:val="20"/>
          <w:color w:val="auto"/>
        </w:rPr>
      </w:pPr>
      <w:r>
        <w:rPr>
          <w:rFonts w:ascii="Calibri" w:cs="Calibri" w:eastAsia="Calibri" w:hAnsi="Calibri"/>
          <w:sz w:val="20"/>
          <w:szCs w:val="20"/>
          <w:color w:val="auto"/>
        </w:rPr>
        <w:t>Green Thumb Industries Inc.</w:t>
      </w:r>
    </w:p>
    <w:p>
      <w:pPr>
        <w:jc w:val="center"/>
        <w:ind w:right="380"/>
        <w:spacing w:after="0" w:line="238" w:lineRule="auto"/>
        <w:rPr>
          <w:sz w:val="20"/>
          <w:szCs w:val="20"/>
          <w:color w:val="auto"/>
        </w:rPr>
      </w:pPr>
      <w:r>
        <w:rPr>
          <w:rFonts w:ascii="Calibri" w:cs="Calibri" w:eastAsia="Calibri" w:hAnsi="Calibri"/>
          <w:sz w:val="20"/>
          <w:szCs w:val="20"/>
          <w:color w:val="auto"/>
        </w:rPr>
        <w:t>[Year] Bonus Plan</w:t>
      </w:r>
    </w:p>
    <w:p>
      <w:pPr>
        <w:spacing w:after="0" w:line="252" w:lineRule="exact"/>
        <w:rPr>
          <w:sz w:val="20"/>
          <w:szCs w:val="20"/>
          <w:color w:val="auto"/>
        </w:rPr>
      </w:pPr>
    </w:p>
    <w:p>
      <w:pPr>
        <w:jc w:val="both"/>
        <w:ind w:left="380" w:hanging="378"/>
        <w:spacing w:after="0" w:line="237" w:lineRule="auto"/>
        <w:tabs>
          <w:tab w:leader="none" w:pos="380" w:val="left"/>
        </w:tabs>
        <w:numPr>
          <w:ilvl w:val="0"/>
          <w:numId w:val="188"/>
        </w:numPr>
        <w:rPr>
          <w:rFonts w:ascii="Calibri" w:cs="Calibri" w:eastAsia="Calibri" w:hAnsi="Calibri"/>
          <w:sz w:val="20"/>
          <w:szCs w:val="20"/>
          <w:color w:val="auto"/>
        </w:rPr>
      </w:pPr>
      <w:r>
        <w:rPr>
          <w:rFonts w:ascii="Calibri" w:cs="Calibri" w:eastAsia="Calibri" w:hAnsi="Calibri"/>
          <w:sz w:val="20"/>
          <w:szCs w:val="20"/>
          <w:u w:val="single" w:color="auto"/>
          <w:color w:val="auto"/>
        </w:rPr>
        <w:t>Purpose</w:t>
      </w:r>
      <w:r>
        <w:rPr>
          <w:rFonts w:ascii="Calibri" w:cs="Calibri" w:eastAsia="Calibri" w:hAnsi="Calibri"/>
          <w:sz w:val="20"/>
          <w:szCs w:val="20"/>
          <w:color w:val="auto"/>
        </w:rPr>
        <w:t>. The objectve of the Green Thumb Industries Inc. [Year] Bonus Plan (the “Plan”) is to incentvize performance during calendar year [Year] of the executve ofcers and other employees of Green Thumb Industries Inc. and its subsidiaries (the “Company”) who have been designated by the Compensaton Commitee of the Company’s Board of Directors (the “Compensaton Commitee”) to partcipate in the Plan. The Plan is intended to provide partcipants with an opportunity to earn bonuses for [Year] based, in part, on the extent to which specifed performance goals have been achieved.</w:t>
      </w:r>
    </w:p>
    <w:p>
      <w:pPr>
        <w:spacing w:after="0" w:line="252" w:lineRule="exact"/>
        <w:rPr>
          <w:rFonts w:ascii="Calibri" w:cs="Calibri" w:eastAsia="Calibri" w:hAnsi="Calibri"/>
          <w:sz w:val="20"/>
          <w:szCs w:val="20"/>
          <w:color w:val="auto"/>
        </w:rPr>
      </w:pPr>
    </w:p>
    <w:p>
      <w:pPr>
        <w:ind w:left="380" w:hanging="378"/>
        <w:spacing w:after="0" w:line="234" w:lineRule="auto"/>
        <w:tabs>
          <w:tab w:leader="none" w:pos="380" w:val="left"/>
        </w:tabs>
        <w:numPr>
          <w:ilvl w:val="0"/>
          <w:numId w:val="188"/>
        </w:numPr>
        <w:rPr>
          <w:rFonts w:ascii="Calibri" w:cs="Calibri" w:eastAsia="Calibri" w:hAnsi="Calibri"/>
          <w:sz w:val="20"/>
          <w:szCs w:val="20"/>
          <w:color w:val="auto"/>
        </w:rPr>
      </w:pPr>
      <w:r>
        <w:rPr>
          <w:rFonts w:ascii="Calibri" w:cs="Calibri" w:eastAsia="Calibri" w:hAnsi="Calibri"/>
          <w:sz w:val="20"/>
          <w:szCs w:val="20"/>
          <w:u w:val="single" w:color="auto"/>
          <w:color w:val="auto"/>
        </w:rPr>
        <w:t>Duraton of Plan</w:t>
      </w:r>
      <w:r>
        <w:rPr>
          <w:rFonts w:ascii="Calibri" w:cs="Calibri" w:eastAsia="Calibri" w:hAnsi="Calibri"/>
          <w:sz w:val="20"/>
          <w:szCs w:val="20"/>
          <w:color w:val="auto"/>
        </w:rPr>
        <w:t>. The Plan will be in efect for calendar year [Year] and through the payout date regarding any bonus earned under the Plan.</w:t>
      </w:r>
    </w:p>
    <w:p>
      <w:pPr>
        <w:spacing w:after="0" w:line="200" w:lineRule="exact"/>
        <w:rPr>
          <w:rFonts w:ascii="Calibri" w:cs="Calibri" w:eastAsia="Calibri" w:hAnsi="Calibri"/>
          <w:sz w:val="20"/>
          <w:szCs w:val="20"/>
          <w:color w:val="auto"/>
        </w:rPr>
      </w:pPr>
    </w:p>
    <w:p>
      <w:pPr>
        <w:spacing w:after="0" w:line="201" w:lineRule="exact"/>
        <w:rPr>
          <w:rFonts w:ascii="Calibri" w:cs="Calibri" w:eastAsia="Calibri" w:hAnsi="Calibri"/>
          <w:sz w:val="20"/>
          <w:szCs w:val="20"/>
          <w:color w:val="auto"/>
        </w:rPr>
      </w:pPr>
    </w:p>
    <w:p>
      <w:pPr>
        <w:jc w:val="both"/>
        <w:ind w:left="380" w:hanging="378"/>
        <w:spacing w:after="0" w:line="237" w:lineRule="auto"/>
        <w:tabs>
          <w:tab w:leader="none" w:pos="380" w:val="left"/>
        </w:tabs>
        <w:numPr>
          <w:ilvl w:val="0"/>
          <w:numId w:val="188"/>
        </w:numPr>
        <w:rPr>
          <w:rFonts w:ascii="Calibri" w:cs="Calibri" w:eastAsia="Calibri" w:hAnsi="Calibri"/>
          <w:sz w:val="20"/>
          <w:szCs w:val="20"/>
          <w:color w:val="auto"/>
        </w:rPr>
      </w:pPr>
      <w:r>
        <w:rPr>
          <w:rFonts w:ascii="Calibri" w:cs="Calibri" w:eastAsia="Calibri" w:hAnsi="Calibri"/>
          <w:sz w:val="20"/>
          <w:szCs w:val="20"/>
          <w:u w:val="single" w:color="auto"/>
          <w:color w:val="auto"/>
        </w:rPr>
        <w:t>Eligibility to Partcipate</w:t>
      </w:r>
      <w:r>
        <w:rPr>
          <w:rFonts w:ascii="Calibri" w:cs="Calibri" w:eastAsia="Calibri" w:hAnsi="Calibri"/>
          <w:sz w:val="20"/>
          <w:szCs w:val="20"/>
          <w:color w:val="auto"/>
        </w:rPr>
        <w:t>. Each of the Company’s executve ofcers (as defned under Secton 16(b) of the Securites Exchange Act of 1934) is eligible to partcipate in the Plan, however, the executve ofcer must be designated in writng by the Compensaton Commitee. At the Company’s discreton, other employees of the Company and its subsidiaries may also be designated as partcipants. Each person so designated to partcipate under this Secton 3 is deemed a “Partcipant”. Notwithstanding the foregoing, a Partcipant must remain employed by the Company as of December 31, [Year] to earn a bonus hereunder. The Compensaton Commitee may, however, in its sole discreton, provide a partal bonus to a Partcipant that commenced employment afer the frst day of January [Year].</w:t>
      </w:r>
    </w:p>
    <w:p>
      <w:pPr>
        <w:spacing w:after="0" w:line="391" w:lineRule="exact"/>
        <w:rPr>
          <w:rFonts w:ascii="Calibri" w:cs="Calibri" w:eastAsia="Calibri" w:hAnsi="Calibri"/>
          <w:sz w:val="20"/>
          <w:szCs w:val="20"/>
          <w:color w:val="auto"/>
        </w:rPr>
      </w:pPr>
    </w:p>
    <w:p>
      <w:pPr>
        <w:jc w:val="both"/>
        <w:ind w:left="380" w:hanging="378"/>
        <w:spacing w:after="0" w:line="238" w:lineRule="auto"/>
        <w:tabs>
          <w:tab w:leader="none" w:pos="380" w:val="left"/>
        </w:tabs>
        <w:numPr>
          <w:ilvl w:val="0"/>
          <w:numId w:val="188"/>
        </w:numPr>
        <w:rPr>
          <w:rFonts w:ascii="Calibri" w:cs="Calibri" w:eastAsia="Calibri" w:hAnsi="Calibri"/>
          <w:sz w:val="20"/>
          <w:szCs w:val="20"/>
          <w:color w:val="auto"/>
        </w:rPr>
      </w:pPr>
      <w:r>
        <w:rPr>
          <w:rFonts w:ascii="Calibri" w:cs="Calibri" w:eastAsia="Calibri" w:hAnsi="Calibri"/>
          <w:sz w:val="20"/>
          <w:szCs w:val="20"/>
          <w:u w:val="single" w:color="auto"/>
          <w:color w:val="auto"/>
        </w:rPr>
        <w:t>Target Levels for Bonuses/Calculatons</w:t>
      </w:r>
      <w:r>
        <w:rPr>
          <w:rFonts w:ascii="Calibri" w:cs="Calibri" w:eastAsia="Calibri" w:hAnsi="Calibri"/>
          <w:sz w:val="20"/>
          <w:szCs w:val="20"/>
          <w:color w:val="auto"/>
        </w:rPr>
        <w:t>. The Compensaton Commitee will approve the annual Company performance goal and targets as soon as practcable in the frst quarter of [Year] based on the Company’s operatng plan. The Compensaton Commitee will also approve a range of potental bonus award amounts for threshold, target and stretch performance. Based upon the Compensaton Commitee’s periodic review of Company performance (provided by management), the Company will book an accrual based on the achievement of performance against the target levels. The Commitee’s approved achievement levels will be set forth in Appendix A hereto. The Compensaton Commitee may adjust up or down the performance target and ranges for potental bonus awards under the Plan or, alternatvely, may adjust the calculaton of the actual results, in each case to refect items outside of the Partcipants’ control as the Compensaton Commitee deems necessary or appropriate to adequately reward and incentvize Partcipants. Such items may include certain extraordinary or special items including, but not limited to: change in accountng policy; gain/loss on dispositon of assets or business; charge for goodwill impairment; extraordinary corporate events such as mergers or acquisitons; extraordinary legal/regulatory setlements; extraordinary market conditons; efects of natural or man-made disasters (e.g. 9/11); hyperinfaton (e.g.&gt;15%); change in statutory tax rates/regulatons; and other extraordinary, unusual or infrequently occurring items. The fnal determinaton of achievement of the performance goals, potental bonus award ranges, the certfcaton of achievement of the target and the annual accrual shall be approved by the Compensaton Commitee prior to payout. The performance goal or performance goals achieved by the Company for the purposes of the Plan may difer from achievement of the performance goal refected in the Company’s</w:t>
      </w:r>
    </w:p>
    <w:p>
      <w:pPr>
        <w:spacing w:after="0" w:line="5" w:lineRule="exact"/>
        <w:rPr>
          <w:sz w:val="20"/>
          <w:szCs w:val="20"/>
          <w:color w:val="auto"/>
        </w:rPr>
      </w:pPr>
    </w:p>
    <w:p>
      <w:pPr>
        <w:ind w:left="380"/>
        <w:spacing w:after="0"/>
        <w:rPr>
          <w:sz w:val="20"/>
          <w:szCs w:val="20"/>
          <w:color w:val="auto"/>
        </w:rPr>
      </w:pPr>
      <w:r>
        <w:rPr>
          <w:rFonts w:ascii="Calibri" w:cs="Calibri" w:eastAsia="Calibri" w:hAnsi="Calibri"/>
          <w:sz w:val="20"/>
          <w:szCs w:val="20"/>
          <w:color w:val="auto"/>
        </w:rPr>
        <w:t>fnancial statements.</w:t>
      </w:r>
    </w:p>
    <w:p>
      <w:pPr>
        <w:jc w:val="center"/>
        <w:ind w:right="380"/>
        <w:spacing w:after="0" w:line="238" w:lineRule="auto"/>
        <w:rPr>
          <w:sz w:val="20"/>
          <w:szCs w:val="20"/>
          <w:color w:val="auto"/>
        </w:rPr>
      </w:pPr>
      <w:r>
        <w:rPr>
          <w:rFonts w:ascii="Calibri" w:cs="Calibri" w:eastAsia="Calibri" w:hAnsi="Calibri"/>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231775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06" w:right="339" w:bottom="1440" w:gutter="0" w:footer="0" w:header="0"/>
        </w:sectPr>
      </w:pPr>
    </w:p>
    <w:bookmarkStart w:id="153" w:name="page154"/>
    <w:bookmarkEnd w:id="153"/>
    <w:p>
      <w:pPr>
        <w:jc w:val="both"/>
        <w:ind w:left="380" w:hanging="378"/>
        <w:spacing w:after="0" w:line="236" w:lineRule="auto"/>
        <w:tabs>
          <w:tab w:leader="none" w:pos="380" w:val="left"/>
        </w:tabs>
        <w:numPr>
          <w:ilvl w:val="0"/>
          <w:numId w:val="189"/>
        </w:numPr>
        <w:rPr>
          <w:rFonts w:ascii="Calibri" w:cs="Calibri" w:eastAsia="Calibri" w:hAnsi="Calibri"/>
          <w:sz w:val="20"/>
          <w:szCs w:val="20"/>
          <w:color w:val="auto"/>
        </w:rPr>
      </w:pPr>
      <w:r>
        <w:rPr>
          <w:rFonts w:ascii="Calibri" w:cs="Calibri" w:eastAsia="Calibri" w:hAnsi="Calibri"/>
          <w:sz w:val="20"/>
          <w:szCs w:val="20"/>
          <w:u w:val="single" w:color="auto"/>
          <w:color w:val="auto"/>
        </w:rPr>
        <w:t>Performance Goals</w:t>
      </w:r>
      <w:r>
        <w:rPr>
          <w:rFonts w:ascii="Calibri" w:cs="Calibri" w:eastAsia="Calibri" w:hAnsi="Calibri"/>
          <w:sz w:val="20"/>
          <w:szCs w:val="20"/>
          <w:color w:val="auto"/>
        </w:rPr>
        <w:t>. Each Partcipant will be assigned a target bonus level by the Compensaton Commitee, stated as a percentage of his or her base salary. Each Partcipant’s ability to earn the target bonus award is dependent on the Company’s atainment of the annual performance targets. A Partcipant may earn more or less than his or her target bonus award based upon his or her individual performance.</w:t>
      </w:r>
    </w:p>
    <w:p>
      <w:pPr>
        <w:spacing w:after="0" w:line="200" w:lineRule="exact"/>
        <w:rPr>
          <w:rFonts w:ascii="Calibri" w:cs="Calibri" w:eastAsia="Calibri" w:hAnsi="Calibri"/>
          <w:sz w:val="20"/>
          <w:szCs w:val="20"/>
          <w:color w:val="auto"/>
        </w:rPr>
      </w:pPr>
    </w:p>
    <w:p>
      <w:pPr>
        <w:spacing w:after="0" w:line="203" w:lineRule="exact"/>
        <w:rPr>
          <w:rFonts w:ascii="Calibri" w:cs="Calibri" w:eastAsia="Calibri" w:hAnsi="Calibri"/>
          <w:sz w:val="20"/>
          <w:szCs w:val="20"/>
          <w:color w:val="auto"/>
        </w:rPr>
      </w:pPr>
    </w:p>
    <w:p>
      <w:pPr>
        <w:jc w:val="both"/>
        <w:ind w:left="380" w:hanging="378"/>
        <w:spacing w:after="0" w:line="237" w:lineRule="auto"/>
        <w:tabs>
          <w:tab w:leader="none" w:pos="380" w:val="left"/>
        </w:tabs>
        <w:numPr>
          <w:ilvl w:val="0"/>
          <w:numId w:val="189"/>
        </w:numPr>
        <w:rPr>
          <w:rFonts w:ascii="Calibri" w:cs="Calibri" w:eastAsia="Calibri" w:hAnsi="Calibri"/>
          <w:sz w:val="20"/>
          <w:szCs w:val="20"/>
          <w:color w:val="auto"/>
        </w:rPr>
      </w:pPr>
      <w:r>
        <w:rPr>
          <w:rFonts w:ascii="Calibri" w:cs="Calibri" w:eastAsia="Calibri" w:hAnsi="Calibri"/>
          <w:sz w:val="20"/>
          <w:szCs w:val="20"/>
          <w:u w:val="single" w:color="auto"/>
          <w:color w:val="auto"/>
        </w:rPr>
        <w:t>Award Payments</w:t>
      </w:r>
      <w:r>
        <w:rPr>
          <w:rFonts w:ascii="Calibri" w:cs="Calibri" w:eastAsia="Calibri" w:hAnsi="Calibri"/>
          <w:sz w:val="20"/>
          <w:szCs w:val="20"/>
          <w:color w:val="auto"/>
        </w:rPr>
        <w:t>. All bonus awards under the Plan will be paid out following the completon of the [Year] calendar year. All awards will be payable, to the extent earned (i) for the amount up to each applicable partcipant’s target award, in cash; and (ii) for any amount in excess of each partcipant’s target (if that amount over target is $10,000 or greater), in fully-vested restricted stock units under the Green Thumb Industries Inc. 2018 Stock and Incentve Plan, as amended (the “Plan”), on an award date to be determined by the Compensaton Commitee when the fnal approval of each award is certfed, with the number of restricted stock units determined based on the grant date fair value as calculated under the Plan. Notwithstanding the foregoing, at the Compensaton Commitee’s discreton, a partcipant may elect to receive their awards entrely in equity.</w:t>
      </w:r>
    </w:p>
    <w:p>
      <w:pPr>
        <w:spacing w:after="0" w:line="256" w:lineRule="exact"/>
        <w:rPr>
          <w:rFonts w:ascii="Calibri" w:cs="Calibri" w:eastAsia="Calibri" w:hAnsi="Calibri"/>
          <w:sz w:val="20"/>
          <w:szCs w:val="20"/>
          <w:color w:val="auto"/>
        </w:rPr>
      </w:pPr>
    </w:p>
    <w:p>
      <w:pPr>
        <w:jc w:val="both"/>
        <w:ind w:left="380" w:hanging="378"/>
        <w:spacing w:after="0" w:line="236" w:lineRule="auto"/>
        <w:tabs>
          <w:tab w:leader="none" w:pos="380" w:val="left"/>
        </w:tabs>
        <w:numPr>
          <w:ilvl w:val="0"/>
          <w:numId w:val="189"/>
        </w:numPr>
        <w:rPr>
          <w:rFonts w:ascii="Calibri" w:cs="Calibri" w:eastAsia="Calibri" w:hAnsi="Calibri"/>
          <w:sz w:val="20"/>
          <w:szCs w:val="20"/>
          <w:color w:val="auto"/>
        </w:rPr>
      </w:pPr>
      <w:r>
        <w:rPr>
          <w:rFonts w:ascii="Calibri" w:cs="Calibri" w:eastAsia="Calibri" w:hAnsi="Calibri"/>
          <w:sz w:val="20"/>
          <w:szCs w:val="20"/>
          <w:u w:val="single" w:color="auto"/>
          <w:color w:val="auto"/>
        </w:rPr>
        <w:t>Terminaton of Employment</w:t>
      </w:r>
      <w:r>
        <w:rPr>
          <w:rFonts w:ascii="Calibri" w:cs="Calibri" w:eastAsia="Calibri" w:hAnsi="Calibri"/>
          <w:sz w:val="20"/>
          <w:szCs w:val="20"/>
          <w:color w:val="auto"/>
        </w:rPr>
        <w:t>. If a Partcipant ceases employment with the Company prior to December 31, [Year], subject to legal requirements, that Partcipant will not be enttled to a bonus award under this Plan. Eligibility for, or actual partcipaton in, the Plan does not enttle an individual to contnued employment with the Company.</w:t>
      </w:r>
    </w:p>
    <w:p>
      <w:pPr>
        <w:spacing w:after="0" w:line="386" w:lineRule="exact"/>
        <w:rPr>
          <w:rFonts w:ascii="Calibri" w:cs="Calibri" w:eastAsia="Calibri" w:hAnsi="Calibri"/>
          <w:sz w:val="20"/>
          <w:szCs w:val="20"/>
          <w:color w:val="auto"/>
        </w:rPr>
      </w:pPr>
    </w:p>
    <w:p>
      <w:pPr>
        <w:ind w:left="380" w:hanging="378"/>
        <w:spacing w:after="0" w:line="234" w:lineRule="auto"/>
        <w:tabs>
          <w:tab w:leader="none" w:pos="380" w:val="left"/>
        </w:tabs>
        <w:numPr>
          <w:ilvl w:val="0"/>
          <w:numId w:val="189"/>
        </w:numPr>
        <w:rPr>
          <w:rFonts w:ascii="Calibri" w:cs="Calibri" w:eastAsia="Calibri" w:hAnsi="Calibri"/>
          <w:sz w:val="20"/>
          <w:szCs w:val="20"/>
          <w:color w:val="auto"/>
        </w:rPr>
      </w:pPr>
      <w:r>
        <w:rPr>
          <w:rFonts w:ascii="Calibri" w:cs="Calibri" w:eastAsia="Calibri" w:hAnsi="Calibri"/>
          <w:sz w:val="20"/>
          <w:szCs w:val="20"/>
          <w:u w:val="single" w:color="auto"/>
          <w:color w:val="auto"/>
        </w:rPr>
        <w:t>Amendments</w:t>
      </w:r>
      <w:r>
        <w:rPr>
          <w:rFonts w:ascii="Calibri" w:cs="Calibri" w:eastAsia="Calibri" w:hAnsi="Calibri"/>
          <w:sz w:val="20"/>
          <w:szCs w:val="20"/>
          <w:color w:val="auto"/>
        </w:rPr>
        <w:t>. The Compensaton Commitee may, at any tme and from tme to tme, make any and all adjustments to the Plan as it deems necessary or appropriate, and it may terminate the Plan at any tme.</w:t>
      </w:r>
    </w:p>
    <w:p>
      <w:pPr>
        <w:spacing w:after="0" w:line="200" w:lineRule="exact"/>
        <w:rPr>
          <w:rFonts w:ascii="Calibri" w:cs="Calibri" w:eastAsia="Calibri" w:hAnsi="Calibri"/>
          <w:sz w:val="20"/>
          <w:szCs w:val="20"/>
          <w:color w:val="auto"/>
        </w:rPr>
      </w:pPr>
    </w:p>
    <w:p>
      <w:pPr>
        <w:spacing w:after="0" w:line="201" w:lineRule="exact"/>
        <w:rPr>
          <w:rFonts w:ascii="Calibri" w:cs="Calibri" w:eastAsia="Calibri" w:hAnsi="Calibri"/>
          <w:sz w:val="20"/>
          <w:szCs w:val="20"/>
          <w:color w:val="auto"/>
        </w:rPr>
      </w:pPr>
    </w:p>
    <w:p>
      <w:pPr>
        <w:jc w:val="both"/>
        <w:ind w:left="380" w:hanging="378"/>
        <w:spacing w:after="0"/>
        <w:tabs>
          <w:tab w:leader="none" w:pos="380" w:val="left"/>
        </w:tabs>
        <w:numPr>
          <w:ilvl w:val="0"/>
          <w:numId w:val="189"/>
        </w:numPr>
        <w:rPr>
          <w:rFonts w:ascii="Calibri" w:cs="Calibri" w:eastAsia="Calibri" w:hAnsi="Calibri"/>
          <w:sz w:val="20"/>
          <w:szCs w:val="20"/>
          <w:color w:val="auto"/>
        </w:rPr>
      </w:pPr>
      <w:r>
        <w:rPr>
          <w:rFonts w:ascii="Calibri" w:cs="Calibri" w:eastAsia="Calibri" w:hAnsi="Calibri"/>
          <w:sz w:val="20"/>
          <w:szCs w:val="20"/>
          <w:u w:val="single" w:color="auto"/>
          <w:color w:val="auto"/>
        </w:rPr>
        <w:t>Administraton</w:t>
      </w:r>
      <w:r>
        <w:rPr>
          <w:rFonts w:ascii="Calibri" w:cs="Calibri" w:eastAsia="Calibri" w:hAnsi="Calibri"/>
          <w:sz w:val="20"/>
          <w:szCs w:val="20"/>
          <w:color w:val="auto"/>
        </w:rPr>
        <w:t>. The Plan will be administered by the Compensaton Commitee, which is responsible for: (a) determining the annual performance goals and the specifc target under each such performance goal; (b) certfying the Company’s achievement with respect to the performance target following completon of the [Year] calendar year; and (c) approving the Company’s accrual under the Plan. The Compensaton Commitee has full authority, in its sole discreton, to take any acton with respect to the Plan including, but not limited to: (i) determining all maters relatng to bonus awards, including eligibility criteria, performance criteria, the achievement of performance criteria and terms, conditons, restrictons and limitatons of any award; (ii) construing and interpretng the Plan and any document evidencing bonus awards granted under the Plan; (iii) making any other determinatons deemed necessary or appropriate. The Compensaton Commitee’s interpretaton, constructon and administraton of the Plan and each of its determinatons hereunder, will be fnal, conclusive and binding on all persons for all purposes.</w:t>
      </w:r>
    </w:p>
    <w:p>
      <w:pPr>
        <w:spacing w:after="0" w:line="200" w:lineRule="exact"/>
        <w:rPr>
          <w:rFonts w:ascii="Calibri" w:cs="Calibri" w:eastAsia="Calibri" w:hAnsi="Calibri"/>
          <w:sz w:val="20"/>
          <w:szCs w:val="20"/>
          <w:color w:val="auto"/>
        </w:rPr>
      </w:pPr>
    </w:p>
    <w:p>
      <w:pPr>
        <w:spacing w:after="0" w:line="266" w:lineRule="exact"/>
        <w:rPr>
          <w:rFonts w:ascii="Calibri" w:cs="Calibri" w:eastAsia="Calibri" w:hAnsi="Calibri"/>
          <w:sz w:val="20"/>
          <w:szCs w:val="20"/>
          <w:color w:val="auto"/>
        </w:rPr>
      </w:pPr>
    </w:p>
    <w:p>
      <w:pPr>
        <w:ind w:left="380" w:hanging="378"/>
        <w:spacing w:after="0"/>
        <w:tabs>
          <w:tab w:leader="none" w:pos="380" w:val="left"/>
        </w:tabs>
        <w:numPr>
          <w:ilvl w:val="0"/>
          <w:numId w:val="189"/>
        </w:numPr>
        <w:rPr>
          <w:rFonts w:ascii="Calibri" w:cs="Calibri" w:eastAsia="Calibri" w:hAnsi="Calibri"/>
          <w:sz w:val="20"/>
          <w:szCs w:val="20"/>
          <w:color w:val="auto"/>
        </w:rPr>
      </w:pPr>
      <w:r>
        <w:rPr>
          <w:rFonts w:ascii="Calibri" w:cs="Calibri" w:eastAsia="Calibri" w:hAnsi="Calibri"/>
          <w:sz w:val="20"/>
          <w:szCs w:val="20"/>
          <w:u w:val="single" w:color="auto"/>
          <w:color w:val="auto"/>
        </w:rPr>
        <w:t>Governing Law</w:t>
      </w:r>
      <w:r>
        <w:rPr>
          <w:rFonts w:ascii="Calibri" w:cs="Calibri" w:eastAsia="Calibri" w:hAnsi="Calibri"/>
          <w:sz w:val="20"/>
          <w:szCs w:val="20"/>
          <w:color w:val="auto"/>
        </w:rPr>
        <w:t>. The Plan and each bonus award hereunder, and all determinatons made and actons taken pursuant hereto,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-329565</wp:posOffset>
            </wp:positionV>
            <wp:extent cx="8699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1">
                      <a:extLst>
                        <a:ext uri="{28A0092B-C50C-407E-A947-70E740481C1C}"/>
                      </a:extLst>
                    </a:blip>
                    <a:srcRect/>
                    <a:stretch>
                      <a:fillRect/>
                    </a:stretch>
                  </pic:blipFill>
                  <pic:spPr bwMode="auto">
                    <a:xfrm>
                      <a:off x="0" y="0"/>
                      <a:ext cx="86995" cy="8890"/>
                    </a:xfrm>
                    <a:prstGeom prst="rect">
                      <a:avLst/>
                    </a:prstGeom>
                    <a:noFill/>
                  </pic:spPr>
                </pic:pic>
              </a:graphicData>
            </a:graphic>
          </wp:anchor>
        </w:drawing>
      </w:r>
    </w:p>
    <w:p>
      <w:pPr>
        <w:jc w:val="both"/>
        <w:ind w:left="380"/>
        <w:spacing w:after="0" w:line="236" w:lineRule="auto"/>
        <w:rPr>
          <w:sz w:val="20"/>
          <w:szCs w:val="20"/>
          <w:color w:val="auto"/>
        </w:rPr>
      </w:pPr>
      <w:r>
        <w:rPr>
          <w:rFonts w:ascii="Calibri" w:cs="Calibri" w:eastAsia="Calibri" w:hAnsi="Calibri"/>
          <w:sz w:val="20"/>
          <w:szCs w:val="20"/>
          <w:color w:val="auto"/>
        </w:rPr>
        <w:t>the extent not otherwise governed by the U.S. Internal Revenue Code of 1986, as amended, or the laws of the United States, shall be governed by the laws of the State of Illinois and construed in accordance therewith without giving efect to principles of conficts of laws.</w:t>
      </w:r>
    </w:p>
    <w:p>
      <w:pPr>
        <w:jc w:val="center"/>
        <w:ind w:right="380"/>
        <w:spacing w:after="0"/>
        <w:rPr>
          <w:sz w:val="20"/>
          <w:szCs w:val="20"/>
          <w:color w:val="auto"/>
        </w:rPr>
      </w:pPr>
      <w:r>
        <w:rPr>
          <w:rFonts w:ascii="Calibri" w:cs="Calibri" w:eastAsia="Calibri" w:hAnsi="Calibri"/>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230505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358" w:right="339" w:bottom="1440" w:gutter="0" w:footer="0" w:header="0"/>
        </w:sectPr>
      </w:pPr>
    </w:p>
    <w:bookmarkStart w:id="154" w:name="page155"/>
    <w:bookmarkEnd w:id="154"/>
    <w:p>
      <w:pPr>
        <w:jc w:val="center"/>
        <w:ind w:right="19"/>
        <w:spacing w:after="0"/>
        <w:rPr>
          <w:sz w:val="20"/>
          <w:szCs w:val="20"/>
          <w:color w:val="auto"/>
        </w:rPr>
      </w:pPr>
      <w:r>
        <w:rPr>
          <w:rFonts w:ascii="Calibri" w:cs="Calibri" w:eastAsia="Calibri" w:hAnsi="Calibri"/>
          <w:sz w:val="20"/>
          <w:szCs w:val="20"/>
          <w:b w:val="1"/>
          <w:bCs w:val="1"/>
          <w:color w:val="auto"/>
        </w:rPr>
        <w:t>APPENDIX A</w:t>
      </w:r>
    </w:p>
    <w:p>
      <w:pPr>
        <w:sectPr>
          <w:pgSz w:w="11900" w:h="16838" w:orient="portrait"/>
          <w:cols w:equalWidth="0" w:num="1">
            <w:col w:w="9019"/>
          </w:cols>
          <w:pgMar w:left="1440" w:top="497" w:right="1440" w:bottom="1440" w:gutter="0" w:footer="0" w:header="0"/>
        </w:sectPr>
      </w:pPr>
    </w:p>
    <w:p>
      <w:pPr>
        <w:spacing w:after="0" w:line="242"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[REDACTED]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231140</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97" w:right="1440" w:bottom="1440" w:gutter="0" w:footer="0" w:header="0"/>
          <w:type w:val="continuous"/>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8"/>
          <w:szCs w:val="18"/>
          <w:u w:val="single" w:color="auto"/>
          <w:color w:val="auto"/>
        </w:rPr>
        <w:t>CONFIDENTIALITY, NON-COMPETE, NON-SOLICITATION, NON-DISPARAGEMENTAND INVENTION ASSIGNMENT AGREEMENT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THIS CONFIDENTIALITY, NON-SOLICITATION, AND INVENTION ASSIGNMENT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as of October 2, 2017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 "[______]"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and RCP23,LLC, a</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Delaware limited liability company, and each of its subsidiaries, investors, affiliates, successors or assigns (collectively, “</w:t>
      </w:r>
      <w:r>
        <w:rPr>
          <w:rFonts w:ascii="Times New Roman" w:cs="Times New Roman" w:eastAsia="Times New Roman" w:hAnsi="Times New Roman"/>
          <w:sz w:val="18"/>
          <w:szCs w:val="18"/>
          <w:b w:val="1"/>
          <w:bCs w:val="1"/>
          <w:color w:val="auto"/>
        </w:rPr>
        <w:t>RCP23</w:t>
      </w:r>
      <w:r>
        <w:rPr>
          <w:rFonts w:ascii="Times New Roman" w:cs="Times New Roman" w:eastAsia="Times New Roman" w:hAnsi="Times New Roman"/>
          <w:sz w:val="18"/>
          <w:szCs w:val="18"/>
          <w:color w:val="auto"/>
        </w:rPr>
        <w:t>”) and Vision Management Services, LLC, a Delaware limited liability company, and each of its subsidiaries, affiliates, successors or assigns (“</w:t>
      </w:r>
      <w:r>
        <w:rPr>
          <w:rFonts w:ascii="Times New Roman" w:cs="Times New Roman" w:eastAsia="Times New Roman" w:hAnsi="Times New Roman"/>
          <w:sz w:val="18"/>
          <w:szCs w:val="18"/>
          <w:b w:val="1"/>
          <w:bCs w:val="1"/>
          <w:color w:val="auto"/>
        </w:rPr>
        <w:t>Employer</w:t>
      </w:r>
      <w:r>
        <w:rPr>
          <w:rFonts w:ascii="Times New Roman" w:cs="Times New Roman" w:eastAsia="Times New Roman" w:hAnsi="Times New Roman"/>
          <w:sz w:val="18"/>
          <w:szCs w:val="18"/>
          <w:color w:val="auto"/>
        </w:rPr>
        <w:t>”) (RCP23 and Employer are hereafter, collectively,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(Holder and Companyare hereinafter,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Capitalized terms used herein but not otherwise defined have the meanings set forth in the RCPFM LLC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5"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WHEREAS, the Company is engaged in the nationwide operation of medical and/or adult use cannabis cultivation, processing and retail (the “</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340" w:firstLine="749"/>
        <w:spacing w:after="0" w:line="286" w:lineRule="auto"/>
        <w:rPr>
          <w:sz w:val="20"/>
          <w:szCs w:val="20"/>
          <w:color w:val="auto"/>
        </w:rPr>
      </w:pPr>
      <w:r>
        <w:rPr>
          <w:rFonts w:ascii="Times New Roman" w:cs="Times New Roman" w:eastAsia="Times New Roman" w:hAnsi="Times New Roman"/>
          <w:sz w:val="18"/>
          <w:szCs w:val="18"/>
          <w:color w:val="auto"/>
        </w:rPr>
        <w:t>WHEREAS, RCPFM, LLC (“</w:t>
      </w:r>
      <w:r>
        <w:rPr>
          <w:rFonts w:ascii="Times New Roman" w:cs="Times New Roman" w:eastAsia="Times New Roman" w:hAnsi="Times New Roman"/>
          <w:sz w:val="18"/>
          <w:szCs w:val="18"/>
          <w:b w:val="1"/>
          <w:bCs w:val="1"/>
          <w:color w:val="auto"/>
        </w:rPr>
        <w:t>RCPFM</w:t>
      </w:r>
      <w:r>
        <w:rPr>
          <w:rFonts w:ascii="Times New Roman" w:cs="Times New Roman" w:eastAsia="Times New Roman" w:hAnsi="Times New Roman"/>
          <w:sz w:val="18"/>
          <w:szCs w:val="18"/>
          <w:color w:val="auto"/>
        </w:rPr>
        <w:t>”), a Delaware limited liability company, was formed to hold all of the founding member membership units of RCP23;</w:t>
      </w:r>
    </w:p>
    <w:p>
      <w:pPr>
        <w:spacing w:after="0" w:line="155" w:lineRule="exact"/>
        <w:rPr>
          <w:sz w:val="20"/>
          <w:szCs w:val="20"/>
          <w:color w:val="auto"/>
        </w:rPr>
      </w:pPr>
    </w:p>
    <w:p>
      <w:pPr>
        <w:ind w:right="360" w:firstLine="749"/>
        <w:spacing w:after="0" w:line="286" w:lineRule="auto"/>
        <w:rPr>
          <w:sz w:val="20"/>
          <w:szCs w:val="20"/>
          <w:color w:val="auto"/>
        </w:rPr>
      </w:pPr>
      <w:r>
        <w:rPr>
          <w:rFonts w:ascii="Times New Roman" w:cs="Times New Roman" w:eastAsia="Times New Roman" w:hAnsi="Times New Roman"/>
          <w:sz w:val="18"/>
          <w:szCs w:val="18"/>
          <w:color w:val="auto"/>
        </w:rPr>
        <w:t>WHEREAS, the Company has agreed to issue to Holder a number of Membership Units in RCPFM (collectively, the “</w:t>
      </w:r>
      <w:r>
        <w:rPr>
          <w:rFonts w:ascii="Times New Roman" w:cs="Times New Roman" w:eastAsia="Times New Roman" w:hAnsi="Times New Roman"/>
          <w:sz w:val="18"/>
          <w:szCs w:val="18"/>
          <w:b w:val="1"/>
          <w:bCs w:val="1"/>
          <w:color w:val="auto"/>
        </w:rPr>
        <w:t>Holder Membership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pursuant to the terms of the Joinder to Limited Liability Company Agreement (“</w:t>
      </w:r>
      <w:r>
        <w:rPr>
          <w:rFonts w:ascii="Times New Roman" w:cs="Times New Roman" w:eastAsia="Times New Roman" w:hAnsi="Times New Roman"/>
          <w:sz w:val="18"/>
          <w:szCs w:val="18"/>
          <w:b w:val="1"/>
          <w:bCs w:val="1"/>
          <w:color w:val="auto"/>
        </w:rPr>
        <w:t>LLC Agreement</w:t>
      </w:r>
      <w:r>
        <w:rPr>
          <w:rFonts w:ascii="Times New Roman" w:cs="Times New Roman" w:eastAsia="Times New Roman" w:hAnsi="Times New Roman"/>
          <w:sz w:val="18"/>
          <w:szCs w:val="18"/>
          <w:color w:val="auto"/>
        </w:rPr>
        <w:t>”) and this Agreement;</w:t>
      </w:r>
    </w:p>
    <w:p>
      <w:pPr>
        <w:spacing w:after="0" w:line="159" w:lineRule="exact"/>
        <w:rPr>
          <w:sz w:val="20"/>
          <w:szCs w:val="20"/>
          <w:color w:val="auto"/>
        </w:rPr>
      </w:pPr>
    </w:p>
    <w:p>
      <w:pPr>
        <w:ind w:right="820" w:firstLine="749"/>
        <w:spacing w:after="0" w:line="282" w:lineRule="auto"/>
        <w:rPr>
          <w:sz w:val="20"/>
          <w:szCs w:val="20"/>
          <w:color w:val="auto"/>
        </w:rPr>
      </w:pPr>
      <w:r>
        <w:rPr>
          <w:rFonts w:ascii="Times New Roman" w:cs="Times New Roman" w:eastAsia="Times New Roman" w:hAnsi="Times New Roman"/>
          <w:sz w:val="18"/>
          <w:szCs w:val="18"/>
          <w:color w:val="auto"/>
        </w:rPr>
        <w:t>WHEREAS, Holder has been provided a copy of the RCPFM LLC Agreement and Holder has had the opportunity to review and fully understands the RCPFM LLC Agreement and this Agreement; and</w:t>
      </w:r>
    </w:p>
    <w:p>
      <w:pPr>
        <w:spacing w:after="0" w:line="162"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WHEREAS, as an owner of the HolderMembership Units or to become an owner of the Holder Membership Units, Holder agrees to do so in accordance with the terms of the RCPFM LLC Agreement and this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TERMS AND CONDITIONS</w:t>
      </w:r>
    </w:p>
    <w:p>
      <w:pPr>
        <w:spacing w:after="0" w:line="225"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NOW, THEREFORE, in addition to other good and valuableconsideration, Holder is expressly being issued a number of Membership Units, Confidential Information (as defined below in 1.3) of the Company, among other considerationin exchange for Holder agreeing to the terms of this Agreement. In consideration of the foregoing, the mutual covenants contained herein and other good and valuable consideration, the receipt and sufficiency of which are acknowledged, the Parties hereto agree as follows:</w:t>
      </w:r>
    </w:p>
    <w:p>
      <w:pPr>
        <w:spacing w:after="0" w:line="68" w:lineRule="exact"/>
        <w:rPr>
          <w:sz w:val="20"/>
          <w:szCs w:val="20"/>
          <w:color w:val="auto"/>
        </w:rPr>
      </w:pPr>
    </w:p>
    <w:p>
      <w:pPr>
        <w:ind w:left="560" w:hanging="552"/>
        <w:spacing w:after="0"/>
        <w:tabs>
          <w:tab w:leader="none" w:pos="560"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33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1.1. Holder acknowledges and agrees that by virtueof Holder’s affiliation and/orengagement with the Company, Holder will acquire Confidential Information (as defined below in Section 1.3) as well as special knowledge of the Company’s relationships with its investors, prospective investors, customers, prospective customers, and Holders, and that, but for Holder’semployment with the Company, Holderwould not have had access to the Confidential Information or knowledge of the relationships. As a condition precedentto the Company issuing Holder Membership Units, Holder, Holder agrees to all of the provisions of this Agreement.</w:t>
      </w:r>
    </w:p>
    <w:p>
      <w:pPr>
        <w:spacing w:after="0" w:line="7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1.2. Holder agrees that both during Holder’s ownership of Holder Membership Units and thereafter, Holder will not use or disclose to any entity, association, organization or person not employed by the Company any “Confidential Information,” except where such disclosure is consented to, or approved by, the Company.</w:t>
      </w:r>
    </w:p>
    <w:p>
      <w:pPr>
        <w:spacing w:after="0" w:line="6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shall include, but is not limited to: (a) valuable, competitively sensitive data and information related to the business of the Company or any of its subsidiaries including, without limitation, Trade Secrets (as defined below) that are not generally known by or readily available to the competitors of the Companyor any of its subsidiaries other than as a resultof an improper disclosure directlyor indirectly by the Holder; (b) any financial, engineering, business, planning, research, operations, services, products, technical information and/or know-how, standardoperating procedures, genetics,genetic material, organization charts,business plans, prototypes, formulas, production, marketing, pricing, sales, profit, personnel, customer, prospective customer, supplier, or other information of the Company; (c) any papers, data, records, processes, techniques, systems, models, samples, devices, equipment, customer lists, or documents of the Company; (d) any confidential information or trade secrets of any third party provided to the Company in confidence or subject to other use or disclosure restrictions or limitations, including, but not limited to the Company’s investors that includes, but is not limited to, investor information and workproduct;</w:t>
      </w:r>
    </w:p>
    <w:p>
      <w:pPr>
        <w:spacing w:after="0" w:line="20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6" w:name="page157"/>
    <w:bookmarkEnd w:id="156"/>
    <w:p>
      <w:pPr>
        <w:jc w:val="both"/>
        <w:spacing w:after="0" w:line="253" w:lineRule="auto"/>
        <w:rPr>
          <w:sz w:val="20"/>
          <w:szCs w:val="20"/>
          <w:color w:val="auto"/>
        </w:rPr>
      </w:pPr>
      <w:r>
        <w:rPr>
          <w:rFonts w:ascii="Times New Roman" w:cs="Times New Roman" w:eastAsia="Times New Roman" w:hAnsi="Times New Roman"/>
          <w:sz w:val="18"/>
          <w:szCs w:val="18"/>
          <w:color w:val="auto"/>
        </w:rPr>
        <w:t>and (e) any other information, written,oral or electronic, whether existing now or at some time in the future,which pertains to the Company’s business. As used in this Agreement, the term “</w:t>
      </w:r>
      <w:r>
        <w:rPr>
          <w:rFonts w:ascii="Times New Roman" w:cs="Times New Roman" w:eastAsia="Times New Roman" w:hAnsi="Times New Roman"/>
          <w:sz w:val="18"/>
          <w:szCs w:val="18"/>
          <w:b w:val="1"/>
          <w:bCs w:val="1"/>
          <w:color w:val="auto"/>
        </w:rPr>
        <w:t>Trade Secrets</w:t>
      </w:r>
      <w:r>
        <w:rPr>
          <w:rFonts w:ascii="Times New Roman" w:cs="Times New Roman" w:eastAsia="Times New Roman" w:hAnsi="Times New Roman"/>
          <w:sz w:val="18"/>
          <w:szCs w:val="18"/>
          <w:color w:val="auto"/>
        </w:rPr>
        <w:t>” shall mean information or data of the Company or any of its subsidiaries, including, but not limited to, technical or non-technical data, financial information, programs, devices, methods,techniques, drawings, processes, financial plans, product plans, or lists of actual or potential customers or suppliers, that: (A) derive economic value, actual or potential, from not being generally known to, and not being readily ascertainable by proper means by, other personswho can obtaineconomic value from their disclosure or use; and (B) are the subjectof efforts that are reasonable under the circumstances to maintain their secrecy. Confidential Information does not include:(a) information properly in the public domain, or</w:t>
      </w:r>
    </w:p>
    <w:p>
      <w:pPr>
        <w:spacing w:after="0" w:line="5" w:lineRule="exact"/>
        <w:rPr>
          <w:sz w:val="20"/>
          <w:szCs w:val="20"/>
          <w:color w:val="auto"/>
        </w:rPr>
      </w:pPr>
    </w:p>
    <w:p>
      <w:pPr>
        <w:jc w:val="both"/>
        <w:ind w:firstLine="8"/>
        <w:spacing w:after="0" w:line="252" w:lineRule="auto"/>
        <w:tabs>
          <w:tab w:leader="none" w:pos="269"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which Holder can demonstrate was in Holder’s possession prior to the date of Holder’s original ownership of Holder Membership Units with the Company, except to the extent that such information is or has become a trade secret of the Company or is or otherwise has become the property of the Company. Holder understands and acknowledges that each and every component of the Confidential Information (a) has been developed by Company at significant effort and expense is sufficiently secret to derive economic value from not being generally knownto other parties,and (b) constitutes a legitimate protectable business interest of Company. Holder further agrees and acknowledges that Company owns the Confidential Information. Holder agrees not to dispute, contest, or deny any such ownership rights either during or after Holder’s separation from the Company for whatever reason.</w:t>
      </w:r>
    </w:p>
    <w:p>
      <w:pPr>
        <w:spacing w:after="0" w:line="8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1.4. Throughout Holder’s ownership of Holder Membership Units with Company and at all times thereafter: (a) Holder will hold all Confidential Information in the strictestconfidence, take all reasonable precautions to prevent its inadvertent disclosure to any unauthorized person,and follow all Company policiesdesigned to protect the Confidential Information; (b) Holder will not, directly or indirectly, utilize, communicate, disclose, divulge, or make available to any other person or entity, any of the Confidential Information, other than: (i) as specifically required by court order,law, subpoena, regulation and/or legal process,or (ii) in the properperformance of Holder’s duties during Holder’s ownership of Holder Membership Units with Company; (c) Holder will not use the Confidential Information or any trade secrets of Company to attempt to solicit, induce, recruit, or take away any clients, customers or Holders of Company; and (d) if Holder learns that any person or entity is taking or threatening to take any actions which would compromise any Confidential Information, Holder will promptly advise Company of all facts concerning such action or threatened action.</w:t>
      </w:r>
    </w:p>
    <w:p>
      <w:pPr>
        <w:spacing w:after="0" w:line="8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1.5. Holder understands that the Companydoes not wish to incorporate any unlicensed or unauthorized material into its products or services. Therefore, Holder agrees that Holder will not knowingly disclose to the Company, use in the Company’s business, or cause the Company to use, any information or material which is confidential or proprietary to any third party including, but not limitedto, any former employer, competitor or client, unless the Company has a right to receive and use such information. Holder will not incorporate into Holder’s work any materialthat is subject to the copyrights of any third party unlessthe Company has a writtenagreement with that third party or otherwise has the right to receiveand use such information. Holderfurther represents that: (a) Holder’s execution and delivery of this Agreement does not conflictwith, or resultin a breach of or constitute a default under, any agreement or contract, whether oral or written, to which Holderis a party or by which Holder may be bound; and (b) Holderis not involved in any litigation that would interfere with the performance of Holder’s duties on behalf of the Company.</w:t>
      </w:r>
    </w:p>
    <w:p>
      <w:pPr>
        <w:spacing w:after="0" w:line="84"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1.6. Holder understands that Holder’s obligations under this Section1 shall terminate only at such time (if any) as the Confidential Information in question becomes generally known to the public other than through a breach of Holder’s obligations under this Agreement. If Holder is requested pursuant to, or required by, any law, regulation or legal processto disclose any Confidential Information, Holder will provideCompany with writtennotice of such request or requirement as promptly as the circumstances reasonably permit and comply with any protective order or other appropriate relief Company obtains preventing or limiting any such disclosure. Holder agrees and acknowledges that Holder is also obligated to maintain trade secrets pursuant to the Delaware Trade Secret Act and any and all other state UniformTrade Secret Act, and that this Agreement does not supersedeor in any way limit the protections of such statutory protections.</w:t>
      </w:r>
    </w:p>
    <w:p>
      <w:pPr>
        <w:spacing w:after="0" w:line="185" w:lineRule="exact"/>
        <w:rPr>
          <w:sz w:val="20"/>
          <w:szCs w:val="20"/>
          <w:color w:val="auto"/>
        </w:rPr>
      </w:pPr>
    </w:p>
    <w:p>
      <w:pPr>
        <w:ind w:left="420" w:hanging="412"/>
        <w:spacing w:after="0"/>
        <w:tabs>
          <w:tab w:leader="none" w:pos="420" w:val="left"/>
        </w:tabs>
        <w:numPr>
          <w:ilvl w:val="0"/>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Return of Company Property</w:t>
      </w:r>
    </w:p>
    <w:p>
      <w:pPr>
        <w:spacing w:after="0" w:line="22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2.1. Upon separation from the Company for whatever reason or release or divesture of ownership of Holder Membership Units, Holder will immediately deliver to Company: (a) all property of Company that is then in Holder’s possession, custody or control, including, without limitation, all keys, access cards, computer hardware (including but not limited to any hard drives, diskettes, CDs, DVDs, flash or jump drives, laptop computers and personal data assistants and the entire contentsof each such item, as well as any passwords or codes needed to access or operate effectively any such item), computer software and programs, data, materials, papers, books, files, documents, records, policies, client and customerinformation and lists, financial data, marketing information, design information, specifications and plans, data base information and lists, mailing lists, notes, and any other property or information that </w:t>
      </w:r>
      <w:r>
        <w:rPr>
          <w:rFonts w:ascii="Times New Roman" w:cs="Times New Roman" w:eastAsia="Times New Roman" w:hAnsi="Times New Roman"/>
          <w:sz w:val="18"/>
          <w:szCs w:val="18"/>
          <w:color w:val="393739"/>
        </w:rPr>
        <w:t>Holder</w:t>
      </w:r>
      <w:r>
        <w:rPr>
          <w:rFonts w:ascii="Times New Roman" w:cs="Times New Roman" w:eastAsia="Times New Roman" w:hAnsi="Times New Roman"/>
          <w:sz w:val="18"/>
          <w:szCs w:val="18"/>
          <w:color w:val="auto"/>
        </w:rPr>
        <w:t xml:space="preserve"> has relating to Company(whether those materials are in paperor electronically storedform); and (b) any and all documents or other items containing, summarizing, or describing any Confidential Information, including all originals and copies, whether or not they are electronically stored.</w:t>
      </w:r>
    </w:p>
    <w:p>
      <w:pPr>
        <w:spacing w:after="0" w:line="20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7" w:name="page158"/>
    <w:bookmarkEnd w:id="157"/>
    <w:p>
      <w:pPr>
        <w:ind w:left="560" w:hanging="552"/>
        <w:spacing w:after="0"/>
        <w:tabs>
          <w:tab w:leader="none" w:pos="560"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Inventions, Works, and Intellectual Property</w:t>
      </w:r>
    </w:p>
    <w:p>
      <w:pPr>
        <w:spacing w:after="0" w:line="22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3.1. Holder acknowledges and agrees that all inventions; genetically-engineered material; compositions and methods for making and using cannabis plants and compositions derived thereof; strains with distinctive ratios of cannabinoids; prototypes; written works, published material, ideas conceived, produced, created, or reduced to practice; personascreated; developments; derivatives and improvements; copyrights; copyright designs; trade secrets; trademarks; mask work rights; processes; discoveries; enhancements; software; source code; database rights; catalogues; prints; business applications; plans; writings; and other developments or improvements and all other intellectual property and proprietary rights and any derivative works based thereon (“</w:t>
      </w:r>
      <w:r>
        <w:rPr>
          <w:rFonts w:ascii="Times New Roman" w:cs="Times New Roman" w:eastAsia="Times New Roman" w:hAnsi="Times New Roman"/>
          <w:sz w:val="18"/>
          <w:szCs w:val="18"/>
          <w:b w:val="1"/>
          <w:bCs w:val="1"/>
          <w:color w:val="auto"/>
        </w:rPr>
        <w:t>Inventions</w:t>
      </w:r>
      <w:r>
        <w:rPr>
          <w:rFonts w:ascii="Times New Roman" w:cs="Times New Roman" w:eastAsia="Times New Roman" w:hAnsi="Times New Roman"/>
          <w:sz w:val="18"/>
          <w:szCs w:val="18"/>
          <w:color w:val="auto"/>
        </w:rPr>
        <w:t>”) and all works of original authorship or images that are fixed in any tangible medium of expression and all copies thereof(“</w:t>
      </w:r>
      <w:r>
        <w:rPr>
          <w:rFonts w:ascii="Times New Roman" w:cs="Times New Roman" w:eastAsia="Times New Roman" w:hAnsi="Times New Roman"/>
          <w:sz w:val="18"/>
          <w:szCs w:val="18"/>
          <w:b w:val="1"/>
          <w:bCs w:val="1"/>
          <w:color w:val="auto"/>
        </w:rPr>
        <w:t>Works</w:t>
      </w:r>
      <w:r>
        <w:rPr>
          <w:rFonts w:ascii="Times New Roman" w:cs="Times New Roman" w:eastAsia="Times New Roman" w:hAnsi="Times New Roman"/>
          <w:sz w:val="18"/>
          <w:szCs w:val="18"/>
          <w:color w:val="auto"/>
        </w:rPr>
        <w:t>”), whether or not copyrightable, patentable or otherwiseprotectable, which are designed, created,conceived, developed or reducedto practice, writingor publication by Holder, eithersolely or jointlywith others, duringHolder’s affiliation or ownership of Holder Membership Units with the Company, including those developed on Holder’s own time, which related to or are useful in the Company’s business (collectively, with the Inventions and Works, the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are made and conceived for the benefit of the Company and are the exclusive property of the Company.</w:t>
      </w:r>
    </w:p>
    <w:p>
      <w:pPr>
        <w:spacing w:after="0" w:line="302"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 xml:space="preserve">3.2. Holder recognizes and acknowledges that all Works shall be done as “work made for hire” as defined and used in the CopyrightAct of 1976, 17 U.S.C. § 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as may be amended from time to time, with the Company being considered the author for copyright purposes and the owner of the copyright and all other rights whether now known or hereafterrecognized. Holder herebywaives the benefitsof any provision of law known as the “droit moral” or any similar law or principle in any country throughout the world. To the extent that any Works are not considered “works made for hire,” Holderhereby assigns and agrees to assign to the Companyor its nominee any and all interest that Holder may have in any Intellectual Property. Holder shall promptly notify the Company or its nominee upon the design, creation or development of any and all Inventions and Works. At the Company’s request, Holder shall execute and deliver to the Company all documents or instruments that may be necessary to secure or perfect the Company’stitle to or interest in the Inventions and Works, includingbut not limitedto United Statesand foreign applications for letters of patents and extensions, continuations or reissues thereof,applications for copyrights and documents or instruments of assignments or transfer. Such obligations shall continue beyond the termination of ownership of Holder Membership Units respect to Works and Inventions designed, created or developed by Holder during the period of ownership of Holder Membership Units hereunder, and shall be binding upon Holder’s heirs, assigns, executors, administrators and otherlegal representatives. Holdershall render all assistance that the Company may require in any registration, proceeding or litigation, including at the United State Patent and Trademark Office or the United States Copyright Office, involving such Inventions or Works, without charge to the Company, other than a reasonable payment for time involved in the event Holder is no longer employed by or engaged by the Company.</w:t>
      </w:r>
    </w:p>
    <w:p>
      <w:pPr>
        <w:spacing w:after="0" w:line="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3.3. Notwithstanding the foregoing, Holder understands and acknowledges that, pursuant to the Holder Patent Act, Illinois PublicAct 83-493 (to the extentapplicable to Holder’semployment), the Companyhas informed Holder that the provisions of this Section3 will not apply to any Inventions for which no equipment, supplies, facility or trade secret information of the Company was used and which were developed entirely on Holder’s own time, unless: (a) the Inventionrelates (i) to the businessof the Company, or (ii) to actual or demonstrably anticipated research or development of the Company; or (b) the Invention results from any work performed by Holder for the Company.</w:t>
      </w:r>
    </w:p>
    <w:p>
      <w:pPr>
        <w:spacing w:after="0" w:line="71" w:lineRule="exact"/>
        <w:rPr>
          <w:sz w:val="20"/>
          <w:szCs w:val="20"/>
          <w:color w:val="auto"/>
        </w:rPr>
      </w:pPr>
    </w:p>
    <w:p>
      <w:pPr>
        <w:ind w:left="560" w:hanging="552"/>
        <w:spacing w:after="0"/>
        <w:tabs>
          <w:tab w:leader="none" w:pos="560" w:val="left"/>
        </w:tabs>
        <w:numPr>
          <w:ilvl w:val="0"/>
          <w:numId w:val="1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Non-Competition; Non-Solicitation</w:t>
      </w:r>
    </w:p>
    <w:p>
      <w:pPr>
        <w:spacing w:after="0" w:line="33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4.2. In consideration of the Holder Membership Units provided to the Holder hereunder, the Parties agree that while the Holder has ownership of Holder Membership Units with the Company and for a period of 1 year after the termination of the Holder’sownership interest (the “</w:t>
      </w:r>
      <w:r>
        <w:rPr>
          <w:rFonts w:ascii="Times New Roman" w:cs="Times New Roman" w:eastAsia="Times New Roman" w:hAnsi="Times New Roman"/>
          <w:sz w:val="18"/>
          <w:szCs w:val="18"/>
          <w:b w:val="1"/>
          <w:bCs w:val="1"/>
          <w:color w:val="auto"/>
        </w:rPr>
        <w:t>RestrictedPeriod</w:t>
      </w:r>
      <w:r>
        <w:rPr>
          <w:rFonts w:ascii="Times New Roman" w:cs="Times New Roman" w:eastAsia="Times New Roman" w:hAnsi="Times New Roman"/>
          <w:sz w:val="18"/>
          <w:szCs w:val="18"/>
          <w:color w:val="auto"/>
        </w:rPr>
        <w:t xml:space="preserve">”), whether voluntaryor involuntary, except during the term of Holder’s ownership interest, Holder shall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1680" w:hanging="624"/>
        <w:spacing w:after="0"/>
        <w:tabs>
          <w:tab w:leader="none" w:pos="16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Compete (as definedbelow) with the Companyor any of its subsidiaries.</w:t>
      </w:r>
    </w:p>
    <w:p>
      <w:pPr>
        <w:spacing w:after="0" w:line="333" w:lineRule="exact"/>
        <w:rPr>
          <w:rFonts w:ascii="Times New Roman" w:cs="Times New Roman" w:eastAsia="Times New Roman" w:hAnsi="Times New Roman"/>
          <w:sz w:val="18"/>
          <w:szCs w:val="18"/>
          <w:color w:val="auto"/>
        </w:rPr>
      </w:pPr>
    </w:p>
    <w:p>
      <w:pPr>
        <w:jc w:val="both"/>
        <w:ind w:left="1060" w:firstLine="1348"/>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As used in this Agreement, the term “Compete” means: to own, manage, operate, control or participate in the ownership, management, operation or control of, or be connected as an officer, executive, consultant, service provider, partneror director of, or have any financialinterest in, or aid or assist anyone in the conduct of, any business, sole proprietorship, company, corporation, association, partnership or other entity that cultivates, processes or dispenses cannabis in a statein the United States were GTI operates(a “Competitor”) whetherdirectly or indirectly, or through an Affiliate.</w:t>
      </w:r>
    </w:p>
    <w:p>
      <w:pPr>
        <w:spacing w:after="0" w:line="200" w:lineRule="exact"/>
        <w:rPr>
          <w:sz w:val="20"/>
          <w:szCs w:val="20"/>
          <w:color w:val="auto"/>
        </w:rPr>
      </w:pPr>
    </w:p>
    <w:p>
      <w:pPr>
        <w:spacing w:after="0" w:line="21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58" w:name="page159"/>
    <w:bookmarkEnd w:id="158"/>
    <w:p>
      <w:pPr>
        <w:jc w:val="both"/>
        <w:ind w:left="1060" w:firstLine="1344"/>
        <w:spacing w:after="0" w:line="262" w:lineRule="auto"/>
        <w:tabs>
          <w:tab w:leader="none" w:pos="3004"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the term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company, corporation, association, partnership or other entity of any kind that is directly or indirectly controlled by the Holder; the term “</w:t>
      </w:r>
      <w:r>
        <w:rPr>
          <w:rFonts w:ascii="Times New Roman" w:cs="Times New Roman" w:eastAsia="Times New Roman" w:hAnsi="Times New Roman"/>
          <w:sz w:val="18"/>
          <w:szCs w:val="18"/>
          <w:b w:val="1"/>
          <w:bCs w:val="1"/>
          <w:color w:val="auto"/>
        </w:rPr>
        <w:t>actively seeking</w:t>
      </w:r>
      <w:r>
        <w:rPr>
          <w:rFonts w:ascii="Times New Roman" w:cs="Times New Roman" w:eastAsia="Times New Roman" w:hAnsi="Times New Roman"/>
          <w:sz w:val="18"/>
          <w:szCs w:val="18"/>
          <w:color w:val="auto"/>
        </w:rPr>
        <w:t>” shall mean any individual or entity with which the Company and/or its Affiliates have entered into a non-disclosure agreement for purposes of beginning acquisition or other types of business discussions.</w:t>
      </w:r>
    </w:p>
    <w:p>
      <w:pPr>
        <w:spacing w:after="0" w:line="72" w:lineRule="exact"/>
        <w:rPr>
          <w:rFonts w:ascii="Times New Roman" w:cs="Times New Roman" w:eastAsia="Times New Roman" w:hAnsi="Times New Roman"/>
          <w:sz w:val="18"/>
          <w:szCs w:val="18"/>
          <w:color w:val="auto"/>
        </w:rPr>
      </w:pPr>
    </w:p>
    <w:p>
      <w:pPr>
        <w:jc w:val="both"/>
        <w:ind w:left="1060" w:firstLine="1344"/>
        <w:spacing w:after="0" w:line="266" w:lineRule="auto"/>
        <w:tabs>
          <w:tab w:leader="none" w:pos="3004"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passive ownership for investment of less than five percent (5%) of the combined voting power of all issued and outstanding voting securities of a companywhose shares are traded on a publicsecurities market shallnot be deemed to violatethis Section 4.1.</w:t>
      </w:r>
    </w:p>
    <w:p>
      <w:pPr>
        <w:spacing w:after="0" w:line="67" w:lineRule="exact"/>
        <w:rPr>
          <w:rFonts w:ascii="Times New Roman" w:cs="Times New Roman" w:eastAsia="Times New Roman" w:hAnsi="Times New Roman"/>
          <w:sz w:val="18"/>
          <w:szCs w:val="18"/>
          <w:color w:val="auto"/>
        </w:rPr>
      </w:pPr>
    </w:p>
    <w:p>
      <w:pPr>
        <w:jc w:val="both"/>
        <w:ind w:firstLine="1056"/>
        <w:spacing w:after="0" w:line="261" w:lineRule="auto"/>
        <w:tabs>
          <w:tab w:leader="none" w:pos="167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 or solicit,or direct, encourage or facilitate any person or entity to contact or solicit, any of the Company’s customers or prospective customers for the purposeof providing any products and/or services that are the same as or similar to the products and services provided by the Company (or that otherwise compete with the products and services provided by the Company) to its customers or for the purpose of otherwise interfering with the business relationships between the Company and itscustomers or prospective customers; or</w:t>
      </w:r>
    </w:p>
    <w:p>
      <w:pPr>
        <w:spacing w:after="0" w:line="71" w:lineRule="exact"/>
        <w:rPr>
          <w:rFonts w:ascii="Times New Roman" w:cs="Times New Roman" w:eastAsia="Times New Roman" w:hAnsi="Times New Roman"/>
          <w:sz w:val="18"/>
          <w:szCs w:val="18"/>
          <w:color w:val="auto"/>
        </w:rPr>
      </w:pPr>
    </w:p>
    <w:p>
      <w:pPr>
        <w:jc w:val="both"/>
        <w:ind w:firstLine="1056"/>
        <w:spacing w:after="0" w:line="261" w:lineRule="auto"/>
        <w:tabs>
          <w:tab w:leader="none" w:pos="167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 or solicit,or direct, encourage or facilitate any person or entity to contact or solicit, any of the Company’s investors or prospective investors for the purpose of seeking an investment of any type to help or assist in developing and/or providing the products and services provided by the Company (or that otherwise compete with the products and services provided by the Company) to its customers or for the purpose of otherwise interfering with the business relationships between the Company and its investors or prospective investors; or</w:t>
      </w:r>
    </w:p>
    <w:p>
      <w:pPr>
        <w:spacing w:after="0" w:line="71" w:lineRule="exact"/>
        <w:rPr>
          <w:rFonts w:ascii="Times New Roman" w:cs="Times New Roman" w:eastAsia="Times New Roman" w:hAnsi="Times New Roman"/>
          <w:sz w:val="18"/>
          <w:szCs w:val="18"/>
          <w:color w:val="auto"/>
        </w:rPr>
      </w:pPr>
    </w:p>
    <w:p>
      <w:pPr>
        <w:jc w:val="both"/>
        <w:ind w:firstLine="1056"/>
        <w:spacing w:after="0" w:line="256" w:lineRule="auto"/>
        <w:tabs>
          <w:tab w:leader="none" w:pos="167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the services of, or otherwise seek to influence or induce to leave, whether directly or indirectly, on my own behalf or on behalf of any other person or entity, any person who is a current employee of the Company (or was an employee of the Companyduring the twelvemonth period preceding such solicitation), nor solicit any of the Company’s current employees (or any individual who was an employee of the Company during the twelve month period preceding such solicitation) to terminate employment or an engagement with the Company, nor agree to hire or hire any current employee (or any individual who was an employee of the Company during the twelve month period preceding such hire) of the Company into ownership of Holder Membership Units me or any other person or entity; or</w:t>
      </w:r>
    </w:p>
    <w:p>
      <w:pPr>
        <w:spacing w:after="0" w:line="79" w:lineRule="exact"/>
        <w:rPr>
          <w:rFonts w:ascii="Times New Roman" w:cs="Times New Roman" w:eastAsia="Times New Roman" w:hAnsi="Times New Roman"/>
          <w:sz w:val="18"/>
          <w:szCs w:val="18"/>
          <w:color w:val="auto"/>
        </w:rPr>
      </w:pPr>
    </w:p>
    <w:p>
      <w:pPr>
        <w:jc w:val="both"/>
        <w:ind w:firstLine="1056"/>
        <w:spacing w:after="0" w:line="258" w:lineRule="auto"/>
        <w:tabs>
          <w:tab w:leader="none" w:pos="167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acknowledges and agrees that the Companyhas invested and continues to invest a substantial amount of time and money in developing its goodwill and employee and customer relations, and shares its Confidential Information with, its employees, and that the scope described above is necessary and reasonable in order to protectthe Company in the conductof its business, and to protect the legitimate interests of Company in its Confidential Information, business goodwill, customer relationships, and employee relationships. Holder further acknowledges and agrees that, if Holder breaches any of the requirements of this Agreement, the restricted periods set forth herein shall be tolled during the time of such breach.</w:t>
      </w:r>
    </w:p>
    <w:p>
      <w:pPr>
        <w:spacing w:after="0" w:line="183"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4.2. During the Restricted Period, Holder will provide a copy of this Agreementto any person or entity that seeks or proposes to enter into any relationship with Holder that might be affected or limited by any of the provisions in those sections, including but not limited to any relationship in which Holder would be an employee, consultant, independent contractor, owner, officer, partner, principal, joint venturer, shareholder, director, member, manager, investor, agent of any such person or entity, before Holder agrees, orally or in writing, to enter into any such relationship. Holder furtheragrees that if Holder becomesemployed or otherwise engaged by anotherperson or entity duringthe Restricted Period,Holder agrees to the Companydisclosing the existence of this Agreementto such person or entity.</w:t>
      </w:r>
    </w:p>
    <w:p>
      <w:pPr>
        <w:spacing w:after="0" w:line="18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4.3. For purposes of this Agreement: (i)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means any person or entity that purchased or otherwise acquired any type of product and/or service from the Company or is or was doing business with the Company or employee within the twelve month period immediately preceding termination of Holder’s ownership of Holder Membership Units; (ii) “</w:t>
      </w:r>
      <w:r>
        <w:rPr>
          <w:rFonts w:ascii="Times New Roman" w:cs="Times New Roman" w:eastAsia="Times New Roman" w:hAnsi="Times New Roman"/>
          <w:sz w:val="18"/>
          <w:szCs w:val="18"/>
          <w:b w:val="1"/>
          <w:bCs w:val="1"/>
          <w:color w:val="auto"/>
        </w:rPr>
        <w:t>prospective customer</w:t>
      </w:r>
      <w:r>
        <w:rPr>
          <w:rFonts w:ascii="Times New Roman" w:cs="Times New Roman" w:eastAsia="Times New Roman" w:hAnsi="Times New Roman"/>
          <w:sz w:val="18"/>
          <w:szCs w:val="18"/>
          <w:color w:val="auto"/>
        </w:rPr>
        <w:t>” is any personor entity contacted or solicited by the Company or Holder (whether directlyor indirectly) or who contacted the Company or employee (whetherdirectly or indirectly) within the twelve month period immediately preceding termination of Holder’s employment for the purposeof having such personsor entities becomea customer of the Company;(iii)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means any person or entity that provided the Company with a monetaryor time/work contribution with the expectation of achieving a profit at any time during the Holder’s ownership of HolderMembership Units with the Company; and (iv) “</w:t>
      </w:r>
      <w:r>
        <w:rPr>
          <w:rFonts w:ascii="Times New Roman" w:cs="Times New Roman" w:eastAsia="Times New Roman" w:hAnsi="Times New Roman"/>
          <w:sz w:val="18"/>
          <w:szCs w:val="18"/>
          <w:b w:val="1"/>
          <w:bCs w:val="1"/>
          <w:color w:val="auto"/>
        </w:rPr>
        <w:t>prospective investor</w:t>
      </w:r>
      <w:r>
        <w:rPr>
          <w:rFonts w:ascii="Times New Roman" w:cs="Times New Roman" w:eastAsia="Times New Roman" w:hAnsi="Times New Roman"/>
          <w:sz w:val="18"/>
          <w:szCs w:val="18"/>
          <w:color w:val="auto"/>
        </w:rPr>
        <w:t>” means any person or entity that the Companysought out, approached, had discussions, or otherwise made contract for the purpose of seeking, requesting, asking for, or obtaining a monetary or time/work contribution with the Company.</w:t>
      </w:r>
    </w:p>
    <w:p>
      <w:pPr>
        <w:spacing w:after="0" w:line="296" w:lineRule="exact"/>
        <w:rPr>
          <w:sz w:val="20"/>
          <w:szCs w:val="20"/>
          <w:color w:val="auto"/>
        </w:rPr>
      </w:pPr>
    </w:p>
    <w:p>
      <w:pPr>
        <w:ind w:left="560" w:hanging="552"/>
        <w:spacing w:after="0"/>
        <w:tabs>
          <w:tab w:leader="none" w:pos="560" w:val="left"/>
        </w:tabs>
        <w:numPr>
          <w:ilvl w:val="0"/>
          <w:numId w:val="1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Disparagement</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5.1. Except as may be required by law or to enforce the termsof this Agreement, during Holder period of ownership of Holder Membership Units and following the date Holder no longer has any ownership of Holder Membership Units, Holder will not make any oral or written statement to any third party (including but not limited to</w:t>
      </w:r>
    </w:p>
    <w:p>
      <w:pPr>
        <w:spacing w:after="0" w:line="18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9" w:name="page160"/>
    <w:bookmarkEnd w:id="159"/>
    <w:p>
      <w:pPr>
        <w:jc w:val="both"/>
        <w:spacing w:after="0" w:line="256" w:lineRule="auto"/>
        <w:rPr>
          <w:sz w:val="20"/>
          <w:szCs w:val="20"/>
          <w:color w:val="auto"/>
        </w:rPr>
      </w:pPr>
      <w:r>
        <w:rPr>
          <w:rFonts w:ascii="Times New Roman" w:cs="Times New Roman" w:eastAsia="Times New Roman" w:hAnsi="Times New Roman"/>
          <w:sz w:val="18"/>
          <w:szCs w:val="18"/>
          <w:color w:val="auto"/>
        </w:rPr>
        <w:t>any currentor prospective employee, customer, supplier, or vendorof Company) that disparages Companyor any of its past or present members,directors, officers, productsor services. This prohibition appliesto any and all remarks, statements or comments made via any platform, including, but not limited to, spoken word, hard-copy paper form, newspaper, book, other written publication, electronic form, webpage, blog, text message, instant message, email, social media platform such as Facebook, Snapchat, Twitter, Instagram, Google+, or others, whether true or not. For purposes of communication via Facebook, this means making a comment in response to, sharing or “liking” another user’s comment about the Company.For purposes of Instagram, this means makinga comment on, sharing, or clicking the icon on a user’s post. For purposes of Twitter, this means replying to or re-tweeting a user’s tweet.</w:t>
      </w:r>
    </w:p>
    <w:p>
      <w:pPr>
        <w:spacing w:after="0" w:line="291" w:lineRule="exact"/>
        <w:rPr>
          <w:sz w:val="20"/>
          <w:szCs w:val="20"/>
          <w:color w:val="auto"/>
        </w:rPr>
      </w:pPr>
    </w:p>
    <w:p>
      <w:pPr>
        <w:ind w:left="560" w:hanging="552"/>
        <w:spacing w:after="0"/>
        <w:tabs>
          <w:tab w:leader="none" w:pos="560" w:val="left"/>
        </w:tabs>
        <w:numPr>
          <w:ilvl w:val="0"/>
          <w:numId w:val="1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Full Release of Claims</w:t>
      </w:r>
    </w:p>
    <w:p>
      <w:pPr>
        <w:spacing w:after="0" w:line="22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6.1. Holder, Holder’s representatives, heirs, executors, successors, administrators, and/or agents, both current and former (the “</w:t>
      </w:r>
      <w:r>
        <w:rPr>
          <w:rFonts w:ascii="Times New Roman" w:cs="Times New Roman" w:eastAsia="Times New Roman" w:hAnsi="Times New Roman"/>
          <w:sz w:val="18"/>
          <w:szCs w:val="18"/>
          <w:b w:val="1"/>
          <w:bCs w:val="1"/>
          <w:color w:val="auto"/>
        </w:rPr>
        <w:t>Releasing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unconditionally and irrevocably remise, release and forever discharge the Company of and from any and all liability, actions, claims, demands,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expenses (including but not limited to attorneys’ fees, mediation expenses, arbitration expenses, and other costs of litigation or dispute resolution), damages,causes of action (whether at law, equityor otherwise), suitsor obligations of any nature,whether statutory, contractual or tortious, whetherknown or unknown,foreseen or unforeseen, accrued or hereafteraccruing, which the Releasing Parties, have ever had, now have or may have in the future against the Company arising at anytime up to the Effective Date, including, without limitation of the foregoing general terms, any claim arising out of Holder’s ownership of Holder Membership Units the Company, employment with the Company, any occurrence, claim, allegation or relationship from or with the Company. In the event Holder files a charge, claim or lawsuit against the Company that alleges a claim released in this Section 6, the Company shall be entitled to all reasonable attorneys’ fees and costs incurred responding to Holder’s charge, claim or lawsuit.</w:t>
      </w:r>
    </w:p>
    <w:p>
      <w:pPr>
        <w:spacing w:after="0" w:line="19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6.2. Nothing in this Agreement is intended to or shall interfere with Holder’s right to participate in a proceeding with any appropriate federal, state, or local government agency enforcing employment laws, including, but not limited to the EqualEmployment Opportunity Commission (“</w:t>
      </w:r>
      <w:r>
        <w:rPr>
          <w:rFonts w:ascii="Times New Roman" w:cs="Times New Roman" w:eastAsia="Times New Roman" w:hAnsi="Times New Roman"/>
          <w:sz w:val="18"/>
          <w:szCs w:val="18"/>
          <w:b w:val="1"/>
          <w:bCs w:val="1"/>
          <w:color w:val="auto"/>
        </w:rPr>
        <w:t>EEOC</w:t>
      </w:r>
      <w:r>
        <w:rPr>
          <w:rFonts w:ascii="Times New Roman" w:cs="Times New Roman" w:eastAsia="Times New Roman" w:hAnsi="Times New Roman"/>
          <w:sz w:val="18"/>
          <w:szCs w:val="18"/>
          <w:color w:val="auto"/>
        </w:rPr>
        <w:t>”) or any comparable administrative state agency that enforces employment laws, nor shall this Agreement prohibit Holder from cooperating with any such agency in its investigation, but to the extent Holder does bring/file any such charge, claim or lawsuit concerning claims released in Section 6.1, the Holder’s monetaryrecovery is limited to the remuneration provided to Holder as consideration to this Agreement.</w:t>
      </w:r>
    </w:p>
    <w:p>
      <w:pPr>
        <w:spacing w:after="0" w:line="71" w:lineRule="exact"/>
        <w:rPr>
          <w:sz w:val="20"/>
          <w:szCs w:val="20"/>
          <w:color w:val="auto"/>
        </w:rPr>
      </w:pPr>
    </w:p>
    <w:p>
      <w:pPr>
        <w:ind w:left="560" w:hanging="552"/>
        <w:spacing w:after="0"/>
        <w:tabs>
          <w:tab w:leader="none" w:pos="560" w:val="left"/>
        </w:tabs>
        <w:numPr>
          <w:ilvl w:val="0"/>
          <w:numId w:val="2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Damages</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7.1. It is agreed that any breach of any of the covenants contained in this Agreement will result in irreparable harm and continuing damages to the Company and its businessand that the Company’s remedyat law for any such breach will be inadequate and, accordingly, in addition to any and all other remedies that may be available to the Company,any court of competent jurisdiction may issue a decree of specific performance or issue a temporary and permanent injunction, without the necessity of the Companyposting bond or furnishing other security and without proving special damages or irreparable injury.</w:t>
      </w:r>
    </w:p>
    <w:p>
      <w:pPr>
        <w:spacing w:after="0" w:line="287" w:lineRule="exact"/>
        <w:rPr>
          <w:sz w:val="20"/>
          <w:szCs w:val="20"/>
          <w:color w:val="auto"/>
        </w:rPr>
      </w:pPr>
    </w:p>
    <w:p>
      <w:pPr>
        <w:ind w:left="560" w:hanging="552"/>
        <w:spacing w:after="0"/>
        <w:tabs>
          <w:tab w:leader="none" w:pos="560" w:val="left"/>
        </w:tabs>
        <w:numPr>
          <w:ilvl w:val="0"/>
          <w:numId w:val="2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Mediation and Mandatory Binding Arbitration</w:t>
      </w:r>
    </w:p>
    <w:p>
      <w:pPr>
        <w:spacing w:after="0" w:line="22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8.1. The Parties believe that if a dispute related to anything covered in this Agreement, Holder’s employment (or former employment), or Holder’s ownership of Holder Membership Units arises, it is in the best interest of both the Holder and the Company to resolve the dispute without litigation. Accordingly, to provide for more expeditious resolution of any and all Holder’s controversies, claims, or disputes with anyone (including the Company and any Holder, employee, officer, director, member, or benefit plan of the Company in their corporate capacity or individual capacity) arising out of, relating to, or resulting from Holder’s employment or separation therefrom, Holder’s ownership of Holder Membership Units the Company, termination of ownership of Holder Membership Units the Company and/or anything covered in this Agreement or any other agreement between the Holder and the Company shall be subject to mandatory mediation, and, if necessary, mandatory binding arbitration under the procedure set forth below. Disputes that will be mediated and (if necessary) arbitrated include any and all Covered Claims (defined below in Section 8.3).</w:t>
      </w:r>
    </w:p>
    <w:p>
      <w:pPr>
        <w:spacing w:after="0" w:line="19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8.2. In agreeing to submit certainemployment and contractdisputes for resolution by mediation and (if necessary) arbitration, Holder acknowledges that this Agreement is given in exchange for rights to which Holder is not otherwise entitled. In exchange for Holder’s agreement to submit these disputes to mediation and (if necessary) arbitration as the exclusive forum for resolving employment and contract disputes covered by this Agreement, the LLCAgreement, and any subjects coveredby any agreement between Holderand the Company.As such, the Parties shall be precluded from bringingor raising in court or another forum any disputethat was or could have been brought or raised under the procedures set forth in this Agreement.</w:t>
      </w:r>
    </w:p>
    <w:p>
      <w:pPr>
        <w:spacing w:after="0" w:line="19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0" w:name="page161"/>
    <w:bookmarkEnd w:id="160"/>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8.3. “</w:t>
      </w:r>
      <w:r>
        <w:rPr>
          <w:rFonts w:ascii="Times New Roman" w:cs="Times New Roman" w:eastAsia="Times New Roman" w:hAnsi="Times New Roman"/>
          <w:sz w:val="18"/>
          <w:szCs w:val="18"/>
          <w:b w:val="1"/>
          <w:bCs w:val="1"/>
          <w:color w:val="auto"/>
        </w:rPr>
        <w:t>Covered Claims</w:t>
      </w:r>
      <w:r>
        <w:rPr>
          <w:rFonts w:ascii="Times New Roman" w:cs="Times New Roman" w:eastAsia="Times New Roman" w:hAnsi="Times New Roman"/>
          <w:sz w:val="18"/>
          <w:szCs w:val="18"/>
          <w:color w:val="auto"/>
        </w:rPr>
        <w:t>” include all legally-protected contract and/or employment-related claims, excluding Excluded Claims (defined below in Section 8.14), that the Holder may have or in the future may have against the Company, its officers, directors, employees, members or benefit plan of the Company in their corporate or individual capacity), which arise out of or related to the Holder’s ownership of Holder Membership Units; employment, including hire, and separation from ownership of employment and all legally-protected employment- related claims that the Company has or in the future may have against the Holder, including, but not limitedto, claims of employment discrimination or harassment, if protected by applicable federal,state or local law, and retaliation for raising discrimination or harassment claims; whistleblower; failure to pay wages, bonuses or other compensation; tortious action, including interference; retaliatory and/or constructive discharge; breach of an express or implied contract; promissory estoppel; unjust enrichment; negligent or intentional infliction of emotional distress; breach of contract, and violations of any the common law, federal, state,or local statute,ordinance, regulation or public policy, including claims for wrongful termination in violation of public policy,including, but not limited to Title VII of the Civil Rights Act of 1964, the Civil Rights Act of 1866 and 1991, the Americans with Disabilities Act of 1990, the Age Discrimination in Employment Act of 1967, the Older Workers Benefit Protection Act of 1990, The Americans with Disabilities Act of 1990, the Family and Medical Leave Act of 1993, the Fair Labor Standards Act of 1938, the Equal Pay Act of 1963, Section 1981 of the Civil Rights Act, and any and all comparable state employment laws. This mandatory mediation and arbitration provision also includes claims arising from the subject covered in this Agreement, the LLC Agreement, and any and all subjectscovered in any other agreement between the Holderand the Company. This mediation and mandatory binding arbitration provision does not includeExcluded Claims, or claims that cannot be arbitrated by law. Covered Claims may only be pursued on an individual basis and Holder waives the right to participate in or receive money or any other relief from any class action, collective action or representative proceeding.</w:t>
      </w:r>
    </w:p>
    <w:p>
      <w:pPr>
        <w:spacing w:after="0" w:line="19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8.4. As a prerequisite for submitting Covered Claims to mediation and (if necessary) arbitration, Holder agrees to make good faith efforts at resolving any dispute internally on an informal basis through the Company’s management channels appropriate to that particular dispute. Specifically, prior to movingfor mediation, Holdermust contact "[_______________]" for resolving the dispute informally. Only when those internal effortsfail Covered Claimsmay be submitted to mediation and (if necessary) final and binding arbitration under the terms of the procedure set forth herein.</w:t>
      </w:r>
    </w:p>
    <w:p>
      <w:pPr>
        <w:spacing w:after="0" w:line="18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8.5. If efforts at informal resolution fail, disputes concerning Covered Claims must first be submitted for non-binding mediation before a neutral third party mediator. Mediation is an informal process where the Parties to a dispute meet in an attempt to reach a voluntary resolution, using the third party as a facilitator/mediator. Mediation shall be conducted and administered by the American Arbitration Association (“</w:t>
      </w:r>
      <w:r>
        <w:rPr>
          <w:rFonts w:ascii="Times New Roman" w:cs="Times New Roman" w:eastAsia="Times New Roman" w:hAnsi="Times New Roman"/>
          <w:sz w:val="18"/>
          <w:szCs w:val="18"/>
          <w:b w:val="1"/>
          <w:bCs w:val="1"/>
          <w:color w:val="auto"/>
        </w:rPr>
        <w:t>AAA</w:t>
      </w:r>
      <w:r>
        <w:rPr>
          <w:rFonts w:ascii="Times New Roman" w:cs="Times New Roman" w:eastAsia="Times New Roman" w:hAnsi="Times New Roman"/>
          <w:sz w:val="18"/>
          <w:szCs w:val="18"/>
          <w:color w:val="auto"/>
        </w:rPr>
        <w:t>”) under its Mediation Rules, which are incorporated herein by reference.</w:t>
      </w:r>
    </w:p>
    <w:p>
      <w:pPr>
        <w:spacing w:after="0" w:line="180"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8.6. If the matterdoes not resolvein mediation, eitherthe Company or the Holdermay submit the dispute for resolution by final bindingconfidential arbitration. The arbitration shall be conducted under the AAA’s Rules for Commercial Disputes (the “</w:t>
      </w:r>
      <w:r>
        <w:rPr>
          <w:rFonts w:ascii="Times New Roman" w:cs="Times New Roman" w:eastAsia="Times New Roman" w:hAnsi="Times New Roman"/>
          <w:sz w:val="18"/>
          <w:szCs w:val="18"/>
          <w:b w:val="1"/>
          <w:bCs w:val="1"/>
          <w:color w:val="auto"/>
        </w:rPr>
        <w:t>Rules</w:t>
      </w:r>
      <w:r>
        <w:rPr>
          <w:rFonts w:ascii="Times New Roman" w:cs="Times New Roman" w:eastAsia="Times New Roman" w:hAnsi="Times New Roman"/>
          <w:sz w:val="18"/>
          <w:szCs w:val="18"/>
          <w:color w:val="auto"/>
        </w:rPr>
        <w:t>”), which includes the joint selection of an impartial arbitrator and for the hearing of evidencebefore the arbitrator, with the additional proviso that the arbitration be conducted on a confidential basis. The arbitrator shallhave the power to decide any motionsbrought by any party to the arbitration, including discovery motions, motions for summary judgment and/or adjudication and motions to dismiss and demurrers, prior to any arbitration hearing. The arbitrator shall issue a written decision on the merits. The arbitrator shall have the power to award any remedies, including attorneys’ fees and costs, available under applicable law. The arbitrator shall administer and conduct any arbitration in a mannerconsistent with the rules set forth aboveand that to the extentthat the Rules conflictwith this contractual requirement, the Rules shall take precedence over this contractual requirement. The burden of proof at an arbitration shall at all times be on the party seeking relief. In reaching a decision, the arbitrator shall apply the governing substantive law applicable to the claims, causes of action and defenses asserted by the parties as applicable in the state of Delaware. The arbitrator shall have the power to award all remedies that could be awarded by a court or administrative agency in accordance with the governing and applicable substantive law.</w:t>
      </w:r>
    </w:p>
    <w:p>
      <w:pPr>
        <w:spacing w:after="0" w:line="192" w:lineRule="exact"/>
        <w:rPr>
          <w:sz w:val="20"/>
          <w:szCs w:val="20"/>
          <w:color w:val="auto"/>
        </w:rPr>
      </w:pPr>
    </w:p>
    <w:p>
      <w:pPr>
        <w:ind w:left="760"/>
        <w:spacing w:after="0"/>
        <w:tabs>
          <w:tab w:leader="none" w:pos="1320" w:val="left"/>
        </w:tabs>
        <w:rPr>
          <w:sz w:val="20"/>
          <w:szCs w:val="20"/>
          <w:color w:val="auto"/>
        </w:rPr>
      </w:pPr>
      <w:r>
        <w:rPr>
          <w:rFonts w:ascii="Times New Roman" w:cs="Times New Roman" w:eastAsia="Times New Roman" w:hAnsi="Times New Roman"/>
          <w:sz w:val="18"/>
          <w:szCs w:val="18"/>
          <w:color w:val="auto"/>
        </w:rPr>
        <w:t>8.7.</w:t>
      </w:r>
      <w:r>
        <w:rPr>
          <w:sz w:val="20"/>
          <w:szCs w:val="20"/>
          <w:color w:val="auto"/>
        </w:rPr>
        <w:tab/>
      </w:r>
      <w:r>
        <w:rPr>
          <w:rFonts w:ascii="Times New Roman" w:cs="Times New Roman" w:eastAsia="Times New Roman" w:hAnsi="Times New Roman"/>
          <w:sz w:val="17"/>
          <w:szCs w:val="17"/>
          <w:color w:val="auto"/>
        </w:rPr>
        <w:t>Arbitration under this Agreement will occur in Chicago, Illinois, unless otherwise agreed upon by the Holder and the Company.</w:t>
      </w:r>
    </w:p>
    <w:p>
      <w:pPr>
        <w:spacing w:after="0" w:line="22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8.8. Information about the AAA is available from its website www.adr.org. Holder may contact the AAA directly at 1-800-778-7879. To initiate arbitration, Holder must sent a written demand for arbitration to any office of the AAA (or if another mutually acceptable arbitrator has been agreed upon to the office of such other arbitrator). Holder submitting the demand for arbitration must also simultaneously send a copy of the written demand for arbitration to the Company pursuant to the electronic notice requirements set forth in Section 8.4. Both of the following must be included in the demand for arbitration:</w:t>
      </w:r>
    </w:p>
    <w:p>
      <w:pPr>
        <w:spacing w:after="0" w:line="200" w:lineRule="exact"/>
        <w:rPr>
          <w:sz w:val="20"/>
          <w:szCs w:val="20"/>
          <w:color w:val="auto"/>
        </w:rPr>
      </w:pPr>
    </w:p>
    <w:p>
      <w:pPr>
        <w:spacing w:after="0" w:line="21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1" w:name="page162"/>
    <w:bookmarkEnd w:id="161"/>
    <w:p>
      <w:pPr>
        <w:jc w:val="both"/>
        <w:ind w:left="1060" w:firstLine="1344"/>
        <w:spacing w:after="0" w:line="266" w:lineRule="auto"/>
        <w:tabs>
          <w:tab w:leader="none" w:pos="3082"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of the natureof the dispute, including the alleged omissionor act at issue, the names of the parties involved in the dispute, the amount in controversy, if any, the remedy sought to resolve the issue (including the dollar amount, if any), the mailing address for future correspondence and the legal counsel, if any, and</w:t>
      </w:r>
    </w:p>
    <w:p>
      <w:pPr>
        <w:spacing w:after="0" w:line="175" w:lineRule="exact"/>
        <w:rPr>
          <w:rFonts w:ascii="Times New Roman" w:cs="Times New Roman" w:eastAsia="Times New Roman" w:hAnsi="Times New Roman"/>
          <w:sz w:val="18"/>
          <w:szCs w:val="18"/>
          <w:color w:val="auto"/>
        </w:rPr>
      </w:pPr>
    </w:p>
    <w:p>
      <w:pPr>
        <w:jc w:val="both"/>
        <w:ind w:left="1060" w:firstLine="1344"/>
        <w:spacing w:after="0" w:line="258" w:lineRule="auto"/>
        <w:tabs>
          <w:tab w:leader="none" w:pos="2969"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required filing fee. If a covered claim is filed by the Holder or former Holder, the filing fee is $100 payableby check, money order or any other methodof payment permitted by the AAA (or another mutually acceptable arbitrator). If the filing required by the state or federal court in which the covered claim could have been brought is less than $100, the Company will refund Holder the difference within thirty calendar days of receiving notice of payment. Any demand received by the AAA (or another mutually acceptable arbitrator) that is not accompanied by the required filing fee will be returned.</w:t>
      </w:r>
    </w:p>
    <w:p>
      <w:pPr>
        <w:spacing w:after="0" w:line="18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8.9. Section 9.9 sets forth the time limitation requirement for commencing mediation and (if necessary) following arbitration. Nothingin this Agreementreleased the Holderor the Company from any obligation to comply with timely filing requirements under applicable federal law. Thus, whether or not the Holder chooses to file withan administrative agency, the demand for mediation, whichmay result in arbitration, must be noticedto the Company as set forth in Section8.4 within the time periodset forth in Section 9.9. Nothing in this Agreementis intended or should be construed to shorten or extend the filing period required for exhaustion of administrative remedies under federal law.</w:t>
      </w:r>
    </w:p>
    <w:p>
      <w:pPr>
        <w:spacing w:after="0" w:line="39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8.10. All ordinary and reasonable administrative expenses of the arbitration, including the fees for a single arbitrator, hearing room expenses, travel expenses of the arbitrator, the AAA representatives (if applicable), and any witnesses produced at the arbitrator’s specific request and not otherwise called by a part, will be paid for equally by the Parties. The fees and expenses of any witness, expert, consultant interpreter, and others retained or consulted by a party shall be paid by the party requiring the presence of such persons, subject to applicable law. Nothing in this Agreement is intended or should be construed to require Holder or former Holder to bear any type of expense that they would not otherwise bear if the Holder were to litigate a Covered Claim in a court of law.</w:t>
      </w:r>
    </w:p>
    <w:p>
      <w:pPr>
        <w:spacing w:after="0" w:line="18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8.11. Except as provided by the Rules, law, and/or this Agreement, mediation and (if necessary) arbitration shall be the sole, exclusive and final remedy for any dispute between Holder and the Company. Notwithstanding, the arbitrator will not have the authority to disregard or refuse to enforce any lawful Company policy, and the arbitrator shall not order or requirethe Company to adopt a policy not otherwise requiredby law which the Company has not adopted.</w:t>
      </w:r>
    </w:p>
    <w:p>
      <w:pPr>
        <w:spacing w:after="0" w:line="180"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8.12. Judgment upon the award renderedby the arbitrator may be entered in any court having jurisdiction. The award may be vacated or modified only on the grounds specified in the Delaware Uniform Arbitration Act or other applicable law.</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8.13. In addition to the right under the AAA rules to petition the court for provisional relief, any party may also petition the court for injunctive relief where either party allegesor claims a violation of this Agreement. In the event either party seeks injunctive relief, the prevailing party shall be entitled to recover reasonable costs and attorney’s fees.</w:t>
      </w:r>
    </w:p>
    <w:p>
      <w:pPr>
        <w:spacing w:after="0" w:line="176" w:lineRule="exact"/>
        <w:rPr>
          <w:sz w:val="20"/>
          <w:szCs w:val="20"/>
          <w:color w:val="auto"/>
        </w:rPr>
      </w:pPr>
    </w:p>
    <w:p>
      <w:pPr>
        <w:ind w:left="760"/>
        <w:spacing w:after="0"/>
        <w:tabs>
          <w:tab w:leader="none" w:pos="1420" w:val="left"/>
        </w:tabs>
        <w:rPr>
          <w:sz w:val="20"/>
          <w:szCs w:val="20"/>
          <w:color w:val="auto"/>
        </w:rPr>
      </w:pPr>
      <w:r>
        <w:rPr>
          <w:rFonts w:ascii="Times New Roman" w:cs="Times New Roman" w:eastAsia="Times New Roman" w:hAnsi="Times New Roman"/>
          <w:sz w:val="18"/>
          <w:szCs w:val="18"/>
          <w:color w:val="auto"/>
        </w:rPr>
        <w:t>8.14.</w:t>
      </w:r>
      <w:r>
        <w:rPr>
          <w:sz w:val="20"/>
          <w:szCs w:val="20"/>
          <w:color w:val="auto"/>
        </w:rPr>
        <w:tab/>
      </w:r>
      <w:r>
        <w:rPr>
          <w:rFonts w:ascii="Times New Roman" w:cs="Times New Roman" w:eastAsia="Times New Roman" w:hAnsi="Times New Roman"/>
          <w:sz w:val="18"/>
          <w:szCs w:val="18"/>
          <w:color w:val="auto"/>
        </w:rPr>
        <w:t>Under no circumstances will Holder be retaliated against in any way for invoking this Section 8 in good faith to seek the resolution of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dispute.</w:t>
      </w:r>
    </w:p>
    <w:p>
      <w:pPr>
        <w:spacing w:after="0" w:line="203" w:lineRule="exact"/>
        <w:rPr>
          <w:sz w:val="20"/>
          <w:szCs w:val="20"/>
          <w:color w:val="auto"/>
        </w:rPr>
      </w:pPr>
    </w:p>
    <w:p>
      <w:pPr>
        <w:ind w:left="760"/>
        <w:spacing w:after="0"/>
        <w:tabs>
          <w:tab w:leader="none" w:pos="1420" w:val="left"/>
        </w:tabs>
        <w:rPr>
          <w:sz w:val="20"/>
          <w:szCs w:val="20"/>
          <w:color w:val="auto"/>
        </w:rPr>
      </w:pPr>
      <w:r>
        <w:rPr>
          <w:rFonts w:ascii="Times New Roman" w:cs="Times New Roman" w:eastAsia="Times New Roman" w:hAnsi="Times New Roman"/>
          <w:sz w:val="18"/>
          <w:szCs w:val="18"/>
          <w:color w:val="auto"/>
        </w:rPr>
        <w:t>8.15.</w:t>
      </w:r>
      <w:r>
        <w:rPr>
          <w:sz w:val="20"/>
          <w:szCs w:val="20"/>
          <w:color w:val="auto"/>
        </w:rPr>
        <w:tab/>
      </w:r>
      <w:r>
        <w:rPr>
          <w:rFonts w:ascii="Times New Roman" w:cs="Times New Roman" w:eastAsia="Times New Roman" w:hAnsi="Times New Roman"/>
          <w:sz w:val="18"/>
          <w:szCs w:val="18"/>
          <w:color w:val="auto"/>
        </w:rPr>
        <w:t>Holder is not prohibited from pursuing the following claimsthat are not subject to arbitration under this Agreement (each an “</w:t>
      </w:r>
      <w:r>
        <w:rPr>
          <w:rFonts w:ascii="Times New Roman" w:cs="Times New Roman" w:eastAsia="Times New Roman" w:hAnsi="Times New Roman"/>
          <w:sz w:val="18"/>
          <w:szCs w:val="18"/>
          <w:b w:val="1"/>
          <w:bCs w:val="1"/>
          <w:color w:val="auto"/>
        </w:rPr>
        <w:t>Excluded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(1) any criminal complaint or proceedings; (2) any claims covered by state unemployment insurance, state or federaldisability insurance,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and/orstate workers’ compensation benefit laws, except that claims for retaliation pursuant to these laws shall be subject to arbitration under the terms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requirement, (3) any claim under the National Labor Relations Act; (4) claims for benefits under a plan that is governed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HolderRetirement Income SecurityAct of 1974; (5) and an administrative claim with a local, state or federal administrative body such as the Department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Employment, Illinois Human RightsCommission, Delaware Human Relations Commission, the EEOC and similar stateagencies. However, they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pursue court action subsequent to and/or regarding any such claim. This does not preclude the individual from filing an administrative claim or charge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EEOC and/or state and local human rights agencies to investigate alleged violations of laws enforced by the EEOC or those agencies. However,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 understands that that Holder is not required to initiate an administrative proceeding before pursuing a Covered Claim under this Agreement.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event Holder files such an administrative proceeding, Holder understands that Holder cannotpursue Covered Claimsunder this Agreement withoutfirst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exhausting all required administrative remedies, such as obtain a right to sue noticefrom the EEOC in order to arbitrate federaldiscrimination claims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 such a notice.By responding to administrative agencies, the Company does not waive its right to enforce its arbitration rights under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its right to arbitration and the arbitrator shall treat a decision of an administrative agency in the same manner as it would be treated by a court of law.</w:t>
      </w:r>
    </w:p>
    <w:p>
      <w:pPr>
        <w:spacing w:after="0" w:line="22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2" w:name="page163"/>
    <w:bookmarkEnd w:id="162"/>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8.16. This Agreement sets forth the complete agreement of the Parties on the subject of mediation and arbitration of the Covered Claims defined above and supersedes any prior or contemporaneous oral or written understanding on these subjects. No party is relying on any representations, oral or written,on the subject or the effect, enforceability or meaning of this Agreement, except as specifically set forth in this Section 8.</w:t>
      </w:r>
    </w:p>
    <w:p>
      <w:pPr>
        <w:spacing w:after="0" w:line="280" w:lineRule="exact"/>
        <w:rPr>
          <w:sz w:val="20"/>
          <w:szCs w:val="20"/>
          <w:color w:val="auto"/>
        </w:rPr>
      </w:pPr>
    </w:p>
    <w:p>
      <w:pPr>
        <w:ind w:left="560" w:hanging="552"/>
        <w:spacing w:after="0"/>
        <w:tabs>
          <w:tab w:leader="none" w:pos="560" w:val="left"/>
        </w:tabs>
        <w:numPr>
          <w:ilvl w:val="0"/>
          <w:numId w:val="2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9.1. Nothing contained in this Agreement creates any right of employment or limits or restricts the Company’s or Holder’s right to terminate Holder’s employment at any time in the event the Holder is employed at- will (as nothing in this Agreement should be or is to be construed as changing the at-will nature of the Holder’s employment) or via the terms of Holder’s employment agreement, if one exists.</w:t>
      </w:r>
    </w:p>
    <w:p>
      <w:pPr>
        <w:spacing w:after="0" w:line="17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9.2. Holder also acknowledges and agrees that Holder has no expectation of privacy with respect to the Company’s telecommunications, networking or information processing systems (including, withoutlimitation, stored computer files, email messages and voice messages) and that my activity and any files or messages on or using any of those systems may be monitored at any time without notice.</w:t>
      </w:r>
    </w:p>
    <w:p>
      <w:pPr>
        <w:spacing w:after="0" w:line="17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9.3. It is the intention of the Partiesthat all provisions of this Agreement be enforced to the fullestextent permitted by law. If any provision of this Agreementshall be found invalid or unenforceable for any reason,in whole or in part, then such provision shall be deemed modified, restricted, or reformulated to the extent and in the manner necessary to renderthe same validand enforceable, or shall be deemed excisedfrom this Agreement, as the case may require, and this Agreement shall be construed and enforced to the maximum extent permitted by law, as if such provision had been originally incorporated herein as so modified, restricted, or reformulated or as if such provision had not been originally incorporated herein, as the case may be. This Agreement contains the entire understanding and agreement between the Parties with respect to this subject matter, and supersedes all prior oral and written agreements, if any, between us with respect to that subject matter. Holder understands and acknowledges that the Company’s rights under this Agreement shall inure to the benefitof any of its successors and/or assigns, and Holder shall continue to be bound by the terms hereof with any of the Company’s successors and/or assigns.</w:t>
      </w:r>
    </w:p>
    <w:p>
      <w:pPr>
        <w:spacing w:after="0" w:line="18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9.4. Any failure by the Company to enforce any part of this Agreement at any time shall in no way affect the Company’s right to enforce the same at a later time. No waiver by the Company of any provision in this Agreement, or of any breach of any such provision, shall be effective unless in writing and signed by an officer of the Company, and no waiver in any one or more instances shall be deemed to be a further or continuing waiver of any such provision or breach in other instances or a waiverof any other provision or breach of any other provision or covenant.</w:t>
      </w:r>
    </w:p>
    <w:p>
      <w:pPr>
        <w:spacing w:after="0" w:line="180"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 xml:space="preserve">9.5. The validity, construction, and interpretation of this Agreement and the rights and duties of the parties to it shall be governed by the laws of Delaware. Any actions or proceedings instituted under this Agreement with respect to any matters arising under or related to this Agreement, any agreement(s) between Holder and the Company, and any matters regarding Holder’s ownership of Holder Membership Units with the Company, employment with and/or other contracts with the Company must be mediated and (if necessary) arbitrated. To the extent an injunction is necessary to prevent or respond to breach of this Agreement or any other agreement between Holder and the Company, said equitable suit, shall be brought and tried only in an Illinois state court or the United States Northern DistrictCourt for Illinois(if diversity or federal questionjurisdiction exists) exceptthat the Company, in its sole election and discretion, can bring suit in any jurisdiction in which Holder may be in violation of the Agreement. Holder consents to the personal jurisdiction of the state courts of Illinois, the United States Northern District Court for Illinois, or any other jurisdiction in which the Company has the right to bring suit and expressly waives any right to cause any such actions or proceedings to be brought or tried elsewhere. </w:t>
      </w:r>
      <w:r>
        <w:rPr>
          <w:rFonts w:ascii="Times New Roman" w:cs="Times New Roman" w:eastAsia="Times New Roman" w:hAnsi="Times New Roman"/>
          <w:sz w:val="18"/>
          <w:szCs w:val="18"/>
          <w:b w:val="1"/>
          <w:bCs w:val="1"/>
          <w:color w:val="auto"/>
        </w:rPr>
        <w:t>Holder further agrees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waive any right Holder otherwise may have to a trial by jury in any action to enforce the terms of this Agreement.</w:t>
      </w:r>
    </w:p>
    <w:p>
      <w:pPr>
        <w:spacing w:after="0" w:line="194"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9.6. The Holder acknowledges that the Company’s remedy at law for a breach by Holder of the provisions of Sections 1 and 4 will be inadequate. Accordingly, in the event of a breach or threatened breach by the Holder of any provision of Sections 1 and 4, the Companyshall be entitlednot to make payments that would otherwise be due to the Holder hereunder (except for unpaid amounts that accrued prior to the occurrence of any such breach or threatened breach) and to seek injunctive relief in additionto any other remedy it mayhave. If any of the provisions of, or covenants contained in, Sections 1 and 4 are hereafter construed to be invalid or unenforceable in any jurisdiction, the same shall not affect the remainder of the provisions or the enforceability thereof in any other jurisdiction, which shall be given full effect, without regard to the invalidity or unenforceability in such other jurisdiction.</w:t>
      </w:r>
    </w:p>
    <w:p>
      <w:pPr>
        <w:spacing w:after="0" w:line="185" w:lineRule="exact"/>
        <w:rPr>
          <w:sz w:val="20"/>
          <w:szCs w:val="20"/>
          <w:color w:val="auto"/>
        </w:rPr>
      </w:pPr>
    </w:p>
    <w:p>
      <w:pPr>
        <w:ind w:firstLine="749"/>
        <w:spacing w:after="0" w:line="286"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b w:val="1"/>
          <w:bCs w:val="1"/>
          <w:color w:val="auto"/>
        </w:rPr>
        <w:t>HOLDER’S EMPLOYMENT WILL BE “AT-WILL” AND THE COMPANY AND THE HOLDER RETAIN THE RIGHT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TERMINATE THE EMPLOYMENT RELATIONSHIP AT ANY TIME</w:t>
      </w:r>
    </w:p>
    <w:p>
      <w:pPr>
        <w:spacing w:after="0" w:line="1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3" w:name="page164"/>
    <w:bookmarkEnd w:id="163"/>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WITHOUT CAUSE AND WITHOUT LIABILITY, EXPENSE OR SEVERANCE UNLESS OTHERWISE PROVIDED BY WRITTEN CONTRACT BETWEEN THE PARTIES.</w:t>
      </w:r>
    </w:p>
    <w:p>
      <w:pPr>
        <w:spacing w:after="0" w:line="15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9.8. Following any termination of Holder’s ownership of Holder Membership Units the Company, Holder shall fully cooperate with the Companyin all matters relating to the windingup of Holder’s pendingwork on behalf of the Company and/or any of the Company’s customers, prospective customers, investors, and prospective investors and the orderly transfer of any such pending work to other Holder or agent of the Company as may be designated. If requested by the Company,Holder shall participate in a termination interview for the purpose of discussing the variousrights and responsibilities of the Companyand/or any of the Company’s customers or investors subsequent to Holder’s separation from employment with the Company.</w:t>
      </w:r>
    </w:p>
    <w:p>
      <w:pPr>
        <w:spacing w:after="0" w:line="183"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18"/>
          <w:szCs w:val="18"/>
          <w:color w:val="auto"/>
        </w:rPr>
        <w:t>9.9.</w:t>
      </w:r>
      <w:r>
        <w:rPr>
          <w:sz w:val="20"/>
          <w:szCs w:val="20"/>
          <w:color w:val="auto"/>
        </w:rPr>
        <w:tab/>
      </w:r>
      <w:r>
        <w:rPr>
          <w:rFonts w:ascii="Times New Roman" w:cs="Times New Roman" w:eastAsia="Times New Roman" w:hAnsi="Times New Roman"/>
          <w:sz w:val="18"/>
          <w:szCs w:val="18"/>
          <w:b w:val="1"/>
          <w:bCs w:val="1"/>
          <w:color w:val="auto"/>
        </w:rPr>
        <w:t>LIMITATION OF TIME TO BRING ACTION. Holder agrees that any claim arising out of Holder’s ownership of Holder</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Membership Units, employment, breach of this Agreement (including request for arbitration) with Company, breach of the RCPFM LLC Agreement, and/or any agreement with the Company must be filed no more than 300 days of the date of the employment action,breach, threatened breach, or right of action that is the subject of Holder’s claim(s). While Holder understands that the statute of limitations for claims arising out of a breach, an employment or commercial action may be longer than 300 days, Holder agrees to be bound by the 300-day period of limitations set forth herein, and specifically agrees to waive any statuteof limitations to the contrary.This means that any request for mediation, which would thereafter trigger the mandatory binding arbitration in the event mediation is not successful, must be commenced within 300 days of the employment action, breach, threatened breach, or right of actionthat is the subject of Holder’s claim(s).</w:t>
      </w:r>
    </w:p>
    <w:p>
      <w:pPr>
        <w:spacing w:after="0" w:line="188"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9.10. The rights and obligations of the Holder and the Company under Sections 1, 2, 3, 4, 5 and 8 shall survive the termination of this Agreement.</w:t>
      </w:r>
    </w:p>
    <w:p>
      <w:pPr>
        <w:spacing w:after="0" w:line="16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9.11. Holder has voluntarily signed this Agreement after determining that the provisions contained in this Agreement are of a material benefit to Holder, and that the duties and obligations imposed on Holder are fair and reasonable and will not prevent Holder from earning a comparable livelihood following the termination of Holder’s ownership of Holder Membership Units the Company.Holder has carefully reviewed and fully understands the terms of this Agreement and has considered its benefits and consequences. Holder has also had adequate opportunity to review this Agreement with an attorney of Holder’s choice.</w:t>
      </w:r>
    </w:p>
    <w:p>
      <w:pPr>
        <w:spacing w:after="0" w:line="183"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9.12. This Agreement may be executed in one or more counterparts, each of which shall be deemed an original, but all of which together shall constitute one and the same Agreement. Itis the express intentof the parties hereto to be boundby the exchange of signatures on this Agreement via facsimileor electronic mail via the portable document format (PDF).</w:t>
      </w:r>
    </w:p>
    <w:p>
      <w:pPr>
        <w:spacing w:after="0" w:line="17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4" w:name="page165"/>
    <w:bookmarkEnd w:id="164"/>
    <w:p>
      <w:pPr>
        <w:jc w:val="both"/>
        <w:spacing w:after="0" w:line="255" w:lineRule="auto"/>
        <w:rPr>
          <w:sz w:val="20"/>
          <w:szCs w:val="20"/>
          <w:color w:val="auto"/>
        </w:rPr>
      </w:pPr>
      <w:r>
        <w:rPr>
          <w:rFonts w:ascii="Times New Roman" w:cs="Times New Roman" w:eastAsia="Times New Roman" w:hAnsi="Times New Roman"/>
          <w:sz w:val="18"/>
          <w:szCs w:val="18"/>
          <w:color w:val="auto"/>
        </w:rPr>
        <w:t>CAUTION - READ BEFORE SIGNING; THIS IS A BINDING LEGAL DOCUMENT. BY SIGNING BELOW, THE EMPLOYEE AGREES THAT THE EMPLOYEE VOLUNTARILY AND KNOWINGLY ENTERED INTO THIS AGREEMENT AGREEING TO BE BOUND BY ALL OF ITS TERMS AND CONDITIONS. EMPLOYEE UNDERSTANDS THAT THERE IS A MEDIATION AND MANDATORY AND BINDING ARBITRATION PROVISION CONTAINED INTHIS AGREEMENT, THAT EMPLOYEE JS RELEASING CERTAIN RIGHTS THAT MAY HAVE ACCRUED PRIOR TO THE DATE OF THIS AGREEMENT, AND THAT THERE IS A 300-DAY TIME LIMITATION FOR EMPLOYEE TO BRING CERTAIN CLAIMS THAT ARE COVERED UNDER THIS AGREEMENT, ANY AGREEMENT BETWEEN THE EMPLOYEE AND THE COMPANY, INCLUDING BUT NOT LIMITED TO, AND ANY EMPLOYMENT-RELATED CLAIMS.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8282A"/>
        </w:rPr>
        <w:t>RCP 23,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8282A"/>
        </w:rPr>
        <w:t>By: 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8282A"/>
        </w:rPr>
        <w:t>Name: 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8282A"/>
        </w:rPr>
        <w:t>Title: 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8282A"/>
        </w:rPr>
        <w:t>Date: ____________________</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8282A"/>
        </w:rPr>
        <w:t>VISION MANAGEMENT SERVICES,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8282A"/>
        </w:rPr>
        <w:t>By: 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8282A"/>
        </w:rPr>
        <w:t>Name: 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8282A"/>
        </w:rPr>
        <w:t>Title: 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8282A"/>
        </w:rPr>
        <w:t>Date: ____________________</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8282A"/>
        </w:rPr>
        <w:t>Employee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8282A"/>
        </w:rPr>
        <w:t>By: 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8282A"/>
        </w:rPr>
        <w:t>Name: 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8282A"/>
        </w:rPr>
        <w:t>Date: ____________________</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5" w:name="page166"/>
    <w:bookmarkEnd w:id="165"/>
    <w:p>
      <w:pPr>
        <w:jc w:val="center"/>
        <w:ind w:right="719"/>
        <w:spacing w:after="0"/>
        <w:rPr>
          <w:sz w:val="20"/>
          <w:szCs w:val="20"/>
          <w:color w:val="auto"/>
        </w:rPr>
      </w:pPr>
      <w:r>
        <w:rPr>
          <w:rFonts w:ascii="Times New Roman" w:cs="Times New Roman" w:eastAsia="Times New Roman" w:hAnsi="Times New Roman"/>
          <w:sz w:val="18"/>
          <w:szCs w:val="18"/>
          <w:b w:val="1"/>
          <w:bCs w:val="1"/>
          <w:u w:val="single" w:color="auto"/>
          <w:color w:val="auto"/>
        </w:rPr>
        <w:t>CONFIDENTIALITY, NON-COMPETE, NON-SOLICITATION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AND</w:t>
      </w:r>
    </w:p>
    <w:p>
      <w:pPr>
        <w:spacing w:after="0" w:line="31"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u w:val="single" w:color="auto"/>
          <w:color w:val="auto"/>
        </w:rPr>
        <w:t>INVENTION ASSIGNMENT AGREEMENT</w:t>
      </w:r>
    </w:p>
    <w:p>
      <w:pPr>
        <w:spacing w:after="0" w:line="200" w:lineRule="exact"/>
        <w:rPr>
          <w:sz w:val="20"/>
          <w:szCs w:val="20"/>
          <w:color w:val="auto"/>
        </w:rPr>
      </w:pPr>
    </w:p>
    <w:p>
      <w:pPr>
        <w:spacing w:after="0" w:line="358" w:lineRule="exact"/>
        <w:rPr>
          <w:sz w:val="20"/>
          <w:szCs w:val="20"/>
          <w:color w:val="auto"/>
        </w:rPr>
      </w:pPr>
    </w:p>
    <w:p>
      <w:pPr>
        <w:jc w:val="both"/>
        <w:ind w:left="100" w:right="779" w:firstLine="749"/>
        <w:spacing w:after="0" w:line="261" w:lineRule="auto"/>
        <w:rPr>
          <w:sz w:val="20"/>
          <w:szCs w:val="20"/>
          <w:color w:val="auto"/>
        </w:rPr>
      </w:pPr>
      <w:r>
        <w:rPr>
          <w:rFonts w:ascii="Times New Roman" w:cs="Times New Roman" w:eastAsia="Times New Roman" w:hAnsi="Times New Roman"/>
          <w:sz w:val="18"/>
          <w:szCs w:val="18"/>
          <w:color w:val="auto"/>
        </w:rPr>
        <w:t xml:space="preserve">THIS CONFIDENTIALITY, NON-COMPETE, NON-SOLICITATION, AND INVENTION ASSIGNMENT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is between you and Vision Management Services, LLC (the "Employer"), a subsidiary of Green Thumb Industries Inc. (together, along with their subsidiaries, affiliates, successors and assigns, referred to herein as the "Company'” This Agreement is effective as of the date you sign it.</w:t>
      </w:r>
    </w:p>
    <w:p>
      <w:pPr>
        <w:spacing w:after="0" w:line="139" w:lineRule="exact"/>
        <w:rPr>
          <w:sz w:val="20"/>
          <w:szCs w:val="20"/>
          <w:color w:val="auto"/>
        </w:rPr>
      </w:pPr>
    </w:p>
    <w:p>
      <w:pPr>
        <w:jc w:val="both"/>
        <w:ind w:left="80" w:right="779" w:firstLine="713"/>
        <w:spacing w:after="0" w:line="256" w:lineRule="auto"/>
        <w:rPr>
          <w:sz w:val="20"/>
          <w:szCs w:val="20"/>
          <w:color w:val="auto"/>
        </w:rPr>
      </w:pPr>
      <w:r>
        <w:rPr>
          <w:rFonts w:ascii="Times New Roman" w:cs="Times New Roman" w:eastAsia="Times New Roman" w:hAnsi="Times New Roman"/>
          <w:sz w:val="18"/>
          <w:szCs w:val="18"/>
          <w:color w:val="auto"/>
        </w:rPr>
        <w:t>The Company is engaged in the nationwide operation of medical and/or adult use cannabis cultivation, processing and retail, and desires to retain your services. You acknowledge and agree that while the Company's business may be legal under certain state laws, the Company's business is illegal under federal law, and there are certain risks that you could face as a result of working for the Employer. Notwithstanding, you are willing to enter into this Agreement with the Employer and be subject to its terms, in exchange for your employment or continued employment, the payment of wages and benefits, your access to Confidential Information (defined below in Section l.3) and other good and valuable consideration.</w:t>
      </w:r>
    </w:p>
    <w:p>
      <w:pPr>
        <w:spacing w:after="0" w:line="14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You and the Employer agree as follows:</w:t>
      </w:r>
    </w:p>
    <w:p>
      <w:pPr>
        <w:spacing w:after="0" w:line="194" w:lineRule="exact"/>
        <w:rPr>
          <w:sz w:val="20"/>
          <w:szCs w:val="20"/>
          <w:color w:val="auto"/>
        </w:rPr>
      </w:pPr>
    </w:p>
    <w:p>
      <w:pPr>
        <w:ind w:left="760" w:hanging="747"/>
        <w:spacing w:after="0"/>
        <w:tabs>
          <w:tab w:leader="none" w:pos="760" w:val="left"/>
        </w:tabs>
        <w:numPr>
          <w:ilvl w:val="0"/>
          <w:numId w:val="20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b w:val="1"/>
          <w:bCs w:val="1"/>
          <w:color w:val="auto"/>
        </w:rPr>
        <w:t>Confidentiality</w:t>
      </w:r>
    </w:p>
    <w:p>
      <w:pPr>
        <w:spacing w:after="0" w:line="189" w:lineRule="exact"/>
        <w:rPr>
          <w:sz w:val="20"/>
          <w:szCs w:val="20"/>
          <w:color w:val="auto"/>
        </w:rPr>
      </w:pPr>
    </w:p>
    <w:p>
      <w:pPr>
        <w:jc w:val="both"/>
        <w:ind w:left="20" w:right="779" w:firstLine="749"/>
        <w:spacing w:after="0" w:line="261" w:lineRule="auto"/>
        <w:rPr>
          <w:sz w:val="20"/>
          <w:szCs w:val="20"/>
          <w:color w:val="auto"/>
        </w:rPr>
      </w:pPr>
      <w:r>
        <w:rPr>
          <w:rFonts w:ascii="Times New Roman" w:cs="Times New Roman" w:eastAsia="Times New Roman" w:hAnsi="Times New Roman"/>
          <w:sz w:val="18"/>
          <w:szCs w:val="18"/>
          <w:color w:val="auto"/>
        </w:rPr>
        <w:t>1.1 You acknowledge that as a result of your employment by the Employer, you will acquire Confidential Information (defined below in Section 1.3) and special knowledge of the Company's relationships with its investors, prospective investors, customers, prospective customers, and employees as a result of your employment. You acknowledge you would not otherwise have had access to such information.</w:t>
      </w:r>
    </w:p>
    <w:p>
      <w:pPr>
        <w:spacing w:after="0" w:line="139" w:lineRule="exact"/>
        <w:rPr>
          <w:sz w:val="20"/>
          <w:szCs w:val="20"/>
          <w:color w:val="auto"/>
        </w:rPr>
      </w:pPr>
    </w:p>
    <w:p>
      <w:pPr>
        <w:jc w:val="both"/>
        <w:ind w:left="20" w:right="779" w:firstLine="749"/>
        <w:spacing w:after="0" w:line="253" w:lineRule="auto"/>
        <w:rPr>
          <w:sz w:val="20"/>
          <w:szCs w:val="20"/>
          <w:color w:val="auto"/>
        </w:rPr>
      </w:pPr>
      <w:r>
        <w:rPr>
          <w:rFonts w:ascii="Times New Roman" w:cs="Times New Roman" w:eastAsia="Times New Roman" w:hAnsi="Times New Roman"/>
          <w:sz w:val="18"/>
          <w:szCs w:val="18"/>
          <w:color w:val="auto"/>
        </w:rPr>
        <w:t>1.2 You agree both during your employment by the Employer and thereafter, you will not use or disclose to any entity, association, organization or person not employed by the Company any "Confidential Information," except where such disclosure is consented to, or approved by, the Company. You and the Employer agree, however, that, pursuant to 18 USC § l 833(b), an individual may not be held criminally or civilly liable under any federal or state trade secret law for disclosing a trade secret: (i) made in confidence to a government official, either directly or indirectly, or to an attorney, solely for the purpose of reporting or investigating a suspected violation of law; and/or (ii) in a complaint or other document filed in a lawsuit or other proceeding, if such filing is made under seal. Additionally, an individual suing an employer for retaliation based on the reporting of a suspected violation of law may disclose a trade secret to his or her attorney and use the trade secret information in the court proceeding, so long as any document containing the trade secret is filed under seal and the individual does not disclose the trade secret except pursuant to court order.</w:t>
      </w:r>
    </w:p>
    <w:p>
      <w:pPr>
        <w:spacing w:after="0" w:line="167" w:lineRule="exact"/>
        <w:rPr>
          <w:sz w:val="20"/>
          <w:szCs w:val="20"/>
          <w:color w:val="auto"/>
        </w:rPr>
      </w:pPr>
    </w:p>
    <w:p>
      <w:pPr>
        <w:jc w:val="both"/>
        <w:ind w:left="20" w:right="779" w:firstLine="749"/>
        <w:spacing w:after="0" w:line="253" w:lineRule="auto"/>
        <w:rPr>
          <w:sz w:val="20"/>
          <w:szCs w:val="20"/>
          <w:color w:val="auto"/>
        </w:rPr>
      </w:pPr>
      <w:r>
        <w:rPr>
          <w:rFonts w:ascii="Times New Roman" w:cs="Times New Roman" w:eastAsia="Times New Roman" w:hAnsi="Times New Roman"/>
          <w:sz w:val="18"/>
          <w:szCs w:val="18"/>
          <w:color w:val="auto"/>
        </w:rPr>
        <w:t>1.3 "Confidential Information" shall include, but is not limited to, non-public: (a) valuable, competitively sensitive data and information related to the business of the Company including, without limitation, Trade Secrets (as defined below) that are not generally known by or readily available to the competitors of the Company other than as a result of an improper disclosure directly or indirectly by you; (b) any financial, engineering, business, planning, research, operations, services, products, technical information and/or know-how, standard operating procedures, genetics, genetic material, organization charts, business plans, prototypes, formulas, production, marketing, pricing, sales, profit, personnel, customer, prospective customer, supplier, or other information of the Company; (c) any papers, data, records, processes, techniques, systems, models, samples, devices, equipment, customer lists, or documents of the Company; (d) any confidential information or trade secrets of any third party provided to the Company in confidence or subject to other use or disclosure restrictions or limitations, including, but not limited to the Company's investors that includes, but is not limited to, investor information and work product; and</w:t>
      </w:r>
    </w:p>
    <w:p>
      <w:pPr>
        <w:spacing w:after="0" w:line="370" w:lineRule="exact"/>
        <w:rPr>
          <w:sz w:val="20"/>
          <w:szCs w:val="20"/>
          <w:color w:val="auto"/>
        </w:rPr>
      </w:pPr>
    </w:p>
    <w:p>
      <w:pPr>
        <w:jc w:val="both"/>
        <w:ind w:left="80" w:right="739" w:firstLine="8"/>
        <w:spacing w:after="0" w:line="261" w:lineRule="auto"/>
        <w:tabs>
          <w:tab w:leader="none" w:pos="333"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written, oral or electronic, whether existing now or at some time in the future, which pertains to the Company's business. As used in this Agreement, the term "Trade Secrets" shall mean information or data of the Company, including, but not limited to, technical or non-technical data, financial information, programs, devices, methods, techniques, drawings, processes, financial plans, product plans, or lists of actual or</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60325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117" w:right="1440" w:bottom="1440" w:gutter="0" w:footer="0" w:header="0"/>
        </w:sectPr>
      </w:pPr>
    </w:p>
    <w:bookmarkStart w:id="166" w:name="page167"/>
    <w:bookmarkEnd w:id="166"/>
    <w:p>
      <w:pPr>
        <w:jc w:val="both"/>
        <w:ind w:left="80" w:right="759"/>
        <w:spacing w:after="0" w:line="255" w:lineRule="auto"/>
        <w:rPr>
          <w:sz w:val="20"/>
          <w:szCs w:val="20"/>
          <w:color w:val="auto"/>
        </w:rPr>
      </w:pPr>
      <w:r>
        <w:rPr>
          <w:rFonts w:ascii="Times New Roman" w:cs="Times New Roman" w:eastAsia="Times New Roman" w:hAnsi="Times New Roman"/>
          <w:sz w:val="18"/>
          <w:szCs w:val="18"/>
          <w:color w:val="auto"/>
        </w:rPr>
        <w:t>potential customers or suppliers, that: (A) derive economic value, actual or potential, from not being generally known to, and not being readily ascertainable by proper means by, other persons who can obtain economic value from their disclosure or use; and (B) are the subject of efforts that are reasonable under the circumstances to maintain their secrecy. Confidential Information does not include: (a) information properly in the public domain, or (b) information which you can demonstrate was in your possession prior to the date of your original employment with the Company, except to the extent that such information is or has become a trade secret of the Company or is or otherwise has become the property of the Company. You understand and acknowledge that each and every component of the Confidential Information</w:t>
      </w:r>
    </w:p>
    <w:p>
      <w:pPr>
        <w:spacing w:after="0" w:line="162" w:lineRule="exact"/>
        <w:rPr>
          <w:sz w:val="20"/>
          <w:szCs w:val="20"/>
          <w:color w:val="auto"/>
        </w:rPr>
      </w:pPr>
    </w:p>
    <w:p>
      <w:pPr>
        <w:jc w:val="both"/>
        <w:ind w:left="60" w:right="779" w:hanging="2"/>
        <w:spacing w:after="0" w:line="261" w:lineRule="auto"/>
        <w:tabs>
          <w:tab w:leader="none" w:pos="324"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developed by the Company at significant effort and expense, and is sufficiently secret to derive economic value from not being generally known to other parties, and (b) constitutes a legitimate protectable business interest of the Company. You further agrees and acknowledges that the Company owns the Confidential Information. You agree not to dispute, contest, or deny any such ownership rights either during or after your separation from the Company for whatever reason.</w:t>
      </w:r>
    </w:p>
    <w:p>
      <w:pPr>
        <w:spacing w:after="0" w:line="139" w:lineRule="exact"/>
        <w:rPr>
          <w:sz w:val="20"/>
          <w:szCs w:val="20"/>
          <w:color w:val="auto"/>
        </w:rPr>
      </w:pPr>
    </w:p>
    <w:p>
      <w:pPr>
        <w:jc w:val="both"/>
        <w:ind w:left="20" w:right="779" w:firstLine="749"/>
        <w:spacing w:after="0" w:line="253" w:lineRule="auto"/>
        <w:rPr>
          <w:sz w:val="20"/>
          <w:szCs w:val="20"/>
          <w:color w:val="auto"/>
        </w:rPr>
      </w:pPr>
      <w:r>
        <w:rPr>
          <w:rFonts w:ascii="Times New Roman" w:cs="Times New Roman" w:eastAsia="Times New Roman" w:hAnsi="Times New Roman"/>
          <w:sz w:val="18"/>
          <w:szCs w:val="18"/>
          <w:color w:val="auto"/>
        </w:rPr>
        <w:t>1.4 Throughout your employment with the Employer and at all times thereafter: (a) you will hold all Confidential Information in the strictest confidence, take all reasonable precautions to prevent its inadvertent disclosure to any unauthorized person, and follow all Employer and any applicable Company policies designed to protect the Confidential Information; (b) you will not, directly or indirectly, utilize, communicate, disclose, divulge, or make available to any other person or entity, any of the Confidential Information, other than: (i) as specifically required by court order, law, subpoena, regulation and/or legal process or as identified above in Section 1.2, or (ii) in the proper performance of your duties during your employment with the Employer; (c) you will not use the Confidential Information or any trade secrets of Company to attempt to solicit, induce, recruit, or take away any clients, customers or employees of the Company; and (d) if you learn that any person or entity is taking or threatening to take any actions which would compromise any Confidential Information, you will promptly advise the Employer of all facts concerning such action or threatened action.</w:t>
      </w:r>
    </w:p>
    <w:p>
      <w:pPr>
        <w:spacing w:after="0" w:line="154" w:lineRule="exact"/>
        <w:rPr>
          <w:sz w:val="20"/>
          <w:szCs w:val="20"/>
          <w:color w:val="auto"/>
        </w:rPr>
      </w:pPr>
    </w:p>
    <w:p>
      <w:pPr>
        <w:jc w:val="both"/>
        <w:ind w:left="20" w:right="779" w:firstLine="749"/>
        <w:spacing w:after="0" w:line="253" w:lineRule="auto"/>
        <w:rPr>
          <w:sz w:val="20"/>
          <w:szCs w:val="20"/>
          <w:color w:val="auto"/>
        </w:rPr>
      </w:pPr>
      <w:r>
        <w:rPr>
          <w:rFonts w:ascii="Times New Roman" w:cs="Times New Roman" w:eastAsia="Times New Roman" w:hAnsi="Times New Roman"/>
          <w:sz w:val="18"/>
          <w:szCs w:val="18"/>
          <w:color w:val="auto"/>
        </w:rPr>
        <w:t>1.5 You understand that the Company does not wish to incorporate any unlicensed or unauthorized material into its products or services. Therefore, you agree that you will not knowingly disclose to the Company, use in the Company's business, or cause the Company to use, any information or material which is confidential or proprietary to any third party including, but not limited to, any former employer, competitor or client, unless the Company has a right to receive and use such information. You agree not to incorporate into your work for the Employer any material that is subject to the copyrights of any third party unless the Company has a written agreement with that third party or otherwise has the right to receive and use such information. You further represent that: (a) your execution and delive1y of this Agreement does not conflict with, or result in a breach of or constitute a default under, any agreement or contract, whether oral or written, to which you are a party or by which you may be bound; and (b) you are not involved in any litigation that would interfere with the performance of your duties on behalf of the Employer.</w:t>
      </w:r>
    </w:p>
    <w:p>
      <w:pPr>
        <w:spacing w:after="0" w:line="167" w:lineRule="exact"/>
        <w:rPr>
          <w:sz w:val="20"/>
          <w:szCs w:val="20"/>
          <w:color w:val="auto"/>
        </w:rPr>
      </w:pPr>
    </w:p>
    <w:p>
      <w:pPr>
        <w:jc w:val="both"/>
        <w:ind w:left="20" w:right="779" w:firstLine="749"/>
        <w:spacing w:after="0" w:line="254" w:lineRule="auto"/>
        <w:rPr>
          <w:sz w:val="20"/>
          <w:szCs w:val="20"/>
          <w:color w:val="auto"/>
        </w:rPr>
      </w:pPr>
      <w:r>
        <w:rPr>
          <w:rFonts w:ascii="Times New Roman" w:cs="Times New Roman" w:eastAsia="Times New Roman" w:hAnsi="Times New Roman"/>
          <w:sz w:val="18"/>
          <w:szCs w:val="18"/>
          <w:color w:val="auto"/>
        </w:rPr>
        <w:t>1.6 Your obligations under this Section I shall terminate only at such time (if any) as the Confidential Information in question becomes generally known to the public (other than as may occur from a breach of your obligations under this Agreement). If you are requested pursuant to, or required by any law, regulation or legal process to disclose any Confidential Information, you will provide the Employer with written notice of such request or requirement as promptly as the circumstances reasonably permit and comply with any protective order or other appropriate relief the Employer or the Company obtains preventing or limiting any such disclosure. You agree and acknowledge that you are obligated to maintain trade secrets pursuant to any applicable state Uniform Trade Secret Act, and that this Agreement does not supersede or in any way limit the protections of such statutory protections.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60325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297" w:right="1440" w:bottom="1440" w:gutter="0" w:footer="0" w:header="0"/>
        </w:sectPr>
      </w:pPr>
    </w:p>
    <w:bookmarkStart w:id="167" w:name="page168"/>
    <w:bookmarkEnd w:id="167"/>
    <w:p>
      <w:pPr>
        <w:ind w:left="380" w:hanging="367"/>
        <w:spacing w:after="0"/>
        <w:tabs>
          <w:tab w:leader="none" w:pos="380" w:val="left"/>
        </w:tabs>
        <w:numPr>
          <w:ilvl w:val="0"/>
          <w:numId w:val="2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Return of Company Property</w:t>
      </w:r>
    </w:p>
    <w:p>
      <w:pPr>
        <w:spacing w:after="0" w:line="202" w:lineRule="exact"/>
        <w:rPr>
          <w:sz w:val="20"/>
          <w:szCs w:val="20"/>
          <w:color w:val="auto"/>
        </w:rPr>
      </w:pPr>
    </w:p>
    <w:p>
      <w:pPr>
        <w:jc w:val="both"/>
        <w:ind w:left="20" w:right="779" w:firstLine="749"/>
        <w:spacing w:after="0" w:line="269" w:lineRule="auto"/>
        <w:rPr>
          <w:sz w:val="20"/>
          <w:szCs w:val="20"/>
          <w:color w:val="auto"/>
        </w:rPr>
      </w:pPr>
      <w:r>
        <w:rPr>
          <w:rFonts w:ascii="Times New Roman" w:cs="Times New Roman" w:eastAsia="Times New Roman" w:hAnsi="Times New Roman"/>
          <w:sz w:val="17"/>
          <w:szCs w:val="17"/>
          <w:color w:val="auto"/>
        </w:rPr>
        <w:t>2.1 Upon separation from the Employer for whatever reason, you will immediately deliver to the Employer: (a) all property of the Company that is then in your possession, custody or control, including, without limitation, all keys, access cards, computer hardware (including but not limited to any hard drives, diskettes, CDs, DVDs, flash or jump drives, laptop computers and personal data assistants and the entire contents of each such item, as well as any passwords or codes needed to access or operate effectively any such item), electronically-stored information (including but not limited to any documents or information stored within or on any third-party email or cloud-based storage repositories), computer software and programs, data, materials, papers, books, files, documents, records, policies, client and customer information and lists, financial data, marketing information, design information, specifications and plans, data base information and lists, mailing lists, notes, and any other property or information that you have relating to the Company (whether those materials are in paper or electronically stored form); and (b) any and all documents or other items containing, summarizing, or describing any Confidential Information, including all originals and copies, whether or not they are electronically stored or in hard copy form.</w:t>
      </w:r>
    </w:p>
    <w:p>
      <w:pPr>
        <w:spacing w:after="0" w:line="137" w:lineRule="exact"/>
        <w:rPr>
          <w:sz w:val="20"/>
          <w:szCs w:val="20"/>
          <w:color w:val="auto"/>
        </w:rPr>
      </w:pPr>
    </w:p>
    <w:p>
      <w:pPr>
        <w:ind w:left="800" w:hanging="787"/>
        <w:spacing w:after="0"/>
        <w:tabs>
          <w:tab w:leader="none" w:pos="800" w:val="left"/>
        </w:tabs>
        <w:numPr>
          <w:ilvl w:val="0"/>
          <w:numId w:val="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Inventions, Works, and Intellectual Property</w:t>
      </w:r>
    </w:p>
    <w:p>
      <w:pPr>
        <w:spacing w:after="0" w:line="189" w:lineRule="exact"/>
        <w:rPr>
          <w:sz w:val="20"/>
          <w:szCs w:val="20"/>
          <w:color w:val="auto"/>
        </w:rPr>
      </w:pPr>
    </w:p>
    <w:p>
      <w:pPr>
        <w:jc w:val="both"/>
        <w:ind w:left="20" w:right="779" w:firstLine="749"/>
        <w:spacing w:after="0" w:line="269" w:lineRule="auto"/>
        <w:rPr>
          <w:sz w:val="20"/>
          <w:szCs w:val="20"/>
          <w:color w:val="auto"/>
        </w:rPr>
      </w:pPr>
      <w:r>
        <w:rPr>
          <w:rFonts w:ascii="Times New Roman" w:cs="Times New Roman" w:eastAsia="Times New Roman" w:hAnsi="Times New Roman"/>
          <w:sz w:val="16"/>
          <w:szCs w:val="16"/>
          <w:color w:val="auto"/>
        </w:rPr>
        <w:t xml:space="preserve">3.1. </w:t>
      </w:r>
      <w:r>
        <w:rPr>
          <w:rFonts w:ascii="Times New Roman" w:cs="Times New Roman" w:eastAsia="Times New Roman" w:hAnsi="Times New Roman"/>
          <w:sz w:val="17"/>
          <w:szCs w:val="17"/>
          <w:color w:val="auto"/>
        </w:rPr>
        <w:t>You acknowledge and agree that all inventions; genetically-engineered material; compositions and methods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 xml:space="preserve">for making and using cannabis plants and compositions derived thereof; strains with distinctive ratios of cannabinoids; prototypes; written works, published material, ideas conceived, produced, created, or reduced to practice; personas created; developments; derivatives and improvements; copyrights; copyright designs; trade secrets; trademarks; mask work rights; processes; discoveries; enhancements; software; source code; database rights; catalogues; prints; business applications; plans; writings; and other developments or improvements and all other intellectual property and proprietary rights and any derivative works based thereon </w:t>
      </w:r>
      <w:r>
        <w:rPr>
          <w:rFonts w:ascii="Times New Roman" w:cs="Times New Roman" w:eastAsia="Times New Roman" w:hAnsi="Times New Roman"/>
          <w:sz w:val="17"/>
          <w:szCs w:val="17"/>
          <w:b w:val="1"/>
          <w:bCs w:val="1"/>
          <w:color w:val="auto"/>
        </w:rPr>
        <w:t>("Inventions")</w:t>
      </w:r>
      <w:r>
        <w:rPr>
          <w:rFonts w:ascii="Times New Roman" w:cs="Times New Roman" w:eastAsia="Times New Roman" w:hAnsi="Times New Roman"/>
          <w:sz w:val="17"/>
          <w:szCs w:val="17"/>
          <w:color w:val="auto"/>
        </w:rPr>
        <w:t xml:space="preserve"> and all works of original authorship or images that are fixed in any tangible medium of expression and all copies thereof ("Works"}, whether or not copyrightable, patentable or otherwise protectable, which are designed, created, conceived, developed or reduced to practice, writing or publication by you, either solely or jointly with others, during your employment with the Employer, including those developed on your own time, which related to or are useful in the Company's business (collectively, with the Inventions and Works, the "Intellectual Property"), are made and conceived for the benefit of the Company and are the exclusive property of the Company.</w:t>
      </w:r>
    </w:p>
    <w:p>
      <w:pPr>
        <w:spacing w:after="0" w:line="371" w:lineRule="exact"/>
        <w:rPr>
          <w:sz w:val="20"/>
          <w:szCs w:val="20"/>
          <w:color w:val="auto"/>
        </w:rPr>
      </w:pPr>
    </w:p>
    <w:p>
      <w:pPr>
        <w:jc w:val="both"/>
        <w:ind w:left="20" w:right="779" w:firstLine="749"/>
        <w:spacing w:after="0" w:line="268" w:lineRule="auto"/>
        <w:rPr>
          <w:sz w:val="20"/>
          <w:szCs w:val="20"/>
          <w:color w:val="auto"/>
        </w:rPr>
      </w:pPr>
      <w:r>
        <w:rPr>
          <w:rFonts w:ascii="Times New Roman" w:cs="Times New Roman" w:eastAsia="Times New Roman" w:hAnsi="Times New Roman"/>
          <w:sz w:val="16"/>
          <w:szCs w:val="16"/>
          <w:color w:val="auto"/>
        </w:rPr>
        <w:t xml:space="preserve">3.2 </w:t>
      </w:r>
      <w:r>
        <w:rPr>
          <w:rFonts w:ascii="Times New Roman" w:cs="Times New Roman" w:eastAsia="Times New Roman" w:hAnsi="Times New Roman"/>
          <w:sz w:val="17"/>
          <w:szCs w:val="17"/>
          <w:color w:val="auto"/>
        </w:rPr>
        <w:t>You recognize and acknowledge that all Works shall be done as "work made for hire" as defined and used in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 xml:space="preserve">the Copyright Act of 1976, 17 U.S.C. § I, </w:t>
      </w:r>
      <w:r>
        <w:rPr>
          <w:rFonts w:ascii="Times New Roman" w:cs="Times New Roman" w:eastAsia="Times New Roman" w:hAnsi="Times New Roman"/>
          <w:sz w:val="17"/>
          <w:szCs w:val="17"/>
          <w:i w:val="1"/>
          <w:iCs w:val="1"/>
          <w:color w:val="auto"/>
        </w:rPr>
        <w:t>et seq.,</w:t>
      </w:r>
      <w:r>
        <w:rPr>
          <w:rFonts w:ascii="Times New Roman" w:cs="Times New Roman" w:eastAsia="Times New Roman" w:hAnsi="Times New Roman"/>
          <w:sz w:val="17"/>
          <w:szCs w:val="17"/>
          <w:color w:val="auto"/>
        </w:rPr>
        <w:t xml:space="preserve"> as may be amended from time to time, with the Company being considered the author for copyright purposes and the owner of the copyright and all other rights whether now known or hereafter recognized. You hereby waive the benefits of any provision of law known as the "droit moral" or any similar law or principle in any country throughout the world. To the extent that any Works are not considered "works made for hire," you hereby assign and agree to assign to the Company or its nominee any and all interest that you may have in any Intellectual Property. You shall promptly notify the Company or its nominee upon the design, creation or development of any and all Inventions and Works. At the Company's or Employer's request, you shall execute and deliver to the Company and/or the Employer as applicable all documents or instruments that may be necessary to secure or perfect the Company's title to or interest in the Inventions and Works, including but not limited to United States and foreign applications for letters of patents and extensions, continuations or reissues thereof, applications for copyrights and documents or instruments of assignments or transfer. Such obligations shall continue beyond the termination of employment with respect to Works and Inventions designed, created or developed by you during the period of employment hereunder, and shall be binding upon your heirs, assigns, executors, administrators and other legal representatives. You shall render all assistance that the Company and/or the Employer may require in any registration, proceeding or litigation, including at the United State Patent and Trademark Office or the United States Copyright Office, involving such Inventions or Works, without charge to the Company and/or the Employer, other than a reasonable payment for time involved in the event you are no longer employed by or engaged by the Employer.</w:t>
      </w:r>
    </w:p>
    <w:p>
      <w:pPr>
        <w:spacing w:after="0" w:line="355" w:lineRule="exact"/>
        <w:rPr>
          <w:sz w:val="20"/>
          <w:szCs w:val="20"/>
          <w:color w:val="auto"/>
        </w:rPr>
      </w:pPr>
    </w:p>
    <w:p>
      <w:pPr>
        <w:jc w:val="both"/>
        <w:ind w:left="20" w:right="779" w:firstLine="749"/>
        <w:spacing w:after="0" w:line="277" w:lineRule="auto"/>
        <w:rPr>
          <w:sz w:val="20"/>
          <w:szCs w:val="20"/>
          <w:color w:val="auto"/>
        </w:rPr>
      </w:pPr>
      <w:r>
        <w:rPr>
          <w:rFonts w:ascii="Times New Roman" w:cs="Times New Roman" w:eastAsia="Times New Roman" w:hAnsi="Times New Roman"/>
          <w:sz w:val="16"/>
          <w:szCs w:val="16"/>
          <w:color w:val="auto"/>
        </w:rPr>
        <w:t xml:space="preserve">3.3 </w:t>
      </w:r>
      <w:r>
        <w:rPr>
          <w:rFonts w:ascii="Times New Roman" w:cs="Times New Roman" w:eastAsia="Times New Roman" w:hAnsi="Times New Roman"/>
          <w:sz w:val="17"/>
          <w:szCs w:val="17"/>
          <w:color w:val="auto"/>
        </w:rPr>
        <w:t>Notwithstanding the foregoing, you understand and acknowledge that, pursuant to the Employee Patent Act,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Illinois Public Act 83-493 (to the extent applicable to your employment), the Employer has informed you that the provisions of this Section 3 will not apply to any Inventions for which no equipment, supplies, facility or trade secret information of the Company was used and which were developed entirely on your own time, unless: (a) the Invention relates (i) to the business of the Company, or (ii) to actual or demonstrably anticipated</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60325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293" w:right="1440" w:bottom="1440" w:gutter="0" w:footer="0" w:header="0"/>
        </w:sectPr>
      </w:pPr>
    </w:p>
    <w:bookmarkStart w:id="168" w:name="page169"/>
    <w:bookmarkEnd w:id="168"/>
    <w:p>
      <w:pPr>
        <w:ind w:left="20"/>
        <w:spacing w:after="0"/>
        <w:rPr>
          <w:sz w:val="20"/>
          <w:szCs w:val="20"/>
          <w:color w:val="auto"/>
        </w:rPr>
      </w:pPr>
      <w:r>
        <w:rPr>
          <w:rFonts w:ascii="Times New Roman" w:cs="Times New Roman" w:eastAsia="Times New Roman" w:hAnsi="Times New Roman"/>
          <w:sz w:val="18"/>
          <w:szCs w:val="18"/>
          <w:color w:val="auto"/>
        </w:rPr>
        <w:t>research or development of the Company; or (b) the Invention results from any work performed by you for the Employer.</w:t>
      </w:r>
    </w:p>
    <w:p>
      <w:pPr>
        <w:spacing w:after="0" w:line="194" w:lineRule="exact"/>
        <w:rPr>
          <w:sz w:val="20"/>
          <w:szCs w:val="20"/>
          <w:color w:val="auto"/>
        </w:rPr>
      </w:pPr>
    </w:p>
    <w:p>
      <w:pPr>
        <w:ind w:left="800" w:hanging="787"/>
        <w:spacing w:after="0"/>
        <w:tabs>
          <w:tab w:leader="none" w:pos="800" w:val="left"/>
        </w:tabs>
        <w:numPr>
          <w:ilvl w:val="0"/>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Employment and Post-Employment Restrictive Covenants</w:t>
      </w:r>
    </w:p>
    <w:p>
      <w:pPr>
        <w:spacing w:after="0" w:line="185" w:lineRule="exact"/>
        <w:rPr>
          <w:sz w:val="20"/>
          <w:szCs w:val="20"/>
          <w:color w:val="auto"/>
        </w:rPr>
      </w:pPr>
    </w:p>
    <w:p>
      <w:pPr>
        <w:ind w:left="20" w:right="779" w:firstLine="749"/>
        <w:spacing w:after="0" w:line="317" w:lineRule="auto"/>
        <w:rPr>
          <w:sz w:val="20"/>
          <w:szCs w:val="20"/>
          <w:color w:val="auto"/>
        </w:rPr>
      </w:pPr>
      <w:r>
        <w:rPr>
          <w:rFonts w:ascii="Times New Roman" w:cs="Times New Roman" w:eastAsia="Times New Roman" w:hAnsi="Times New Roman"/>
          <w:sz w:val="16"/>
          <w:szCs w:val="16"/>
          <w:color w:val="auto"/>
        </w:rPr>
        <w:t xml:space="preserve">4.1 </w:t>
      </w:r>
      <w:r>
        <w:rPr>
          <w:rFonts w:ascii="Times New Roman" w:cs="Times New Roman" w:eastAsia="Times New Roman" w:hAnsi="Times New Roman"/>
          <w:sz w:val="17"/>
          <w:szCs w:val="17"/>
          <w:b w:val="1"/>
          <w:bCs w:val="1"/>
          <w:color w:val="auto"/>
        </w:rPr>
        <w:t>Non-Solicitation.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While you are employed by the Employer and for a period of I year after the termination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 xml:space="preserve">of your employment with the Employer, whether voluntary or involuntary, you shall </w:t>
      </w:r>
      <w:r>
        <w:rPr>
          <w:rFonts w:ascii="Times New Roman" w:cs="Times New Roman" w:eastAsia="Times New Roman" w:hAnsi="Times New Roman"/>
          <w:sz w:val="17"/>
          <w:szCs w:val="17"/>
          <w:i w:val="1"/>
          <w:iCs w:val="1"/>
          <w:color w:val="auto"/>
        </w:rPr>
        <w:t>not:</w:t>
      </w:r>
    </w:p>
    <w:p>
      <w:pPr>
        <w:spacing w:after="0" w:line="95" w:lineRule="exact"/>
        <w:rPr>
          <w:sz w:val="20"/>
          <w:szCs w:val="20"/>
          <w:color w:val="auto"/>
        </w:rPr>
      </w:pPr>
    </w:p>
    <w:p>
      <w:pPr>
        <w:jc w:val="both"/>
        <w:ind w:left="800" w:right="779" w:firstLine="740"/>
        <w:spacing w:after="0" w:line="256" w:lineRule="auto"/>
        <w:tabs>
          <w:tab w:leader="none" w:pos="2125" w:val="left"/>
        </w:tabs>
        <w:numPr>
          <w:ilvl w:val="1"/>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Contact or solicit, or direct, encourage or facilitate any person or entity to contact or solicit, any of the Company's customers or prospective customers with which you interacted, supervised people who interacted, and/or for which you had access to Confidential Information, for the purpose of providing any non-Company products and/or services that are the same as or similar to the products and services provided by the Company (or that otherwise compete with the products and services provided by the Company) or for the purpose of negatively interfering with the business relationships between the Company and its customers or prospective customers; or</w:t>
      </w:r>
    </w:p>
    <w:p>
      <w:pPr>
        <w:spacing w:after="0" w:line="160" w:lineRule="exact"/>
        <w:rPr>
          <w:rFonts w:ascii="Times New Roman" w:cs="Times New Roman" w:eastAsia="Times New Roman" w:hAnsi="Times New Roman"/>
          <w:sz w:val="16"/>
          <w:szCs w:val="16"/>
          <w:color w:val="auto"/>
        </w:rPr>
      </w:pPr>
    </w:p>
    <w:p>
      <w:pPr>
        <w:jc w:val="both"/>
        <w:ind w:left="860" w:right="779" w:firstLine="650"/>
        <w:spacing w:after="0" w:line="255" w:lineRule="auto"/>
        <w:tabs>
          <w:tab w:leader="none" w:pos="2075"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Solicit the services of, or otherwise seek to influence or induce to leave, whether directly or indirectly, on your own behalf or on behalf of any other person or entity, any person who is a current employee of the Company (or was an employee of the Company during the twelve month period preceding such solicitation), nor solicit any of the Company's current employees (or any individual who was an employee of the Company during the twelve month period preceding such solicitation) to terminate employment or an engagement with the Company, nor agree to hire or hire any current employee (or any individual who was an employee of the Company during the twelve month period preceding such hire) of the Company into employment with you or any other person or entity.</w:t>
      </w:r>
    </w:p>
    <w:p>
      <w:pPr>
        <w:spacing w:after="0" w:line="144" w:lineRule="exact"/>
        <w:rPr>
          <w:sz w:val="20"/>
          <w:szCs w:val="20"/>
          <w:color w:val="auto"/>
        </w:rPr>
      </w:pPr>
    </w:p>
    <w:p>
      <w:pPr>
        <w:ind w:left="760"/>
        <w:spacing w:after="0"/>
        <w:tabs>
          <w:tab w:leader="none" w:pos="1360" w:val="left"/>
        </w:tabs>
        <w:rPr>
          <w:sz w:val="20"/>
          <w:szCs w:val="20"/>
          <w:color w:val="auto"/>
        </w:rPr>
      </w:pPr>
      <w:r>
        <w:rPr>
          <w:rFonts w:ascii="Times New Roman" w:cs="Times New Roman" w:eastAsia="Times New Roman" w:hAnsi="Times New Roman"/>
          <w:sz w:val="16"/>
          <w:szCs w:val="16"/>
          <w:color w:val="auto"/>
        </w:rPr>
        <w:t>4.2</w:t>
      </w:r>
      <w:r>
        <w:rPr>
          <w:sz w:val="20"/>
          <w:szCs w:val="20"/>
          <w:color w:val="auto"/>
        </w:rPr>
        <w:tab/>
      </w:r>
      <w:r>
        <w:rPr>
          <w:rFonts w:ascii="Times New Roman" w:cs="Times New Roman" w:eastAsia="Times New Roman" w:hAnsi="Times New Roman"/>
          <w:sz w:val="18"/>
          <w:szCs w:val="18"/>
          <w:b w:val="1"/>
          <w:bCs w:val="1"/>
          <w:color w:val="auto"/>
        </w:rPr>
        <w:t xml:space="preserve">Non-Competition. </w:t>
      </w:r>
      <w:r>
        <w:rPr>
          <w:rFonts w:ascii="Times New Roman" w:cs="Times New Roman" w:eastAsia="Times New Roman" w:hAnsi="Times New Roman"/>
          <w:sz w:val="18"/>
          <w:szCs w:val="18"/>
          <w:color w:val="auto"/>
        </w:rPr>
        <w:t>While you are employed by the Employer and during the Restricted Period, you shall</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not:</w:t>
      </w:r>
    </w:p>
    <w:p>
      <w:pPr>
        <w:spacing w:after="0" w:line="166" w:lineRule="exact"/>
        <w:rPr>
          <w:sz w:val="20"/>
          <w:szCs w:val="20"/>
          <w:color w:val="auto"/>
        </w:rPr>
      </w:pPr>
    </w:p>
    <w:p>
      <w:pPr>
        <w:jc w:val="both"/>
        <w:ind w:left="760" w:right="779" w:firstLine="736"/>
        <w:spacing w:after="0" w:line="254" w:lineRule="auto"/>
        <w:tabs>
          <w:tab w:leader="none" w:pos="2073" w:val="left"/>
        </w:tabs>
        <w:numPr>
          <w:ilvl w:val="0"/>
          <w:numId w:val="21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own, manage, operate, control or participate in the ownership, management, operation or control of, or be connected as in the same or substantially the same position as an officer, executive, consultant, service provider, partner or director of, or have any financial interest in, or aid or assist anyone in the conduct of, any business, sole proprietorship, company, corporation, association, partnership or other entity that cultivates, processes or dispenses cannabis in a state in the United States where the Company operates (a "Competitor") whether directly or indirectly, or through an affiliate, or where Your access to Company Confidential Information will provide a competitive benefit to any Competitor. Notwithstanding the foregoing, the passive ownership for investment of less than five percent (5%) of the combined voting power of alI issued and outstanding voting securities of a company whose shares are traded on a public securities market shall not be deemed to violate this Section 4.2.</w:t>
      </w:r>
    </w:p>
    <w:p>
      <w:pPr>
        <w:spacing w:after="0" w:line="161" w:lineRule="exact"/>
        <w:rPr>
          <w:rFonts w:ascii="Times New Roman" w:cs="Times New Roman" w:eastAsia="Times New Roman" w:hAnsi="Times New Roman"/>
          <w:sz w:val="16"/>
          <w:szCs w:val="16"/>
          <w:color w:val="auto"/>
        </w:rPr>
      </w:pPr>
    </w:p>
    <w:p>
      <w:pPr>
        <w:jc w:val="both"/>
        <w:ind w:left="760" w:right="779" w:firstLine="720"/>
        <w:spacing w:after="0" w:line="258" w:lineRule="auto"/>
        <w:tabs>
          <w:tab w:leader="none" w:pos="2056" w:val="left"/>
        </w:tabs>
        <w:numPr>
          <w:ilvl w:val="0"/>
          <w:numId w:val="21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For purposes of this Section 4.2, the Restricted Period shall be defined as follows: (i) if you are employed by the Employer for a period of six (6) months or less, the Restricted Period shall be for a period of two (2) months; (ii) if you are employed by the Employer for a period of more than six (6) months but less than twelve ( 12) months, the Restricted Period shall be for a period of six (6) months; (iii) if you are employed by the Employer for a period of twelve (12) months or more, the Restricted Period shall be for a period of twelve (12) months.</w:t>
      </w:r>
    </w:p>
    <w:p>
      <w:pPr>
        <w:spacing w:after="0" w:line="143" w:lineRule="exact"/>
        <w:rPr>
          <w:sz w:val="20"/>
          <w:szCs w:val="20"/>
          <w:color w:val="auto"/>
        </w:rPr>
      </w:pPr>
    </w:p>
    <w:p>
      <w:pPr>
        <w:jc w:val="both"/>
        <w:ind w:left="20" w:right="779" w:firstLine="749"/>
        <w:spacing w:after="0" w:line="272" w:lineRule="auto"/>
        <w:rPr>
          <w:sz w:val="20"/>
          <w:szCs w:val="20"/>
          <w:color w:val="auto"/>
        </w:rPr>
      </w:pPr>
      <w:r>
        <w:rPr>
          <w:rFonts w:ascii="Times New Roman" w:cs="Times New Roman" w:eastAsia="Times New Roman" w:hAnsi="Times New Roman"/>
          <w:sz w:val="16"/>
          <w:szCs w:val="16"/>
          <w:color w:val="auto"/>
        </w:rPr>
        <w:t xml:space="preserve">4.3 </w:t>
      </w:r>
      <w:r>
        <w:rPr>
          <w:rFonts w:ascii="Times New Roman" w:cs="Times New Roman" w:eastAsia="Times New Roman" w:hAnsi="Times New Roman"/>
          <w:sz w:val="17"/>
          <w:szCs w:val="17"/>
          <w:color w:val="auto"/>
        </w:rPr>
        <w:t>Notification of Obligations to Subsequent Employers. For one year after your termination of employment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with the Employer, you will provide a copy of this Agreement to any person or entity that seeks or proposes to enter into any relationship with you that might be affected or limited by any of the provisions in those sections, including but not limited to any relationship in which you would be an employee, consultant, independent contractor, owner, officer, partner, principal, joint venturer, shareholder, director, member, manager, investor, agent of any such person or entity, before you agree, orally or in writing, to enter into any such relationship. You further agree that if you become employed or otherwise engaged by another person or entity during the one year period following your employment with the Employer, you agree that the Employer may disclose the existence of this Agreement to such person or entity.</w:t>
      </w:r>
    </w:p>
    <w:p>
      <w:pPr>
        <w:spacing w:after="0" w:line="131" w:lineRule="exact"/>
        <w:rPr>
          <w:sz w:val="20"/>
          <w:szCs w:val="20"/>
          <w:color w:val="auto"/>
        </w:rPr>
      </w:pPr>
    </w:p>
    <w:p>
      <w:pPr>
        <w:jc w:val="both"/>
        <w:ind w:left="20" w:right="779" w:firstLine="749"/>
        <w:spacing w:after="0" w:line="312" w:lineRule="auto"/>
        <w:rPr>
          <w:sz w:val="20"/>
          <w:szCs w:val="20"/>
          <w:color w:val="auto"/>
        </w:rPr>
      </w:pPr>
      <w:r>
        <w:rPr>
          <w:rFonts w:ascii="Times New Roman" w:cs="Times New Roman" w:eastAsia="Times New Roman" w:hAnsi="Times New Roman"/>
          <w:sz w:val="16"/>
          <w:szCs w:val="16"/>
          <w:color w:val="auto"/>
        </w:rPr>
        <w:t xml:space="preserve">4.4 </w:t>
      </w:r>
      <w:r>
        <w:rPr>
          <w:rFonts w:ascii="Times New Roman" w:cs="Times New Roman" w:eastAsia="Times New Roman" w:hAnsi="Times New Roman"/>
          <w:sz w:val="17"/>
          <w:szCs w:val="17"/>
          <w:color w:val="auto"/>
        </w:rPr>
        <w:t>Definitions Specific to Section 4. For purposes of this Agreement: (i) "customer" means any person or entity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with which you dealt on the Company's behalf, directly or indirectly, or for which you had access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60325</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297" w:right="1440" w:bottom="1440" w:gutter="0" w:footer="0" w:header="0"/>
        </w:sectPr>
      </w:pPr>
    </w:p>
    <w:bookmarkStart w:id="169" w:name="page170"/>
    <w:bookmarkEnd w:id="169"/>
    <w:p>
      <w:pPr>
        <w:jc w:val="both"/>
        <w:ind w:left="20" w:right="779"/>
        <w:spacing w:after="0" w:line="256" w:lineRule="auto"/>
        <w:rPr>
          <w:sz w:val="20"/>
          <w:szCs w:val="20"/>
          <w:color w:val="auto"/>
        </w:rPr>
      </w:pPr>
      <w:r>
        <w:rPr>
          <w:rFonts w:ascii="Times New Roman" w:cs="Times New Roman" w:eastAsia="Times New Roman" w:hAnsi="Times New Roman"/>
          <w:sz w:val="18"/>
          <w:szCs w:val="18"/>
          <w:color w:val="auto"/>
        </w:rPr>
        <w:t>to Confidential Information, that purchased or otherwise acquired any type of product and/or service from the Company or is or was doing business with the Company or you within the twelve month period immediately preceding the termination of your employment; (ii) "prospective customer!' means any person or entity with which you dealt on the Company's behalf, directly or indirectly, or for which you had access to Confidential Information, that was contacted or solicited by the Company or by you (whether directly or indirectly) or who contacted the Company or you (whether directly or indirectly) within the twelve month period immediately preceding termination of your employment for the purpose of becoming a customer.</w:t>
      </w:r>
    </w:p>
    <w:p>
      <w:pPr>
        <w:spacing w:after="0" w:line="160" w:lineRule="exact"/>
        <w:rPr>
          <w:sz w:val="20"/>
          <w:szCs w:val="20"/>
          <w:color w:val="auto"/>
        </w:rPr>
      </w:pPr>
    </w:p>
    <w:p>
      <w:pPr>
        <w:jc w:val="both"/>
        <w:ind w:left="20" w:right="779" w:firstLine="749"/>
        <w:spacing w:after="0" w:line="273" w:lineRule="auto"/>
        <w:rPr>
          <w:sz w:val="20"/>
          <w:szCs w:val="20"/>
          <w:color w:val="auto"/>
        </w:rPr>
      </w:pPr>
      <w:r>
        <w:rPr>
          <w:rFonts w:ascii="Times New Roman" w:cs="Times New Roman" w:eastAsia="Times New Roman" w:hAnsi="Times New Roman"/>
          <w:sz w:val="16"/>
          <w:szCs w:val="16"/>
          <w:color w:val="auto"/>
        </w:rPr>
        <w:t xml:space="preserve">4.5 </w:t>
      </w:r>
      <w:r>
        <w:rPr>
          <w:rFonts w:ascii="Times New Roman" w:cs="Times New Roman" w:eastAsia="Times New Roman" w:hAnsi="Times New Roman"/>
          <w:sz w:val="17"/>
          <w:szCs w:val="17"/>
          <w:color w:val="auto"/>
        </w:rPr>
        <w:t>Reasonableness of Restrictions; Tolling in Event of Breach. You acknowledge and agree that the Company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has invested and continues to invest a substantial amount of time and money in developing its goodwill, its employee and customer relations, and its Confidential Information, and that the scope described above is necessary and reasonable in order to protect the Company in the conduct of its business, and to protect the legitimate interests of the Company in its Confidential Information, business goodwill, customer relationships, and employee relationships. You further agree that if you breach any of the requirements of this Agreement, the restricted periods set forth herein shall be extended one day for each day that you are in breach of the restrictions contained in Sections 4.1 and 4.2.</w:t>
      </w:r>
    </w:p>
    <w:p>
      <w:pPr>
        <w:spacing w:after="0" w:line="127" w:lineRule="exact"/>
        <w:rPr>
          <w:sz w:val="20"/>
          <w:szCs w:val="20"/>
          <w:color w:val="auto"/>
        </w:rPr>
      </w:pPr>
    </w:p>
    <w:p>
      <w:pPr>
        <w:ind w:left="800" w:hanging="787"/>
        <w:spacing w:after="0"/>
        <w:tabs>
          <w:tab w:leader="none" w:pos="800" w:val="left"/>
        </w:tabs>
        <w:numPr>
          <w:ilvl w:val="0"/>
          <w:numId w:val="2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Damages</w:t>
      </w:r>
    </w:p>
    <w:p>
      <w:pPr>
        <w:spacing w:after="0" w:line="189" w:lineRule="exact"/>
        <w:rPr>
          <w:sz w:val="20"/>
          <w:szCs w:val="20"/>
          <w:color w:val="auto"/>
        </w:rPr>
      </w:pPr>
    </w:p>
    <w:p>
      <w:pPr>
        <w:jc w:val="both"/>
        <w:ind w:left="20" w:right="779" w:firstLine="749"/>
        <w:spacing w:after="0" w:line="256" w:lineRule="auto"/>
        <w:rPr>
          <w:sz w:val="20"/>
          <w:szCs w:val="20"/>
          <w:color w:val="auto"/>
        </w:rPr>
      </w:pPr>
      <w:r>
        <w:rPr>
          <w:rFonts w:ascii="Times New Roman" w:cs="Times New Roman" w:eastAsia="Times New Roman" w:hAnsi="Times New Roman"/>
          <w:sz w:val="18"/>
          <w:szCs w:val="18"/>
          <w:color w:val="auto"/>
        </w:rPr>
        <w:t>5.1 It is agreed that any breach of any of the covenants contained in this Agreement will result in irreparable harm and continuing damages to the Company and its business, and that the Employer's or the Company's remedy at law for any such breach will be inadequate. Accordingly, in addition to any and all other remedies that may be available to the Employer and/or the Company, any court of competent jurisdiction may issue a decree of specific performance or issue a temporary and permanent injunction, without the necessity of the Employer or the Company posting bond or furnishing other security and without proving special damages or irreparable injury.</w:t>
      </w:r>
    </w:p>
    <w:p>
      <w:pPr>
        <w:spacing w:after="0" w:line="156" w:lineRule="exact"/>
        <w:rPr>
          <w:sz w:val="20"/>
          <w:szCs w:val="20"/>
          <w:color w:val="auto"/>
        </w:rPr>
      </w:pPr>
    </w:p>
    <w:p>
      <w:pPr>
        <w:ind w:left="800" w:hanging="787"/>
        <w:spacing w:after="0"/>
        <w:tabs>
          <w:tab w:leader="none" w:pos="800" w:val="left"/>
        </w:tabs>
        <w:numPr>
          <w:ilvl w:val="0"/>
          <w:numId w:val="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Choice-of-Law and Venue.</w:t>
      </w:r>
    </w:p>
    <w:p>
      <w:pPr>
        <w:spacing w:after="0" w:line="189" w:lineRule="exact"/>
        <w:rPr>
          <w:sz w:val="20"/>
          <w:szCs w:val="20"/>
          <w:color w:val="auto"/>
        </w:rPr>
      </w:pPr>
    </w:p>
    <w:p>
      <w:pPr>
        <w:jc w:val="both"/>
        <w:ind w:left="60" w:right="779" w:firstLine="719"/>
        <w:spacing w:after="0" w:line="254" w:lineRule="auto"/>
        <w:rPr>
          <w:sz w:val="20"/>
          <w:szCs w:val="20"/>
          <w:color w:val="auto"/>
        </w:rPr>
      </w:pPr>
      <w:r>
        <w:rPr>
          <w:rFonts w:ascii="Times New Roman" w:cs="Times New Roman" w:eastAsia="Times New Roman" w:hAnsi="Times New Roman"/>
          <w:sz w:val="18"/>
          <w:szCs w:val="18"/>
          <w:color w:val="auto"/>
        </w:rPr>
        <w:t>6.1 The validity, construction, and interpretation of this Agreement and the rights and duties of the parties to it shall be governed by the laws of Illinois. To the extent an injunction is necessary to prevent or respond to breach of this Agreement or any other agreement between you and the Employer, said equitable suit, shall be brought and tried only in an Illinois state court or the United States District Court for the Northern District of Illinois (if diversity or federal question jurisdiction exists) except that the Employer or the Company, in its sole election and discretion, can bring suit in any jurisdiction in which you may be in violation of the Agreement. You consent to the personal jurisdiction of the state courts of Illinois, the United States District Court for the Northern District of Illinois, or any other jurisdiction in which the Employer or the Company has the right to bring suit and expressly waives any right to cause any such actions or proceedings to be brought or tried elsewhere. You further agree to waive any right you otherwise may have to a trial by jury in any action to enforce the terms of this Agreement.</w:t>
      </w:r>
    </w:p>
    <w:p>
      <w:pPr>
        <w:spacing w:after="0" w:line="360" w:lineRule="exact"/>
        <w:rPr>
          <w:sz w:val="20"/>
          <w:szCs w:val="20"/>
          <w:color w:val="auto"/>
        </w:rPr>
      </w:pPr>
    </w:p>
    <w:p>
      <w:pPr>
        <w:ind w:left="800" w:hanging="787"/>
        <w:spacing w:after="0"/>
        <w:tabs>
          <w:tab w:leader="none" w:pos="800" w:val="left"/>
        </w:tabs>
        <w:numPr>
          <w:ilvl w:val="0"/>
          <w:numId w:val="2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State-Specific Modifications</w:t>
      </w:r>
    </w:p>
    <w:p>
      <w:pPr>
        <w:spacing w:after="0" w:line="202" w:lineRule="exact"/>
        <w:rPr>
          <w:sz w:val="20"/>
          <w:szCs w:val="20"/>
          <w:color w:val="auto"/>
        </w:rPr>
      </w:pPr>
    </w:p>
    <w:p>
      <w:pPr>
        <w:ind w:left="20" w:right="779" w:firstLine="749"/>
        <w:spacing w:after="0" w:line="312" w:lineRule="auto"/>
        <w:rPr>
          <w:sz w:val="20"/>
          <w:szCs w:val="20"/>
          <w:color w:val="auto"/>
        </w:rPr>
      </w:pPr>
      <w:r>
        <w:rPr>
          <w:rFonts w:ascii="Times New Roman" w:cs="Times New Roman" w:eastAsia="Times New Roman" w:hAnsi="Times New Roman"/>
          <w:sz w:val="16"/>
          <w:szCs w:val="16"/>
          <w:color w:val="auto"/>
        </w:rPr>
        <w:t xml:space="preserve">7.1 </w:t>
      </w:r>
      <w:r>
        <w:rPr>
          <w:rFonts w:ascii="Times New Roman" w:cs="Times New Roman" w:eastAsia="Times New Roman" w:hAnsi="Times New Roman"/>
          <w:sz w:val="17"/>
          <w:szCs w:val="17"/>
          <w:color w:val="auto"/>
        </w:rPr>
        <w:t>The following modifications to Section 6.1 shall apply in the specific circumstances set forth below.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provisions below, if applicable, do not modify this Agreement in any respect other than as expressly stated.</w:t>
      </w:r>
    </w:p>
    <w:p>
      <w:pPr>
        <w:spacing w:after="0" w:line="99" w:lineRule="exact"/>
        <w:rPr>
          <w:sz w:val="20"/>
          <w:szCs w:val="20"/>
          <w:color w:val="auto"/>
        </w:rPr>
      </w:pPr>
    </w:p>
    <w:p>
      <w:pPr>
        <w:jc w:val="both"/>
        <w:ind w:left="780" w:right="799" w:firstLine="730"/>
        <w:spacing w:after="0" w:line="261" w:lineRule="auto"/>
        <w:tabs>
          <w:tab w:leader="none" w:pos="2090" w:val="left"/>
        </w:tabs>
        <w:numPr>
          <w:ilvl w:val="1"/>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u w:val="single" w:color="auto"/>
          <w:color w:val="auto"/>
        </w:rPr>
        <w:t>California.</w:t>
      </w:r>
      <w:r>
        <w:rPr>
          <w:rFonts w:ascii="Times New Roman" w:cs="Times New Roman" w:eastAsia="Times New Roman" w:hAnsi="Times New Roman"/>
          <w:sz w:val="18"/>
          <w:szCs w:val="18"/>
          <w:color w:val="auto"/>
        </w:rPr>
        <w:t xml:space="preserve"> During any period that you are a resident of California and subject to its laws, the Choice of Law for this Agreement shall be California law, and the venue in which any litigation shall proceed shall be the state court in the county in which you reside or the United States District Court (if diversity or federal question jurisdiction exists) in the federal judicial district in which you reside.</w:t>
      </w:r>
    </w:p>
    <w:p>
      <w:pPr>
        <w:spacing w:after="0" w:line="135" w:lineRule="exact"/>
        <w:rPr>
          <w:rFonts w:ascii="Times New Roman" w:cs="Times New Roman" w:eastAsia="Times New Roman" w:hAnsi="Times New Roman"/>
          <w:sz w:val="16"/>
          <w:szCs w:val="16"/>
          <w:color w:val="auto"/>
        </w:rPr>
      </w:pPr>
    </w:p>
    <w:p>
      <w:pPr>
        <w:jc w:val="both"/>
        <w:ind w:left="780" w:right="779" w:firstLine="730"/>
        <w:spacing w:after="0" w:line="262" w:lineRule="auto"/>
        <w:tabs>
          <w:tab w:leader="none" w:pos="2090" w:val="left"/>
        </w:tabs>
        <w:numPr>
          <w:ilvl w:val="1"/>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u w:val="single" w:color="auto"/>
          <w:color w:val="auto"/>
        </w:rPr>
        <w:t>Massachusetts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If you reside in Massachusetts at any time during the last 30 days of your employment with the Employer, then the Choice of Law for this Agreement shall be Massachusetts law, and the venue in which any litigation shall proceed shall be the state or federal courts (if diversity or federal question jurisdiction exists) in Suffolk County, Massachusetts.</w:t>
      </w:r>
    </w:p>
    <w:p>
      <w:pPr>
        <w:spacing w:after="0" w:line="149" w:lineRule="exact"/>
        <w:rPr>
          <w:rFonts w:ascii="Times New Roman" w:cs="Times New Roman" w:eastAsia="Times New Roman" w:hAnsi="Times New Roman"/>
          <w:sz w:val="16"/>
          <w:szCs w:val="16"/>
          <w:color w:val="auto"/>
        </w:rPr>
      </w:pPr>
    </w:p>
    <w:p>
      <w:pPr>
        <w:ind w:left="800" w:hanging="787"/>
        <w:spacing w:after="0"/>
        <w:tabs>
          <w:tab w:leader="none" w:pos="800" w:val="left"/>
        </w:tabs>
        <w:numPr>
          <w:ilvl w:val="0"/>
          <w:numId w:val="2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57" w:lineRule="exact"/>
        <w:rPr>
          <w:sz w:val="20"/>
          <w:szCs w:val="20"/>
          <w:color w:val="auto"/>
        </w:rPr>
      </w:pPr>
    </w:p>
    <w:p>
      <w:pP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60325</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297" w:right="1440" w:bottom="1440" w:gutter="0" w:footer="0" w:header="0"/>
        </w:sectPr>
      </w:pPr>
    </w:p>
    <w:bookmarkStart w:id="170" w:name="page171"/>
    <w:bookmarkEnd w:id="170"/>
    <w:p>
      <w:pPr>
        <w:jc w:val="both"/>
        <w:ind w:left="20" w:right="779" w:firstLine="749"/>
        <w:spacing w:after="0" w:line="261" w:lineRule="auto"/>
        <w:rPr>
          <w:sz w:val="20"/>
          <w:szCs w:val="20"/>
          <w:color w:val="auto"/>
        </w:rPr>
      </w:pPr>
      <w:r>
        <w:rPr>
          <w:rFonts w:ascii="Times New Roman" w:cs="Times New Roman" w:eastAsia="Times New Roman" w:hAnsi="Times New Roman"/>
          <w:sz w:val="18"/>
          <w:szCs w:val="18"/>
          <w:color w:val="auto"/>
        </w:rPr>
        <w:t>8.1 Nothing contained in this Agreement creates any right of employment, guarantees any duration of employment, or modifies your or the Employer's right to terminate your employment consistent with the terms of your employment relationship with the Employer. If you are employed at-will, nothing in this Agreement should be or is to be construed as changing the at-will nature of your employment.</w:t>
      </w:r>
    </w:p>
    <w:p>
      <w:pPr>
        <w:spacing w:after="0" w:line="153" w:lineRule="exact"/>
        <w:rPr>
          <w:sz w:val="20"/>
          <w:szCs w:val="20"/>
          <w:color w:val="auto"/>
        </w:rPr>
      </w:pPr>
    </w:p>
    <w:p>
      <w:pPr>
        <w:ind w:left="760"/>
        <w:spacing w:after="0"/>
        <w:tabs>
          <w:tab w:leader="none" w:pos="136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color w:val="auto"/>
        </w:rPr>
        <w:t>The Company is an express and intended third party beneficiary of this Agreement.</w:t>
      </w:r>
    </w:p>
    <w:p>
      <w:pPr>
        <w:spacing w:after="0" w:line="185" w:lineRule="exact"/>
        <w:rPr>
          <w:sz w:val="20"/>
          <w:szCs w:val="20"/>
          <w:color w:val="auto"/>
        </w:rPr>
      </w:pPr>
    </w:p>
    <w:p>
      <w:pPr>
        <w:jc w:val="both"/>
        <w:ind w:left="20" w:right="779" w:firstLine="749"/>
        <w:spacing w:after="0" w:line="261" w:lineRule="auto"/>
        <w:rPr>
          <w:sz w:val="20"/>
          <w:szCs w:val="20"/>
          <w:color w:val="auto"/>
        </w:rPr>
      </w:pPr>
      <w:r>
        <w:rPr>
          <w:rFonts w:ascii="Times New Roman" w:cs="Times New Roman" w:eastAsia="Times New Roman" w:hAnsi="Times New Roman"/>
          <w:sz w:val="18"/>
          <w:szCs w:val="18"/>
          <w:color w:val="auto"/>
        </w:rPr>
        <w:t>8.3 You also acknowledge and agree that you have no expectation of privacy with respect to the Company's telecommunications, networking or information processing systems (including, without limitation, stored computer files, email messages and voice messages) and that your activity and any files or messages on or using any of those systems may be monitored at any time without notice.</w:t>
      </w:r>
    </w:p>
    <w:p>
      <w:pPr>
        <w:spacing w:after="0" w:line="139" w:lineRule="exact"/>
        <w:rPr>
          <w:sz w:val="20"/>
          <w:szCs w:val="20"/>
          <w:color w:val="auto"/>
        </w:rPr>
      </w:pPr>
    </w:p>
    <w:p>
      <w:pPr>
        <w:jc w:val="both"/>
        <w:ind w:left="20" w:right="779" w:firstLine="749"/>
        <w:spacing w:after="0" w:line="255" w:lineRule="auto"/>
        <w:rPr>
          <w:sz w:val="20"/>
          <w:szCs w:val="20"/>
          <w:color w:val="auto"/>
        </w:rPr>
      </w:pPr>
      <w:r>
        <w:rPr>
          <w:rFonts w:ascii="Times New Roman" w:cs="Times New Roman" w:eastAsia="Times New Roman" w:hAnsi="Times New Roman"/>
          <w:sz w:val="18"/>
          <w:szCs w:val="18"/>
          <w:color w:val="auto"/>
        </w:rPr>
        <w:t>8.4 You and the Employer agree that all provisions of this Agreement shall be enforced to the fullest extent permitted by law. If any provision of this Agreement shall be found invalid or unenforceable for any reason, in whole or in part, then such provision shall be deemed modified, restricted, or reformulated to the extent and in the manner necessary to render the language valid and enforceable, or shall be deemed excised from this Agreement, as the case may require. If any of the provisions of, or covenants contained in this Agreement are hereafter construed to be invalid or unenforceable in any jurisdiction, the same shall not affect the remainder of the provisions or the enforceability thereof in any other jurisdiction, which shall be given full effect, without regard to the invalidity or unenforceability in such other jurisdiction.</w:t>
      </w:r>
    </w:p>
    <w:p>
      <w:pPr>
        <w:spacing w:after="0" w:line="162" w:lineRule="exact"/>
        <w:rPr>
          <w:sz w:val="20"/>
          <w:szCs w:val="20"/>
          <w:color w:val="auto"/>
        </w:rPr>
      </w:pPr>
    </w:p>
    <w:p>
      <w:pPr>
        <w:jc w:val="both"/>
        <w:ind w:left="20" w:right="779" w:firstLine="749"/>
        <w:spacing w:after="0" w:line="258" w:lineRule="auto"/>
        <w:rPr>
          <w:sz w:val="20"/>
          <w:szCs w:val="20"/>
          <w:color w:val="auto"/>
        </w:rPr>
      </w:pPr>
      <w:r>
        <w:rPr>
          <w:rFonts w:ascii="Times New Roman" w:cs="Times New Roman" w:eastAsia="Times New Roman" w:hAnsi="Times New Roman"/>
          <w:sz w:val="18"/>
          <w:szCs w:val="18"/>
          <w:color w:val="auto"/>
        </w:rPr>
        <w:t>8.5 This Agreement contains the entire understanding and agreement between you and the Employer with respect to this subject matter, and supersedes all prior oral and written agreements, if any, between you and the Employer with respect to that subject matter. You understand and acknowledge that the Employer's and the Company's rights under this Agreement shall inure to the benefit of any of its successors and/or assigns, and you shall continue to be bound by the terms hereof with any of the Employer's or the Company's successors and/or assigns.</w:t>
      </w:r>
    </w:p>
    <w:p>
      <w:pPr>
        <w:spacing w:after="0" w:line="143" w:lineRule="exact"/>
        <w:rPr>
          <w:sz w:val="20"/>
          <w:szCs w:val="20"/>
          <w:color w:val="auto"/>
        </w:rPr>
      </w:pPr>
    </w:p>
    <w:p>
      <w:pPr>
        <w:jc w:val="both"/>
        <w:ind w:left="20" w:right="779" w:firstLine="749"/>
        <w:spacing w:after="0" w:line="257" w:lineRule="auto"/>
        <w:rPr>
          <w:sz w:val="20"/>
          <w:szCs w:val="20"/>
          <w:color w:val="auto"/>
        </w:rPr>
      </w:pPr>
      <w:r>
        <w:rPr>
          <w:rFonts w:ascii="Times New Roman" w:cs="Times New Roman" w:eastAsia="Times New Roman" w:hAnsi="Times New Roman"/>
          <w:sz w:val="18"/>
          <w:szCs w:val="18"/>
          <w:color w:val="auto"/>
        </w:rPr>
        <w:t>8.6 Any failure by the Employer or the Company to enforce any part of this Agreement at any time shall in no way affect the Employer's or the Company's right to enforce the same at a later time. No waiver by the Employer or the Company of any provision in this Agreement, or of any breach of any such provision, shall be effective unless in writing and signed by an officer of the Employer, and no waiver in any one or more instances shall be deemed to be a further or continuing waiver of any such provision or breach in other instances or a waiver of any other provision or breach of any other provision or covenant.</w:t>
      </w:r>
    </w:p>
    <w:p>
      <w:pPr>
        <w:spacing w:after="0" w:line="363" w:lineRule="exact"/>
        <w:rPr>
          <w:sz w:val="20"/>
          <w:szCs w:val="20"/>
          <w:color w:val="auto"/>
        </w:rPr>
      </w:pPr>
    </w:p>
    <w:p>
      <w:pPr>
        <w:jc w:val="both"/>
        <w:ind w:left="20" w:right="779" w:firstLine="749"/>
        <w:spacing w:after="0" w:line="256" w:lineRule="auto"/>
        <w:rPr>
          <w:sz w:val="20"/>
          <w:szCs w:val="20"/>
          <w:color w:val="auto"/>
        </w:rPr>
      </w:pPr>
      <w:r>
        <w:rPr>
          <w:rFonts w:ascii="Times New Roman" w:cs="Times New Roman" w:eastAsia="Times New Roman" w:hAnsi="Times New Roman"/>
          <w:sz w:val="18"/>
          <w:szCs w:val="18"/>
          <w:color w:val="auto"/>
        </w:rPr>
        <w:t>8.7 Following any termination of your employment with the Employer, you shall fully cooperate with the Employer in all matters relating to the winding up of your pending work on behalf of the Employer and/or any of the Employer's customers, prospective customers, investors, and prospective investors and the orderly transfer of any such pending work to other employees or agents of the Employer as may be designated. If requested by the Employer, you shall participate in a termination interview for the purpose of discussing the various rights and responsibilities of the Employer and/or any of the Employer's customers or investors subsequent to your separation from employment with the Employer.</w:t>
      </w:r>
    </w:p>
    <w:p>
      <w:pPr>
        <w:spacing w:after="0" w:line="160" w:lineRule="exact"/>
        <w:rPr>
          <w:sz w:val="20"/>
          <w:szCs w:val="20"/>
          <w:color w:val="auto"/>
        </w:rPr>
      </w:pPr>
    </w:p>
    <w:p>
      <w:pPr>
        <w:jc w:val="both"/>
        <w:ind w:left="20" w:right="779" w:firstLine="749"/>
        <w:spacing w:after="0" w:line="282" w:lineRule="auto"/>
        <w:rPr>
          <w:sz w:val="20"/>
          <w:szCs w:val="20"/>
          <w:color w:val="auto"/>
        </w:rPr>
      </w:pPr>
      <w:r>
        <w:rPr>
          <w:rFonts w:ascii="Times New Roman" w:cs="Times New Roman" w:eastAsia="Times New Roman" w:hAnsi="Times New Roman"/>
          <w:sz w:val="18"/>
          <w:szCs w:val="18"/>
          <w:color w:val="auto"/>
        </w:rPr>
        <w:t>8.8 Your and the Employer's rights and obligations under Sections I, 2, 3, and 4 shall survive the termination of this Agreement.</w:t>
      </w:r>
    </w:p>
    <w:p>
      <w:pPr>
        <w:spacing w:after="0" w:line="121" w:lineRule="exact"/>
        <w:rPr>
          <w:sz w:val="20"/>
          <w:szCs w:val="20"/>
          <w:color w:val="auto"/>
        </w:rPr>
      </w:pPr>
    </w:p>
    <w:p>
      <w:pPr>
        <w:jc w:val="both"/>
        <w:ind w:left="20" w:right="779" w:firstLine="749"/>
        <w:spacing w:after="0" w:line="258" w:lineRule="auto"/>
        <w:rPr>
          <w:sz w:val="20"/>
          <w:szCs w:val="20"/>
          <w:color w:val="auto"/>
        </w:rPr>
      </w:pPr>
      <w:r>
        <w:rPr>
          <w:rFonts w:ascii="Times New Roman" w:cs="Times New Roman" w:eastAsia="Times New Roman" w:hAnsi="Times New Roman"/>
          <w:sz w:val="18"/>
          <w:szCs w:val="18"/>
          <w:color w:val="auto"/>
        </w:rPr>
        <w:t>8.9 You have voluntarily signed this Agreement after determining that the provisions contained in this Agreement are of a material benefit to you, and that the duties and obligations imposed on you are fair and reasonable and will not prevent you from earning a comparable livelihood following the termination of your employment with the Employer. You have carefully reviewed and fully understand the terms of this Agreement and have considered its benefits and consequences. You have also had adequate opportunity to review this Agreement with an attorney of your choice.</w:t>
      </w:r>
    </w:p>
    <w:p>
      <w:pPr>
        <w:spacing w:after="0" w:line="143" w:lineRule="exact"/>
        <w:rPr>
          <w:sz w:val="20"/>
          <w:szCs w:val="20"/>
          <w:color w:val="auto"/>
        </w:rPr>
      </w:pPr>
    </w:p>
    <w:p>
      <w:pPr>
        <w:jc w:val="both"/>
        <w:ind w:left="20" w:right="779" w:firstLine="749"/>
        <w:spacing w:after="0" w:line="266" w:lineRule="auto"/>
        <w:rPr>
          <w:sz w:val="20"/>
          <w:szCs w:val="20"/>
          <w:color w:val="auto"/>
        </w:rPr>
      </w:pPr>
      <w:r>
        <w:rPr>
          <w:rFonts w:ascii="Times New Roman" w:cs="Times New Roman" w:eastAsia="Times New Roman" w:hAnsi="Times New Roman"/>
          <w:sz w:val="18"/>
          <w:szCs w:val="18"/>
          <w:color w:val="auto"/>
        </w:rPr>
        <w:t>8.10 This Agreement may be executed in one or more counterparts, each of which shall be deemed an original, but all of which together shall constitute one and the same Agreement. It is the express intent of the parties hereto to be bound by the exchange of signatures on this Agreement via facsimile or electronic mail via the portable document format (PDF).</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60325</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297" w:right="1440" w:bottom="1440" w:gutter="0" w:footer="0" w:header="0"/>
        </w:sectPr>
      </w:pPr>
    </w:p>
    <w:bookmarkStart w:id="171" w:name="page172"/>
    <w:bookmarkEnd w:id="171"/>
    <w:p>
      <w:pPr>
        <w:jc w:val="both"/>
        <w:ind w:left="100" w:right="759"/>
        <w:spacing w:after="0" w:line="268" w:lineRule="auto"/>
        <w:rPr>
          <w:sz w:val="20"/>
          <w:szCs w:val="20"/>
          <w:color w:val="auto"/>
        </w:rPr>
      </w:pPr>
      <w:r>
        <w:rPr>
          <w:rFonts w:ascii="Times New Roman" w:cs="Times New Roman" w:eastAsia="Times New Roman" w:hAnsi="Times New Roman"/>
          <w:sz w:val="18"/>
          <w:szCs w:val="18"/>
          <w:b w:val="1"/>
          <w:bCs w:val="1"/>
          <w:color w:val="080808"/>
        </w:rPr>
        <w:t xml:space="preserve">CAUTION </w:t>
      </w:r>
      <w:r>
        <w:rPr>
          <w:rFonts w:ascii="Times New Roman" w:cs="Times New Roman" w:eastAsia="Times New Roman" w:hAnsi="Times New Roman"/>
          <w:sz w:val="18"/>
          <w:szCs w:val="18"/>
          <w:color w:val="080808"/>
        </w:rPr>
        <w:t>-</w:t>
      </w:r>
      <w:r>
        <w:rPr>
          <w:rFonts w:ascii="Times New Roman" w:cs="Times New Roman" w:eastAsia="Times New Roman" w:hAnsi="Times New Roman"/>
          <w:sz w:val="18"/>
          <w:szCs w:val="18"/>
          <w:b w:val="1"/>
          <w:bCs w:val="1"/>
          <w:color w:val="080808"/>
        </w:rPr>
        <w:t xml:space="preserve"> READ BEFORE SIGNING; THIS </w:t>
      </w:r>
      <w:r>
        <w:rPr>
          <w:rFonts w:ascii="Times New Roman" w:cs="Times New Roman" w:eastAsia="Times New Roman" w:hAnsi="Times New Roman"/>
          <w:sz w:val="18"/>
          <w:szCs w:val="18"/>
          <w:color w:val="080808"/>
        </w:rPr>
        <w:t>IS</w:t>
      </w:r>
      <w:r>
        <w:rPr>
          <w:rFonts w:ascii="Times New Roman" w:cs="Times New Roman" w:eastAsia="Times New Roman" w:hAnsi="Times New Roman"/>
          <w:sz w:val="18"/>
          <w:szCs w:val="18"/>
          <w:b w:val="1"/>
          <w:bCs w:val="1"/>
          <w:color w:val="080808"/>
        </w:rPr>
        <w:t xml:space="preserve"> A BINDING LEGAL DOCUMENT. BY SIGNING BELOW, YOU AGREE THAT YOU HAVE VOLUNTARILY AND KNOWINGLY ENTERED INTO THIS AGREEMENT, AGREEING TO BE BOUND BY ALL OF ITS TERMS AND CONDITIONS.</w:t>
      </w:r>
    </w:p>
    <w:p>
      <w:pPr>
        <w:spacing w:after="0" w:line="1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8282A"/>
        </w:rPr>
        <w:t>EMPLOYER</w:t>
      </w:r>
    </w:p>
    <w:p>
      <w:pPr>
        <w:spacing w:after="0" w:line="188"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28282A"/>
        </w:rPr>
        <w:t>By:</w:t>
        <w:tab/>
        <w:t>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-7620</wp:posOffset>
            </wp:positionV>
            <wp:extent cx="8890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0">
                      <a:extLst>
                        <a:ext uri="{28A0092B-C50C-407E-A947-70E740481C1C}"/>
                      </a:extLst>
                    </a:blip>
                    <a:srcRect/>
                    <a:stretch>
                      <a:fillRect/>
                    </a:stretch>
                  </pic:blipFill>
                  <pic:spPr bwMode="auto">
                    <a:xfrm>
                      <a:off x="0" y="0"/>
                      <a:ext cx="8890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28282A"/>
        </w:rPr>
        <w:t xml:space="preserve">Name: </w:t>
      </w:r>
      <w:r>
        <w:rPr>
          <w:rFonts w:ascii="Arial" w:cs="Arial" w:eastAsia="Arial" w:hAnsi="Arial"/>
          <w:sz w:val="18"/>
          <w:szCs w:val="18"/>
          <w:color w:val="28282A"/>
        </w:rPr>
        <w:t>_______________________</w:t>
      </w:r>
    </w:p>
    <w:p>
      <w:pPr>
        <w:spacing w:after="0" w:line="184" w:lineRule="exact"/>
        <w:rPr>
          <w:sz w:val="20"/>
          <w:szCs w:val="20"/>
          <w:color w:val="auto"/>
        </w:rPr>
      </w:pPr>
    </w:p>
    <w:p>
      <w:pPr>
        <w:ind w:left="120"/>
        <w:spacing w:after="0"/>
        <w:tabs>
          <w:tab w:leader="none" w:pos="660" w:val="left"/>
        </w:tabs>
        <w:rPr>
          <w:sz w:val="20"/>
          <w:szCs w:val="20"/>
          <w:color w:val="auto"/>
        </w:rPr>
      </w:pPr>
      <w:r>
        <w:rPr>
          <w:rFonts w:ascii="Times New Roman" w:cs="Times New Roman" w:eastAsia="Times New Roman" w:hAnsi="Times New Roman"/>
          <w:sz w:val="18"/>
          <w:szCs w:val="18"/>
          <w:color w:val="28282A"/>
        </w:rPr>
        <w:t>Title:</w:t>
      </w:r>
      <w:r>
        <w:rPr>
          <w:sz w:val="20"/>
          <w:szCs w:val="20"/>
          <w:color w:val="auto"/>
        </w:rPr>
        <w:tab/>
      </w:r>
      <w:r>
        <w:rPr>
          <w:rFonts w:ascii="Arial" w:cs="Arial" w:eastAsia="Arial" w:hAnsi="Arial"/>
          <w:sz w:val="17"/>
          <w:szCs w:val="17"/>
          <w:color w:val="28282A"/>
        </w:rPr>
        <w:t>_______________________</w:t>
      </w:r>
    </w:p>
    <w:p>
      <w:pPr>
        <w:spacing w:after="0" w:line="185" w:lineRule="exact"/>
        <w:rPr>
          <w:sz w:val="20"/>
          <w:szCs w:val="20"/>
          <w:color w:val="auto"/>
        </w:rPr>
      </w:pPr>
    </w:p>
    <w:p>
      <w:pPr>
        <w:ind w:left="120"/>
        <w:spacing w:after="0"/>
        <w:tabs>
          <w:tab w:leader="none" w:pos="660" w:val="left"/>
        </w:tabs>
        <w:rPr>
          <w:sz w:val="20"/>
          <w:szCs w:val="20"/>
          <w:color w:val="auto"/>
        </w:rPr>
      </w:pPr>
      <w:r>
        <w:rPr>
          <w:rFonts w:ascii="Times New Roman" w:cs="Times New Roman" w:eastAsia="Times New Roman" w:hAnsi="Times New Roman"/>
          <w:sz w:val="18"/>
          <w:szCs w:val="18"/>
          <w:color w:val="28282A"/>
        </w:rPr>
        <w:t>Date:</w:t>
      </w:r>
      <w:r>
        <w:rPr>
          <w:sz w:val="20"/>
          <w:szCs w:val="20"/>
          <w:color w:val="auto"/>
        </w:rPr>
        <w:tab/>
      </w:r>
      <w:r>
        <w:rPr>
          <w:rFonts w:ascii="Arial" w:cs="Arial" w:eastAsia="Arial" w:hAnsi="Arial"/>
          <w:sz w:val="17"/>
          <w:szCs w:val="17"/>
          <w:color w:val="28282A"/>
        </w:rPr>
        <w:t>_______________________</w:t>
      </w:r>
    </w:p>
    <w:p>
      <w:pPr>
        <w:spacing w:after="0" w:line="200" w:lineRule="exact"/>
        <w:rPr>
          <w:sz w:val="20"/>
          <w:szCs w:val="20"/>
          <w:color w:val="auto"/>
        </w:rPr>
      </w:pPr>
    </w:p>
    <w:p>
      <w:pPr>
        <w:spacing w:after="0" w:line="3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8282A"/>
        </w:rPr>
        <w:t>EXECUTIVE</w:t>
      </w:r>
    </w:p>
    <w:p>
      <w:pPr>
        <w:spacing w:after="0" w:line="188" w:lineRule="exact"/>
        <w:rPr>
          <w:sz w:val="20"/>
          <w:szCs w:val="20"/>
          <w:color w:val="auto"/>
        </w:rPr>
      </w:pPr>
    </w:p>
    <w:p>
      <w:pPr>
        <w:ind w:left="120"/>
        <w:spacing w:after="0"/>
        <w:tabs>
          <w:tab w:leader="none" w:pos="660" w:val="left"/>
        </w:tabs>
        <w:rPr>
          <w:sz w:val="20"/>
          <w:szCs w:val="20"/>
          <w:color w:val="auto"/>
        </w:rPr>
      </w:pPr>
      <w:r>
        <w:rPr>
          <w:rFonts w:ascii="Arial" w:cs="Arial" w:eastAsia="Arial" w:hAnsi="Arial"/>
          <w:sz w:val="18"/>
          <w:szCs w:val="18"/>
          <w:color w:val="28282A"/>
        </w:rPr>
        <w:t>By:</w:t>
      </w:r>
      <w:r>
        <w:rPr>
          <w:sz w:val="20"/>
          <w:szCs w:val="20"/>
          <w:color w:val="auto"/>
        </w:rPr>
        <w:tab/>
      </w:r>
      <w:r>
        <w:rPr>
          <w:rFonts w:ascii="Arial" w:cs="Arial" w:eastAsia="Arial" w:hAnsi="Arial"/>
          <w:sz w:val="18"/>
          <w:szCs w:val="18"/>
          <w:color w:val="28282A"/>
        </w:rPr>
        <w:t>_______________________</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28282A"/>
        </w:rPr>
        <w:t xml:space="preserve">Name: </w:t>
      </w:r>
      <w:r>
        <w:rPr>
          <w:rFonts w:ascii="Arial" w:cs="Arial" w:eastAsia="Arial" w:hAnsi="Arial"/>
          <w:sz w:val="18"/>
          <w:szCs w:val="18"/>
          <w:color w:val="28282A"/>
        </w:rPr>
        <w:t>_______________________</w:t>
      </w:r>
    </w:p>
    <w:p>
      <w:pPr>
        <w:spacing w:after="0" w:line="184" w:lineRule="exact"/>
        <w:rPr>
          <w:sz w:val="20"/>
          <w:szCs w:val="20"/>
          <w:color w:val="auto"/>
        </w:rPr>
      </w:pPr>
    </w:p>
    <w:p>
      <w:pPr>
        <w:ind w:left="120"/>
        <w:spacing w:after="0"/>
        <w:tabs>
          <w:tab w:leader="none" w:pos="660" w:val="left"/>
        </w:tabs>
        <w:rPr>
          <w:sz w:val="20"/>
          <w:szCs w:val="20"/>
          <w:color w:val="auto"/>
        </w:rPr>
      </w:pPr>
      <w:r>
        <w:rPr>
          <w:rFonts w:ascii="Times New Roman" w:cs="Times New Roman" w:eastAsia="Times New Roman" w:hAnsi="Times New Roman"/>
          <w:sz w:val="18"/>
          <w:szCs w:val="18"/>
          <w:color w:val="28282A"/>
        </w:rPr>
        <w:t>Date:</w:t>
      </w:r>
      <w:r>
        <w:rPr>
          <w:sz w:val="20"/>
          <w:szCs w:val="20"/>
          <w:color w:val="auto"/>
        </w:rPr>
        <w:tab/>
      </w:r>
      <w:r>
        <w:rPr>
          <w:rFonts w:ascii="Arial" w:cs="Arial" w:eastAsia="Arial" w:hAnsi="Arial"/>
          <w:sz w:val="17"/>
          <w:szCs w:val="17"/>
          <w:color w:val="28282A"/>
        </w:rPr>
        <w:t>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60325</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293" w:right="1440" w:bottom="1440" w:gutter="0" w:footer="0" w:header="0"/>
        </w:sectPr>
      </w:pPr>
    </w:p>
    <w:bookmarkStart w:id="172" w:name="page173"/>
    <w:bookmarkEnd w:id="172"/>
    <w:p>
      <w:pPr>
        <w:ind w:left="520"/>
        <w:spacing w:after="0"/>
        <w:rPr>
          <w:sz w:val="20"/>
          <w:szCs w:val="20"/>
          <w:color w:val="auto"/>
        </w:rPr>
      </w:pPr>
      <w:r>
        <w:rPr>
          <w:rFonts w:ascii="Times New Roman" w:cs="Times New Roman" w:eastAsia="Times New Roman" w:hAnsi="Times New Roman"/>
          <w:sz w:val="18"/>
          <w:szCs w:val="18"/>
          <w:b w:val="1"/>
          <w:bCs w:val="1"/>
          <w:color w:val="auto"/>
        </w:rPr>
        <w:t>MUTUAL ARBITRATION AGREEMENT CONCERNING PAY/WAGES AND HOURS</w:t>
      </w:r>
    </w:p>
    <w:p>
      <w:pPr>
        <w:spacing w:after="0" w:line="200" w:lineRule="exact"/>
        <w:rPr>
          <w:sz w:val="20"/>
          <w:szCs w:val="20"/>
          <w:color w:val="auto"/>
        </w:rPr>
      </w:pPr>
    </w:p>
    <w:p>
      <w:pPr>
        <w:spacing w:after="0" w:line="376" w:lineRule="exact"/>
        <w:rPr>
          <w:sz w:val="20"/>
          <w:szCs w:val="20"/>
          <w:color w:val="auto"/>
        </w:rPr>
      </w:pPr>
    </w:p>
    <w:p>
      <w:pPr>
        <w:jc w:val="both"/>
        <w:ind w:left="60" w:right="759" w:firstLine="12"/>
        <w:spacing w:after="0" w:line="259" w:lineRule="auto"/>
        <w:tabs>
          <w:tab w:leader="none" w:pos="673"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Arbitrate.</w:t>
      </w:r>
      <w:r>
        <w:rPr>
          <w:rFonts w:ascii="Times New Roman" w:cs="Times New Roman" w:eastAsia="Times New Roman" w:hAnsi="Times New Roman"/>
          <w:sz w:val="18"/>
          <w:szCs w:val="18"/>
          <w:color w:val="auto"/>
        </w:rPr>
        <w:t xml:space="preserve"> You and </w:t>
      </w:r>
      <w:r>
        <w:rPr>
          <w:rFonts w:ascii="Times New Roman" w:cs="Times New Roman" w:eastAsia="Times New Roman" w:hAnsi="Times New Roman"/>
          <w:sz w:val="18"/>
          <w:szCs w:val="18"/>
          <w:u w:val="single" w:color="auto"/>
          <w:color w:val="auto"/>
        </w:rPr>
        <w:t>Vision Management Services, LLC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"Employer"),</w:t>
      </w:r>
      <w:r>
        <w:rPr>
          <w:rFonts w:ascii="Times New Roman" w:cs="Times New Roman" w:eastAsia="Times New Roman" w:hAnsi="Times New Roman"/>
          <w:sz w:val="18"/>
          <w:szCs w:val="18"/>
          <w:color w:val="auto"/>
        </w:rPr>
        <w:t xml:space="preserve"> a subsidiary of Green Thumb Industries Inc. (together, along with their subsidiaries, affiliates, successors and assigns, referred to herein as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agree to use binding arbitration, instead of going to court, for any Covered Claims that arise or have arisen between you and Employer and/or between you and the Company. </w:t>
      </w:r>
      <w:r>
        <w:rPr>
          <w:rFonts w:ascii="Times New Roman" w:cs="Times New Roman" w:eastAsia="Times New Roman" w:hAnsi="Times New Roman"/>
          <w:sz w:val="18"/>
          <w:szCs w:val="18"/>
          <w:b w:val="1"/>
          <w:bCs w:val="1"/>
          <w:color w:val="auto"/>
        </w:rPr>
        <w:t>You understand that your new or continued employment with Employer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is deemed to be acceptance of this Agreement to Arbitrate.</w:t>
      </w:r>
    </w:p>
    <w:p>
      <w:pPr>
        <w:spacing w:after="0" w:line="143" w:lineRule="exact"/>
        <w:rPr>
          <w:sz w:val="20"/>
          <w:szCs w:val="20"/>
          <w:color w:val="auto"/>
        </w:rPr>
      </w:pPr>
    </w:p>
    <w:p>
      <w:pPr>
        <w:jc w:val="both"/>
        <w:ind w:left="60" w:right="759" w:firstLine="1"/>
        <w:spacing w:after="0" w:line="254" w:lineRule="auto"/>
        <w:rPr>
          <w:sz w:val="20"/>
          <w:szCs w:val="20"/>
          <w:color w:val="auto"/>
        </w:rPr>
      </w:pPr>
      <w:r>
        <w:rPr>
          <w:rFonts w:ascii="Times New Roman" w:cs="Times New Roman" w:eastAsia="Times New Roman" w:hAnsi="Times New Roman"/>
          <w:sz w:val="18"/>
          <w:szCs w:val="18"/>
          <w:color w:val="auto"/>
        </w:rPr>
        <w:t>The Covered Claims under this Agreement are any statutory or common law legal claims, asserted or unasserted, brought by you against the Employer and/or the Company, or brought by the Employer and/or Company against you, alleging any claimed failure to pay or failure to reimburse, failure to promote and provide associated pay and benefits, or any claimed inequality, insufficiency, underpayment or overpayment of: salary, regular wages, raises or increases, minimum wage, overtime, bonuses, incentive payments, commissions, advances, tips, tip credits, paid time off, vacation or sick leave benefits, expenses, loans, or any element of compensation, arising under any federal, state, local or common law, including but not limited to laws relating to pay equity, promotion, overtime, PTO or vacation, timing of payment, hours of work, the proper payment of wages, deductions from pay, recoupment of overpayments, hiring or payroll notices, payroll statements or recordkeeping and/or any other pay equity or wage and hour requirements, practices, penalties or procedures.</w:t>
      </w:r>
    </w:p>
    <w:p>
      <w:pPr>
        <w:spacing w:after="0" w:line="157" w:lineRule="exact"/>
        <w:rPr>
          <w:sz w:val="20"/>
          <w:szCs w:val="20"/>
          <w:color w:val="auto"/>
        </w:rPr>
      </w:pPr>
    </w:p>
    <w:p>
      <w:pPr>
        <w:jc w:val="both"/>
        <w:ind w:left="60" w:right="779"/>
        <w:spacing w:after="0" w:line="268" w:lineRule="auto"/>
        <w:rPr>
          <w:sz w:val="20"/>
          <w:szCs w:val="20"/>
          <w:color w:val="auto"/>
        </w:rPr>
      </w:pPr>
      <w:r>
        <w:rPr>
          <w:rFonts w:ascii="Times New Roman" w:cs="Times New Roman" w:eastAsia="Times New Roman" w:hAnsi="Times New Roman"/>
          <w:sz w:val="18"/>
          <w:szCs w:val="18"/>
          <w:b w:val="1"/>
          <w:bCs w:val="1"/>
          <w:color w:val="auto"/>
        </w:rPr>
        <w:t>You understand and agree that arbitration is the only litigation forum for resolving Covered Claims, and that the Employer, the Company and you are waiving the right to a trial before a judge or jury in federal or state court in favor of arbitration.</w:t>
      </w:r>
    </w:p>
    <w:p>
      <w:pPr>
        <w:spacing w:after="0" w:line="134" w:lineRule="exact"/>
        <w:rPr>
          <w:sz w:val="20"/>
          <w:szCs w:val="20"/>
          <w:color w:val="auto"/>
        </w:rPr>
      </w:pPr>
    </w:p>
    <w:p>
      <w:pPr>
        <w:jc w:val="both"/>
        <w:ind w:left="60" w:right="779" w:firstLine="1"/>
        <w:spacing w:after="0" w:line="282" w:lineRule="auto"/>
        <w:rPr>
          <w:sz w:val="20"/>
          <w:szCs w:val="20"/>
          <w:color w:val="auto"/>
        </w:rPr>
      </w:pPr>
      <w:r>
        <w:rPr>
          <w:rFonts w:ascii="Times New Roman" w:cs="Times New Roman" w:eastAsia="Times New Roman" w:hAnsi="Times New Roman"/>
          <w:sz w:val="18"/>
          <w:szCs w:val="18"/>
          <w:color w:val="auto"/>
        </w:rPr>
        <w:t>The Arbitrator shall have the authority to award the same damages and other relief that would have been available in court pursuant to the law governing your Covered Claim(s).</w:t>
      </w:r>
    </w:p>
    <w:p>
      <w:pPr>
        <w:spacing w:after="0" w:line="121" w:lineRule="exact"/>
        <w:rPr>
          <w:sz w:val="20"/>
          <w:szCs w:val="20"/>
          <w:color w:val="auto"/>
        </w:rPr>
      </w:pPr>
    </w:p>
    <w:p>
      <w:pPr>
        <w:jc w:val="both"/>
        <w:ind w:left="20" w:right="779" w:hanging="7"/>
        <w:spacing w:after="0" w:line="256" w:lineRule="auto"/>
        <w:tabs>
          <w:tab w:leader="none" w:pos="62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Class and Collective Claims</w:t>
      </w:r>
      <w:r>
        <w:rPr>
          <w:rFonts w:ascii="Times New Roman" w:cs="Times New Roman" w:eastAsia="Times New Roman" w:hAnsi="Times New Roman"/>
          <w:sz w:val="18"/>
          <w:szCs w:val="18"/>
          <w:color w:val="auto"/>
        </w:rPr>
        <w:t>. The Employer, the Company and you also agree that Covered Claims will be arbitrated only on an individual basis, and that the Employer, the Company and you waive the right to bring, participate in, join, or receive money or any other relief from any class, collective, or representative proceeding. You may not bring a claim on behalf of other individuals, and any arbitrator hearing your claim may not: (i) without the consent of all parties, combine more than one individual's claim or claims into a single case; (ii) participate in or facilitate notification of others of potential claims; or (iii) arbitrate any form of a class, collective, or representative proceeding.</w:t>
      </w:r>
    </w:p>
    <w:p>
      <w:pPr>
        <w:spacing w:after="0" w:line="160" w:lineRule="exact"/>
        <w:rPr>
          <w:rFonts w:ascii="Times New Roman" w:cs="Times New Roman" w:eastAsia="Times New Roman" w:hAnsi="Times New Roman"/>
          <w:sz w:val="18"/>
          <w:szCs w:val="18"/>
          <w:color w:val="auto"/>
        </w:rPr>
      </w:pPr>
    </w:p>
    <w:p>
      <w:pPr>
        <w:jc w:val="both"/>
        <w:ind w:left="20" w:right="779" w:hanging="7"/>
        <w:spacing w:after="0" w:line="253" w:lineRule="auto"/>
        <w:tabs>
          <w:tab w:leader="none" w:pos="62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Excluded Claims</w:t>
      </w:r>
      <w:r>
        <w:rPr>
          <w:rFonts w:ascii="Times New Roman" w:cs="Times New Roman" w:eastAsia="Times New Roman" w:hAnsi="Times New Roman"/>
          <w:sz w:val="18"/>
          <w:szCs w:val="18"/>
          <w:color w:val="auto"/>
        </w:rPr>
        <w:t>. Covered Claims under this Agreement do not include any other disputes or claims unrelated to pay or wages as described in Section I, including but not limited to non-pay-related claims of discrimination, harassment or retaliation, or claims between the Employer or the Company and you arising under separate agreements that do not incorporate or provide for arbitration. If you are employed in the State of California, claims under the California Private Attorney General Act of 2004 ("PAGA") are excluded to the extent required by California law. Also excluded from this agreement are any claims that cannot be required to be arbitrated as a matter of law. You also understand that you are not barred from filing a claim or charge with a governmental administrative agency, such as the National Labor Relations Board or Equal Employment Opportunity Commission, or from filing a workers' compensation or unemployment compensation claim with respect to Covered Claims, though you are giving up the opportunity to recover monetary amounts from any such governmental agency (e.g., National Labor Relations Board or Equal Employment Oppo1tunity Commission), and would instead be able to pursue a claim for monetary amounts through arbitration. You also understand that if a third party seeks to have the Employer garnish your wages, you may be subject to third-party garnishment proceedings in court, even though such a dispute concerns your wages.</w:t>
      </w:r>
    </w:p>
    <w:p>
      <w:pPr>
        <w:spacing w:after="0" w:line="149" w:lineRule="exact"/>
        <w:rPr>
          <w:rFonts w:ascii="Times New Roman" w:cs="Times New Roman" w:eastAsia="Times New Roman" w:hAnsi="Times New Roman"/>
          <w:sz w:val="18"/>
          <w:szCs w:val="18"/>
          <w:color w:val="auto"/>
        </w:rPr>
      </w:pPr>
    </w:p>
    <w:p>
      <w:pPr>
        <w:jc w:val="both"/>
        <w:ind w:left="20" w:right="779" w:hanging="7"/>
        <w:spacing w:after="0" w:line="256" w:lineRule="auto"/>
        <w:tabs>
          <w:tab w:leader="none" w:pos="62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xml:space="preserve"> In the event the Company, the Employer or you choose to pursue both Covered Claims and Excluded Claims, Covered Claims must be arbitrated and Excluded Claims must be litigated in court. Covered Claims may be joined with Excluded Claims and litigated in court, and Excluded Claims may be joined with Covered Claims and arbitrated, only if the non-asserting party agrees; however in no event will there be arbitration of any form of a class, collective, or representative proceeding. Any failure to enforce any part of this Agreement at any time shall in no way affect the right to enforce same at a later time against the same or any other party or</w:t>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60325</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293" w:right="1440" w:bottom="1440" w:gutter="0" w:footer="0" w:header="0"/>
        </w:sectPr>
      </w:pPr>
    </w:p>
    <w:bookmarkStart w:id="173" w:name="page174"/>
    <w:bookmarkEnd w:id="173"/>
    <w:p>
      <w:pPr>
        <w:ind w:left="620"/>
        <w:spacing w:after="0"/>
        <w:rPr>
          <w:sz w:val="20"/>
          <w:szCs w:val="20"/>
          <w:color w:val="auto"/>
        </w:rPr>
      </w:pPr>
      <w:r>
        <w:rPr>
          <w:rFonts w:ascii="Times New Roman" w:cs="Times New Roman" w:eastAsia="Times New Roman" w:hAnsi="Times New Roman"/>
          <w:sz w:val="18"/>
          <w:szCs w:val="18"/>
          <w:color w:val="auto"/>
        </w:rPr>
        <w:t>any current or future claim.</w:t>
      </w:r>
    </w:p>
    <w:p>
      <w:pPr>
        <w:spacing w:after="0" w:line="198" w:lineRule="exact"/>
        <w:rPr>
          <w:sz w:val="20"/>
          <w:szCs w:val="20"/>
          <w:color w:val="auto"/>
        </w:rPr>
      </w:pPr>
    </w:p>
    <w:p>
      <w:pPr>
        <w:ind w:left="20" w:right="779" w:hanging="7"/>
        <w:spacing w:after="0" w:line="282" w:lineRule="auto"/>
        <w:tabs>
          <w:tab w:leader="none" w:pos="62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At-Will Employment Unchanged by this Agreement.</w:t>
      </w:r>
      <w:r>
        <w:rPr>
          <w:rFonts w:ascii="Times New Roman" w:cs="Times New Roman" w:eastAsia="Times New Roman" w:hAnsi="Times New Roman"/>
          <w:sz w:val="18"/>
          <w:szCs w:val="18"/>
          <w:color w:val="auto"/>
        </w:rPr>
        <w:t xml:space="preserve"> Nothing in this Agreement changes your relationship with the Employer of employment-at-will.</w:t>
      </w:r>
    </w:p>
    <w:p>
      <w:pPr>
        <w:spacing w:after="0" w:line="121" w:lineRule="exact"/>
        <w:rPr>
          <w:rFonts w:ascii="Times New Roman" w:cs="Times New Roman" w:eastAsia="Times New Roman" w:hAnsi="Times New Roman"/>
          <w:sz w:val="18"/>
          <w:szCs w:val="18"/>
          <w:color w:val="auto"/>
        </w:rPr>
      </w:pPr>
    </w:p>
    <w:p>
      <w:pPr>
        <w:jc w:val="both"/>
        <w:ind w:left="20" w:right="779" w:hanging="7"/>
        <w:spacing w:after="0" w:line="274" w:lineRule="auto"/>
        <w:tabs>
          <w:tab w:leader="none" w:pos="620"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Internal Dispute Resolution.</w:t>
      </w:r>
      <w:r>
        <w:rPr>
          <w:rFonts w:ascii="Times New Roman" w:cs="Times New Roman" w:eastAsia="Times New Roman" w:hAnsi="Times New Roman"/>
          <w:sz w:val="17"/>
          <w:szCs w:val="17"/>
          <w:color w:val="auto"/>
        </w:rPr>
        <w:t xml:space="preserve"> The Employer and you value our working relationship, and we would prefer to address and resolve concerns through normal workplace channels before resorting to arbitration. Arbitration is intended to be a last resort. If you have a concern, you are encouraged to contact your manager, a human resources representative, contact the General Counsel, or take advantage of any hotline or complaint initiation processes available to you. The Employer will investigate, and should your concerns be substantiated, the Employer will meet with you to discuss proposed resolutions. If you are dissatisfied with the investigation results, you may provide the Employer with an arbitration demand as described in Section 7.</w:t>
      </w:r>
    </w:p>
    <w:p>
      <w:pPr>
        <w:spacing w:after="0" w:line="132" w:lineRule="exact"/>
        <w:rPr>
          <w:sz w:val="20"/>
          <w:szCs w:val="20"/>
          <w:color w:val="auto"/>
        </w:rPr>
      </w:pPr>
    </w:p>
    <w:p>
      <w:pPr>
        <w:jc w:val="both"/>
        <w:ind w:left="60" w:right="759" w:firstLine="7"/>
        <w:spacing w:after="0" w:line="261" w:lineRule="auto"/>
        <w:rPr>
          <w:sz w:val="20"/>
          <w:szCs w:val="20"/>
          <w:color w:val="auto"/>
        </w:rPr>
      </w:pPr>
      <w:r>
        <w:rPr>
          <w:rFonts w:ascii="Times New Roman" w:cs="Times New Roman" w:eastAsia="Times New Roman" w:hAnsi="Times New Roman"/>
          <w:sz w:val="18"/>
          <w:szCs w:val="18"/>
          <w:color w:val="auto"/>
        </w:rPr>
        <w:t>You are not required to raise an internal complaint prior to demanding arbitration. However if you file an internal complaint first, and permit the Employer to review and conclude its investigation prior to your initiation of arbitration, you will not be required to pay the filing fee described below. The Employer and/or the Company likewise will attempt to resolve disputes with you before initiating arbitration.</w:t>
      </w:r>
    </w:p>
    <w:p>
      <w:pPr>
        <w:spacing w:after="0" w:line="153" w:lineRule="exact"/>
        <w:rPr>
          <w:sz w:val="20"/>
          <w:szCs w:val="20"/>
          <w:color w:val="auto"/>
        </w:rPr>
      </w:pPr>
    </w:p>
    <w:p>
      <w:pPr>
        <w:ind w:left="620" w:hanging="607"/>
        <w:spacing w:after="0"/>
        <w:tabs>
          <w:tab w:leader="none" w:pos="62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How to File for Arbitration.</w:t>
      </w:r>
      <w:r>
        <w:rPr>
          <w:rFonts w:ascii="Times New Roman" w:cs="Times New Roman" w:eastAsia="Times New Roman" w:hAnsi="Times New Roman"/>
          <w:sz w:val="18"/>
          <w:szCs w:val="18"/>
          <w:color w:val="auto"/>
        </w:rPr>
        <w:t xml:space="preserve"> To file a demand for arbitration:</w:t>
      </w:r>
    </w:p>
    <w:p>
      <w:pPr>
        <w:spacing w:after="0" w:line="184" w:lineRule="exact"/>
        <w:rPr>
          <w:rFonts w:ascii="Times New Roman" w:cs="Times New Roman" w:eastAsia="Times New Roman" w:hAnsi="Times New Roman"/>
          <w:sz w:val="18"/>
          <w:szCs w:val="18"/>
          <w:color w:val="auto"/>
        </w:rPr>
      </w:pPr>
    </w:p>
    <w:p>
      <w:pPr>
        <w:jc w:val="both"/>
        <w:ind w:left="680" w:right="739" w:hanging="592"/>
        <w:spacing w:after="0" w:line="258" w:lineRule="auto"/>
        <w:tabs>
          <w:tab w:leader="none" w:pos="68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 desiring to pursue a legal dispute must prepare a written demand setting forth the claim(s). Upon request, the Employer will provide a Demand for Arbitration form which you may use for this purpose, and additional filing forms may be required by JAMS, the organization administering arbitration. You will be required to provide a check to JAMS as a filing fee, for the lesser of $400, or the applicable federal or state court filing fee where you work(ed) for the Employer. (If you have first pursued an internal complaint, the Employer will cover this portion).</w:t>
      </w:r>
    </w:p>
    <w:p>
      <w:pPr>
        <w:spacing w:after="0" w:line="143" w:lineRule="exact"/>
        <w:rPr>
          <w:sz w:val="20"/>
          <w:szCs w:val="20"/>
          <w:color w:val="auto"/>
        </w:rPr>
      </w:pPr>
    </w:p>
    <w:p>
      <w:pPr>
        <w:jc w:val="both"/>
        <w:ind w:left="660" w:right="719" w:hanging="588"/>
        <w:spacing w:after="0" w:line="266" w:lineRule="auto"/>
        <w:tabs>
          <w:tab w:leader="none" w:pos="6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JAMS Employment Arbitration Rules and Procedures effective at the time of filing will apply. The current version can be found here: http://www.jamsadr.com/rules-employment­ arbitration/. These rules are modified by the terms of this Agreement as follows:</w:t>
      </w:r>
    </w:p>
    <w:p>
      <w:pPr>
        <w:spacing w:after="0" w:line="200" w:lineRule="exact"/>
        <w:rPr>
          <w:rFonts w:ascii="Times New Roman" w:cs="Times New Roman" w:eastAsia="Times New Roman" w:hAnsi="Times New Roman"/>
          <w:sz w:val="18"/>
          <w:szCs w:val="18"/>
          <w:color w:val="auto"/>
        </w:rPr>
      </w:pPr>
    </w:p>
    <w:p>
      <w:pPr>
        <w:spacing w:after="0" w:line="322" w:lineRule="exact"/>
        <w:rPr>
          <w:rFonts w:ascii="Times New Roman" w:cs="Times New Roman" w:eastAsia="Times New Roman" w:hAnsi="Times New Roman"/>
          <w:sz w:val="18"/>
          <w:szCs w:val="18"/>
          <w:color w:val="auto"/>
        </w:rPr>
      </w:pPr>
    </w:p>
    <w:p>
      <w:pPr>
        <w:jc w:val="both"/>
        <w:ind w:left="1080" w:right="759" w:hanging="304"/>
        <w:spacing w:after="0" w:line="255" w:lineRule="auto"/>
        <w:tabs>
          <w:tab w:leader="none" w:pos="108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Interpretation of Arbitration Agreement. </w:t>
      </w:r>
      <w:r>
        <w:rPr>
          <w:rFonts w:ascii="Times New Roman" w:cs="Times New Roman" w:eastAsia="Times New Roman" w:hAnsi="Times New Roman"/>
          <w:sz w:val="18"/>
          <w:szCs w:val="18"/>
          <w:color w:val="auto"/>
        </w:rPr>
        <w:t>If a pai1y violates this Agreement by commencing an 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asserting a Covered Claim in a court of law, then the com1 (and not an arbitrator) shall have the authority to resolve any disputes about the interpretation, formation, existence, enforceability, validity, and scope of the Agreement, including the </w:t>
      </w:r>
      <w:r>
        <w:rPr>
          <w:rFonts w:ascii="Times New Roman" w:cs="Times New Roman" w:eastAsia="Times New Roman" w:hAnsi="Times New Roman"/>
          <w:sz w:val="18"/>
          <w:szCs w:val="18"/>
          <w:u w:val="single" w:color="auto"/>
          <w:color w:val="auto"/>
        </w:rPr>
        <w:t>Waiver of Class and Collective Claims</w:t>
      </w:r>
      <w:r>
        <w:rPr>
          <w:rFonts w:ascii="Times New Roman" w:cs="Times New Roman" w:eastAsia="Times New Roman" w:hAnsi="Times New Roman"/>
          <w:sz w:val="18"/>
          <w:szCs w:val="18"/>
          <w:color w:val="auto"/>
        </w:rPr>
        <w:t>. However, if a party complies with this Agreement and files for arbitration without filing a complaint in a court of law, then the Arbitrator shall have the authority to resolve any disputes about the interpretation of the Agreement for purposes of discovery or the merits of the underlying claim, but shall have no authority to resolve any disputes about the formation, existence, enforceability, or validity of the Agreement, including the Waiver of Class and Collective Claims.</w:t>
      </w:r>
    </w:p>
    <w:p>
      <w:pPr>
        <w:spacing w:after="0" w:line="144" w:lineRule="exact"/>
        <w:rPr>
          <w:rFonts w:ascii="Times New Roman" w:cs="Times New Roman" w:eastAsia="Times New Roman" w:hAnsi="Times New Roman"/>
          <w:sz w:val="18"/>
          <w:szCs w:val="18"/>
          <w:color w:val="auto"/>
        </w:rPr>
      </w:pPr>
    </w:p>
    <w:p>
      <w:pPr>
        <w:ind w:left="1140" w:hanging="364"/>
        <w:spacing w:after="0"/>
        <w:tabs>
          <w:tab w:leader="none" w:pos="114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Costs. </w:t>
      </w:r>
      <w:r>
        <w:rPr>
          <w:rFonts w:ascii="Times New Roman" w:cs="Times New Roman" w:eastAsia="Times New Roman" w:hAnsi="Times New Roman"/>
          <w:sz w:val="18"/>
          <w:szCs w:val="18"/>
          <w:color w:val="auto"/>
        </w:rPr>
        <w:t>Employer will pay all costs that are unique to arbitration, including the Arbitrator's fees</w:t>
      </w:r>
    </w:p>
    <w:p>
      <w:pPr>
        <w:spacing w:after="0" w:line="202"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the arbitration filing and administrative fees, other than the initial filing fee as described in Section 7i.</w:t>
      </w:r>
    </w:p>
    <w:p>
      <w:pPr>
        <w:spacing w:after="0" w:line="200" w:lineRule="exact"/>
        <w:rPr>
          <w:rFonts w:ascii="Times New Roman" w:cs="Times New Roman" w:eastAsia="Times New Roman" w:hAnsi="Times New Roman"/>
          <w:sz w:val="18"/>
          <w:szCs w:val="18"/>
          <w:color w:val="auto"/>
        </w:rPr>
      </w:pPr>
    </w:p>
    <w:p>
      <w:pPr>
        <w:spacing w:after="0" w:line="358" w:lineRule="exact"/>
        <w:rPr>
          <w:rFonts w:ascii="Times New Roman" w:cs="Times New Roman" w:eastAsia="Times New Roman" w:hAnsi="Times New Roman"/>
          <w:sz w:val="18"/>
          <w:szCs w:val="18"/>
          <w:color w:val="auto"/>
        </w:rPr>
      </w:pPr>
    </w:p>
    <w:p>
      <w:pPr>
        <w:ind w:left="1080" w:right="759" w:hanging="289"/>
        <w:spacing w:after="0" w:line="286" w:lineRule="auto"/>
        <w:tabs>
          <w:tab w:leader="none" w:pos="1080" w:val="left"/>
        </w:tabs>
        <w:numPr>
          <w:ilvl w:val="2"/>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Location. </w:t>
      </w:r>
      <w:r>
        <w:rPr>
          <w:rFonts w:ascii="Times New Roman" w:cs="Times New Roman" w:eastAsia="Times New Roman" w:hAnsi="Times New Roman"/>
          <w:sz w:val="18"/>
          <w:szCs w:val="18"/>
          <w:color w:val="auto"/>
        </w:rPr>
        <w:t>The arbitration shall take place at a mutually convenient location in the state where you work(ed)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Employer, unless the parties mutually agree to an alternative location.</w:t>
      </w:r>
    </w:p>
    <w:p>
      <w:pPr>
        <w:spacing w:after="0" w:line="127" w:lineRule="exact"/>
        <w:rPr>
          <w:rFonts w:ascii="Times New Roman" w:cs="Times New Roman" w:eastAsia="Times New Roman" w:hAnsi="Times New Roman"/>
          <w:sz w:val="18"/>
          <w:szCs w:val="18"/>
          <w:color w:val="auto"/>
        </w:rPr>
      </w:pPr>
    </w:p>
    <w:p>
      <w:pPr>
        <w:jc w:val="both"/>
        <w:ind w:left="1080" w:right="759" w:hanging="289"/>
        <w:spacing w:after="0" w:line="262" w:lineRule="auto"/>
        <w:tabs>
          <w:tab w:leader="none" w:pos="1080" w:val="left"/>
        </w:tabs>
        <w:numPr>
          <w:ilvl w:val="2"/>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Selecting an Arbitrator. </w:t>
      </w:r>
      <w:r>
        <w:rPr>
          <w:rFonts w:ascii="Times New Roman" w:cs="Times New Roman" w:eastAsia="Times New Roman" w:hAnsi="Times New Roman"/>
          <w:sz w:val="18"/>
          <w:szCs w:val="18"/>
          <w:color w:val="auto"/>
        </w:rPr>
        <w:t>A list of nine (9) potential arbitrators will be submitted to the parties by JAMS.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list, Employer and you will each have the opportunity to strike up to three names and "rank" our preference for the remaining names, and JAMS shall select a neutral arbitrator that is highest ranked by both parties and not stricken by either party.</w:t>
      </w:r>
    </w:p>
    <w:p>
      <w:pPr>
        <w:spacing w:after="0" w:line="135" w:lineRule="exact"/>
        <w:rPr>
          <w:rFonts w:ascii="Times New Roman" w:cs="Times New Roman" w:eastAsia="Times New Roman" w:hAnsi="Times New Roman"/>
          <w:sz w:val="18"/>
          <w:szCs w:val="18"/>
          <w:color w:val="auto"/>
        </w:rPr>
      </w:pPr>
    </w:p>
    <w:p>
      <w:pPr>
        <w:ind w:left="1080" w:hanging="289"/>
        <w:spacing w:after="0"/>
        <w:tabs>
          <w:tab w:leader="none" w:pos="1080" w:val="left"/>
        </w:tabs>
        <w:numPr>
          <w:ilvl w:val="2"/>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Discovery. </w:t>
      </w:r>
      <w:r>
        <w:rPr>
          <w:rFonts w:ascii="Times New Roman" w:cs="Times New Roman" w:eastAsia="Times New Roman" w:hAnsi="Times New Roman"/>
          <w:sz w:val="18"/>
          <w:szCs w:val="18"/>
          <w:color w:val="auto"/>
        </w:rPr>
        <w:t>Due to the simplicity, informality, and expedited nature of arbitration proceedings,</w:t>
      </w:r>
    </w:p>
    <w:p>
      <w:pPr>
        <w:spacing w:after="0" w:line="257" w:lineRule="exact"/>
        <w:rPr>
          <w:sz w:val="20"/>
          <w:szCs w:val="20"/>
          <w:color w:val="auto"/>
        </w:rPr>
      </w:pPr>
    </w:p>
    <w:p>
      <w:pP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60325</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297" w:right="1440" w:bottom="1440" w:gutter="0" w:footer="0" w:header="0"/>
        </w:sectPr>
      </w:pPr>
    </w:p>
    <w:bookmarkStart w:id="174" w:name="page175"/>
    <w:bookmarkEnd w:id="174"/>
    <w:p>
      <w:pPr>
        <w:ind w:left="1080"/>
        <w:spacing w:after="0"/>
        <w:rPr>
          <w:sz w:val="20"/>
          <w:szCs w:val="20"/>
          <w:color w:val="auto"/>
        </w:rPr>
      </w:pPr>
      <w:r>
        <w:rPr>
          <w:rFonts w:ascii="Times New Roman" w:cs="Times New Roman" w:eastAsia="Times New Roman" w:hAnsi="Times New Roman"/>
          <w:sz w:val="18"/>
          <w:szCs w:val="18"/>
          <w:color w:val="auto"/>
        </w:rPr>
        <w:t>absent a showing of compelling need, the parties shall engage only in limited discovery, as follows:</w:t>
      </w:r>
    </w:p>
    <w:p>
      <w:pPr>
        <w:spacing w:after="0" w:line="198" w:lineRule="exact"/>
        <w:rPr>
          <w:sz w:val="20"/>
          <w:szCs w:val="20"/>
          <w:color w:val="auto"/>
        </w:rPr>
      </w:pPr>
    </w:p>
    <w:p>
      <w:pPr>
        <w:ind w:left="1900" w:hanging="405"/>
        <w:spacing w:after="0"/>
        <w:tabs>
          <w:tab w:leader="none" w:pos="190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avoid broad or widespread collection, search, and production of</w:t>
      </w:r>
    </w:p>
    <w:p>
      <w:pPr>
        <w:spacing w:after="0" w:line="185" w:lineRule="exact"/>
        <w:rPr>
          <w:sz w:val="20"/>
          <w:szCs w:val="20"/>
          <w:color w:val="auto"/>
        </w:rPr>
      </w:pPr>
    </w:p>
    <w:p>
      <w:pPr>
        <w:jc w:val="both"/>
        <w:ind w:left="1500" w:right="759" w:firstLine="9"/>
        <w:spacing w:after="0" w:line="254" w:lineRule="auto"/>
        <w:rPr>
          <w:sz w:val="20"/>
          <w:szCs w:val="20"/>
          <w:color w:val="auto"/>
        </w:rPr>
      </w:pPr>
      <w:r>
        <w:rPr>
          <w:rFonts w:ascii="Times New Roman" w:cs="Times New Roman" w:eastAsia="Times New Roman" w:hAnsi="Times New Roman"/>
          <w:sz w:val="18"/>
          <w:szCs w:val="18"/>
          <w:color w:val="auto"/>
        </w:rPr>
        <w:t>documents, including electronically stored information ("ES!"). If compelling need is demonstrated by the requesting party, the production shall: (i) be narrowly tailored in scope; (ii) only come from sources that are reasonably accessible without undue burden or cost; (iii) be produced in a searchable format if ES! and which is usable by the receiving party and convenient and economical for the producing party; and (iv) not require electronic metadata. Where the costs and burdens of the requested discovery outweighs its likely benefit, considering the needs of the case, the amount in controversy, and the importance of the discovery in resolving the issues, the Arbitrator will deny such requests or order production on condition that the requesting party advance to the producing party the reasonable costs involved in making the production, subject to the allocation of costs in the final award.</w:t>
      </w:r>
    </w:p>
    <w:p>
      <w:pPr>
        <w:spacing w:after="0" w:line="148" w:lineRule="exact"/>
        <w:rPr>
          <w:sz w:val="20"/>
          <w:szCs w:val="20"/>
          <w:color w:val="auto"/>
        </w:rPr>
      </w:pPr>
    </w:p>
    <w:p>
      <w:pPr>
        <w:ind w:left="1520" w:right="779" w:hanging="10"/>
        <w:spacing w:after="0" w:line="268" w:lineRule="auto"/>
        <w:tabs>
          <w:tab w:leader="none" w:pos="2146" w:val="left"/>
        </w:tabs>
        <w:numPr>
          <w:ilvl w:val="2"/>
          <w:numId w:val="224"/>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Each party shall be entitled to only one interrogatory limited to the identification of potential witnesses, in a form consistent with Rule 33 of the Federal Rules of Civil Procedures ("FRCP").</w:t>
      </w:r>
    </w:p>
    <w:p>
      <w:pPr>
        <w:spacing w:after="0" w:line="145" w:lineRule="exact"/>
        <w:rPr>
          <w:rFonts w:ascii="Times New Roman" w:cs="Times New Roman" w:eastAsia="Times New Roman" w:hAnsi="Times New Roman"/>
          <w:sz w:val="19"/>
          <w:szCs w:val="19"/>
          <w:color w:val="auto"/>
        </w:rPr>
      </w:pPr>
    </w:p>
    <w:p>
      <w:pPr>
        <w:ind w:left="1500" w:right="799" w:hanging="5"/>
        <w:spacing w:after="0" w:line="268" w:lineRule="auto"/>
        <w:tabs>
          <w:tab w:leader="none" w:pos="2126" w:val="left"/>
        </w:tabs>
        <w:numPr>
          <w:ilvl w:val="1"/>
          <w:numId w:val="225"/>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Each party shall be entitled to only 25 requests for production of documents, in a form consistent with Rule 34 of the FRCP.</w:t>
      </w:r>
    </w:p>
    <w:p>
      <w:pPr>
        <w:spacing w:after="0" w:line="132" w:lineRule="exact"/>
        <w:rPr>
          <w:rFonts w:ascii="Times New Roman" w:cs="Times New Roman" w:eastAsia="Times New Roman" w:hAnsi="Times New Roman"/>
          <w:sz w:val="19"/>
          <w:szCs w:val="19"/>
          <w:color w:val="auto"/>
        </w:rPr>
      </w:pPr>
    </w:p>
    <w:p>
      <w:pPr>
        <w:ind w:left="1500" w:right="779" w:hanging="5"/>
        <w:spacing w:after="0" w:line="268" w:lineRule="auto"/>
        <w:tabs>
          <w:tab w:leader="none" w:pos="2127" w:val="left"/>
        </w:tabs>
        <w:numPr>
          <w:ilvl w:val="1"/>
          <w:numId w:val="225"/>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Each party shall be entitled to a maximum of two (2) eight hour days of depositions of witnesses in a form consistent with Rule 30 of the FRCP.</w:t>
      </w:r>
    </w:p>
    <w:p>
      <w:pPr>
        <w:spacing w:after="0" w:line="128" w:lineRule="exact"/>
        <w:rPr>
          <w:rFonts w:ascii="Times New Roman" w:cs="Times New Roman" w:eastAsia="Times New Roman" w:hAnsi="Times New Roman"/>
          <w:sz w:val="19"/>
          <w:szCs w:val="19"/>
          <w:color w:val="auto"/>
        </w:rPr>
      </w:pPr>
    </w:p>
    <w:p>
      <w:pPr>
        <w:ind w:left="7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b w:val="1"/>
          <w:bCs w:val="1"/>
          <w:color w:val="auto"/>
        </w:rPr>
        <w:t>Arbitrator's Authority.</w:t>
      </w:r>
    </w:p>
    <w:p>
      <w:pPr>
        <w:spacing w:after="0" w:line="202" w:lineRule="exact"/>
        <w:rPr>
          <w:rFonts w:ascii="Times New Roman" w:cs="Times New Roman" w:eastAsia="Times New Roman" w:hAnsi="Times New Roman"/>
          <w:sz w:val="19"/>
          <w:szCs w:val="19"/>
          <w:color w:val="auto"/>
        </w:rPr>
      </w:pPr>
    </w:p>
    <w:p>
      <w:pPr>
        <w:jc w:val="both"/>
        <w:ind w:left="1500" w:right="779" w:firstLine="10"/>
        <w:spacing w:after="0" w:line="266" w:lineRule="auto"/>
        <w:tabs>
          <w:tab w:leader="none" w:pos="183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Arbitrator shall have the authority to issue an award or partial award without conducting a hearing on the grounds that there is no claim on which relief can be granted or that there is no genuine issue of material fact to resolve at a hearing;</w:t>
      </w:r>
    </w:p>
    <w:p>
      <w:pPr>
        <w:spacing w:after="0" w:line="135" w:lineRule="exact"/>
        <w:rPr>
          <w:rFonts w:ascii="Times New Roman" w:cs="Times New Roman" w:eastAsia="Times New Roman" w:hAnsi="Times New Roman"/>
          <w:sz w:val="18"/>
          <w:szCs w:val="18"/>
          <w:color w:val="auto"/>
        </w:rPr>
      </w:pPr>
    </w:p>
    <w:p>
      <w:pPr>
        <w:jc w:val="both"/>
        <w:ind w:left="1500" w:right="759" w:hanging="5"/>
        <w:spacing w:after="0" w:line="259" w:lineRule="auto"/>
        <w:tabs>
          <w:tab w:leader="none" w:pos="2128" w:val="left"/>
        </w:tabs>
        <w:numPr>
          <w:ilvl w:val="1"/>
          <w:numId w:val="226"/>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The Arbitrator shall decide all disputes related to discovery and to the agreed limits on discovery and may allow additional discovery upon a showing of substantial need by either party or upon a showing of an inability to pursue or defend certain claims without such additional discovery;</w:t>
      </w:r>
    </w:p>
    <w:p>
      <w:pPr>
        <w:spacing w:after="0" w:line="140" w:lineRule="exact"/>
        <w:rPr>
          <w:rFonts w:ascii="Times New Roman" w:cs="Times New Roman" w:eastAsia="Times New Roman" w:hAnsi="Times New Roman"/>
          <w:sz w:val="19"/>
          <w:szCs w:val="19"/>
          <w:color w:val="auto"/>
        </w:rPr>
      </w:pPr>
    </w:p>
    <w:p>
      <w:pPr>
        <w:ind w:left="2220" w:hanging="725"/>
        <w:spacing w:after="0"/>
        <w:tabs>
          <w:tab w:leader="none" w:pos="2220" w:val="left"/>
        </w:tabs>
        <w:numPr>
          <w:ilvl w:val="1"/>
          <w:numId w:val="226"/>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For discovery purposes only, the Arbitrator may consolidate claims filed by</w:t>
      </w:r>
    </w:p>
    <w:p>
      <w:pPr>
        <w:spacing w:after="0" w:line="187" w:lineRule="exact"/>
        <w:rPr>
          <w:sz w:val="20"/>
          <w:szCs w:val="20"/>
          <w:color w:val="auto"/>
        </w:rPr>
      </w:pPr>
    </w:p>
    <w:p>
      <w:pPr>
        <w:jc w:val="both"/>
        <w:ind w:left="1500" w:right="759" w:firstLine="4"/>
        <w:spacing w:after="0" w:line="261" w:lineRule="auto"/>
        <w:rPr>
          <w:sz w:val="20"/>
          <w:szCs w:val="20"/>
          <w:color w:val="auto"/>
        </w:rPr>
      </w:pPr>
      <w:r>
        <w:rPr>
          <w:rFonts w:ascii="Times New Roman" w:cs="Times New Roman" w:eastAsia="Times New Roman" w:hAnsi="Times New Roman"/>
          <w:sz w:val="18"/>
          <w:szCs w:val="18"/>
          <w:color w:val="auto"/>
        </w:rPr>
        <w:t>multiple individual employees, each on their own behalf, in a single arbitration proceeding, or may conduct a joint hearing for efficiency purposes, so long as the Arbitrator does not certify (conditionally or otherwise) a collective, class, or representative action that includes individuals who have not themselves already submitted their own individual claims;</w:t>
      </w:r>
    </w:p>
    <w:p>
      <w:pPr>
        <w:spacing w:after="0" w:line="139" w:lineRule="exact"/>
        <w:rPr>
          <w:sz w:val="20"/>
          <w:szCs w:val="20"/>
          <w:color w:val="auto"/>
        </w:rPr>
      </w:pPr>
    </w:p>
    <w:p>
      <w:pPr>
        <w:ind w:left="1500" w:right="759" w:hanging="5"/>
        <w:spacing w:after="0" w:line="268" w:lineRule="auto"/>
        <w:tabs>
          <w:tab w:leader="none" w:pos="2128" w:val="left"/>
        </w:tabs>
        <w:numPr>
          <w:ilvl w:val="0"/>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The Arbitrator must issue a decision in writing, setting forth in summary form the reasons for the Arbitrator's determination and the legal basis therefor; and</w:t>
      </w:r>
    </w:p>
    <w:p>
      <w:pPr>
        <w:spacing w:after="0" w:line="124" w:lineRule="exact"/>
        <w:rPr>
          <w:sz w:val="20"/>
          <w:szCs w:val="20"/>
          <w:color w:val="auto"/>
        </w:rPr>
      </w:pPr>
    </w:p>
    <w:p>
      <w:pPr>
        <w:jc w:val="both"/>
        <w:ind w:left="1480" w:right="879" w:hanging="70"/>
        <w:spacing w:after="0" w:line="264" w:lineRule="auto"/>
        <w:rPr>
          <w:sz w:val="20"/>
          <w:szCs w:val="20"/>
          <w:color w:val="auto"/>
        </w:rPr>
      </w:pPr>
      <w:r>
        <w:rPr>
          <w:rFonts w:ascii="Times New Roman" w:cs="Times New Roman" w:eastAsia="Times New Roman" w:hAnsi="Times New Roman"/>
          <w:sz w:val="19"/>
          <w:szCs w:val="19"/>
          <w:color w:val="auto"/>
        </w:rPr>
        <w:t>5)</w:t>
      </w:r>
      <w:r>
        <w:rPr>
          <w:rFonts w:ascii="Times New Roman" w:cs="Times New Roman" w:eastAsia="Times New Roman" w:hAnsi="Times New Roman"/>
          <w:sz w:val="17"/>
          <w:szCs w:val="17"/>
          <w:color w:val="auto"/>
        </w:rPr>
        <w:t>The Arbitrator's authority shall be limited to deciding the case submitted by the parties to the arbitration.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7"/>
          <w:szCs w:val="17"/>
          <w:color w:val="auto"/>
        </w:rPr>
        <w:t>Therefore, no decision by any arbitrator shall serve as precedent in other arbitrations except to preclude the same claim from being re-arbitrated between the same parties.</w:t>
      </w:r>
    </w:p>
    <w:p>
      <w:pPr>
        <w:spacing w:after="0" w:line="149" w:lineRule="exact"/>
        <w:rPr>
          <w:sz w:val="20"/>
          <w:szCs w:val="20"/>
          <w:color w:val="auto"/>
        </w:rPr>
      </w:pPr>
    </w:p>
    <w:p>
      <w:pPr>
        <w:jc w:val="both"/>
        <w:ind w:left="20" w:right="779" w:hanging="7"/>
        <w:spacing w:after="0" w:line="255" w:lineRule="auto"/>
        <w:tabs>
          <w:tab w:leader="none" w:pos="62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Arbitration proceedings are non-public, and the parties and the Arbitrator shall be empowered to maintain the confidential nature of the arbitration proceeding, testimony, and hearing. The </w:t>
      </w:r>
      <w:r>
        <w:rPr>
          <w:rFonts w:ascii="Times New Roman" w:cs="Times New Roman" w:eastAsia="Times New Roman" w:hAnsi="Times New Roman"/>
          <w:sz w:val="18"/>
          <w:szCs w:val="18"/>
          <w:color w:val="0C0C0C"/>
        </w:rPr>
        <w:t>Arbitrator must allow persons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C0C0C"/>
        </w:rPr>
        <w:t>attend the hearing who have a direct role or interest in the hearing, but shall have the authority to safeguard confidentiality such as by excluding non-essential persons from the hearing, and by issuing orders to protect the confidentiality of proprietary information, trade secrets or other sensitive information. This confidentiality provision shall not restrain or prohibit a party from investigating, preparing for, or presenting or defending against Covered Claims, and does not apply to a judicial challenge to or enforcement of an award, or to disclosures required or authorized by law or judicial decision.</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60325</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297" w:right="1440" w:bottom="1440" w:gutter="0" w:footer="0" w:header="0"/>
        </w:sectPr>
      </w:pPr>
    </w:p>
    <w:bookmarkStart w:id="175" w:name="page176"/>
    <w:bookmarkEnd w:id="175"/>
    <w:p>
      <w:pPr>
        <w:jc w:val="both"/>
        <w:ind w:left="20" w:right="779" w:hanging="7"/>
        <w:spacing w:after="0" w:line="266" w:lineRule="auto"/>
        <w:tabs>
          <w:tab w:leader="none" w:pos="620" w:val="left"/>
        </w:tabs>
        <w:numPr>
          <w:ilvl w:val="0"/>
          <w:numId w:val="229"/>
        </w:numPr>
        <w:rPr>
          <w:rFonts w:ascii="Times New Roman" w:cs="Times New Roman" w:eastAsia="Times New Roman" w:hAnsi="Times New Roman"/>
          <w:sz w:val="18"/>
          <w:szCs w:val="18"/>
          <w:color w:val="0C0C0C"/>
        </w:rPr>
      </w:pPr>
      <w:r>
        <w:rPr>
          <w:rFonts w:ascii="Times New Roman" w:cs="Times New Roman" w:eastAsia="Times New Roman" w:hAnsi="Times New Roman"/>
          <w:sz w:val="18"/>
          <w:szCs w:val="18"/>
          <w:u w:val="single" w:color="auto"/>
          <w:color w:val="0C0C0C"/>
        </w:rPr>
        <w:t>Right to Representation</w:t>
      </w:r>
      <w:r>
        <w:rPr>
          <w:rFonts w:ascii="Times New Roman" w:cs="Times New Roman" w:eastAsia="Times New Roman" w:hAnsi="Times New Roman"/>
          <w:sz w:val="18"/>
          <w:szCs w:val="18"/>
          <w:color w:val="0C0C0C"/>
        </w:rPr>
        <w:t>. Each party to arbitration has a right to be represented by an attorney in arbitration. Neither side is entitled to its attorneys' fees, except as may be awarded in a matter authorized by and consistent with this Agreement and applicable law.</w:t>
      </w:r>
    </w:p>
    <w:p>
      <w:pPr>
        <w:spacing w:after="0" w:line="148" w:lineRule="exact"/>
        <w:rPr>
          <w:rFonts w:ascii="Times New Roman" w:cs="Times New Roman" w:eastAsia="Times New Roman" w:hAnsi="Times New Roman"/>
          <w:sz w:val="18"/>
          <w:szCs w:val="18"/>
          <w:color w:val="0C0C0C"/>
        </w:rPr>
      </w:pPr>
    </w:p>
    <w:p>
      <w:pPr>
        <w:ind w:left="620" w:hanging="607"/>
        <w:spacing w:after="0"/>
        <w:tabs>
          <w:tab w:leader="none" w:pos="620" w:val="left"/>
        </w:tabs>
        <w:numPr>
          <w:ilvl w:val="0"/>
          <w:numId w:val="229"/>
        </w:numPr>
        <w:rPr>
          <w:rFonts w:ascii="Times New Roman" w:cs="Times New Roman" w:eastAsia="Times New Roman" w:hAnsi="Times New Roman"/>
          <w:sz w:val="18"/>
          <w:szCs w:val="18"/>
          <w:color w:val="0C0C0C"/>
        </w:rPr>
      </w:pPr>
      <w:r>
        <w:rPr>
          <w:rFonts w:ascii="Times New Roman" w:cs="Times New Roman" w:eastAsia="Times New Roman" w:hAnsi="Times New Roman"/>
          <w:sz w:val="18"/>
          <w:szCs w:val="18"/>
          <w:u w:val="single" w:color="auto"/>
          <w:color w:val="0C0C0C"/>
        </w:rPr>
        <w:t>Settlement</w:t>
      </w:r>
      <w:r>
        <w:rPr>
          <w:rFonts w:ascii="Times New Roman" w:cs="Times New Roman" w:eastAsia="Times New Roman" w:hAnsi="Times New Roman"/>
          <w:sz w:val="18"/>
          <w:szCs w:val="18"/>
          <w:color w:val="0C0C0C"/>
        </w:rPr>
        <w:t>. The parties may settle any dispute on a mutual basis without involvement of the Arbitrator.</w:t>
      </w:r>
    </w:p>
    <w:p>
      <w:pPr>
        <w:spacing w:after="0" w:line="185" w:lineRule="exact"/>
        <w:rPr>
          <w:sz w:val="20"/>
          <w:szCs w:val="20"/>
          <w:color w:val="auto"/>
        </w:rPr>
      </w:pPr>
    </w:p>
    <w:p>
      <w:pPr>
        <w:ind w:left="20" w:right="1059"/>
        <w:spacing w:after="0" w:line="261" w:lineRule="auto"/>
        <w:rPr>
          <w:sz w:val="20"/>
          <w:szCs w:val="20"/>
          <w:color w:val="auto"/>
        </w:rPr>
      </w:pPr>
      <w:r>
        <w:rPr>
          <w:rFonts w:ascii="Times New Roman" w:cs="Times New Roman" w:eastAsia="Times New Roman" w:hAnsi="Times New Roman"/>
          <w:sz w:val="18"/>
          <w:szCs w:val="18"/>
          <w:color w:val="0C0C0C"/>
        </w:rPr>
        <w:t xml:space="preserve">l l. </w:t>
      </w:r>
      <w:r>
        <w:rPr>
          <w:rFonts w:ascii="Times New Roman" w:cs="Times New Roman" w:eastAsia="Times New Roman" w:hAnsi="Times New Roman"/>
          <w:sz w:val="18"/>
          <w:szCs w:val="18"/>
          <w:u w:val="single" w:color="auto"/>
          <w:color w:val="0C0C0C"/>
        </w:rPr>
        <w:t>Amendment.</w:t>
      </w:r>
      <w:r>
        <w:rPr>
          <w:rFonts w:ascii="Times New Roman" w:cs="Times New Roman" w:eastAsia="Times New Roman" w:hAnsi="Times New Roman"/>
          <w:sz w:val="18"/>
          <w:szCs w:val="18"/>
          <w:color w:val="0C0C0C"/>
        </w:rPr>
        <w:t xml:space="preserve"> Employer and you may enter into a revised agreement in writing with immediate effect if signed by both parties. In addition, you understand and agree that the Employer may change or terminate this agreement after giving you 60 days' written or electronic notice, but such change or termination shall not apply to a pending claim nor to any claim that accrued or was known to you prior the amendment, except as may be required by applicable law.</w:t>
      </w:r>
    </w:p>
    <w:p>
      <w:pPr>
        <w:spacing w:after="0" w:line="139" w:lineRule="exact"/>
        <w:rPr>
          <w:sz w:val="20"/>
          <w:szCs w:val="20"/>
          <w:color w:val="auto"/>
        </w:rPr>
      </w:pPr>
    </w:p>
    <w:p>
      <w:pPr>
        <w:jc w:val="both"/>
        <w:ind w:left="20" w:right="779" w:hanging="7"/>
        <w:spacing w:after="0" w:line="256" w:lineRule="auto"/>
        <w:tabs>
          <w:tab w:leader="none" w:pos="620" w:val="left"/>
        </w:tabs>
        <w:numPr>
          <w:ilvl w:val="0"/>
          <w:numId w:val="230"/>
        </w:numPr>
        <w:rPr>
          <w:rFonts w:ascii="Times New Roman" w:cs="Times New Roman" w:eastAsia="Times New Roman" w:hAnsi="Times New Roman"/>
          <w:sz w:val="18"/>
          <w:szCs w:val="18"/>
          <w:color w:val="0C0C0C"/>
        </w:rPr>
      </w:pPr>
      <w:r>
        <w:rPr>
          <w:rFonts w:ascii="Times New Roman" w:cs="Times New Roman" w:eastAsia="Times New Roman" w:hAnsi="Times New Roman"/>
          <w:sz w:val="18"/>
          <w:szCs w:val="18"/>
          <w:u w:val="single" w:color="auto"/>
          <w:color w:val="0C0C0C"/>
        </w:rPr>
        <w:t>Savings Clause &amp; Conformity Clause</w:t>
      </w:r>
      <w:r>
        <w:rPr>
          <w:rFonts w:ascii="Times New Roman" w:cs="Times New Roman" w:eastAsia="Times New Roman" w:hAnsi="Times New Roman"/>
          <w:sz w:val="18"/>
          <w:szCs w:val="18"/>
          <w:color w:val="0C0C0C"/>
        </w:rPr>
        <w:t>. If any provision of this Agreement is determined to be unenforceable or in conflict with a mandatory provision of applicable law, it shall be construed to incorporate any mandatory provision, or the unenforceable or conflicting provision shall be automatically severed and the remainder of the Agreement shall not be affected. Provided, however, that if the Waiver of Class and Collective Claims is found to be unenforceable, then any claim brought on a class, collective, or representative action basis must be filed in a court of competent jurisdiction, and such court shall be the exclusive forum for such claims.</w:t>
      </w:r>
    </w:p>
    <w:p>
      <w:pPr>
        <w:spacing w:after="0" w:line="160" w:lineRule="exact"/>
        <w:rPr>
          <w:rFonts w:ascii="Times New Roman" w:cs="Times New Roman" w:eastAsia="Times New Roman" w:hAnsi="Times New Roman"/>
          <w:sz w:val="18"/>
          <w:szCs w:val="18"/>
          <w:color w:val="0C0C0C"/>
        </w:rPr>
      </w:pPr>
    </w:p>
    <w:p>
      <w:pPr>
        <w:jc w:val="both"/>
        <w:ind w:left="20" w:right="779" w:hanging="7"/>
        <w:spacing w:after="0" w:line="266" w:lineRule="auto"/>
        <w:tabs>
          <w:tab w:leader="none" w:pos="620" w:val="left"/>
        </w:tabs>
        <w:numPr>
          <w:ilvl w:val="0"/>
          <w:numId w:val="230"/>
        </w:numPr>
        <w:rPr>
          <w:rFonts w:ascii="Times New Roman" w:cs="Times New Roman" w:eastAsia="Times New Roman" w:hAnsi="Times New Roman"/>
          <w:sz w:val="18"/>
          <w:szCs w:val="18"/>
          <w:color w:val="0C0C0C"/>
        </w:rPr>
      </w:pPr>
      <w:r>
        <w:rPr>
          <w:rFonts w:ascii="Times New Roman" w:cs="Times New Roman" w:eastAsia="Times New Roman" w:hAnsi="Times New Roman"/>
          <w:sz w:val="18"/>
          <w:szCs w:val="18"/>
          <w:u w:val="single" w:color="auto"/>
          <w:color w:val="0C0C0C"/>
        </w:rPr>
        <w:t>Controlling Law</w:t>
      </w:r>
      <w:r>
        <w:rPr>
          <w:rFonts w:ascii="Times New Roman" w:cs="Times New Roman" w:eastAsia="Times New Roman" w:hAnsi="Times New Roman"/>
          <w:sz w:val="18"/>
          <w:szCs w:val="18"/>
          <w:color w:val="0C0C0C"/>
        </w:rPr>
        <w:t>. You agree that this agreement is made pursuant to and shall be governed under the Federal Arbitration Act. In the event a court of competent jurisdiction rules that the Federal Arbitration Act is inapplicable to this Agreement, the Illinois Uniform Arbitration Act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8282A"/>
        </w:rPr>
        <w:t>EMPLOYER</w:t>
      </w:r>
    </w:p>
    <w:p>
      <w:pPr>
        <w:spacing w:after="0" w:line="188" w:lineRule="exact"/>
        <w:rPr>
          <w:sz w:val="20"/>
          <w:szCs w:val="20"/>
          <w:color w:val="auto"/>
        </w:rPr>
      </w:pPr>
    </w:p>
    <w:p>
      <w:pPr>
        <w:ind w:left="120"/>
        <w:spacing w:after="0"/>
        <w:tabs>
          <w:tab w:leader="none" w:pos="660" w:val="left"/>
        </w:tabs>
        <w:rPr>
          <w:sz w:val="20"/>
          <w:szCs w:val="20"/>
          <w:color w:val="auto"/>
        </w:rPr>
      </w:pPr>
      <w:r>
        <w:rPr>
          <w:rFonts w:ascii="Arial" w:cs="Arial" w:eastAsia="Arial" w:hAnsi="Arial"/>
          <w:sz w:val="18"/>
          <w:szCs w:val="18"/>
          <w:color w:val="28282A"/>
        </w:rPr>
        <w:t>By:</w:t>
      </w:r>
      <w:r>
        <w:rPr>
          <w:sz w:val="20"/>
          <w:szCs w:val="20"/>
          <w:color w:val="auto"/>
        </w:rPr>
        <w:tab/>
      </w:r>
      <w:r>
        <w:rPr>
          <w:rFonts w:ascii="Arial" w:cs="Arial" w:eastAsia="Arial" w:hAnsi="Arial"/>
          <w:sz w:val="18"/>
          <w:szCs w:val="18"/>
          <w:color w:val="28282A"/>
        </w:rPr>
        <w:t>_______________________</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28282A"/>
        </w:rPr>
        <w:t xml:space="preserve">Name: </w:t>
      </w:r>
      <w:r>
        <w:rPr>
          <w:rFonts w:ascii="Arial" w:cs="Arial" w:eastAsia="Arial" w:hAnsi="Arial"/>
          <w:sz w:val="18"/>
          <w:szCs w:val="18"/>
          <w:color w:val="28282A"/>
        </w:rPr>
        <w:t>_______________________</w:t>
      </w:r>
    </w:p>
    <w:p>
      <w:pPr>
        <w:spacing w:after="0" w:line="197" w:lineRule="exact"/>
        <w:rPr>
          <w:sz w:val="20"/>
          <w:szCs w:val="20"/>
          <w:color w:val="auto"/>
        </w:rPr>
      </w:pPr>
    </w:p>
    <w:p>
      <w:pPr>
        <w:ind w:left="120"/>
        <w:spacing w:after="0"/>
        <w:tabs>
          <w:tab w:leader="none" w:pos="660" w:val="left"/>
        </w:tabs>
        <w:rPr>
          <w:sz w:val="20"/>
          <w:szCs w:val="20"/>
          <w:color w:val="auto"/>
        </w:rPr>
      </w:pPr>
      <w:r>
        <w:rPr>
          <w:rFonts w:ascii="Times New Roman" w:cs="Times New Roman" w:eastAsia="Times New Roman" w:hAnsi="Times New Roman"/>
          <w:sz w:val="18"/>
          <w:szCs w:val="18"/>
          <w:color w:val="28282A"/>
        </w:rPr>
        <w:t>Title:</w:t>
      </w:r>
      <w:r>
        <w:rPr>
          <w:sz w:val="20"/>
          <w:szCs w:val="20"/>
          <w:color w:val="auto"/>
        </w:rPr>
        <w:tab/>
      </w:r>
      <w:r>
        <w:rPr>
          <w:rFonts w:ascii="Arial" w:cs="Arial" w:eastAsia="Arial" w:hAnsi="Arial"/>
          <w:sz w:val="17"/>
          <w:szCs w:val="17"/>
          <w:color w:val="28282A"/>
        </w:rPr>
        <w:t>_______________________</w:t>
      </w:r>
    </w:p>
    <w:p>
      <w:pPr>
        <w:spacing w:after="0" w:line="185" w:lineRule="exact"/>
        <w:rPr>
          <w:sz w:val="20"/>
          <w:szCs w:val="20"/>
          <w:color w:val="auto"/>
        </w:rPr>
      </w:pPr>
    </w:p>
    <w:p>
      <w:pPr>
        <w:ind w:left="120"/>
        <w:spacing w:after="0"/>
        <w:tabs>
          <w:tab w:leader="none" w:pos="660" w:val="left"/>
        </w:tabs>
        <w:rPr>
          <w:sz w:val="20"/>
          <w:szCs w:val="20"/>
          <w:color w:val="auto"/>
        </w:rPr>
      </w:pPr>
      <w:r>
        <w:rPr>
          <w:rFonts w:ascii="Times New Roman" w:cs="Times New Roman" w:eastAsia="Times New Roman" w:hAnsi="Times New Roman"/>
          <w:sz w:val="18"/>
          <w:szCs w:val="18"/>
          <w:color w:val="28282A"/>
        </w:rPr>
        <w:t>Date:</w:t>
      </w:r>
      <w:r>
        <w:rPr>
          <w:sz w:val="20"/>
          <w:szCs w:val="20"/>
          <w:color w:val="auto"/>
        </w:rPr>
        <w:tab/>
      </w:r>
      <w:r>
        <w:rPr>
          <w:rFonts w:ascii="Arial" w:cs="Arial" w:eastAsia="Arial" w:hAnsi="Arial"/>
          <w:sz w:val="17"/>
          <w:szCs w:val="17"/>
          <w:color w:val="28282A"/>
        </w:rPr>
        <w:t>_______________________</w:t>
      </w:r>
    </w:p>
    <w:p>
      <w:pPr>
        <w:spacing w:after="0" w:line="200" w:lineRule="exact"/>
        <w:rPr>
          <w:sz w:val="20"/>
          <w:szCs w:val="20"/>
          <w:color w:val="auto"/>
        </w:rPr>
      </w:pPr>
    </w:p>
    <w:p>
      <w:pPr>
        <w:spacing w:after="0" w:line="3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8282A"/>
        </w:rPr>
        <w:t>EXECUTIVE</w:t>
      </w:r>
    </w:p>
    <w:p>
      <w:pPr>
        <w:spacing w:after="0" w:line="188" w:lineRule="exact"/>
        <w:rPr>
          <w:sz w:val="20"/>
          <w:szCs w:val="20"/>
          <w:color w:val="auto"/>
        </w:rPr>
      </w:pPr>
    </w:p>
    <w:p>
      <w:pPr>
        <w:ind w:left="160"/>
        <w:spacing w:after="0"/>
        <w:tabs>
          <w:tab w:leader="none" w:pos="660" w:val="left"/>
        </w:tabs>
        <w:rPr>
          <w:sz w:val="20"/>
          <w:szCs w:val="20"/>
          <w:color w:val="auto"/>
        </w:rPr>
      </w:pPr>
      <w:r>
        <w:rPr>
          <w:rFonts w:ascii="Arial" w:cs="Arial" w:eastAsia="Arial" w:hAnsi="Arial"/>
          <w:sz w:val="18"/>
          <w:szCs w:val="18"/>
          <w:color w:val="28282A"/>
        </w:rPr>
        <w:t>By:</w:t>
        <w:tab/>
        <w:t>_______________________</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28282A"/>
        </w:rPr>
        <w:t xml:space="preserve">Name: </w:t>
      </w:r>
      <w:r>
        <w:rPr>
          <w:rFonts w:ascii="Arial" w:cs="Arial" w:eastAsia="Arial" w:hAnsi="Arial"/>
          <w:sz w:val="18"/>
          <w:szCs w:val="18"/>
          <w:color w:val="28282A"/>
        </w:rPr>
        <w:t>_______________________</w:t>
      </w:r>
    </w:p>
    <w:p>
      <w:pPr>
        <w:spacing w:after="0" w:line="197" w:lineRule="exact"/>
        <w:rPr>
          <w:sz w:val="20"/>
          <w:szCs w:val="20"/>
          <w:color w:val="auto"/>
        </w:rPr>
      </w:pPr>
    </w:p>
    <w:p>
      <w:pPr>
        <w:ind w:left="120"/>
        <w:spacing w:after="0"/>
        <w:tabs>
          <w:tab w:leader="none" w:pos="660" w:val="left"/>
        </w:tabs>
        <w:rPr>
          <w:sz w:val="20"/>
          <w:szCs w:val="20"/>
          <w:color w:val="auto"/>
        </w:rPr>
      </w:pPr>
      <w:r>
        <w:rPr>
          <w:rFonts w:ascii="Times New Roman" w:cs="Times New Roman" w:eastAsia="Times New Roman" w:hAnsi="Times New Roman"/>
          <w:sz w:val="18"/>
          <w:szCs w:val="18"/>
          <w:color w:val="28282A"/>
        </w:rPr>
        <w:t>Date:</w:t>
      </w:r>
      <w:r>
        <w:rPr>
          <w:sz w:val="20"/>
          <w:szCs w:val="20"/>
          <w:color w:val="auto"/>
        </w:rPr>
        <w:tab/>
      </w:r>
      <w:r>
        <w:rPr>
          <w:rFonts w:ascii="Arial" w:cs="Arial" w:eastAsia="Arial" w:hAnsi="Arial"/>
          <w:sz w:val="17"/>
          <w:szCs w:val="17"/>
          <w:color w:val="28282A"/>
        </w:rPr>
        <w:t>_______________________</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60325</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297" w:right="1440" w:bottom="1440" w:gutter="0" w:footer="0" w:header="0"/>
        </w:sectPr>
      </w:pPr>
    </w:p>
    <w:bookmarkStart w:id="176" w:name="page177"/>
    <w:bookmarkEnd w:id="176"/>
    <w:p>
      <w:pPr>
        <w:ind w:left="2520" w:right="1080" w:hanging="1396"/>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2D2B2D"/>
        </w:rPr>
        <w:t>EXECUTIVE CONFIDENTIALITY, NON-COMPETE, NON-SOLICITATION</w:t>
      </w:r>
      <w:r>
        <w:rPr>
          <w:rFonts w:ascii="Times New Roman" w:cs="Times New Roman" w:eastAsia="Times New Roman" w:hAnsi="Times New Roman"/>
          <w:sz w:val="18"/>
          <w:szCs w:val="18"/>
          <w:b w:val="1"/>
          <w:bCs w:val="1"/>
          <w:color w:val="2D2B2D"/>
        </w:rPr>
        <w:t xml:space="preserve">, </w:t>
      </w:r>
      <w:r>
        <w:rPr>
          <w:rFonts w:ascii="Times New Roman" w:cs="Times New Roman" w:eastAsia="Times New Roman" w:hAnsi="Times New Roman"/>
          <w:sz w:val="18"/>
          <w:szCs w:val="18"/>
          <w:b w:val="1"/>
          <w:bCs w:val="1"/>
          <w:u w:val="single" w:color="auto"/>
          <w:color w:val="2D2B2D"/>
        </w:rPr>
        <w:t>AND INVENTION ASSIGNMENT</w:t>
      </w:r>
      <w:r>
        <w:rPr>
          <w:rFonts w:ascii="Times New Roman" w:cs="Times New Roman" w:eastAsia="Times New Roman" w:hAnsi="Times New Roman"/>
          <w:sz w:val="18"/>
          <w:szCs w:val="18"/>
          <w:b w:val="1"/>
          <w:bCs w:val="1"/>
          <w:color w:val="2D2B2D"/>
        </w:rPr>
        <w:t xml:space="preserve"> </w:t>
      </w:r>
      <w:r>
        <w:rPr>
          <w:rFonts w:ascii="Times New Roman" w:cs="Times New Roman" w:eastAsia="Times New Roman" w:hAnsi="Times New Roman"/>
          <w:sz w:val="18"/>
          <w:szCs w:val="18"/>
          <w:b w:val="1"/>
          <w:bCs w:val="1"/>
          <w:u w:val="single" w:color="auto"/>
          <w:color w:val="2D2B2D"/>
        </w:rPr>
        <w:t>AGREEMENT</w:t>
      </w:r>
    </w:p>
    <w:p>
      <w:pPr>
        <w:spacing w:after="0" w:line="200" w:lineRule="exact"/>
        <w:rPr>
          <w:sz w:val="20"/>
          <w:szCs w:val="20"/>
          <w:color w:val="auto"/>
        </w:rPr>
      </w:pPr>
    </w:p>
    <w:p>
      <w:pPr>
        <w:spacing w:after="0" w:line="310"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2D2B2D"/>
        </w:rPr>
        <w:t>THIS EXECUTIVE CONFIDENTIALITY</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 NON-COMPETE, NON-SOLICITATION</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 AND </w:t>
      </w:r>
      <w:r>
        <w:rPr>
          <w:rFonts w:ascii="Times New Roman" w:cs="Times New Roman" w:eastAsia="Times New Roman" w:hAnsi="Times New Roman"/>
          <w:sz w:val="18"/>
          <w:szCs w:val="18"/>
          <w:color w:val="1C1C1C"/>
        </w:rPr>
        <w:t>INVENTION</w:t>
      </w:r>
      <w:r>
        <w:rPr>
          <w:rFonts w:ascii="Times New Roman" w:cs="Times New Roman" w:eastAsia="Times New Roman" w:hAnsi="Times New Roman"/>
          <w:sz w:val="18"/>
          <w:szCs w:val="18"/>
          <w:color w:val="2D2B2D"/>
        </w:rPr>
        <w:t xml:space="preserve"> ASSIGNMENT AGREEMENT (the </w:t>
      </w:r>
      <w:r>
        <w:rPr>
          <w:rFonts w:ascii="Times New Roman" w:cs="Times New Roman" w:eastAsia="Times New Roman" w:hAnsi="Times New Roman"/>
          <w:sz w:val="18"/>
          <w:szCs w:val="18"/>
          <w:b w:val="1"/>
          <w:bCs w:val="1"/>
          <w:color w:val="414142"/>
        </w:rPr>
        <w:t>"Agreeme</w:t>
      </w:r>
      <w:r>
        <w:rPr>
          <w:rFonts w:ascii="Times New Roman" w:cs="Times New Roman" w:eastAsia="Times New Roman" w:hAnsi="Times New Roman"/>
          <w:sz w:val="18"/>
          <w:szCs w:val="18"/>
          <w:b w:val="1"/>
          <w:bCs w:val="1"/>
          <w:color w:val="1C1C1C"/>
        </w:rPr>
        <w:t>nt</w:t>
      </w:r>
      <w:r>
        <w:rPr>
          <w:rFonts w:ascii="Times New Roman" w:cs="Times New Roman" w:eastAsia="Times New Roman" w:hAnsi="Times New Roman"/>
          <w:sz w:val="18"/>
          <w:szCs w:val="18"/>
          <w:b w:val="1"/>
          <w:bCs w:val="1"/>
          <w:color w:val="525052"/>
        </w:rPr>
        <w:t>"</w:t>
      </w:r>
      <w:r>
        <w:rPr>
          <w:rFonts w:ascii="Times New Roman" w:cs="Times New Roman" w:eastAsia="Times New Roman" w:hAnsi="Times New Roman"/>
          <w:sz w:val="18"/>
          <w:szCs w:val="18"/>
          <w:b w:val="1"/>
          <w:bCs w:val="1"/>
          <w:color w:val="2D2B2D"/>
        </w:rPr>
        <w:t>)</w:t>
      </w:r>
      <w:r>
        <w:rPr>
          <w:rFonts w:ascii="Times New Roman" w:cs="Times New Roman" w:eastAsia="Times New Roman" w:hAnsi="Times New Roman"/>
          <w:sz w:val="18"/>
          <w:szCs w:val="18"/>
          <w:b w:val="1"/>
          <w:bCs w:val="1"/>
          <w:color w:val="414142"/>
        </w:rPr>
        <w:t xml:space="preserve"> </w:t>
      </w:r>
      <w:r>
        <w:rPr>
          <w:rFonts w:ascii="Times New Roman" w:cs="Times New Roman" w:eastAsia="Times New Roman" w:hAnsi="Times New Roman"/>
          <w:sz w:val="18"/>
          <w:szCs w:val="18"/>
          <w:color w:val="2D2B2D"/>
        </w:rPr>
        <w:t>is between you and</w:t>
      </w:r>
      <w:r>
        <w:rPr>
          <w:rFonts w:ascii="Times New Roman" w:cs="Times New Roman" w:eastAsia="Times New Roman" w:hAnsi="Times New Roman"/>
          <w:sz w:val="18"/>
          <w:szCs w:val="18"/>
          <w:b w:val="1"/>
          <w:bCs w:val="1"/>
          <w:color w:val="414142"/>
        </w:rPr>
        <w:t xml:space="preserve"> </w:t>
      </w:r>
      <w:r>
        <w:rPr>
          <w:rFonts w:ascii="Times New Roman" w:cs="Times New Roman" w:eastAsia="Times New Roman" w:hAnsi="Times New Roman"/>
          <w:sz w:val="18"/>
          <w:szCs w:val="18"/>
          <w:u w:val="single" w:color="auto"/>
          <w:color w:val="2D2B2D"/>
        </w:rPr>
        <w:t>Vision Management Services</w:t>
      </w:r>
      <w:r>
        <w:rPr>
          <w:rFonts w:ascii="Times New Roman" w:cs="Times New Roman" w:eastAsia="Times New Roman" w:hAnsi="Times New Roman"/>
          <w:sz w:val="18"/>
          <w:szCs w:val="18"/>
          <w:color w:val="2D2B2D"/>
        </w:rPr>
        <w:t>,</w:t>
      </w:r>
      <w:r>
        <w:rPr>
          <w:rFonts w:ascii="Times New Roman" w:cs="Times New Roman" w:eastAsia="Times New Roman" w:hAnsi="Times New Roman"/>
          <w:sz w:val="18"/>
          <w:szCs w:val="18"/>
          <w:b w:val="1"/>
          <w:bCs w:val="1"/>
          <w:color w:val="414142"/>
        </w:rPr>
        <w:t xml:space="preserve"> </w:t>
      </w:r>
      <w:r>
        <w:rPr>
          <w:rFonts w:ascii="Times New Roman" w:cs="Times New Roman" w:eastAsia="Times New Roman" w:hAnsi="Times New Roman"/>
          <w:sz w:val="18"/>
          <w:szCs w:val="18"/>
          <w:u w:val="single" w:color="auto"/>
          <w:color w:val="2D2B2D"/>
        </w:rPr>
        <w:t>LLC</w:t>
      </w:r>
      <w:r>
        <w:rPr>
          <w:rFonts w:ascii="Times New Roman" w:cs="Times New Roman" w:eastAsia="Times New Roman" w:hAnsi="Times New Roman"/>
          <w:sz w:val="18"/>
          <w:szCs w:val="18"/>
          <w:b w:val="1"/>
          <w:bCs w:val="1"/>
          <w:color w:val="414142"/>
        </w:rPr>
        <w:t xml:space="preserve"> </w:t>
      </w:r>
      <w:r>
        <w:rPr>
          <w:rFonts w:ascii="Times New Roman" w:cs="Times New Roman" w:eastAsia="Times New Roman" w:hAnsi="Times New Roman"/>
          <w:sz w:val="18"/>
          <w:szCs w:val="18"/>
          <w:color w:val="2D2B2D"/>
        </w:rPr>
        <w:t>(the</w:t>
      </w:r>
      <w:r>
        <w:rPr>
          <w:rFonts w:ascii="Times New Roman" w:cs="Times New Roman" w:eastAsia="Times New Roman" w:hAnsi="Times New Roman"/>
          <w:sz w:val="18"/>
          <w:szCs w:val="18"/>
          <w:b w:val="1"/>
          <w:bCs w:val="1"/>
          <w:color w:val="414142"/>
        </w:rPr>
        <w:t xml:space="preserve"> </w:t>
      </w:r>
      <w:r>
        <w:rPr>
          <w:rFonts w:ascii="Times New Roman" w:cs="Times New Roman" w:eastAsia="Times New Roman" w:hAnsi="Times New Roman"/>
          <w:sz w:val="18"/>
          <w:szCs w:val="18"/>
          <w:b w:val="1"/>
          <w:bCs w:val="1"/>
          <w:color w:val="525052"/>
        </w:rPr>
        <w:t>"</w:t>
      </w:r>
      <w:r>
        <w:rPr>
          <w:rFonts w:ascii="Times New Roman" w:cs="Times New Roman" w:eastAsia="Times New Roman" w:hAnsi="Times New Roman"/>
          <w:sz w:val="18"/>
          <w:szCs w:val="18"/>
          <w:b w:val="1"/>
          <w:bCs w:val="1"/>
          <w:color w:val="2D2B2D"/>
        </w:rPr>
        <w:t>Employer"),</w:t>
      </w:r>
      <w:r>
        <w:rPr>
          <w:rFonts w:ascii="Times New Roman" w:cs="Times New Roman" w:eastAsia="Times New Roman" w:hAnsi="Times New Roman"/>
          <w:sz w:val="18"/>
          <w:szCs w:val="18"/>
          <w:b w:val="1"/>
          <w:bCs w:val="1"/>
          <w:color w:val="414142"/>
        </w:rPr>
        <w:t xml:space="preserve"> </w:t>
      </w:r>
      <w:r>
        <w:rPr>
          <w:rFonts w:ascii="Times New Roman" w:cs="Times New Roman" w:eastAsia="Times New Roman" w:hAnsi="Times New Roman"/>
          <w:sz w:val="18"/>
          <w:szCs w:val="18"/>
          <w:color w:val="2D2B2D"/>
        </w:rPr>
        <w:t>a subsidiary of Green Thumb</w:t>
      </w:r>
      <w:r>
        <w:rPr>
          <w:rFonts w:ascii="Times New Roman" w:cs="Times New Roman" w:eastAsia="Times New Roman" w:hAnsi="Times New Roman"/>
          <w:sz w:val="18"/>
          <w:szCs w:val="18"/>
          <w:b w:val="1"/>
          <w:bCs w:val="1"/>
          <w:color w:val="414142"/>
        </w:rPr>
        <w:t xml:space="preserve"> </w:t>
      </w:r>
      <w:r>
        <w:rPr>
          <w:rFonts w:ascii="Times New Roman" w:cs="Times New Roman" w:eastAsia="Times New Roman" w:hAnsi="Times New Roman"/>
          <w:sz w:val="18"/>
          <w:szCs w:val="18"/>
          <w:color w:val="1C1C1C"/>
        </w:rPr>
        <w:t>Industries Inc</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b w:val="1"/>
          <w:bCs w:val="1"/>
          <w:color w:val="414142"/>
        </w:rPr>
        <w:t xml:space="preserve"> </w:t>
      </w:r>
      <w:r>
        <w:rPr>
          <w:rFonts w:ascii="Times New Roman" w:cs="Times New Roman" w:eastAsia="Times New Roman" w:hAnsi="Times New Roman"/>
          <w:sz w:val="18"/>
          <w:szCs w:val="18"/>
          <w:color w:val="2D2B2D"/>
        </w:rPr>
        <w:t>(together, along</w:t>
      </w:r>
      <w:r>
        <w:rPr>
          <w:rFonts w:ascii="Times New Roman" w:cs="Times New Roman" w:eastAsia="Times New Roman" w:hAnsi="Times New Roman"/>
          <w:sz w:val="18"/>
          <w:szCs w:val="18"/>
          <w:b w:val="1"/>
          <w:bCs w:val="1"/>
          <w:color w:val="414142"/>
        </w:rPr>
        <w:t xml:space="preserve"> </w:t>
      </w:r>
      <w:r>
        <w:rPr>
          <w:rFonts w:ascii="Times New Roman" w:cs="Times New Roman" w:eastAsia="Times New Roman" w:hAnsi="Times New Roman"/>
          <w:sz w:val="18"/>
          <w:szCs w:val="18"/>
          <w:color w:val="2D2B2D"/>
        </w:rPr>
        <w:t>with their subsidiaries, affiliates, successors and assigns</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 referred to </w:t>
      </w:r>
      <w:r>
        <w:rPr>
          <w:rFonts w:ascii="Times New Roman" w:cs="Times New Roman" w:eastAsia="Times New Roman" w:hAnsi="Times New Roman"/>
          <w:sz w:val="18"/>
          <w:szCs w:val="18"/>
          <w:color w:val="1C1C1C"/>
        </w:rPr>
        <w:t>herein</w:t>
      </w:r>
      <w:r>
        <w:rPr>
          <w:rFonts w:ascii="Times New Roman" w:cs="Times New Roman" w:eastAsia="Times New Roman" w:hAnsi="Times New Roman"/>
          <w:sz w:val="18"/>
          <w:szCs w:val="18"/>
          <w:color w:val="2D2B2D"/>
        </w:rPr>
        <w:t xml:space="preserve"> as </w:t>
      </w:r>
      <w:r>
        <w:rPr>
          <w:rFonts w:ascii="Times New Roman" w:cs="Times New Roman" w:eastAsia="Times New Roman" w:hAnsi="Times New Roman"/>
          <w:sz w:val="18"/>
          <w:szCs w:val="18"/>
          <w:color w:val="1C1C1C"/>
        </w:rPr>
        <w:t>the</w:t>
      </w:r>
      <w:r>
        <w:rPr>
          <w:rFonts w:ascii="Times New Roman" w:cs="Times New Roman" w:eastAsia="Times New Roman" w:hAnsi="Times New Roman"/>
          <w:sz w:val="18"/>
          <w:szCs w:val="18"/>
          <w:color w:val="2D2B2D"/>
        </w:rPr>
        <w:t xml:space="preserve"> </w:t>
      </w:r>
      <w:r>
        <w:rPr>
          <w:rFonts w:ascii="Times New Roman" w:cs="Times New Roman" w:eastAsia="Times New Roman" w:hAnsi="Times New Roman"/>
          <w:sz w:val="18"/>
          <w:szCs w:val="18"/>
          <w:b w:val="1"/>
          <w:bCs w:val="1"/>
          <w:color w:val="525052"/>
        </w:rPr>
        <w:t>"</w:t>
      </w:r>
      <w:r>
        <w:rPr>
          <w:rFonts w:ascii="Times New Roman" w:cs="Times New Roman" w:eastAsia="Times New Roman" w:hAnsi="Times New Roman"/>
          <w:sz w:val="18"/>
          <w:szCs w:val="18"/>
          <w:b w:val="1"/>
          <w:bCs w:val="1"/>
          <w:color w:val="2D2B2D"/>
        </w:rPr>
        <w:t>Company</w:t>
      </w:r>
      <w:r>
        <w:rPr>
          <w:rFonts w:ascii="Times New Roman" w:cs="Times New Roman" w:eastAsia="Times New Roman" w:hAnsi="Times New Roman"/>
          <w:sz w:val="18"/>
          <w:szCs w:val="18"/>
          <w:b w:val="1"/>
          <w:bCs w:val="1"/>
          <w:color w:val="525052"/>
        </w:rPr>
        <w:t>"</w:t>
      </w:r>
      <w:r>
        <w:rPr>
          <w:rFonts w:ascii="Times New Roman" w:cs="Times New Roman" w:eastAsia="Times New Roman" w:hAnsi="Times New Roman"/>
          <w:sz w:val="18"/>
          <w:szCs w:val="18"/>
          <w:b w:val="1"/>
          <w:bCs w:val="1"/>
          <w:color w:val="2D2B2D"/>
        </w:rPr>
        <w:t>).</w:t>
      </w:r>
      <w:r>
        <w:rPr>
          <w:rFonts w:ascii="Times New Roman" w:cs="Times New Roman" w:eastAsia="Times New Roman" w:hAnsi="Times New Roman"/>
          <w:sz w:val="18"/>
          <w:szCs w:val="18"/>
          <w:color w:val="2D2B2D"/>
        </w:rPr>
        <w:t xml:space="preserve"> This Agreement </w:t>
      </w:r>
      <w:r>
        <w:rPr>
          <w:rFonts w:ascii="Times New Roman" w:cs="Times New Roman" w:eastAsia="Times New Roman" w:hAnsi="Times New Roman"/>
          <w:sz w:val="18"/>
          <w:szCs w:val="18"/>
          <w:color w:val="1C1C1C"/>
        </w:rPr>
        <w:t>is</w:t>
      </w:r>
      <w:r>
        <w:rPr>
          <w:rFonts w:ascii="Times New Roman" w:cs="Times New Roman" w:eastAsia="Times New Roman" w:hAnsi="Times New Roman"/>
          <w:sz w:val="18"/>
          <w:szCs w:val="18"/>
          <w:color w:val="2D2B2D"/>
        </w:rPr>
        <w:t xml:space="preserve"> effective as of the date you sign it.</w:t>
      </w:r>
    </w:p>
    <w:p>
      <w:pPr>
        <w:spacing w:after="0" w:line="135" w:lineRule="exact"/>
        <w:rPr>
          <w:sz w:val="20"/>
          <w:szCs w:val="20"/>
          <w:color w:val="auto"/>
        </w:rPr>
      </w:pPr>
    </w:p>
    <w:p>
      <w:pPr>
        <w:jc w:val="both"/>
        <w:ind w:left="100" w:right="180" w:firstLine="720"/>
        <w:spacing w:after="0" w:line="258" w:lineRule="auto"/>
        <w:rPr>
          <w:sz w:val="20"/>
          <w:szCs w:val="20"/>
          <w:color w:val="auto"/>
        </w:rPr>
      </w:pPr>
      <w:r>
        <w:rPr>
          <w:rFonts w:ascii="Times New Roman" w:cs="Times New Roman" w:eastAsia="Times New Roman" w:hAnsi="Times New Roman"/>
          <w:sz w:val="18"/>
          <w:szCs w:val="18"/>
          <w:color w:val="2D2B2D"/>
        </w:rPr>
        <w:t xml:space="preserve">The Company </w:t>
      </w:r>
      <w:r>
        <w:rPr>
          <w:rFonts w:ascii="Times New Roman" w:cs="Times New Roman" w:eastAsia="Times New Roman" w:hAnsi="Times New Roman"/>
          <w:sz w:val="18"/>
          <w:szCs w:val="18"/>
          <w:color w:val="1C1C1C"/>
        </w:rPr>
        <w:t>is</w:t>
      </w:r>
      <w:r>
        <w:rPr>
          <w:rFonts w:ascii="Times New Roman" w:cs="Times New Roman" w:eastAsia="Times New Roman" w:hAnsi="Times New Roman"/>
          <w:sz w:val="18"/>
          <w:szCs w:val="18"/>
          <w:color w:val="2D2B2D"/>
        </w:rPr>
        <w:t xml:space="preserve"> engaged </w:t>
      </w:r>
      <w:r>
        <w:rPr>
          <w:rFonts w:ascii="Times New Roman" w:cs="Times New Roman" w:eastAsia="Times New Roman" w:hAnsi="Times New Roman"/>
          <w:sz w:val="18"/>
          <w:szCs w:val="18"/>
          <w:color w:val="1C1C1C"/>
        </w:rPr>
        <w:t>in</w:t>
      </w:r>
      <w:r>
        <w:rPr>
          <w:rFonts w:ascii="Times New Roman" w:cs="Times New Roman" w:eastAsia="Times New Roman" w:hAnsi="Times New Roman"/>
          <w:sz w:val="18"/>
          <w:szCs w:val="18"/>
          <w:color w:val="2D2B2D"/>
        </w:rPr>
        <w:t xml:space="preserve"> the </w:t>
      </w:r>
      <w:r>
        <w:rPr>
          <w:rFonts w:ascii="Times New Roman" w:cs="Times New Roman" w:eastAsia="Times New Roman" w:hAnsi="Times New Roman"/>
          <w:sz w:val="18"/>
          <w:szCs w:val="18"/>
          <w:color w:val="1C1C1C"/>
        </w:rPr>
        <w:t>nationwide</w:t>
      </w:r>
      <w:r>
        <w:rPr>
          <w:rFonts w:ascii="Times New Roman" w:cs="Times New Roman" w:eastAsia="Times New Roman" w:hAnsi="Times New Roman"/>
          <w:sz w:val="18"/>
          <w:szCs w:val="18"/>
          <w:color w:val="2D2B2D"/>
        </w:rPr>
        <w:t xml:space="preserve"> operation of </w:t>
      </w:r>
      <w:r>
        <w:rPr>
          <w:rFonts w:ascii="Times New Roman" w:cs="Times New Roman" w:eastAsia="Times New Roman" w:hAnsi="Times New Roman"/>
          <w:sz w:val="18"/>
          <w:szCs w:val="18"/>
          <w:color w:val="1C1C1C"/>
        </w:rPr>
        <w:t>medical</w:t>
      </w:r>
      <w:r>
        <w:rPr>
          <w:rFonts w:ascii="Times New Roman" w:cs="Times New Roman" w:eastAsia="Times New Roman" w:hAnsi="Times New Roman"/>
          <w:sz w:val="18"/>
          <w:szCs w:val="18"/>
          <w:color w:val="2D2B2D"/>
        </w:rPr>
        <w:t xml:space="preserve"> and</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or adult-use cannabis </w:t>
      </w:r>
      <w:r>
        <w:rPr>
          <w:rFonts w:ascii="Times New Roman" w:cs="Times New Roman" w:eastAsia="Times New Roman" w:hAnsi="Times New Roman"/>
          <w:sz w:val="18"/>
          <w:szCs w:val="18"/>
          <w:color w:val="1C1C1C"/>
        </w:rPr>
        <w:t>cultivation,</w:t>
      </w:r>
      <w:r>
        <w:rPr>
          <w:rFonts w:ascii="Times New Roman" w:cs="Times New Roman" w:eastAsia="Times New Roman" w:hAnsi="Times New Roman"/>
          <w:sz w:val="18"/>
          <w:szCs w:val="18"/>
          <w:color w:val="2D2B2D"/>
        </w:rPr>
        <w:t xml:space="preserve"> processing and </w:t>
      </w:r>
      <w:r>
        <w:rPr>
          <w:rFonts w:ascii="Times New Roman" w:cs="Times New Roman" w:eastAsia="Times New Roman" w:hAnsi="Times New Roman"/>
          <w:sz w:val="18"/>
          <w:szCs w:val="18"/>
          <w:color w:val="1C1C1C"/>
        </w:rPr>
        <w:t>retail</w:t>
      </w:r>
      <w:r>
        <w:rPr>
          <w:rFonts w:ascii="Times New Roman" w:cs="Times New Roman" w:eastAsia="Times New Roman" w:hAnsi="Times New Roman"/>
          <w:sz w:val="18"/>
          <w:szCs w:val="18"/>
          <w:color w:val="414142"/>
        </w:rPr>
        <w:t>,</w:t>
      </w:r>
      <w:r>
        <w:rPr>
          <w:rFonts w:ascii="Times New Roman" w:cs="Times New Roman" w:eastAsia="Times New Roman" w:hAnsi="Times New Roman"/>
          <w:sz w:val="18"/>
          <w:szCs w:val="18"/>
          <w:color w:val="2D2B2D"/>
        </w:rPr>
        <w:t xml:space="preserve"> and desires to retain your services. You acknowledge and agree that while the Company</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s business may be </w:t>
      </w:r>
      <w:r>
        <w:rPr>
          <w:rFonts w:ascii="Times New Roman" w:cs="Times New Roman" w:eastAsia="Times New Roman" w:hAnsi="Times New Roman"/>
          <w:sz w:val="18"/>
          <w:szCs w:val="18"/>
          <w:color w:val="1C1C1C"/>
        </w:rPr>
        <w:t>legal</w:t>
      </w:r>
      <w:r>
        <w:rPr>
          <w:rFonts w:ascii="Times New Roman" w:cs="Times New Roman" w:eastAsia="Times New Roman" w:hAnsi="Times New Roman"/>
          <w:sz w:val="18"/>
          <w:szCs w:val="18"/>
          <w:color w:val="2D2B2D"/>
        </w:rPr>
        <w:t xml:space="preserve"> under certain state laws</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 the Company's business is </w:t>
      </w:r>
      <w:r>
        <w:rPr>
          <w:rFonts w:ascii="Times New Roman" w:cs="Times New Roman" w:eastAsia="Times New Roman" w:hAnsi="Times New Roman"/>
          <w:sz w:val="18"/>
          <w:szCs w:val="18"/>
          <w:color w:val="1C1C1C"/>
        </w:rPr>
        <w:t xml:space="preserve">illegal under </w:t>
      </w:r>
      <w:r>
        <w:rPr>
          <w:rFonts w:ascii="Times New Roman" w:cs="Times New Roman" w:eastAsia="Times New Roman" w:hAnsi="Times New Roman"/>
          <w:sz w:val="18"/>
          <w:szCs w:val="18"/>
          <w:color w:val="2D2B2D"/>
        </w:rPr>
        <w:t>federal</w:t>
      </w:r>
      <w:r>
        <w:rPr>
          <w:rFonts w:ascii="Times New Roman" w:cs="Times New Roman" w:eastAsia="Times New Roman" w:hAnsi="Times New Roman"/>
          <w:sz w:val="18"/>
          <w:szCs w:val="18"/>
          <w:color w:val="1C1C1C"/>
        </w:rPr>
        <w:t xml:space="preserve"> law</w:t>
      </w:r>
      <w:r>
        <w:rPr>
          <w:rFonts w:ascii="Times New Roman" w:cs="Times New Roman" w:eastAsia="Times New Roman" w:hAnsi="Times New Roman"/>
          <w:sz w:val="18"/>
          <w:szCs w:val="18"/>
          <w:color w:val="414142"/>
        </w:rPr>
        <w:t>,</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color w:val="2D2B2D"/>
        </w:rPr>
        <w:t>and there are certain risks</w:t>
      </w:r>
      <w:r>
        <w:rPr>
          <w:rFonts w:ascii="Times New Roman" w:cs="Times New Roman" w:eastAsia="Times New Roman" w:hAnsi="Times New Roman"/>
          <w:sz w:val="18"/>
          <w:szCs w:val="18"/>
          <w:color w:val="1C1C1C"/>
        </w:rPr>
        <w:t xml:space="preserve"> that </w:t>
      </w:r>
      <w:r>
        <w:rPr>
          <w:rFonts w:ascii="Times New Roman" w:cs="Times New Roman" w:eastAsia="Times New Roman" w:hAnsi="Times New Roman"/>
          <w:sz w:val="18"/>
          <w:szCs w:val="18"/>
          <w:color w:val="2D2B2D"/>
        </w:rPr>
        <w:t>you could face as a result of working for</w:t>
      </w:r>
      <w:r>
        <w:rPr>
          <w:rFonts w:ascii="Times New Roman" w:cs="Times New Roman" w:eastAsia="Times New Roman" w:hAnsi="Times New Roman"/>
          <w:sz w:val="18"/>
          <w:szCs w:val="18"/>
          <w:color w:val="1C1C1C"/>
        </w:rPr>
        <w:t xml:space="preserve"> the </w:t>
      </w:r>
      <w:r>
        <w:rPr>
          <w:rFonts w:ascii="Times New Roman" w:cs="Times New Roman" w:eastAsia="Times New Roman" w:hAnsi="Times New Roman"/>
          <w:sz w:val="18"/>
          <w:szCs w:val="18"/>
          <w:color w:val="2D2B2D"/>
        </w:rPr>
        <w:t>Employer.</w:t>
      </w:r>
      <w:r>
        <w:rPr>
          <w:rFonts w:ascii="Times New Roman" w:cs="Times New Roman" w:eastAsia="Times New Roman" w:hAnsi="Times New Roman"/>
          <w:sz w:val="18"/>
          <w:szCs w:val="18"/>
          <w:color w:val="1C1C1C"/>
        </w:rPr>
        <w:t xml:space="preserve"> Notwithstanding</w:t>
      </w:r>
      <w:r>
        <w:rPr>
          <w:rFonts w:ascii="Times New Roman" w:cs="Times New Roman" w:eastAsia="Times New Roman" w:hAnsi="Times New Roman"/>
          <w:sz w:val="18"/>
          <w:szCs w:val="18"/>
          <w:color w:val="414142"/>
        </w:rPr>
        <w:t>,</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color w:val="2D2B2D"/>
        </w:rPr>
        <w:t>you are willing to</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color w:val="2D2B2D"/>
        </w:rPr>
        <w:t xml:space="preserve">enter </w:t>
      </w:r>
      <w:r>
        <w:rPr>
          <w:rFonts w:ascii="Times New Roman" w:cs="Times New Roman" w:eastAsia="Times New Roman" w:hAnsi="Times New Roman"/>
          <w:sz w:val="18"/>
          <w:szCs w:val="18"/>
          <w:color w:val="1C1C1C"/>
        </w:rPr>
        <w:t>into</w:t>
      </w:r>
      <w:r>
        <w:rPr>
          <w:rFonts w:ascii="Times New Roman" w:cs="Times New Roman" w:eastAsia="Times New Roman" w:hAnsi="Times New Roman"/>
          <w:sz w:val="18"/>
          <w:szCs w:val="18"/>
          <w:color w:val="2D2B2D"/>
        </w:rPr>
        <w:t xml:space="preserve"> this Agreement with the Employer and be subject to its terms, in exchange for </w:t>
      </w:r>
      <w:r>
        <w:rPr>
          <w:rFonts w:ascii="Times New Roman" w:cs="Times New Roman" w:eastAsia="Times New Roman" w:hAnsi="Times New Roman"/>
          <w:sz w:val="18"/>
          <w:szCs w:val="18"/>
          <w:color w:val="414142"/>
        </w:rPr>
        <w:t>your</w:t>
      </w:r>
      <w:r>
        <w:rPr>
          <w:rFonts w:ascii="Times New Roman" w:cs="Times New Roman" w:eastAsia="Times New Roman" w:hAnsi="Times New Roman"/>
          <w:sz w:val="18"/>
          <w:szCs w:val="18"/>
          <w:color w:val="2D2B2D"/>
        </w:rPr>
        <w:t xml:space="preserve"> employment or continued employment</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 the payment of wages and benefits, </w:t>
      </w:r>
      <w:r>
        <w:rPr>
          <w:rFonts w:ascii="Times New Roman" w:cs="Times New Roman" w:eastAsia="Times New Roman" w:hAnsi="Times New Roman"/>
          <w:sz w:val="18"/>
          <w:szCs w:val="18"/>
          <w:color w:val="414142"/>
        </w:rPr>
        <w:t>your</w:t>
      </w:r>
      <w:r>
        <w:rPr>
          <w:rFonts w:ascii="Times New Roman" w:cs="Times New Roman" w:eastAsia="Times New Roman" w:hAnsi="Times New Roman"/>
          <w:sz w:val="18"/>
          <w:szCs w:val="18"/>
          <w:color w:val="2D2B2D"/>
        </w:rPr>
        <w:t xml:space="preserve"> access to Confidential Information (defined below </w:t>
      </w:r>
      <w:r>
        <w:rPr>
          <w:rFonts w:ascii="Times New Roman" w:cs="Times New Roman" w:eastAsia="Times New Roman" w:hAnsi="Times New Roman"/>
          <w:sz w:val="18"/>
          <w:szCs w:val="18"/>
          <w:color w:val="1C1C1C"/>
        </w:rPr>
        <w:t>in</w:t>
      </w:r>
      <w:r>
        <w:rPr>
          <w:rFonts w:ascii="Times New Roman" w:cs="Times New Roman" w:eastAsia="Times New Roman" w:hAnsi="Times New Roman"/>
          <w:sz w:val="18"/>
          <w:szCs w:val="18"/>
          <w:color w:val="2D2B2D"/>
        </w:rPr>
        <w:t xml:space="preserve"> Section 1</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3) and other </w:t>
      </w:r>
      <w:r>
        <w:rPr>
          <w:rFonts w:ascii="Times New Roman" w:cs="Times New Roman" w:eastAsia="Times New Roman" w:hAnsi="Times New Roman"/>
          <w:sz w:val="18"/>
          <w:szCs w:val="18"/>
          <w:color w:val="414142"/>
        </w:rPr>
        <w:t>good</w:t>
      </w:r>
      <w:r>
        <w:rPr>
          <w:rFonts w:ascii="Times New Roman" w:cs="Times New Roman" w:eastAsia="Times New Roman" w:hAnsi="Times New Roman"/>
          <w:sz w:val="18"/>
          <w:szCs w:val="18"/>
          <w:color w:val="2D2B2D"/>
        </w:rPr>
        <w:t xml:space="preserve"> and </w:t>
      </w:r>
      <w:r>
        <w:rPr>
          <w:rFonts w:ascii="Times New Roman" w:cs="Times New Roman" w:eastAsia="Times New Roman" w:hAnsi="Times New Roman"/>
          <w:sz w:val="18"/>
          <w:szCs w:val="18"/>
          <w:color w:val="414142"/>
        </w:rPr>
        <w:t>va</w:t>
      </w:r>
      <w:r>
        <w:rPr>
          <w:rFonts w:ascii="Times New Roman" w:cs="Times New Roman" w:eastAsia="Times New Roman" w:hAnsi="Times New Roman"/>
          <w:sz w:val="18"/>
          <w:szCs w:val="18"/>
          <w:color w:val="1C1C1C"/>
        </w:rPr>
        <w:t>lu</w:t>
      </w:r>
      <w:r>
        <w:rPr>
          <w:rFonts w:ascii="Times New Roman" w:cs="Times New Roman" w:eastAsia="Times New Roman" w:hAnsi="Times New Roman"/>
          <w:sz w:val="18"/>
          <w:szCs w:val="18"/>
          <w:color w:val="414142"/>
        </w:rPr>
        <w:t>ab</w:t>
      </w:r>
      <w:r>
        <w:rPr>
          <w:rFonts w:ascii="Times New Roman" w:cs="Times New Roman" w:eastAsia="Times New Roman" w:hAnsi="Times New Roman"/>
          <w:sz w:val="18"/>
          <w:szCs w:val="18"/>
          <w:color w:val="1C1C1C"/>
        </w:rPr>
        <w:t>le</w:t>
      </w:r>
      <w:r>
        <w:rPr>
          <w:rFonts w:ascii="Times New Roman" w:cs="Times New Roman" w:eastAsia="Times New Roman" w:hAnsi="Times New Roman"/>
          <w:sz w:val="18"/>
          <w:szCs w:val="18"/>
          <w:color w:val="2D2B2D"/>
        </w:rPr>
        <w:t xml:space="preserve"> consideration.</w:t>
      </w:r>
    </w:p>
    <w:p>
      <w:pPr>
        <w:spacing w:after="0" w:line="15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2D2B2D"/>
        </w:rPr>
        <w:t>You and the Employer agree as follows:</w:t>
      </w:r>
    </w:p>
    <w:p>
      <w:pPr>
        <w:spacing w:after="0" w:line="181" w:lineRule="exact"/>
        <w:rPr>
          <w:sz w:val="20"/>
          <w:szCs w:val="20"/>
          <w:color w:val="auto"/>
        </w:rPr>
      </w:pPr>
    </w:p>
    <w:p>
      <w:pPr>
        <w:ind w:left="680" w:hanging="647"/>
        <w:spacing w:after="0"/>
        <w:tabs>
          <w:tab w:leader="none" w:pos="680" w:val="left"/>
        </w:tabs>
        <w:numPr>
          <w:ilvl w:val="0"/>
          <w:numId w:val="231"/>
        </w:numPr>
        <w:rPr>
          <w:rFonts w:ascii="Times New Roman" w:cs="Times New Roman" w:eastAsia="Times New Roman" w:hAnsi="Times New Roman"/>
          <w:sz w:val="18"/>
          <w:szCs w:val="18"/>
          <w:b w:val="1"/>
          <w:bCs w:val="1"/>
          <w:color w:val="2D2B2D"/>
        </w:rPr>
      </w:pPr>
      <w:r>
        <w:rPr>
          <w:rFonts w:ascii="Times New Roman" w:cs="Times New Roman" w:eastAsia="Times New Roman" w:hAnsi="Times New Roman"/>
          <w:sz w:val="18"/>
          <w:szCs w:val="18"/>
          <w:b w:val="1"/>
          <w:bCs w:val="1"/>
          <w:color w:val="2D2B2D"/>
        </w:rPr>
        <w:t>Confidentiality</w:t>
      </w:r>
    </w:p>
    <w:p>
      <w:pPr>
        <w:spacing w:after="0" w:line="189" w:lineRule="exact"/>
        <w:rPr>
          <w:sz w:val="20"/>
          <w:szCs w:val="20"/>
          <w:color w:val="auto"/>
        </w:rPr>
      </w:pPr>
    </w:p>
    <w:p>
      <w:pPr>
        <w:jc w:val="both"/>
        <w:ind w:left="80" w:right="180" w:firstLine="749"/>
        <w:spacing w:after="0" w:line="266" w:lineRule="auto"/>
        <w:rPr>
          <w:sz w:val="20"/>
          <w:szCs w:val="20"/>
          <w:color w:val="auto"/>
        </w:rPr>
      </w:pPr>
      <w:r>
        <w:rPr>
          <w:rFonts w:ascii="Times New Roman" w:cs="Times New Roman" w:eastAsia="Times New Roman" w:hAnsi="Times New Roman"/>
          <w:sz w:val="18"/>
          <w:szCs w:val="18"/>
          <w:color w:val="2D2B2D"/>
        </w:rPr>
        <w:t xml:space="preserve">1.1 You acknowledge that as a result of your employment by the Employer, you will acquire Confidential Information (defined below </w:t>
      </w:r>
      <w:r>
        <w:rPr>
          <w:rFonts w:ascii="Times New Roman" w:cs="Times New Roman" w:eastAsia="Times New Roman" w:hAnsi="Times New Roman"/>
          <w:sz w:val="18"/>
          <w:szCs w:val="18"/>
          <w:color w:val="1C1C1C"/>
        </w:rPr>
        <w:t xml:space="preserve">in </w:t>
      </w:r>
      <w:r>
        <w:rPr>
          <w:rFonts w:ascii="Times New Roman" w:cs="Times New Roman" w:eastAsia="Times New Roman" w:hAnsi="Times New Roman"/>
          <w:sz w:val="18"/>
          <w:szCs w:val="18"/>
          <w:color w:val="2D2B2D"/>
        </w:rPr>
        <w:t>Section 1.3) and special knowledge of the Company</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s relationships with its</w:t>
      </w:r>
      <w:r>
        <w:rPr>
          <w:rFonts w:ascii="Times New Roman" w:cs="Times New Roman" w:eastAsia="Times New Roman" w:hAnsi="Times New Roman"/>
          <w:sz w:val="18"/>
          <w:szCs w:val="18"/>
          <w:color w:val="1C1C1C"/>
        </w:rPr>
        <w:t xml:space="preserve"> investors</w:t>
      </w:r>
      <w:r>
        <w:rPr>
          <w:rFonts w:ascii="Times New Roman" w:cs="Times New Roman" w:eastAsia="Times New Roman" w:hAnsi="Times New Roman"/>
          <w:sz w:val="18"/>
          <w:szCs w:val="18"/>
          <w:color w:val="414142"/>
        </w:rPr>
        <w:t>,</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color w:val="2D2B2D"/>
        </w:rPr>
        <w:t>prospective</w:t>
      </w:r>
      <w:r>
        <w:rPr>
          <w:rFonts w:ascii="Times New Roman" w:cs="Times New Roman" w:eastAsia="Times New Roman" w:hAnsi="Times New Roman"/>
          <w:sz w:val="18"/>
          <w:szCs w:val="18"/>
          <w:color w:val="1C1C1C"/>
        </w:rPr>
        <w:t xml:space="preserve"> investors</w:t>
      </w:r>
      <w:r>
        <w:rPr>
          <w:rFonts w:ascii="Times New Roman" w:cs="Times New Roman" w:eastAsia="Times New Roman" w:hAnsi="Times New Roman"/>
          <w:sz w:val="18"/>
          <w:szCs w:val="18"/>
          <w:color w:val="414142"/>
        </w:rPr>
        <w:t>,</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color w:val="2D2B2D"/>
        </w:rPr>
        <w:t>customers</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color w:val="2D2B2D"/>
        </w:rPr>
        <w:t>prospective customers</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color w:val="2D2B2D"/>
        </w:rPr>
        <w:t>and</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color w:val="2D2B2D"/>
        </w:rPr>
        <w:t xml:space="preserve">employees as a result of your employment. You acknowledge you would not otherwise </w:t>
      </w:r>
      <w:r>
        <w:rPr>
          <w:rFonts w:ascii="Times New Roman" w:cs="Times New Roman" w:eastAsia="Times New Roman" w:hAnsi="Times New Roman"/>
          <w:sz w:val="18"/>
          <w:szCs w:val="18"/>
          <w:color w:val="1C1C1C"/>
        </w:rPr>
        <w:t>have had</w:t>
      </w:r>
      <w:r>
        <w:rPr>
          <w:rFonts w:ascii="Times New Roman" w:cs="Times New Roman" w:eastAsia="Times New Roman" w:hAnsi="Times New Roman"/>
          <w:sz w:val="18"/>
          <w:szCs w:val="18"/>
          <w:color w:val="2D2B2D"/>
        </w:rPr>
        <w:t xml:space="preserve"> access to such information</w:t>
      </w:r>
      <w:r>
        <w:rPr>
          <w:rFonts w:ascii="Times New Roman" w:cs="Times New Roman" w:eastAsia="Times New Roman" w:hAnsi="Times New Roman"/>
          <w:sz w:val="18"/>
          <w:szCs w:val="18"/>
          <w:color w:val="525052"/>
        </w:rPr>
        <w:t>.</w:t>
      </w:r>
    </w:p>
    <w:p>
      <w:pPr>
        <w:spacing w:after="0" w:line="149" w:lineRule="exact"/>
        <w:rPr>
          <w:sz w:val="20"/>
          <w:szCs w:val="20"/>
          <w:color w:val="auto"/>
        </w:rPr>
      </w:pPr>
    </w:p>
    <w:p>
      <w:pPr>
        <w:jc w:val="both"/>
        <w:ind w:left="80" w:right="160" w:firstLine="749"/>
        <w:spacing w:after="0" w:line="254" w:lineRule="auto"/>
        <w:rPr>
          <w:sz w:val="20"/>
          <w:szCs w:val="20"/>
          <w:color w:val="auto"/>
        </w:rPr>
      </w:pPr>
      <w:r>
        <w:rPr>
          <w:rFonts w:ascii="Times New Roman" w:cs="Times New Roman" w:eastAsia="Times New Roman" w:hAnsi="Times New Roman"/>
          <w:sz w:val="18"/>
          <w:szCs w:val="18"/>
          <w:color w:val="2D2B2D"/>
        </w:rPr>
        <w:t xml:space="preserve">1.2 You agree both during your employment by the Employer and thereafter, you will not </w:t>
      </w:r>
      <w:r>
        <w:rPr>
          <w:rFonts w:ascii="Times New Roman" w:cs="Times New Roman" w:eastAsia="Times New Roman" w:hAnsi="Times New Roman"/>
          <w:sz w:val="18"/>
          <w:szCs w:val="18"/>
          <w:color w:val="1C1C1C"/>
        </w:rPr>
        <w:t>use</w:t>
      </w:r>
      <w:r>
        <w:rPr>
          <w:rFonts w:ascii="Times New Roman" w:cs="Times New Roman" w:eastAsia="Times New Roman" w:hAnsi="Times New Roman"/>
          <w:sz w:val="18"/>
          <w:szCs w:val="18"/>
          <w:color w:val="2D2B2D"/>
        </w:rPr>
        <w:t xml:space="preserve"> or disclose to any entity</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 association</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 organization or person not employed </w:t>
      </w:r>
      <w:r>
        <w:rPr>
          <w:rFonts w:ascii="Times New Roman" w:cs="Times New Roman" w:eastAsia="Times New Roman" w:hAnsi="Times New Roman"/>
          <w:sz w:val="18"/>
          <w:szCs w:val="18"/>
          <w:color w:val="1C1C1C"/>
        </w:rPr>
        <w:t>by</w:t>
      </w:r>
      <w:r>
        <w:rPr>
          <w:rFonts w:ascii="Times New Roman" w:cs="Times New Roman" w:eastAsia="Times New Roman" w:hAnsi="Times New Roman"/>
          <w:sz w:val="18"/>
          <w:szCs w:val="18"/>
          <w:color w:val="2D2B2D"/>
        </w:rPr>
        <w:t xml:space="preserve"> the Company any </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Confidential </w:t>
      </w:r>
      <w:r>
        <w:rPr>
          <w:rFonts w:ascii="Times New Roman" w:cs="Times New Roman" w:eastAsia="Times New Roman" w:hAnsi="Times New Roman"/>
          <w:sz w:val="18"/>
          <w:szCs w:val="18"/>
          <w:color w:val="1C1C1C"/>
        </w:rPr>
        <w:t>Information</w:t>
      </w:r>
      <w:r>
        <w:rPr>
          <w:rFonts w:ascii="Times New Roman" w:cs="Times New Roman" w:eastAsia="Times New Roman" w:hAnsi="Times New Roman"/>
          <w:sz w:val="18"/>
          <w:szCs w:val="18"/>
          <w:color w:val="626264"/>
        </w:rPr>
        <w:t>,</w:t>
      </w:r>
      <w:r>
        <w:rPr>
          <w:rFonts w:ascii="Times New Roman" w:cs="Times New Roman" w:eastAsia="Times New Roman" w:hAnsi="Times New Roman"/>
          <w:sz w:val="18"/>
          <w:szCs w:val="18"/>
          <w:color w:val="414142"/>
        </w:rPr>
        <w:t>"</w:t>
      </w:r>
      <w:r>
        <w:rPr>
          <w:rFonts w:ascii="Times New Roman" w:cs="Times New Roman" w:eastAsia="Times New Roman" w:hAnsi="Times New Roman"/>
          <w:sz w:val="18"/>
          <w:szCs w:val="18"/>
          <w:color w:val="2D2B2D"/>
        </w:rPr>
        <w:t xml:space="preserve"> except where such </w:t>
      </w:r>
      <w:r>
        <w:rPr>
          <w:rFonts w:ascii="Times New Roman" w:cs="Times New Roman" w:eastAsia="Times New Roman" w:hAnsi="Times New Roman"/>
          <w:sz w:val="18"/>
          <w:szCs w:val="18"/>
          <w:color w:val="1C1C1C"/>
        </w:rPr>
        <w:t>disclosure</w:t>
      </w:r>
      <w:r>
        <w:rPr>
          <w:rFonts w:ascii="Times New Roman" w:cs="Times New Roman" w:eastAsia="Times New Roman" w:hAnsi="Times New Roman"/>
          <w:sz w:val="18"/>
          <w:szCs w:val="18"/>
          <w:color w:val="2D2B2D"/>
        </w:rPr>
        <w:t xml:space="preserve"> is consented to, or approved </w:t>
      </w:r>
      <w:r>
        <w:rPr>
          <w:rFonts w:ascii="Times New Roman" w:cs="Times New Roman" w:eastAsia="Times New Roman" w:hAnsi="Times New Roman"/>
          <w:sz w:val="18"/>
          <w:szCs w:val="18"/>
          <w:color w:val="1C1C1C"/>
        </w:rPr>
        <w:t>b</w:t>
      </w:r>
      <w:r>
        <w:rPr>
          <w:rFonts w:ascii="Times New Roman" w:cs="Times New Roman" w:eastAsia="Times New Roman" w:hAnsi="Times New Roman"/>
          <w:sz w:val="18"/>
          <w:szCs w:val="18"/>
          <w:color w:val="414142"/>
        </w:rPr>
        <w:t>y,</w:t>
      </w:r>
      <w:r>
        <w:rPr>
          <w:rFonts w:ascii="Times New Roman" w:cs="Times New Roman" w:eastAsia="Times New Roman" w:hAnsi="Times New Roman"/>
          <w:sz w:val="18"/>
          <w:szCs w:val="18"/>
          <w:color w:val="2D2B2D"/>
        </w:rPr>
        <w:t xml:space="preserve"> the Company. You and the Employer agree</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 however</w:t>
      </w:r>
      <w:r>
        <w:rPr>
          <w:rFonts w:ascii="Times New Roman" w:cs="Times New Roman" w:eastAsia="Times New Roman" w:hAnsi="Times New Roman"/>
          <w:sz w:val="18"/>
          <w:szCs w:val="18"/>
          <w:color w:val="626264"/>
        </w:rPr>
        <w:t>,</w:t>
      </w:r>
      <w:r>
        <w:rPr>
          <w:rFonts w:ascii="Times New Roman" w:cs="Times New Roman" w:eastAsia="Times New Roman" w:hAnsi="Times New Roman"/>
          <w:sz w:val="18"/>
          <w:szCs w:val="18"/>
          <w:color w:val="2D2B2D"/>
        </w:rPr>
        <w:t xml:space="preserve"> that</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 pursuant to </w:t>
      </w:r>
      <w:r>
        <w:rPr>
          <w:rFonts w:ascii="Times New Roman" w:cs="Times New Roman" w:eastAsia="Times New Roman" w:hAnsi="Times New Roman"/>
          <w:sz w:val="18"/>
          <w:szCs w:val="18"/>
          <w:color w:val="1C1C1C"/>
        </w:rPr>
        <w:t>18</w:t>
      </w:r>
      <w:r>
        <w:rPr>
          <w:rFonts w:ascii="Times New Roman" w:cs="Times New Roman" w:eastAsia="Times New Roman" w:hAnsi="Times New Roman"/>
          <w:sz w:val="18"/>
          <w:szCs w:val="18"/>
          <w:color w:val="2D2B2D"/>
        </w:rPr>
        <w:t xml:space="preserve"> </w:t>
      </w:r>
      <w:r>
        <w:rPr>
          <w:rFonts w:ascii="Times New Roman" w:cs="Times New Roman" w:eastAsia="Times New Roman" w:hAnsi="Times New Roman"/>
          <w:sz w:val="18"/>
          <w:szCs w:val="18"/>
          <w:color w:val="414142"/>
        </w:rPr>
        <w:t>USC</w:t>
      </w:r>
      <w:r>
        <w:rPr>
          <w:rFonts w:ascii="Times New Roman" w:cs="Times New Roman" w:eastAsia="Times New Roman" w:hAnsi="Times New Roman"/>
          <w:sz w:val="18"/>
          <w:szCs w:val="18"/>
          <w:color w:val="2D2B2D"/>
        </w:rPr>
        <w:t xml:space="preserve"> § 1833(b)</w:t>
      </w:r>
      <w:r>
        <w:rPr>
          <w:rFonts w:ascii="Times New Roman" w:cs="Times New Roman" w:eastAsia="Times New Roman" w:hAnsi="Times New Roman"/>
          <w:sz w:val="18"/>
          <w:szCs w:val="18"/>
          <w:color w:val="626264"/>
        </w:rPr>
        <w:t>,</w:t>
      </w:r>
      <w:r>
        <w:rPr>
          <w:rFonts w:ascii="Times New Roman" w:cs="Times New Roman" w:eastAsia="Times New Roman" w:hAnsi="Times New Roman"/>
          <w:sz w:val="18"/>
          <w:szCs w:val="18"/>
          <w:color w:val="2D2B2D"/>
        </w:rPr>
        <w:t xml:space="preserve"> an individual may not be held criminally or civilly </w:t>
      </w:r>
      <w:r>
        <w:rPr>
          <w:rFonts w:ascii="Times New Roman" w:cs="Times New Roman" w:eastAsia="Times New Roman" w:hAnsi="Times New Roman"/>
          <w:sz w:val="18"/>
          <w:szCs w:val="18"/>
          <w:color w:val="1C1C1C"/>
        </w:rPr>
        <w:t>liable</w:t>
      </w:r>
      <w:r>
        <w:rPr>
          <w:rFonts w:ascii="Times New Roman" w:cs="Times New Roman" w:eastAsia="Times New Roman" w:hAnsi="Times New Roman"/>
          <w:sz w:val="18"/>
          <w:szCs w:val="18"/>
          <w:color w:val="2D2B2D"/>
        </w:rPr>
        <w:t xml:space="preserve"> </w:t>
      </w:r>
      <w:r>
        <w:rPr>
          <w:rFonts w:ascii="Times New Roman" w:cs="Times New Roman" w:eastAsia="Times New Roman" w:hAnsi="Times New Roman"/>
          <w:sz w:val="18"/>
          <w:szCs w:val="18"/>
          <w:color w:val="1C1C1C"/>
        </w:rPr>
        <w:t>und</w:t>
      </w:r>
      <w:r>
        <w:rPr>
          <w:rFonts w:ascii="Times New Roman" w:cs="Times New Roman" w:eastAsia="Times New Roman" w:hAnsi="Times New Roman"/>
          <w:sz w:val="18"/>
          <w:szCs w:val="18"/>
          <w:color w:val="414142"/>
        </w:rPr>
        <w:t>er</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color w:val="2D2B2D"/>
        </w:rPr>
        <w:t>any federal or state trade secret</w:t>
      </w:r>
      <w:r>
        <w:rPr>
          <w:rFonts w:ascii="Times New Roman" w:cs="Times New Roman" w:eastAsia="Times New Roman" w:hAnsi="Times New Roman"/>
          <w:sz w:val="18"/>
          <w:szCs w:val="18"/>
          <w:color w:val="1C1C1C"/>
        </w:rPr>
        <w:t xml:space="preserve"> law </w:t>
      </w:r>
      <w:r>
        <w:rPr>
          <w:rFonts w:ascii="Times New Roman" w:cs="Times New Roman" w:eastAsia="Times New Roman" w:hAnsi="Times New Roman"/>
          <w:sz w:val="18"/>
          <w:szCs w:val="18"/>
          <w:color w:val="2D2B2D"/>
        </w:rPr>
        <w:t>for disclosing a trade secret: (i)</w:t>
      </w:r>
      <w:r>
        <w:rPr>
          <w:rFonts w:ascii="Times New Roman" w:cs="Times New Roman" w:eastAsia="Times New Roman" w:hAnsi="Times New Roman"/>
          <w:sz w:val="18"/>
          <w:szCs w:val="18"/>
          <w:color w:val="1C1C1C"/>
        </w:rPr>
        <w:t xml:space="preserve"> made in </w:t>
      </w:r>
      <w:r>
        <w:rPr>
          <w:rFonts w:ascii="Times New Roman" w:cs="Times New Roman" w:eastAsia="Times New Roman" w:hAnsi="Times New Roman"/>
          <w:sz w:val="18"/>
          <w:szCs w:val="18"/>
          <w:color w:val="2D2B2D"/>
        </w:rPr>
        <w:t>confidence to a government official</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color w:val="2D2B2D"/>
        </w:rPr>
        <w:t>either</w:t>
      </w:r>
      <w:r>
        <w:rPr>
          <w:rFonts w:ascii="Times New Roman" w:cs="Times New Roman" w:eastAsia="Times New Roman" w:hAnsi="Times New Roman"/>
          <w:sz w:val="18"/>
          <w:szCs w:val="18"/>
          <w:color w:val="1C1C1C"/>
        </w:rPr>
        <w:t xml:space="preserve"> directly </w:t>
      </w:r>
      <w:r>
        <w:rPr>
          <w:rFonts w:ascii="Times New Roman" w:cs="Times New Roman" w:eastAsia="Times New Roman" w:hAnsi="Times New Roman"/>
          <w:sz w:val="18"/>
          <w:szCs w:val="18"/>
          <w:color w:val="2D2B2D"/>
        </w:rPr>
        <w:t>or indirectly</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color w:val="2D2B2D"/>
        </w:rPr>
        <w:t>or</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color w:val="2D2B2D"/>
        </w:rPr>
        <w:t>to an attorney</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 solely for the purpose of reporting or investigating a </w:t>
      </w:r>
      <w:r>
        <w:rPr>
          <w:rFonts w:ascii="Times New Roman" w:cs="Times New Roman" w:eastAsia="Times New Roman" w:hAnsi="Times New Roman"/>
          <w:sz w:val="18"/>
          <w:szCs w:val="18"/>
          <w:color w:val="414142"/>
        </w:rPr>
        <w:t>s</w:t>
      </w:r>
      <w:r>
        <w:rPr>
          <w:rFonts w:ascii="Times New Roman" w:cs="Times New Roman" w:eastAsia="Times New Roman" w:hAnsi="Times New Roman"/>
          <w:sz w:val="18"/>
          <w:szCs w:val="18"/>
          <w:color w:val="1C1C1C"/>
        </w:rPr>
        <w:t>uspected</w:t>
      </w:r>
      <w:r>
        <w:rPr>
          <w:rFonts w:ascii="Times New Roman" w:cs="Times New Roman" w:eastAsia="Times New Roman" w:hAnsi="Times New Roman"/>
          <w:sz w:val="18"/>
          <w:szCs w:val="18"/>
          <w:color w:val="2D2B2D"/>
        </w:rPr>
        <w:t xml:space="preserve"> violation of </w:t>
      </w:r>
      <w:r>
        <w:rPr>
          <w:rFonts w:ascii="Times New Roman" w:cs="Times New Roman" w:eastAsia="Times New Roman" w:hAnsi="Times New Roman"/>
          <w:sz w:val="18"/>
          <w:szCs w:val="18"/>
          <w:color w:val="1C1C1C"/>
        </w:rPr>
        <w:t>law</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 and</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or (ii) in </w:t>
      </w:r>
      <w:r>
        <w:rPr>
          <w:rFonts w:ascii="Times New Roman" w:cs="Times New Roman" w:eastAsia="Times New Roman" w:hAnsi="Times New Roman"/>
          <w:sz w:val="18"/>
          <w:szCs w:val="18"/>
          <w:color w:val="414142"/>
        </w:rPr>
        <w:t>a</w:t>
      </w:r>
      <w:r>
        <w:rPr>
          <w:rFonts w:ascii="Times New Roman" w:cs="Times New Roman" w:eastAsia="Times New Roman" w:hAnsi="Times New Roman"/>
          <w:sz w:val="18"/>
          <w:szCs w:val="18"/>
          <w:color w:val="2D2B2D"/>
        </w:rPr>
        <w:t xml:space="preserve"> complaint or other document filed in a </w:t>
      </w:r>
      <w:r>
        <w:rPr>
          <w:rFonts w:ascii="Times New Roman" w:cs="Times New Roman" w:eastAsia="Times New Roman" w:hAnsi="Times New Roman"/>
          <w:sz w:val="18"/>
          <w:szCs w:val="18"/>
          <w:color w:val="1C1C1C"/>
        </w:rPr>
        <w:t xml:space="preserve">lawsuit or </w:t>
      </w:r>
      <w:r>
        <w:rPr>
          <w:rFonts w:ascii="Times New Roman" w:cs="Times New Roman" w:eastAsia="Times New Roman" w:hAnsi="Times New Roman"/>
          <w:sz w:val="18"/>
          <w:szCs w:val="18"/>
          <w:color w:val="2D2B2D"/>
        </w:rPr>
        <w:t>other proceeding</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color w:val="2D2B2D"/>
        </w:rPr>
        <w:t>if such filing</w:t>
      </w:r>
      <w:r>
        <w:rPr>
          <w:rFonts w:ascii="Times New Roman" w:cs="Times New Roman" w:eastAsia="Times New Roman" w:hAnsi="Times New Roman"/>
          <w:sz w:val="18"/>
          <w:szCs w:val="18"/>
          <w:color w:val="1C1C1C"/>
        </w:rPr>
        <w:t xml:space="preserve"> is </w:t>
      </w:r>
      <w:r>
        <w:rPr>
          <w:rFonts w:ascii="Times New Roman" w:cs="Times New Roman" w:eastAsia="Times New Roman" w:hAnsi="Times New Roman"/>
          <w:sz w:val="18"/>
          <w:szCs w:val="18"/>
          <w:color w:val="2D2B2D"/>
        </w:rPr>
        <w:t>made under seal. Additionally</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color w:val="2D2B2D"/>
        </w:rPr>
        <w:t>an</w:t>
      </w:r>
      <w:r>
        <w:rPr>
          <w:rFonts w:ascii="Times New Roman" w:cs="Times New Roman" w:eastAsia="Times New Roman" w:hAnsi="Times New Roman"/>
          <w:sz w:val="18"/>
          <w:szCs w:val="18"/>
          <w:color w:val="1C1C1C"/>
        </w:rPr>
        <w:t xml:space="preserve"> individual </w:t>
      </w:r>
      <w:r>
        <w:rPr>
          <w:rFonts w:ascii="Times New Roman" w:cs="Times New Roman" w:eastAsia="Times New Roman" w:hAnsi="Times New Roman"/>
          <w:sz w:val="18"/>
          <w:szCs w:val="18"/>
          <w:color w:val="2D2B2D"/>
        </w:rPr>
        <w:t>suing an employer for retaliation based on the</w:t>
      </w:r>
      <w:r>
        <w:rPr>
          <w:rFonts w:ascii="Times New Roman" w:cs="Times New Roman" w:eastAsia="Times New Roman" w:hAnsi="Times New Roman"/>
          <w:sz w:val="18"/>
          <w:szCs w:val="18"/>
          <w:color w:val="1C1C1C"/>
        </w:rPr>
        <w:t xml:space="preserve"> reporting </w:t>
      </w:r>
      <w:r>
        <w:rPr>
          <w:rFonts w:ascii="Times New Roman" w:cs="Times New Roman" w:eastAsia="Times New Roman" w:hAnsi="Times New Roman"/>
          <w:sz w:val="18"/>
          <w:szCs w:val="18"/>
          <w:color w:val="2D2B2D"/>
        </w:rPr>
        <w:t>of a</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color w:val="2D2B2D"/>
        </w:rPr>
        <w:t xml:space="preserve">suspected violation of </w:t>
      </w:r>
      <w:r>
        <w:rPr>
          <w:rFonts w:ascii="Times New Roman" w:cs="Times New Roman" w:eastAsia="Times New Roman" w:hAnsi="Times New Roman"/>
          <w:sz w:val="18"/>
          <w:szCs w:val="18"/>
          <w:color w:val="1C1C1C"/>
        </w:rPr>
        <w:t>law</w:t>
      </w:r>
      <w:r>
        <w:rPr>
          <w:rFonts w:ascii="Times New Roman" w:cs="Times New Roman" w:eastAsia="Times New Roman" w:hAnsi="Times New Roman"/>
          <w:sz w:val="18"/>
          <w:szCs w:val="18"/>
          <w:color w:val="2D2B2D"/>
        </w:rPr>
        <w:t xml:space="preserve"> may </w:t>
      </w:r>
      <w:r>
        <w:rPr>
          <w:rFonts w:ascii="Times New Roman" w:cs="Times New Roman" w:eastAsia="Times New Roman" w:hAnsi="Times New Roman"/>
          <w:sz w:val="18"/>
          <w:szCs w:val="18"/>
          <w:color w:val="1C1C1C"/>
        </w:rPr>
        <w:t>disclose</w:t>
      </w:r>
      <w:r>
        <w:rPr>
          <w:rFonts w:ascii="Times New Roman" w:cs="Times New Roman" w:eastAsia="Times New Roman" w:hAnsi="Times New Roman"/>
          <w:sz w:val="18"/>
          <w:szCs w:val="18"/>
          <w:color w:val="2D2B2D"/>
        </w:rPr>
        <w:t xml:space="preserve"> a </w:t>
      </w:r>
      <w:r>
        <w:rPr>
          <w:rFonts w:ascii="Times New Roman" w:cs="Times New Roman" w:eastAsia="Times New Roman" w:hAnsi="Times New Roman"/>
          <w:sz w:val="18"/>
          <w:szCs w:val="18"/>
          <w:color w:val="1C1C1C"/>
        </w:rPr>
        <w:t>trade</w:t>
      </w:r>
      <w:r>
        <w:rPr>
          <w:rFonts w:ascii="Times New Roman" w:cs="Times New Roman" w:eastAsia="Times New Roman" w:hAnsi="Times New Roman"/>
          <w:sz w:val="18"/>
          <w:szCs w:val="18"/>
          <w:color w:val="2D2B2D"/>
        </w:rPr>
        <w:t xml:space="preserve"> secret to </w:t>
      </w:r>
      <w:r>
        <w:rPr>
          <w:rFonts w:ascii="Times New Roman" w:cs="Times New Roman" w:eastAsia="Times New Roman" w:hAnsi="Times New Roman"/>
          <w:sz w:val="18"/>
          <w:szCs w:val="18"/>
          <w:color w:val="1C1C1C"/>
        </w:rPr>
        <w:t>his</w:t>
      </w:r>
      <w:r>
        <w:rPr>
          <w:rFonts w:ascii="Times New Roman" w:cs="Times New Roman" w:eastAsia="Times New Roman" w:hAnsi="Times New Roman"/>
          <w:sz w:val="18"/>
          <w:szCs w:val="18"/>
          <w:color w:val="2D2B2D"/>
        </w:rPr>
        <w:t xml:space="preserve"> or </w:t>
      </w:r>
      <w:r>
        <w:rPr>
          <w:rFonts w:ascii="Times New Roman" w:cs="Times New Roman" w:eastAsia="Times New Roman" w:hAnsi="Times New Roman"/>
          <w:sz w:val="18"/>
          <w:szCs w:val="18"/>
          <w:color w:val="1C1C1C"/>
        </w:rPr>
        <w:t>her</w:t>
      </w:r>
      <w:r>
        <w:rPr>
          <w:rFonts w:ascii="Times New Roman" w:cs="Times New Roman" w:eastAsia="Times New Roman" w:hAnsi="Times New Roman"/>
          <w:sz w:val="18"/>
          <w:szCs w:val="18"/>
          <w:color w:val="2D2B2D"/>
        </w:rPr>
        <w:t xml:space="preserve"> attorney and </w:t>
      </w:r>
      <w:r>
        <w:rPr>
          <w:rFonts w:ascii="Times New Roman" w:cs="Times New Roman" w:eastAsia="Times New Roman" w:hAnsi="Times New Roman"/>
          <w:sz w:val="18"/>
          <w:szCs w:val="18"/>
          <w:color w:val="1C1C1C"/>
        </w:rPr>
        <w:t>use</w:t>
      </w:r>
      <w:r>
        <w:rPr>
          <w:rFonts w:ascii="Times New Roman" w:cs="Times New Roman" w:eastAsia="Times New Roman" w:hAnsi="Times New Roman"/>
          <w:sz w:val="18"/>
          <w:szCs w:val="18"/>
          <w:color w:val="2D2B2D"/>
        </w:rPr>
        <w:t xml:space="preserve"> the trade secret information in the court proceeding</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 so long as any document containing the trade secret </w:t>
      </w:r>
      <w:r>
        <w:rPr>
          <w:rFonts w:ascii="Times New Roman" w:cs="Times New Roman" w:eastAsia="Times New Roman" w:hAnsi="Times New Roman"/>
          <w:sz w:val="18"/>
          <w:szCs w:val="18"/>
          <w:color w:val="1C1C1C"/>
        </w:rPr>
        <w:t>i</w:t>
      </w:r>
      <w:r>
        <w:rPr>
          <w:rFonts w:ascii="Times New Roman" w:cs="Times New Roman" w:eastAsia="Times New Roman" w:hAnsi="Times New Roman"/>
          <w:sz w:val="18"/>
          <w:szCs w:val="18"/>
          <w:color w:val="414142"/>
        </w:rPr>
        <w:t>s</w:t>
      </w:r>
      <w:r>
        <w:rPr>
          <w:rFonts w:ascii="Times New Roman" w:cs="Times New Roman" w:eastAsia="Times New Roman" w:hAnsi="Times New Roman"/>
          <w:sz w:val="18"/>
          <w:szCs w:val="18"/>
          <w:color w:val="2D2B2D"/>
        </w:rPr>
        <w:t xml:space="preserve"> filed under seal and the individual does not disclose the trade secret except pursuant to court order.</w:t>
      </w:r>
    </w:p>
    <w:p>
      <w:pPr>
        <w:spacing w:after="0" w:line="147" w:lineRule="exact"/>
        <w:rPr>
          <w:sz w:val="20"/>
          <w:szCs w:val="20"/>
          <w:color w:val="auto"/>
        </w:rPr>
      </w:pPr>
    </w:p>
    <w:p>
      <w:pPr>
        <w:jc w:val="both"/>
        <w:ind w:left="40" w:right="160" w:firstLine="779"/>
        <w:spacing w:after="0" w:line="253" w:lineRule="auto"/>
        <w:rPr>
          <w:sz w:val="20"/>
          <w:szCs w:val="20"/>
          <w:color w:val="auto"/>
        </w:rPr>
      </w:pPr>
      <w:r>
        <w:rPr>
          <w:rFonts w:ascii="Times New Roman" w:cs="Times New Roman" w:eastAsia="Times New Roman" w:hAnsi="Times New Roman"/>
          <w:sz w:val="18"/>
          <w:szCs w:val="18"/>
          <w:b w:val="1"/>
          <w:bCs w:val="1"/>
          <w:color w:val="525052"/>
        </w:rPr>
        <w:t>1.3 "</w:t>
      </w:r>
      <w:r>
        <w:rPr>
          <w:rFonts w:ascii="Times New Roman" w:cs="Times New Roman" w:eastAsia="Times New Roman" w:hAnsi="Times New Roman"/>
          <w:sz w:val="18"/>
          <w:szCs w:val="18"/>
          <w:b w:val="1"/>
          <w:bCs w:val="1"/>
          <w:color w:val="2D2B2D"/>
        </w:rPr>
        <w:t>Confidential Information</w:t>
      </w:r>
      <w:r>
        <w:rPr>
          <w:rFonts w:ascii="Times New Roman" w:cs="Times New Roman" w:eastAsia="Times New Roman" w:hAnsi="Times New Roman"/>
          <w:sz w:val="18"/>
          <w:szCs w:val="18"/>
          <w:b w:val="1"/>
          <w:bCs w:val="1"/>
          <w:color w:val="626264"/>
        </w:rPr>
        <w:t>"</w:t>
      </w:r>
      <w:r>
        <w:rPr>
          <w:rFonts w:ascii="Times New Roman" w:cs="Times New Roman" w:eastAsia="Times New Roman" w:hAnsi="Times New Roman"/>
          <w:sz w:val="18"/>
          <w:szCs w:val="18"/>
          <w:b w:val="1"/>
          <w:bCs w:val="1"/>
          <w:color w:val="525052"/>
        </w:rPr>
        <w:t xml:space="preserve"> </w:t>
      </w:r>
      <w:r>
        <w:rPr>
          <w:rFonts w:ascii="Times New Roman" w:cs="Times New Roman" w:eastAsia="Times New Roman" w:hAnsi="Times New Roman"/>
          <w:sz w:val="18"/>
          <w:szCs w:val="18"/>
          <w:color w:val="414142"/>
        </w:rPr>
        <w:t>s</w:t>
      </w:r>
      <w:r>
        <w:rPr>
          <w:rFonts w:ascii="Times New Roman" w:cs="Times New Roman" w:eastAsia="Times New Roman" w:hAnsi="Times New Roman"/>
          <w:sz w:val="18"/>
          <w:szCs w:val="18"/>
          <w:color w:val="1C1C1C"/>
        </w:rPr>
        <w:t>hall</w:t>
      </w:r>
      <w:r>
        <w:rPr>
          <w:rFonts w:ascii="Times New Roman" w:cs="Times New Roman" w:eastAsia="Times New Roman" w:hAnsi="Times New Roman"/>
          <w:sz w:val="18"/>
          <w:szCs w:val="18"/>
          <w:b w:val="1"/>
          <w:bCs w:val="1"/>
          <w:color w:val="525052"/>
        </w:rPr>
        <w:t xml:space="preserve"> </w:t>
      </w:r>
      <w:r>
        <w:rPr>
          <w:rFonts w:ascii="Times New Roman" w:cs="Times New Roman" w:eastAsia="Times New Roman" w:hAnsi="Times New Roman"/>
          <w:sz w:val="18"/>
          <w:szCs w:val="18"/>
          <w:color w:val="2D2B2D"/>
        </w:rPr>
        <w:t>include,</w:t>
      </w:r>
      <w:r>
        <w:rPr>
          <w:rFonts w:ascii="Times New Roman" w:cs="Times New Roman" w:eastAsia="Times New Roman" w:hAnsi="Times New Roman"/>
          <w:sz w:val="18"/>
          <w:szCs w:val="18"/>
          <w:b w:val="1"/>
          <w:bCs w:val="1"/>
          <w:color w:val="525052"/>
        </w:rPr>
        <w:t xml:space="preserve"> </w:t>
      </w:r>
      <w:r>
        <w:rPr>
          <w:rFonts w:ascii="Times New Roman" w:cs="Times New Roman" w:eastAsia="Times New Roman" w:hAnsi="Times New Roman"/>
          <w:sz w:val="18"/>
          <w:szCs w:val="18"/>
          <w:color w:val="1C1C1C"/>
        </w:rPr>
        <w:t>but</w:t>
      </w:r>
      <w:r>
        <w:rPr>
          <w:rFonts w:ascii="Times New Roman" w:cs="Times New Roman" w:eastAsia="Times New Roman" w:hAnsi="Times New Roman"/>
          <w:sz w:val="18"/>
          <w:szCs w:val="18"/>
          <w:b w:val="1"/>
          <w:bCs w:val="1"/>
          <w:color w:val="525052"/>
        </w:rPr>
        <w:t xml:space="preserve"> </w:t>
      </w:r>
      <w:r>
        <w:rPr>
          <w:rFonts w:ascii="Times New Roman" w:cs="Times New Roman" w:eastAsia="Times New Roman" w:hAnsi="Times New Roman"/>
          <w:sz w:val="18"/>
          <w:szCs w:val="18"/>
          <w:color w:val="2D2B2D"/>
        </w:rPr>
        <w:t>is</w:t>
      </w:r>
      <w:r>
        <w:rPr>
          <w:rFonts w:ascii="Times New Roman" w:cs="Times New Roman" w:eastAsia="Times New Roman" w:hAnsi="Times New Roman"/>
          <w:sz w:val="18"/>
          <w:szCs w:val="18"/>
          <w:b w:val="1"/>
          <w:bCs w:val="1"/>
          <w:color w:val="525052"/>
        </w:rPr>
        <w:t xml:space="preserve"> </w:t>
      </w:r>
      <w:r>
        <w:rPr>
          <w:rFonts w:ascii="Times New Roman" w:cs="Times New Roman" w:eastAsia="Times New Roman" w:hAnsi="Times New Roman"/>
          <w:sz w:val="18"/>
          <w:szCs w:val="18"/>
          <w:color w:val="1C1C1C"/>
        </w:rPr>
        <w:t>not</w:t>
      </w:r>
      <w:r>
        <w:rPr>
          <w:rFonts w:ascii="Times New Roman" w:cs="Times New Roman" w:eastAsia="Times New Roman" w:hAnsi="Times New Roman"/>
          <w:sz w:val="18"/>
          <w:szCs w:val="18"/>
          <w:b w:val="1"/>
          <w:bCs w:val="1"/>
          <w:color w:val="525052"/>
        </w:rPr>
        <w:t xml:space="preserve"> </w:t>
      </w:r>
      <w:r>
        <w:rPr>
          <w:rFonts w:ascii="Times New Roman" w:cs="Times New Roman" w:eastAsia="Times New Roman" w:hAnsi="Times New Roman"/>
          <w:sz w:val="18"/>
          <w:szCs w:val="18"/>
          <w:color w:val="2D2B2D"/>
        </w:rPr>
        <w:t>limited to,</w:t>
      </w:r>
      <w:r>
        <w:rPr>
          <w:rFonts w:ascii="Times New Roman" w:cs="Times New Roman" w:eastAsia="Times New Roman" w:hAnsi="Times New Roman"/>
          <w:sz w:val="18"/>
          <w:szCs w:val="18"/>
          <w:b w:val="1"/>
          <w:bCs w:val="1"/>
          <w:color w:val="525052"/>
        </w:rPr>
        <w:t xml:space="preserve"> </w:t>
      </w:r>
      <w:r>
        <w:rPr>
          <w:rFonts w:ascii="Times New Roman" w:cs="Times New Roman" w:eastAsia="Times New Roman" w:hAnsi="Times New Roman"/>
          <w:sz w:val="18"/>
          <w:szCs w:val="18"/>
          <w:color w:val="1C1C1C"/>
        </w:rPr>
        <w:t>non-public:</w:t>
      </w:r>
      <w:r>
        <w:rPr>
          <w:rFonts w:ascii="Times New Roman" w:cs="Times New Roman" w:eastAsia="Times New Roman" w:hAnsi="Times New Roman"/>
          <w:sz w:val="18"/>
          <w:szCs w:val="18"/>
          <w:b w:val="1"/>
          <w:bCs w:val="1"/>
          <w:color w:val="525052"/>
        </w:rPr>
        <w:t xml:space="preserve"> </w:t>
      </w:r>
      <w:r>
        <w:rPr>
          <w:rFonts w:ascii="Times New Roman" w:cs="Times New Roman" w:eastAsia="Times New Roman" w:hAnsi="Times New Roman"/>
          <w:sz w:val="18"/>
          <w:szCs w:val="18"/>
          <w:color w:val="2D2B2D"/>
        </w:rPr>
        <w:t>(a) valuable</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b w:val="1"/>
          <w:bCs w:val="1"/>
          <w:color w:val="525052"/>
        </w:rPr>
        <w:t xml:space="preserve"> </w:t>
      </w:r>
      <w:r>
        <w:rPr>
          <w:rFonts w:ascii="Times New Roman" w:cs="Times New Roman" w:eastAsia="Times New Roman" w:hAnsi="Times New Roman"/>
          <w:sz w:val="18"/>
          <w:szCs w:val="18"/>
          <w:color w:val="2D2B2D"/>
        </w:rPr>
        <w:t>competitively</w:t>
      </w:r>
      <w:r>
        <w:rPr>
          <w:rFonts w:ascii="Times New Roman" w:cs="Times New Roman" w:eastAsia="Times New Roman" w:hAnsi="Times New Roman"/>
          <w:sz w:val="18"/>
          <w:szCs w:val="18"/>
          <w:b w:val="1"/>
          <w:bCs w:val="1"/>
          <w:color w:val="525052"/>
        </w:rPr>
        <w:t xml:space="preserve"> </w:t>
      </w:r>
      <w:r>
        <w:rPr>
          <w:rFonts w:ascii="Times New Roman" w:cs="Times New Roman" w:eastAsia="Times New Roman" w:hAnsi="Times New Roman"/>
          <w:sz w:val="18"/>
          <w:szCs w:val="18"/>
          <w:color w:val="414142"/>
        </w:rPr>
        <w:t>sens</w:t>
      </w:r>
      <w:r>
        <w:rPr>
          <w:rFonts w:ascii="Times New Roman" w:cs="Times New Roman" w:eastAsia="Times New Roman" w:hAnsi="Times New Roman"/>
          <w:sz w:val="18"/>
          <w:szCs w:val="18"/>
          <w:color w:val="1C1C1C"/>
        </w:rPr>
        <w:t>itive</w:t>
      </w:r>
      <w:r>
        <w:rPr>
          <w:rFonts w:ascii="Times New Roman" w:cs="Times New Roman" w:eastAsia="Times New Roman" w:hAnsi="Times New Roman"/>
          <w:sz w:val="18"/>
          <w:szCs w:val="18"/>
          <w:b w:val="1"/>
          <w:bCs w:val="1"/>
          <w:color w:val="525052"/>
        </w:rPr>
        <w:t xml:space="preserve"> </w:t>
      </w:r>
      <w:r>
        <w:rPr>
          <w:rFonts w:ascii="Times New Roman" w:cs="Times New Roman" w:eastAsia="Times New Roman" w:hAnsi="Times New Roman"/>
          <w:sz w:val="18"/>
          <w:szCs w:val="18"/>
          <w:color w:val="2D2B2D"/>
        </w:rPr>
        <w:t>data</w:t>
      </w:r>
      <w:r>
        <w:rPr>
          <w:rFonts w:ascii="Times New Roman" w:cs="Times New Roman" w:eastAsia="Times New Roman" w:hAnsi="Times New Roman"/>
          <w:sz w:val="18"/>
          <w:szCs w:val="18"/>
          <w:b w:val="1"/>
          <w:bCs w:val="1"/>
          <w:color w:val="525052"/>
        </w:rPr>
        <w:t xml:space="preserve"> </w:t>
      </w:r>
      <w:r>
        <w:rPr>
          <w:rFonts w:ascii="Times New Roman" w:cs="Times New Roman" w:eastAsia="Times New Roman" w:hAnsi="Times New Roman"/>
          <w:sz w:val="18"/>
          <w:szCs w:val="18"/>
          <w:color w:val="414142"/>
        </w:rPr>
        <w:t>and</w:t>
      </w:r>
      <w:r>
        <w:rPr>
          <w:rFonts w:ascii="Times New Roman" w:cs="Times New Roman" w:eastAsia="Times New Roman" w:hAnsi="Times New Roman"/>
          <w:sz w:val="18"/>
          <w:szCs w:val="18"/>
          <w:b w:val="1"/>
          <w:bCs w:val="1"/>
          <w:color w:val="525052"/>
        </w:rPr>
        <w:t xml:space="preserve"> </w:t>
      </w:r>
      <w:r>
        <w:rPr>
          <w:rFonts w:ascii="Times New Roman" w:cs="Times New Roman" w:eastAsia="Times New Roman" w:hAnsi="Times New Roman"/>
          <w:sz w:val="18"/>
          <w:szCs w:val="18"/>
          <w:color w:val="2D2B2D"/>
        </w:rPr>
        <w:t>information related to the business of the Company including</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 without limitation</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 Trade Secrets (as defined below) that are not generally known by or readily available to the competitors of the Company other than as a result of an improper disclosure directly or </w:t>
      </w:r>
      <w:r>
        <w:rPr>
          <w:rFonts w:ascii="Times New Roman" w:cs="Times New Roman" w:eastAsia="Times New Roman" w:hAnsi="Times New Roman"/>
          <w:sz w:val="18"/>
          <w:szCs w:val="18"/>
          <w:color w:val="1C1C1C"/>
        </w:rPr>
        <w:t>indirectly</w:t>
      </w:r>
      <w:r>
        <w:rPr>
          <w:rFonts w:ascii="Times New Roman" w:cs="Times New Roman" w:eastAsia="Times New Roman" w:hAnsi="Times New Roman"/>
          <w:sz w:val="18"/>
          <w:szCs w:val="18"/>
          <w:color w:val="2D2B2D"/>
        </w:rPr>
        <w:t xml:space="preserve"> by you; (b) any financial</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 engineering</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 business</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 planning, research</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 operations</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 services</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 products</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 technical information and/or know-how</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 standard operating procedures</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 genetics</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 genetic material</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 organization charts</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 business plans</w:t>
      </w:r>
      <w:r>
        <w:rPr>
          <w:rFonts w:ascii="Times New Roman" w:cs="Times New Roman" w:eastAsia="Times New Roman" w:hAnsi="Times New Roman"/>
          <w:sz w:val="18"/>
          <w:szCs w:val="18"/>
          <w:color w:val="626264"/>
        </w:rPr>
        <w:t>,</w:t>
      </w:r>
      <w:r>
        <w:rPr>
          <w:rFonts w:ascii="Times New Roman" w:cs="Times New Roman" w:eastAsia="Times New Roman" w:hAnsi="Times New Roman"/>
          <w:sz w:val="18"/>
          <w:szCs w:val="18"/>
          <w:color w:val="2D2B2D"/>
        </w:rPr>
        <w:t xml:space="preserve"> prototypes</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 formulas</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 production</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 marketing</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 pricing, sales</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 profit</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 personnel</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 customer</w:t>
      </w:r>
      <w:r>
        <w:rPr>
          <w:rFonts w:ascii="Times New Roman" w:cs="Times New Roman" w:eastAsia="Times New Roman" w:hAnsi="Times New Roman"/>
          <w:sz w:val="18"/>
          <w:szCs w:val="18"/>
          <w:color w:val="626264"/>
        </w:rPr>
        <w:t>,</w:t>
      </w:r>
      <w:r>
        <w:rPr>
          <w:rFonts w:ascii="Times New Roman" w:cs="Times New Roman" w:eastAsia="Times New Roman" w:hAnsi="Times New Roman"/>
          <w:sz w:val="18"/>
          <w:szCs w:val="18"/>
          <w:color w:val="2D2B2D"/>
        </w:rPr>
        <w:t xml:space="preserve"> prospective customer</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 supplier</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 or other information of the Company</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 (c) any papers</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 data</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 records, processes</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 techniques, systems</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 models</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 samples</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 devices</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 equipment</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 customer </w:t>
      </w:r>
      <w:r>
        <w:rPr>
          <w:rFonts w:ascii="Times New Roman" w:cs="Times New Roman" w:eastAsia="Times New Roman" w:hAnsi="Times New Roman"/>
          <w:sz w:val="18"/>
          <w:szCs w:val="18"/>
          <w:color w:val="1C1C1C"/>
        </w:rPr>
        <w:t>lists</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 or </w:t>
      </w:r>
      <w:r>
        <w:rPr>
          <w:rFonts w:ascii="Times New Roman" w:cs="Times New Roman" w:eastAsia="Times New Roman" w:hAnsi="Times New Roman"/>
          <w:sz w:val="18"/>
          <w:szCs w:val="18"/>
          <w:color w:val="1C1C1C"/>
        </w:rPr>
        <w:t>documents</w:t>
      </w:r>
      <w:r>
        <w:rPr>
          <w:rFonts w:ascii="Times New Roman" w:cs="Times New Roman" w:eastAsia="Times New Roman" w:hAnsi="Times New Roman"/>
          <w:sz w:val="18"/>
          <w:szCs w:val="18"/>
          <w:color w:val="2D2B2D"/>
        </w:rPr>
        <w:t xml:space="preserve"> of the Company; (d) any confidential </w:t>
      </w:r>
      <w:r>
        <w:rPr>
          <w:rFonts w:ascii="Times New Roman" w:cs="Times New Roman" w:eastAsia="Times New Roman" w:hAnsi="Times New Roman"/>
          <w:sz w:val="18"/>
          <w:szCs w:val="18"/>
          <w:color w:val="1C1C1C"/>
        </w:rPr>
        <w:t>information</w:t>
      </w:r>
      <w:r>
        <w:rPr>
          <w:rFonts w:ascii="Times New Roman" w:cs="Times New Roman" w:eastAsia="Times New Roman" w:hAnsi="Times New Roman"/>
          <w:sz w:val="18"/>
          <w:szCs w:val="18"/>
          <w:color w:val="2D2B2D"/>
        </w:rPr>
        <w:t xml:space="preserve"> or trade secrets of any third party provided to the Company </w:t>
      </w:r>
      <w:r>
        <w:rPr>
          <w:rFonts w:ascii="Times New Roman" w:cs="Times New Roman" w:eastAsia="Times New Roman" w:hAnsi="Times New Roman"/>
          <w:sz w:val="18"/>
          <w:szCs w:val="18"/>
          <w:color w:val="1C1C1C"/>
        </w:rPr>
        <w:t>in</w:t>
      </w:r>
      <w:r>
        <w:rPr>
          <w:rFonts w:ascii="Times New Roman" w:cs="Times New Roman" w:eastAsia="Times New Roman" w:hAnsi="Times New Roman"/>
          <w:sz w:val="18"/>
          <w:szCs w:val="18"/>
          <w:color w:val="2D2B2D"/>
        </w:rPr>
        <w:t xml:space="preserve"> confidence or subject to other </w:t>
      </w:r>
      <w:r>
        <w:rPr>
          <w:rFonts w:ascii="Times New Roman" w:cs="Times New Roman" w:eastAsia="Times New Roman" w:hAnsi="Times New Roman"/>
          <w:sz w:val="18"/>
          <w:szCs w:val="18"/>
          <w:color w:val="1C1C1C"/>
        </w:rPr>
        <w:t>use</w:t>
      </w:r>
      <w:r>
        <w:rPr>
          <w:rFonts w:ascii="Times New Roman" w:cs="Times New Roman" w:eastAsia="Times New Roman" w:hAnsi="Times New Roman"/>
          <w:sz w:val="18"/>
          <w:szCs w:val="18"/>
          <w:color w:val="2D2B2D"/>
        </w:rPr>
        <w:t xml:space="preserve"> or disclosure </w:t>
      </w:r>
      <w:r>
        <w:rPr>
          <w:rFonts w:ascii="Times New Roman" w:cs="Times New Roman" w:eastAsia="Times New Roman" w:hAnsi="Times New Roman"/>
          <w:sz w:val="18"/>
          <w:szCs w:val="18"/>
          <w:color w:val="1C1C1C"/>
        </w:rPr>
        <w:t>restrictions</w:t>
      </w:r>
      <w:r>
        <w:rPr>
          <w:rFonts w:ascii="Times New Roman" w:cs="Times New Roman" w:eastAsia="Times New Roman" w:hAnsi="Times New Roman"/>
          <w:sz w:val="18"/>
          <w:szCs w:val="18"/>
          <w:color w:val="2D2B2D"/>
        </w:rPr>
        <w:t xml:space="preserve"> or </w:t>
      </w:r>
      <w:r>
        <w:rPr>
          <w:rFonts w:ascii="Times New Roman" w:cs="Times New Roman" w:eastAsia="Times New Roman" w:hAnsi="Times New Roman"/>
          <w:sz w:val="18"/>
          <w:szCs w:val="18"/>
          <w:color w:val="1C1C1C"/>
        </w:rPr>
        <w:t>limitations, including</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 </w:t>
      </w:r>
      <w:r>
        <w:rPr>
          <w:rFonts w:ascii="Times New Roman" w:cs="Times New Roman" w:eastAsia="Times New Roman" w:hAnsi="Times New Roman"/>
          <w:sz w:val="18"/>
          <w:szCs w:val="18"/>
          <w:color w:val="1C1C1C"/>
        </w:rPr>
        <w:t>but not limited to the</w:t>
      </w:r>
      <w:r>
        <w:rPr>
          <w:rFonts w:ascii="Times New Roman" w:cs="Times New Roman" w:eastAsia="Times New Roman" w:hAnsi="Times New Roman"/>
          <w:sz w:val="18"/>
          <w:szCs w:val="18"/>
          <w:color w:val="2D2B2D"/>
        </w:rPr>
        <w:t xml:space="preserve"> Company's </w:t>
      </w:r>
      <w:r>
        <w:rPr>
          <w:rFonts w:ascii="Times New Roman" w:cs="Times New Roman" w:eastAsia="Times New Roman" w:hAnsi="Times New Roman"/>
          <w:sz w:val="18"/>
          <w:szCs w:val="18"/>
          <w:color w:val="1C1C1C"/>
        </w:rPr>
        <w:t>investors that</w:t>
      </w:r>
      <w:r>
        <w:rPr>
          <w:rFonts w:ascii="Times New Roman" w:cs="Times New Roman" w:eastAsia="Times New Roman" w:hAnsi="Times New Roman"/>
          <w:sz w:val="18"/>
          <w:szCs w:val="18"/>
          <w:color w:val="2D2B2D"/>
        </w:rPr>
        <w:t xml:space="preserve"> includes</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 but </w:t>
      </w:r>
      <w:r>
        <w:rPr>
          <w:rFonts w:ascii="Times New Roman" w:cs="Times New Roman" w:eastAsia="Times New Roman" w:hAnsi="Times New Roman"/>
          <w:sz w:val="18"/>
          <w:szCs w:val="18"/>
          <w:color w:val="1C1C1C"/>
        </w:rPr>
        <w:t>is not limited</w:t>
      </w:r>
      <w:r>
        <w:rPr>
          <w:rFonts w:ascii="Times New Roman" w:cs="Times New Roman" w:eastAsia="Times New Roman" w:hAnsi="Times New Roman"/>
          <w:sz w:val="18"/>
          <w:szCs w:val="18"/>
          <w:color w:val="2D2B2D"/>
        </w:rPr>
        <w:t xml:space="preserve"> to, </w:t>
      </w:r>
      <w:r>
        <w:rPr>
          <w:rFonts w:ascii="Times New Roman" w:cs="Times New Roman" w:eastAsia="Times New Roman" w:hAnsi="Times New Roman"/>
          <w:sz w:val="18"/>
          <w:szCs w:val="18"/>
          <w:color w:val="1C1C1C"/>
        </w:rPr>
        <w:t>investor information</w:t>
      </w:r>
      <w:r>
        <w:rPr>
          <w:rFonts w:ascii="Times New Roman" w:cs="Times New Roman" w:eastAsia="Times New Roman" w:hAnsi="Times New Roman"/>
          <w:sz w:val="18"/>
          <w:szCs w:val="18"/>
          <w:color w:val="2D2B2D"/>
        </w:rPr>
        <w:t xml:space="preserve"> and work </w:t>
      </w:r>
      <w:r>
        <w:rPr>
          <w:rFonts w:ascii="Times New Roman" w:cs="Times New Roman" w:eastAsia="Times New Roman" w:hAnsi="Times New Roman"/>
          <w:sz w:val="18"/>
          <w:szCs w:val="18"/>
          <w:color w:val="1C1C1C"/>
        </w:rPr>
        <w:t>product</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 and (e) any other </w:t>
      </w:r>
      <w:r>
        <w:rPr>
          <w:rFonts w:ascii="Times New Roman" w:cs="Times New Roman" w:eastAsia="Times New Roman" w:hAnsi="Times New Roman"/>
          <w:sz w:val="18"/>
          <w:szCs w:val="18"/>
          <w:color w:val="1C1C1C"/>
        </w:rPr>
        <w:t>information</w:t>
      </w:r>
      <w:r>
        <w:rPr>
          <w:rFonts w:ascii="Times New Roman" w:cs="Times New Roman" w:eastAsia="Times New Roman" w:hAnsi="Times New Roman"/>
          <w:sz w:val="18"/>
          <w:szCs w:val="18"/>
          <w:color w:val="414142"/>
        </w:rPr>
        <w:t>,</w:t>
      </w:r>
      <w:r>
        <w:rPr>
          <w:rFonts w:ascii="Times New Roman" w:cs="Times New Roman" w:eastAsia="Times New Roman" w:hAnsi="Times New Roman"/>
          <w:sz w:val="18"/>
          <w:szCs w:val="18"/>
          <w:color w:val="2D2B2D"/>
        </w:rPr>
        <w:t xml:space="preserve"> written, oral or electronic</w:t>
      </w:r>
      <w:r>
        <w:rPr>
          <w:rFonts w:ascii="Times New Roman" w:cs="Times New Roman" w:eastAsia="Times New Roman" w:hAnsi="Times New Roman"/>
          <w:sz w:val="18"/>
          <w:szCs w:val="18"/>
          <w:color w:val="626264"/>
        </w:rPr>
        <w:t>,</w:t>
      </w:r>
      <w:r>
        <w:rPr>
          <w:rFonts w:ascii="Times New Roman" w:cs="Times New Roman" w:eastAsia="Times New Roman" w:hAnsi="Times New Roman"/>
          <w:sz w:val="18"/>
          <w:szCs w:val="18"/>
          <w:color w:val="2D2B2D"/>
        </w:rPr>
        <w:t xml:space="preserve"> whether existing </w:t>
      </w:r>
      <w:r>
        <w:rPr>
          <w:rFonts w:ascii="Times New Roman" w:cs="Times New Roman" w:eastAsia="Times New Roman" w:hAnsi="Times New Roman"/>
          <w:sz w:val="18"/>
          <w:szCs w:val="18"/>
          <w:color w:val="1C1C1C"/>
        </w:rPr>
        <w:t>now</w:t>
      </w:r>
      <w:r>
        <w:rPr>
          <w:rFonts w:ascii="Times New Roman" w:cs="Times New Roman" w:eastAsia="Times New Roman" w:hAnsi="Times New Roman"/>
          <w:sz w:val="18"/>
          <w:szCs w:val="18"/>
          <w:color w:val="2D2B2D"/>
        </w:rPr>
        <w:t xml:space="preserve"> or at some time in the future, which pertains to the Company's </w:t>
      </w:r>
      <w:r>
        <w:rPr>
          <w:rFonts w:ascii="Times New Roman" w:cs="Times New Roman" w:eastAsia="Times New Roman" w:hAnsi="Times New Roman"/>
          <w:sz w:val="18"/>
          <w:szCs w:val="18"/>
          <w:color w:val="1C1C1C"/>
        </w:rPr>
        <w:t>business.</w:t>
      </w:r>
      <w:r>
        <w:rPr>
          <w:rFonts w:ascii="Times New Roman" w:cs="Times New Roman" w:eastAsia="Times New Roman" w:hAnsi="Times New Roman"/>
          <w:sz w:val="18"/>
          <w:szCs w:val="18"/>
          <w:color w:val="2D2B2D"/>
        </w:rPr>
        <w:t xml:space="preserve"> As </w:t>
      </w:r>
      <w:r>
        <w:rPr>
          <w:rFonts w:ascii="Times New Roman" w:cs="Times New Roman" w:eastAsia="Times New Roman" w:hAnsi="Times New Roman"/>
          <w:sz w:val="18"/>
          <w:szCs w:val="18"/>
          <w:color w:val="1C1C1C"/>
        </w:rPr>
        <w:t>used</w:t>
      </w:r>
      <w:r>
        <w:rPr>
          <w:rFonts w:ascii="Times New Roman" w:cs="Times New Roman" w:eastAsia="Times New Roman" w:hAnsi="Times New Roman"/>
          <w:sz w:val="18"/>
          <w:szCs w:val="18"/>
          <w:color w:val="2D2B2D"/>
        </w:rPr>
        <w:t xml:space="preserve"> in this Agreement, the term </w:t>
      </w:r>
      <w:r>
        <w:rPr>
          <w:rFonts w:ascii="Times New Roman" w:cs="Times New Roman" w:eastAsia="Times New Roman" w:hAnsi="Times New Roman"/>
          <w:sz w:val="18"/>
          <w:szCs w:val="18"/>
          <w:b w:val="1"/>
          <w:bCs w:val="1"/>
          <w:color w:val="525052"/>
        </w:rPr>
        <w:t>"</w:t>
      </w:r>
      <w:r>
        <w:rPr>
          <w:rFonts w:ascii="Times New Roman" w:cs="Times New Roman" w:eastAsia="Times New Roman" w:hAnsi="Times New Roman"/>
          <w:sz w:val="18"/>
          <w:szCs w:val="18"/>
          <w:b w:val="1"/>
          <w:bCs w:val="1"/>
          <w:color w:val="2D2B2D"/>
        </w:rPr>
        <w:t>Trade Secrets</w:t>
      </w:r>
      <w:r>
        <w:rPr>
          <w:rFonts w:ascii="Times New Roman" w:cs="Times New Roman" w:eastAsia="Times New Roman" w:hAnsi="Times New Roman"/>
          <w:sz w:val="18"/>
          <w:szCs w:val="18"/>
          <w:b w:val="1"/>
          <w:bCs w:val="1"/>
          <w:color w:val="525052"/>
        </w:rPr>
        <w:t>"</w:t>
      </w:r>
      <w:r>
        <w:rPr>
          <w:rFonts w:ascii="Times New Roman" w:cs="Times New Roman" w:eastAsia="Times New Roman" w:hAnsi="Times New Roman"/>
          <w:sz w:val="18"/>
          <w:szCs w:val="18"/>
          <w:color w:val="2D2B2D"/>
        </w:rPr>
        <w:t xml:space="preserve"> shall mean </w:t>
      </w:r>
      <w:r>
        <w:rPr>
          <w:rFonts w:ascii="Times New Roman" w:cs="Times New Roman" w:eastAsia="Times New Roman" w:hAnsi="Times New Roman"/>
          <w:sz w:val="18"/>
          <w:szCs w:val="18"/>
          <w:color w:val="1C1C1C"/>
        </w:rPr>
        <w:t>information</w:t>
      </w:r>
      <w:r>
        <w:rPr>
          <w:rFonts w:ascii="Times New Roman" w:cs="Times New Roman" w:eastAsia="Times New Roman" w:hAnsi="Times New Roman"/>
          <w:sz w:val="18"/>
          <w:szCs w:val="18"/>
          <w:color w:val="2D2B2D"/>
        </w:rPr>
        <w:t xml:space="preserve"> or data of the Company, including, but not </w:t>
      </w:r>
      <w:r>
        <w:rPr>
          <w:rFonts w:ascii="Times New Roman" w:cs="Times New Roman" w:eastAsia="Times New Roman" w:hAnsi="Times New Roman"/>
          <w:sz w:val="18"/>
          <w:szCs w:val="18"/>
          <w:color w:val="1C1C1C"/>
        </w:rPr>
        <w:t>limited to</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 </w:t>
      </w:r>
      <w:r>
        <w:rPr>
          <w:rFonts w:ascii="Times New Roman" w:cs="Times New Roman" w:eastAsia="Times New Roman" w:hAnsi="Times New Roman"/>
          <w:sz w:val="18"/>
          <w:szCs w:val="18"/>
          <w:color w:val="1C1C1C"/>
        </w:rPr>
        <w:t>technical</w:t>
      </w:r>
      <w:r>
        <w:rPr>
          <w:rFonts w:ascii="Times New Roman" w:cs="Times New Roman" w:eastAsia="Times New Roman" w:hAnsi="Times New Roman"/>
          <w:sz w:val="18"/>
          <w:szCs w:val="18"/>
          <w:color w:val="2D2B2D"/>
        </w:rPr>
        <w:t xml:space="preserve"> or non-technical </w:t>
      </w:r>
      <w:r>
        <w:rPr>
          <w:rFonts w:ascii="Times New Roman" w:cs="Times New Roman" w:eastAsia="Times New Roman" w:hAnsi="Times New Roman"/>
          <w:sz w:val="18"/>
          <w:szCs w:val="18"/>
          <w:color w:val="1C1C1C"/>
        </w:rPr>
        <w:t>data</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 financial </w:t>
      </w:r>
      <w:r>
        <w:rPr>
          <w:rFonts w:ascii="Times New Roman" w:cs="Times New Roman" w:eastAsia="Times New Roman" w:hAnsi="Times New Roman"/>
          <w:sz w:val="18"/>
          <w:szCs w:val="18"/>
          <w:color w:val="1C1C1C"/>
        </w:rPr>
        <w:t>information</w:t>
      </w:r>
      <w:r>
        <w:rPr>
          <w:rFonts w:ascii="Times New Roman" w:cs="Times New Roman" w:eastAsia="Times New Roman" w:hAnsi="Times New Roman"/>
          <w:sz w:val="18"/>
          <w:szCs w:val="18"/>
          <w:color w:val="414142"/>
        </w:rPr>
        <w:t>,</w:t>
      </w:r>
      <w:r>
        <w:rPr>
          <w:rFonts w:ascii="Times New Roman" w:cs="Times New Roman" w:eastAsia="Times New Roman" w:hAnsi="Times New Roman"/>
          <w:sz w:val="18"/>
          <w:szCs w:val="18"/>
          <w:color w:val="2D2B2D"/>
        </w:rPr>
        <w:t xml:space="preserve"> programs, </w:t>
      </w:r>
      <w:r>
        <w:rPr>
          <w:rFonts w:ascii="Times New Roman" w:cs="Times New Roman" w:eastAsia="Times New Roman" w:hAnsi="Times New Roman"/>
          <w:sz w:val="18"/>
          <w:szCs w:val="18"/>
          <w:color w:val="1C1C1C"/>
        </w:rPr>
        <w:t>devices</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 methods</w:t>
      </w:r>
      <w:r>
        <w:rPr>
          <w:rFonts w:ascii="Times New Roman" w:cs="Times New Roman" w:eastAsia="Times New Roman" w:hAnsi="Times New Roman"/>
          <w:sz w:val="18"/>
          <w:szCs w:val="18"/>
          <w:color w:val="626264"/>
        </w:rPr>
        <w:t>,</w:t>
      </w:r>
      <w:r>
        <w:rPr>
          <w:rFonts w:ascii="Times New Roman" w:cs="Times New Roman" w:eastAsia="Times New Roman" w:hAnsi="Times New Roman"/>
          <w:sz w:val="18"/>
          <w:szCs w:val="18"/>
          <w:color w:val="2D2B2D"/>
        </w:rPr>
        <w:t xml:space="preserve"> techniques</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2D2B2D"/>
        </w:rPr>
        <w:t xml:space="preserve"> </w:t>
      </w:r>
      <w:r>
        <w:rPr>
          <w:rFonts w:ascii="Times New Roman" w:cs="Times New Roman" w:eastAsia="Times New Roman" w:hAnsi="Times New Roman"/>
          <w:sz w:val="18"/>
          <w:szCs w:val="18"/>
          <w:color w:val="1C1C1C"/>
        </w:rPr>
        <w:t>drawings</w:t>
      </w:r>
      <w:r>
        <w:rPr>
          <w:rFonts w:ascii="Times New Roman" w:cs="Times New Roman" w:eastAsia="Times New Roman" w:hAnsi="Times New Roman"/>
          <w:sz w:val="18"/>
          <w:szCs w:val="18"/>
          <w:color w:val="414142"/>
        </w:rPr>
        <w:t>,</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color w:val="2D2B2D"/>
        </w:rPr>
        <w:t>processes</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color w:val="2D2B2D"/>
        </w:rPr>
        <w:t>financial plans</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color w:val="2D2B2D"/>
        </w:rPr>
        <w:t>product plans</w:t>
      </w:r>
      <w:r>
        <w:rPr>
          <w:rFonts w:ascii="Times New Roman" w:cs="Times New Roman" w:eastAsia="Times New Roman" w:hAnsi="Times New Roman"/>
          <w:sz w:val="18"/>
          <w:szCs w:val="18"/>
          <w:color w:val="525052"/>
        </w:rPr>
        <w:t>,</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color w:val="2D2B2D"/>
        </w:rPr>
        <w:t>or</w:t>
      </w:r>
      <w:r>
        <w:rPr>
          <w:rFonts w:ascii="Times New Roman" w:cs="Times New Roman" w:eastAsia="Times New Roman" w:hAnsi="Times New Roman"/>
          <w:sz w:val="18"/>
          <w:szCs w:val="18"/>
          <w:color w:val="1C1C1C"/>
        </w:rPr>
        <w:t xml:space="preserve"> list</w:t>
      </w:r>
      <w:r>
        <w:rPr>
          <w:rFonts w:ascii="Times New Roman" w:cs="Times New Roman" w:eastAsia="Times New Roman" w:hAnsi="Times New Roman"/>
          <w:sz w:val="18"/>
          <w:szCs w:val="18"/>
          <w:color w:val="414142"/>
        </w:rPr>
        <w:t>s</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color w:val="2D2B2D"/>
        </w:rPr>
        <w:t>of actual or potential</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color w:val="2F2F31"/>
        </w:rPr>
        <w:t>customers or suppliers</w:t>
      </w:r>
      <w:r>
        <w:rPr>
          <w:rFonts w:ascii="Times New Roman" w:cs="Times New Roman" w:eastAsia="Times New Roman" w:hAnsi="Times New Roman"/>
          <w:sz w:val="18"/>
          <w:szCs w:val="18"/>
          <w:color w:val="525254"/>
        </w:rPr>
        <w:t>,</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color w:val="1D1D1F"/>
        </w:rPr>
        <w:t>that:</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color w:val="2F2F31"/>
        </w:rPr>
        <w:t>(A)</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color w:val="1D1D1F"/>
        </w:rPr>
        <w:t>derive</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color w:val="2F2F31"/>
        </w:rPr>
        <w:t>economic value</w:t>
      </w:r>
      <w:r>
        <w:rPr>
          <w:rFonts w:ascii="Times New Roman" w:cs="Times New Roman" w:eastAsia="Times New Roman" w:hAnsi="Times New Roman"/>
          <w:sz w:val="18"/>
          <w:szCs w:val="18"/>
          <w:color w:val="525254"/>
        </w:rPr>
        <w:t>,</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color w:val="2F2F31"/>
        </w:rPr>
        <w:t>actual or</w:t>
      </w:r>
      <w:r>
        <w:rPr>
          <w:rFonts w:ascii="Times New Roman" w:cs="Times New Roman" w:eastAsia="Times New Roman" w:hAnsi="Times New Roman"/>
          <w:sz w:val="18"/>
          <w:szCs w:val="18"/>
          <w:color w:val="1C1C1C"/>
        </w:rPr>
        <w:t xml:space="preserve"> </w:t>
      </w:r>
      <w:r>
        <w:rPr>
          <w:rFonts w:ascii="Times New Roman" w:cs="Times New Roman" w:eastAsia="Times New Roman" w:hAnsi="Times New Roman"/>
          <w:sz w:val="18"/>
          <w:szCs w:val="18"/>
          <w:color w:val="1D1D1F"/>
        </w:rPr>
        <w:t>potential</w:t>
      </w:r>
      <w:r>
        <w:rPr>
          <w:rFonts w:ascii="Times New Roman" w:cs="Times New Roman" w:eastAsia="Times New Roman" w:hAnsi="Times New Roman"/>
          <w:sz w:val="18"/>
          <w:szCs w:val="18"/>
          <w:color w:val="525254"/>
        </w:rPr>
        <w:t>,</w:t>
      </w:r>
      <w:r>
        <w:rPr>
          <w:rFonts w:ascii="Times New Roman" w:cs="Times New Roman" w:eastAsia="Times New Roman" w:hAnsi="Times New Roman"/>
          <w:sz w:val="18"/>
          <w:szCs w:val="18"/>
          <w:color w:val="1D1D1F"/>
        </w:rPr>
        <w:t xml:space="preserve"> </w:t>
      </w:r>
      <w:r>
        <w:rPr>
          <w:rFonts w:ascii="Times New Roman" w:cs="Times New Roman" w:eastAsia="Times New Roman" w:hAnsi="Times New Roman"/>
          <w:sz w:val="18"/>
          <w:szCs w:val="18"/>
          <w:color w:val="2F2F31"/>
        </w:rPr>
        <w:t>from</w:t>
      </w:r>
      <w:r>
        <w:rPr>
          <w:rFonts w:ascii="Times New Roman" w:cs="Times New Roman" w:eastAsia="Times New Roman" w:hAnsi="Times New Roman"/>
          <w:sz w:val="18"/>
          <w:szCs w:val="18"/>
          <w:color w:val="1D1D1F"/>
        </w:rPr>
        <w:t xml:space="preserve"> not being </w:t>
      </w:r>
      <w:r>
        <w:rPr>
          <w:rFonts w:ascii="Times New Roman" w:cs="Times New Roman" w:eastAsia="Times New Roman" w:hAnsi="Times New Roman"/>
          <w:sz w:val="18"/>
          <w:szCs w:val="18"/>
          <w:color w:val="2F2F31"/>
        </w:rPr>
        <w:t>generally known to</w:t>
      </w:r>
      <w:r>
        <w:rPr>
          <w:rFonts w:ascii="Times New Roman" w:cs="Times New Roman" w:eastAsia="Times New Roman" w:hAnsi="Times New Roman"/>
          <w:sz w:val="18"/>
          <w:szCs w:val="18"/>
          <w:color w:val="525254"/>
        </w:rPr>
        <w:t>,</w:t>
      </w:r>
      <w:r>
        <w:rPr>
          <w:rFonts w:ascii="Times New Roman" w:cs="Times New Roman" w:eastAsia="Times New Roman" w:hAnsi="Times New Roman"/>
          <w:sz w:val="18"/>
          <w:szCs w:val="18"/>
          <w:color w:val="1D1D1F"/>
        </w:rPr>
        <w:t xml:space="preserve"> </w:t>
      </w:r>
      <w:r>
        <w:rPr>
          <w:rFonts w:ascii="Times New Roman" w:cs="Times New Roman" w:eastAsia="Times New Roman" w:hAnsi="Times New Roman"/>
          <w:sz w:val="18"/>
          <w:szCs w:val="18"/>
          <w:color w:val="2F2F31"/>
        </w:rPr>
        <w:t>and not</w:t>
      </w:r>
      <w:r>
        <w:rPr>
          <w:rFonts w:ascii="Times New Roman" w:cs="Times New Roman" w:eastAsia="Times New Roman" w:hAnsi="Times New Roman"/>
          <w:sz w:val="18"/>
          <w:szCs w:val="18"/>
          <w:color w:val="1D1D1F"/>
        </w:rPr>
        <w:t xml:space="preserve"> being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62628"/>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76200</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509" w:right="339" w:bottom="1440" w:gutter="0" w:footer="0" w:header="0"/>
        </w:sectPr>
      </w:pPr>
    </w:p>
    <w:bookmarkStart w:id="177" w:name="page178"/>
    <w:bookmarkEnd w:id="177"/>
    <w:p>
      <w:pPr>
        <w:jc w:val="both"/>
        <w:ind w:left="40" w:right="20"/>
        <w:spacing w:after="0" w:line="254" w:lineRule="auto"/>
        <w:rPr>
          <w:sz w:val="20"/>
          <w:szCs w:val="20"/>
          <w:color w:val="auto"/>
        </w:rPr>
      </w:pPr>
      <w:r>
        <w:rPr>
          <w:rFonts w:ascii="Times New Roman" w:cs="Times New Roman" w:eastAsia="Times New Roman" w:hAnsi="Times New Roman"/>
          <w:sz w:val="18"/>
          <w:szCs w:val="18"/>
          <w:color w:val="1D1D1F"/>
        </w:rPr>
        <w:t xml:space="preserve">readily </w:t>
      </w:r>
      <w:r>
        <w:rPr>
          <w:rFonts w:ascii="Times New Roman" w:cs="Times New Roman" w:eastAsia="Times New Roman" w:hAnsi="Times New Roman"/>
          <w:sz w:val="18"/>
          <w:szCs w:val="18"/>
          <w:color w:val="2F2F31"/>
        </w:rPr>
        <w:t>ascertainable by proper means by, other persons who can obtain economic value from their</w:t>
      </w:r>
      <w:r>
        <w:rPr>
          <w:rFonts w:ascii="Times New Roman" w:cs="Times New Roman" w:eastAsia="Times New Roman" w:hAnsi="Times New Roman"/>
          <w:sz w:val="18"/>
          <w:szCs w:val="18"/>
          <w:color w:val="1D1D1F"/>
        </w:rPr>
        <w:t xml:space="preserve"> disclosure </w:t>
      </w:r>
      <w:r>
        <w:rPr>
          <w:rFonts w:ascii="Times New Roman" w:cs="Times New Roman" w:eastAsia="Times New Roman" w:hAnsi="Times New Roman"/>
          <w:sz w:val="18"/>
          <w:szCs w:val="18"/>
          <w:color w:val="2F2F31"/>
        </w:rPr>
        <w:t>or</w:t>
      </w:r>
      <w:r>
        <w:rPr>
          <w:rFonts w:ascii="Times New Roman" w:cs="Times New Roman" w:eastAsia="Times New Roman" w:hAnsi="Times New Roman"/>
          <w:sz w:val="18"/>
          <w:szCs w:val="18"/>
          <w:color w:val="1D1D1F"/>
        </w:rPr>
        <w:t xml:space="preserve"> use; </w:t>
      </w:r>
      <w:r>
        <w:rPr>
          <w:rFonts w:ascii="Times New Roman" w:cs="Times New Roman" w:eastAsia="Times New Roman" w:hAnsi="Times New Roman"/>
          <w:sz w:val="18"/>
          <w:szCs w:val="18"/>
          <w:color w:val="2F2F31"/>
        </w:rPr>
        <w:t>and (8) are the subject of efforts</w:t>
      </w:r>
      <w:r>
        <w:rPr>
          <w:rFonts w:ascii="Times New Roman" w:cs="Times New Roman" w:eastAsia="Times New Roman" w:hAnsi="Times New Roman"/>
          <w:sz w:val="18"/>
          <w:szCs w:val="18"/>
          <w:color w:val="1D1D1F"/>
        </w:rPr>
        <w:t xml:space="preserve"> that </w:t>
      </w:r>
      <w:r>
        <w:rPr>
          <w:rFonts w:ascii="Times New Roman" w:cs="Times New Roman" w:eastAsia="Times New Roman" w:hAnsi="Times New Roman"/>
          <w:sz w:val="18"/>
          <w:szCs w:val="18"/>
          <w:color w:val="2F2F31"/>
        </w:rPr>
        <w:t>are</w:t>
      </w:r>
      <w:r>
        <w:rPr>
          <w:rFonts w:ascii="Times New Roman" w:cs="Times New Roman" w:eastAsia="Times New Roman" w:hAnsi="Times New Roman"/>
          <w:sz w:val="18"/>
          <w:szCs w:val="18"/>
          <w:color w:val="1D1D1F"/>
        </w:rPr>
        <w:t xml:space="preserve"> reasonable under the </w:t>
      </w:r>
      <w:r>
        <w:rPr>
          <w:rFonts w:ascii="Times New Roman" w:cs="Times New Roman" w:eastAsia="Times New Roman" w:hAnsi="Times New Roman"/>
          <w:sz w:val="18"/>
          <w:szCs w:val="18"/>
          <w:color w:val="2F2F31"/>
        </w:rPr>
        <w:t>circumstances</w:t>
      </w:r>
      <w:r>
        <w:rPr>
          <w:rFonts w:ascii="Times New Roman" w:cs="Times New Roman" w:eastAsia="Times New Roman" w:hAnsi="Times New Roman"/>
          <w:sz w:val="18"/>
          <w:szCs w:val="18"/>
          <w:color w:val="1D1D1F"/>
        </w:rPr>
        <w:t xml:space="preserve"> to maintain </w:t>
      </w:r>
      <w:r>
        <w:rPr>
          <w:rFonts w:ascii="Times New Roman" w:cs="Times New Roman" w:eastAsia="Times New Roman" w:hAnsi="Times New Roman"/>
          <w:sz w:val="18"/>
          <w:szCs w:val="18"/>
          <w:color w:val="2F2F31"/>
        </w:rPr>
        <w:t>their secrecy. Confidential</w:t>
      </w:r>
      <w:r>
        <w:rPr>
          <w:rFonts w:ascii="Times New Roman" w:cs="Times New Roman" w:eastAsia="Times New Roman" w:hAnsi="Times New Roman"/>
          <w:sz w:val="18"/>
          <w:szCs w:val="18"/>
          <w:color w:val="1D1D1F"/>
        </w:rPr>
        <w:t xml:space="preserve"> Information </w:t>
      </w:r>
      <w:r>
        <w:rPr>
          <w:rFonts w:ascii="Times New Roman" w:cs="Times New Roman" w:eastAsia="Times New Roman" w:hAnsi="Times New Roman"/>
          <w:sz w:val="18"/>
          <w:szCs w:val="18"/>
          <w:color w:val="2F2F31"/>
        </w:rPr>
        <w:t>does</w:t>
      </w:r>
      <w:r>
        <w:rPr>
          <w:rFonts w:ascii="Times New Roman" w:cs="Times New Roman" w:eastAsia="Times New Roman" w:hAnsi="Times New Roman"/>
          <w:sz w:val="18"/>
          <w:szCs w:val="18"/>
          <w:color w:val="1D1D1F"/>
        </w:rPr>
        <w:t xml:space="preserve"> not </w:t>
      </w:r>
      <w:r>
        <w:rPr>
          <w:rFonts w:ascii="Times New Roman" w:cs="Times New Roman" w:eastAsia="Times New Roman" w:hAnsi="Times New Roman"/>
          <w:sz w:val="18"/>
          <w:szCs w:val="18"/>
          <w:color w:val="2F2F31"/>
        </w:rPr>
        <w:t>include: (a)</w:t>
      </w:r>
      <w:r>
        <w:rPr>
          <w:rFonts w:ascii="Times New Roman" w:cs="Times New Roman" w:eastAsia="Times New Roman" w:hAnsi="Times New Roman"/>
          <w:sz w:val="18"/>
          <w:szCs w:val="18"/>
          <w:color w:val="1D1D1F"/>
        </w:rPr>
        <w:t xml:space="preserve"> information </w:t>
      </w:r>
      <w:r>
        <w:rPr>
          <w:rFonts w:ascii="Times New Roman" w:cs="Times New Roman" w:eastAsia="Times New Roman" w:hAnsi="Times New Roman"/>
          <w:sz w:val="18"/>
          <w:szCs w:val="18"/>
          <w:color w:val="2F2F31"/>
        </w:rPr>
        <w:t>properly</w:t>
      </w:r>
      <w:r>
        <w:rPr>
          <w:rFonts w:ascii="Times New Roman" w:cs="Times New Roman" w:eastAsia="Times New Roman" w:hAnsi="Times New Roman"/>
          <w:sz w:val="18"/>
          <w:szCs w:val="18"/>
          <w:color w:val="1D1D1F"/>
        </w:rPr>
        <w:t xml:space="preserve"> in </w:t>
      </w:r>
      <w:r>
        <w:rPr>
          <w:rFonts w:ascii="Times New Roman" w:cs="Times New Roman" w:eastAsia="Times New Roman" w:hAnsi="Times New Roman"/>
          <w:sz w:val="18"/>
          <w:szCs w:val="18"/>
          <w:color w:val="2F2F31"/>
        </w:rPr>
        <w:t>the public</w:t>
      </w:r>
      <w:r>
        <w:rPr>
          <w:rFonts w:ascii="Times New Roman" w:cs="Times New Roman" w:eastAsia="Times New Roman" w:hAnsi="Times New Roman"/>
          <w:sz w:val="18"/>
          <w:szCs w:val="18"/>
          <w:color w:val="1D1D1F"/>
        </w:rPr>
        <w:t xml:space="preserve"> </w:t>
      </w:r>
      <w:r>
        <w:rPr>
          <w:rFonts w:ascii="Times New Roman" w:cs="Times New Roman" w:eastAsia="Times New Roman" w:hAnsi="Times New Roman"/>
          <w:sz w:val="18"/>
          <w:szCs w:val="18"/>
          <w:color w:val="2F2F31"/>
        </w:rPr>
        <w:t>domain</w:t>
      </w:r>
      <w:r>
        <w:rPr>
          <w:rFonts w:ascii="Times New Roman" w:cs="Times New Roman" w:eastAsia="Times New Roman" w:hAnsi="Times New Roman"/>
          <w:sz w:val="18"/>
          <w:szCs w:val="18"/>
          <w:color w:val="525254"/>
        </w:rPr>
        <w:t>,</w:t>
      </w:r>
      <w:r>
        <w:rPr>
          <w:rFonts w:ascii="Times New Roman" w:cs="Times New Roman" w:eastAsia="Times New Roman" w:hAnsi="Times New Roman"/>
          <w:sz w:val="18"/>
          <w:szCs w:val="18"/>
          <w:color w:val="2F2F31"/>
        </w:rPr>
        <w:t xml:space="preserve"> or (b) </w:t>
      </w:r>
      <w:r>
        <w:rPr>
          <w:rFonts w:ascii="Times New Roman" w:cs="Times New Roman" w:eastAsia="Times New Roman" w:hAnsi="Times New Roman"/>
          <w:sz w:val="18"/>
          <w:szCs w:val="18"/>
          <w:color w:val="1D1D1F"/>
        </w:rPr>
        <w:t>information</w:t>
      </w:r>
      <w:r>
        <w:rPr>
          <w:rFonts w:ascii="Times New Roman" w:cs="Times New Roman" w:eastAsia="Times New Roman" w:hAnsi="Times New Roman"/>
          <w:sz w:val="18"/>
          <w:szCs w:val="18"/>
          <w:color w:val="2F2F31"/>
        </w:rPr>
        <w:t xml:space="preserve"> which you can demonstrate was </w:t>
      </w:r>
      <w:r>
        <w:rPr>
          <w:rFonts w:ascii="Times New Roman" w:cs="Times New Roman" w:eastAsia="Times New Roman" w:hAnsi="Times New Roman"/>
          <w:sz w:val="18"/>
          <w:szCs w:val="18"/>
          <w:color w:val="1D1D1F"/>
        </w:rPr>
        <w:t>in</w:t>
      </w:r>
      <w:r>
        <w:rPr>
          <w:rFonts w:ascii="Times New Roman" w:cs="Times New Roman" w:eastAsia="Times New Roman" w:hAnsi="Times New Roman"/>
          <w:sz w:val="18"/>
          <w:szCs w:val="18"/>
          <w:color w:val="2F2F31"/>
        </w:rPr>
        <w:t xml:space="preserve"> your possession prior to </w:t>
      </w:r>
      <w:r>
        <w:rPr>
          <w:rFonts w:ascii="Times New Roman" w:cs="Times New Roman" w:eastAsia="Times New Roman" w:hAnsi="Times New Roman"/>
          <w:sz w:val="18"/>
          <w:szCs w:val="18"/>
          <w:color w:val="1D1D1F"/>
        </w:rPr>
        <w:t>the date</w:t>
      </w:r>
      <w:r>
        <w:rPr>
          <w:rFonts w:ascii="Times New Roman" w:cs="Times New Roman" w:eastAsia="Times New Roman" w:hAnsi="Times New Roman"/>
          <w:sz w:val="18"/>
          <w:szCs w:val="18"/>
          <w:color w:val="2F2F31"/>
        </w:rPr>
        <w:t xml:space="preserve"> of your original employment with </w:t>
      </w:r>
      <w:r>
        <w:rPr>
          <w:rFonts w:ascii="Times New Roman" w:cs="Times New Roman" w:eastAsia="Times New Roman" w:hAnsi="Times New Roman"/>
          <w:sz w:val="18"/>
          <w:szCs w:val="18"/>
          <w:color w:val="1D1D1F"/>
        </w:rPr>
        <w:t>the</w:t>
      </w:r>
      <w:r>
        <w:rPr>
          <w:rFonts w:ascii="Times New Roman" w:cs="Times New Roman" w:eastAsia="Times New Roman" w:hAnsi="Times New Roman"/>
          <w:sz w:val="18"/>
          <w:szCs w:val="18"/>
          <w:color w:val="2F2F31"/>
        </w:rPr>
        <w:t xml:space="preserve"> Company</w:t>
      </w:r>
      <w:r>
        <w:rPr>
          <w:rFonts w:ascii="Times New Roman" w:cs="Times New Roman" w:eastAsia="Times New Roman" w:hAnsi="Times New Roman"/>
          <w:sz w:val="18"/>
          <w:szCs w:val="18"/>
          <w:color w:val="525254"/>
        </w:rPr>
        <w:t>,</w:t>
      </w:r>
      <w:r>
        <w:rPr>
          <w:rFonts w:ascii="Times New Roman" w:cs="Times New Roman" w:eastAsia="Times New Roman" w:hAnsi="Times New Roman"/>
          <w:sz w:val="18"/>
          <w:szCs w:val="18"/>
          <w:color w:val="2F2F31"/>
        </w:rPr>
        <w:t xml:space="preserve"> except </w:t>
      </w:r>
      <w:r>
        <w:rPr>
          <w:rFonts w:ascii="Times New Roman" w:cs="Times New Roman" w:eastAsia="Times New Roman" w:hAnsi="Times New Roman"/>
          <w:sz w:val="18"/>
          <w:szCs w:val="18"/>
          <w:color w:val="1D1D1F"/>
        </w:rPr>
        <w:t xml:space="preserve">to </w:t>
      </w:r>
      <w:r>
        <w:rPr>
          <w:rFonts w:ascii="Times New Roman" w:cs="Times New Roman" w:eastAsia="Times New Roman" w:hAnsi="Times New Roman"/>
          <w:sz w:val="18"/>
          <w:szCs w:val="18"/>
          <w:color w:val="2F2F31"/>
        </w:rPr>
        <w:t>the extent</w:t>
      </w:r>
      <w:r>
        <w:rPr>
          <w:rFonts w:ascii="Times New Roman" w:cs="Times New Roman" w:eastAsia="Times New Roman" w:hAnsi="Times New Roman"/>
          <w:sz w:val="18"/>
          <w:szCs w:val="18"/>
          <w:color w:val="1D1D1F"/>
        </w:rPr>
        <w:t xml:space="preserve"> that </w:t>
      </w:r>
      <w:r>
        <w:rPr>
          <w:rFonts w:ascii="Times New Roman" w:cs="Times New Roman" w:eastAsia="Times New Roman" w:hAnsi="Times New Roman"/>
          <w:sz w:val="18"/>
          <w:szCs w:val="18"/>
          <w:color w:val="2F2F31"/>
        </w:rPr>
        <w:t>such</w:t>
      </w:r>
      <w:r>
        <w:rPr>
          <w:rFonts w:ascii="Times New Roman" w:cs="Times New Roman" w:eastAsia="Times New Roman" w:hAnsi="Times New Roman"/>
          <w:sz w:val="18"/>
          <w:szCs w:val="18"/>
          <w:color w:val="1D1D1F"/>
        </w:rPr>
        <w:t xml:space="preserve"> information is </w:t>
      </w:r>
      <w:r>
        <w:rPr>
          <w:rFonts w:ascii="Times New Roman" w:cs="Times New Roman" w:eastAsia="Times New Roman" w:hAnsi="Times New Roman"/>
          <w:sz w:val="18"/>
          <w:szCs w:val="18"/>
          <w:color w:val="2F2F31"/>
        </w:rPr>
        <w:t>or</w:t>
      </w:r>
      <w:r>
        <w:rPr>
          <w:rFonts w:ascii="Times New Roman" w:cs="Times New Roman" w:eastAsia="Times New Roman" w:hAnsi="Times New Roman"/>
          <w:sz w:val="18"/>
          <w:szCs w:val="18"/>
          <w:color w:val="1D1D1F"/>
        </w:rPr>
        <w:t xml:space="preserve"> has become </w:t>
      </w:r>
      <w:r>
        <w:rPr>
          <w:rFonts w:ascii="Times New Roman" w:cs="Times New Roman" w:eastAsia="Times New Roman" w:hAnsi="Times New Roman"/>
          <w:sz w:val="18"/>
          <w:szCs w:val="18"/>
          <w:color w:val="2F2F31"/>
        </w:rPr>
        <w:t>a trade secret of</w:t>
      </w:r>
      <w:r>
        <w:rPr>
          <w:rFonts w:ascii="Times New Roman" w:cs="Times New Roman" w:eastAsia="Times New Roman" w:hAnsi="Times New Roman"/>
          <w:sz w:val="18"/>
          <w:szCs w:val="18"/>
          <w:color w:val="1D1D1F"/>
        </w:rPr>
        <w:t xml:space="preserve"> the </w:t>
      </w:r>
      <w:r>
        <w:rPr>
          <w:rFonts w:ascii="Times New Roman" w:cs="Times New Roman" w:eastAsia="Times New Roman" w:hAnsi="Times New Roman"/>
          <w:sz w:val="18"/>
          <w:szCs w:val="18"/>
          <w:color w:val="2F2F31"/>
        </w:rPr>
        <w:t>Company or is or otherwise</w:t>
      </w:r>
      <w:r>
        <w:rPr>
          <w:rFonts w:ascii="Times New Roman" w:cs="Times New Roman" w:eastAsia="Times New Roman" w:hAnsi="Times New Roman"/>
          <w:sz w:val="18"/>
          <w:szCs w:val="18"/>
          <w:color w:val="1D1D1F"/>
        </w:rPr>
        <w:t xml:space="preserve"> has </w:t>
      </w:r>
      <w:r>
        <w:rPr>
          <w:rFonts w:ascii="Times New Roman" w:cs="Times New Roman" w:eastAsia="Times New Roman" w:hAnsi="Times New Roman"/>
          <w:sz w:val="18"/>
          <w:szCs w:val="18"/>
          <w:color w:val="2F2F31"/>
        </w:rPr>
        <w:t>become</w:t>
      </w:r>
      <w:r>
        <w:rPr>
          <w:rFonts w:ascii="Times New Roman" w:cs="Times New Roman" w:eastAsia="Times New Roman" w:hAnsi="Times New Roman"/>
          <w:sz w:val="18"/>
          <w:szCs w:val="18"/>
          <w:color w:val="1D1D1F"/>
        </w:rPr>
        <w:t xml:space="preserve"> the property </w:t>
      </w:r>
      <w:r>
        <w:rPr>
          <w:rFonts w:ascii="Times New Roman" w:cs="Times New Roman" w:eastAsia="Times New Roman" w:hAnsi="Times New Roman"/>
          <w:sz w:val="18"/>
          <w:szCs w:val="18"/>
          <w:color w:val="2F2F31"/>
        </w:rPr>
        <w:t>of</w:t>
      </w:r>
      <w:r>
        <w:rPr>
          <w:rFonts w:ascii="Times New Roman" w:cs="Times New Roman" w:eastAsia="Times New Roman" w:hAnsi="Times New Roman"/>
          <w:sz w:val="18"/>
          <w:szCs w:val="18"/>
          <w:color w:val="1D1D1F"/>
        </w:rPr>
        <w:t xml:space="preserve"> the </w:t>
      </w:r>
      <w:r>
        <w:rPr>
          <w:rFonts w:ascii="Times New Roman" w:cs="Times New Roman" w:eastAsia="Times New Roman" w:hAnsi="Times New Roman"/>
          <w:sz w:val="18"/>
          <w:szCs w:val="18"/>
          <w:color w:val="2F2F31"/>
        </w:rPr>
        <w:t>Company. You</w:t>
      </w:r>
      <w:r>
        <w:rPr>
          <w:rFonts w:ascii="Times New Roman" w:cs="Times New Roman" w:eastAsia="Times New Roman" w:hAnsi="Times New Roman"/>
          <w:sz w:val="18"/>
          <w:szCs w:val="18"/>
          <w:color w:val="1D1D1F"/>
        </w:rPr>
        <w:t xml:space="preserve"> understand </w:t>
      </w:r>
      <w:r>
        <w:rPr>
          <w:rFonts w:ascii="Times New Roman" w:cs="Times New Roman" w:eastAsia="Times New Roman" w:hAnsi="Times New Roman"/>
          <w:sz w:val="18"/>
          <w:szCs w:val="18"/>
          <w:color w:val="2F2F31"/>
        </w:rPr>
        <w:t>and acknowledge that each and every component of the Confidential</w:t>
      </w:r>
      <w:r>
        <w:rPr>
          <w:rFonts w:ascii="Times New Roman" w:cs="Times New Roman" w:eastAsia="Times New Roman" w:hAnsi="Times New Roman"/>
          <w:sz w:val="18"/>
          <w:szCs w:val="18"/>
          <w:color w:val="1D1D1F"/>
        </w:rPr>
        <w:t xml:space="preserve"> Information </w:t>
      </w:r>
      <w:r>
        <w:rPr>
          <w:rFonts w:ascii="Times New Roman" w:cs="Times New Roman" w:eastAsia="Times New Roman" w:hAnsi="Times New Roman"/>
          <w:sz w:val="18"/>
          <w:szCs w:val="18"/>
          <w:color w:val="2F2F31"/>
        </w:rPr>
        <w:t>(a)</w:t>
      </w:r>
      <w:r>
        <w:rPr>
          <w:rFonts w:ascii="Times New Roman" w:cs="Times New Roman" w:eastAsia="Times New Roman" w:hAnsi="Times New Roman"/>
          <w:sz w:val="18"/>
          <w:szCs w:val="18"/>
          <w:color w:val="1D1D1F"/>
        </w:rPr>
        <w:t xml:space="preserve"> has been developed by the </w:t>
      </w:r>
      <w:r>
        <w:rPr>
          <w:rFonts w:ascii="Times New Roman" w:cs="Times New Roman" w:eastAsia="Times New Roman" w:hAnsi="Times New Roman"/>
          <w:sz w:val="18"/>
          <w:szCs w:val="18"/>
          <w:color w:val="2F2F31"/>
        </w:rPr>
        <w:t>Company at significant</w:t>
      </w:r>
      <w:r>
        <w:rPr>
          <w:rFonts w:ascii="Times New Roman" w:cs="Times New Roman" w:eastAsia="Times New Roman" w:hAnsi="Times New Roman"/>
          <w:sz w:val="18"/>
          <w:szCs w:val="18"/>
          <w:color w:val="1D1D1F"/>
        </w:rPr>
        <w:t xml:space="preserve"> </w:t>
      </w:r>
      <w:r>
        <w:rPr>
          <w:rFonts w:ascii="Times New Roman" w:cs="Times New Roman" w:eastAsia="Times New Roman" w:hAnsi="Times New Roman"/>
          <w:sz w:val="18"/>
          <w:szCs w:val="18"/>
          <w:color w:val="2F2F31"/>
        </w:rPr>
        <w:t>effort and expense</w:t>
      </w:r>
      <w:r>
        <w:rPr>
          <w:rFonts w:ascii="Times New Roman" w:cs="Times New Roman" w:eastAsia="Times New Roman" w:hAnsi="Times New Roman"/>
          <w:sz w:val="18"/>
          <w:szCs w:val="18"/>
          <w:color w:val="525254"/>
        </w:rPr>
        <w:t>,</w:t>
      </w:r>
      <w:r>
        <w:rPr>
          <w:rFonts w:ascii="Times New Roman" w:cs="Times New Roman" w:eastAsia="Times New Roman" w:hAnsi="Times New Roman"/>
          <w:sz w:val="18"/>
          <w:szCs w:val="18"/>
          <w:color w:val="2F2F31"/>
        </w:rPr>
        <w:t xml:space="preserve"> and </w:t>
      </w:r>
      <w:r>
        <w:rPr>
          <w:rFonts w:ascii="Times New Roman" w:cs="Times New Roman" w:eastAsia="Times New Roman" w:hAnsi="Times New Roman"/>
          <w:sz w:val="18"/>
          <w:szCs w:val="18"/>
          <w:color w:val="1D1D1F"/>
        </w:rPr>
        <w:t>is</w:t>
      </w:r>
      <w:r>
        <w:rPr>
          <w:rFonts w:ascii="Times New Roman" w:cs="Times New Roman" w:eastAsia="Times New Roman" w:hAnsi="Times New Roman"/>
          <w:sz w:val="18"/>
          <w:szCs w:val="18"/>
          <w:color w:val="2F2F31"/>
        </w:rPr>
        <w:t xml:space="preserve"> sufficiently secret to derive economic value from </w:t>
      </w:r>
      <w:r>
        <w:rPr>
          <w:rFonts w:ascii="Times New Roman" w:cs="Times New Roman" w:eastAsia="Times New Roman" w:hAnsi="Times New Roman"/>
          <w:sz w:val="18"/>
          <w:szCs w:val="18"/>
          <w:color w:val="1D1D1F"/>
        </w:rPr>
        <w:t>not being</w:t>
      </w:r>
      <w:r>
        <w:rPr>
          <w:rFonts w:ascii="Times New Roman" w:cs="Times New Roman" w:eastAsia="Times New Roman" w:hAnsi="Times New Roman"/>
          <w:sz w:val="18"/>
          <w:szCs w:val="18"/>
          <w:color w:val="2F2F31"/>
        </w:rPr>
        <w:t xml:space="preserve"> generally known </w:t>
      </w:r>
      <w:r>
        <w:rPr>
          <w:rFonts w:ascii="Times New Roman" w:cs="Times New Roman" w:eastAsia="Times New Roman" w:hAnsi="Times New Roman"/>
          <w:sz w:val="18"/>
          <w:szCs w:val="18"/>
          <w:color w:val="1D1D1F"/>
        </w:rPr>
        <w:t>to</w:t>
      </w:r>
      <w:r>
        <w:rPr>
          <w:rFonts w:ascii="Times New Roman" w:cs="Times New Roman" w:eastAsia="Times New Roman" w:hAnsi="Times New Roman"/>
          <w:sz w:val="18"/>
          <w:szCs w:val="18"/>
          <w:color w:val="2F2F31"/>
        </w:rPr>
        <w:t xml:space="preserve"> other parties, and (b) constitutes a </w:t>
      </w:r>
      <w:r>
        <w:rPr>
          <w:rFonts w:ascii="Times New Roman" w:cs="Times New Roman" w:eastAsia="Times New Roman" w:hAnsi="Times New Roman"/>
          <w:sz w:val="18"/>
          <w:szCs w:val="18"/>
          <w:color w:val="1D1D1F"/>
        </w:rPr>
        <w:t>legitimate</w:t>
      </w:r>
      <w:r>
        <w:rPr>
          <w:rFonts w:ascii="Times New Roman" w:cs="Times New Roman" w:eastAsia="Times New Roman" w:hAnsi="Times New Roman"/>
          <w:sz w:val="18"/>
          <w:szCs w:val="18"/>
          <w:color w:val="2F2F31"/>
        </w:rPr>
        <w:t xml:space="preserve"> protectable business interest </w:t>
      </w:r>
      <w:r>
        <w:rPr>
          <w:rFonts w:ascii="Times New Roman" w:cs="Times New Roman" w:eastAsia="Times New Roman" w:hAnsi="Times New Roman"/>
          <w:sz w:val="18"/>
          <w:szCs w:val="18"/>
          <w:color w:val="1D1D1F"/>
        </w:rPr>
        <w:t>of the</w:t>
      </w:r>
      <w:r>
        <w:rPr>
          <w:rFonts w:ascii="Times New Roman" w:cs="Times New Roman" w:eastAsia="Times New Roman" w:hAnsi="Times New Roman"/>
          <w:sz w:val="18"/>
          <w:szCs w:val="18"/>
          <w:color w:val="2F2F31"/>
        </w:rPr>
        <w:t xml:space="preserve"> Company. You further agrees and acknowledges that </w:t>
      </w:r>
      <w:r>
        <w:rPr>
          <w:rFonts w:ascii="Times New Roman" w:cs="Times New Roman" w:eastAsia="Times New Roman" w:hAnsi="Times New Roman"/>
          <w:sz w:val="18"/>
          <w:szCs w:val="18"/>
          <w:color w:val="1D1D1F"/>
        </w:rPr>
        <w:t>the</w:t>
      </w:r>
      <w:r>
        <w:rPr>
          <w:rFonts w:ascii="Times New Roman" w:cs="Times New Roman" w:eastAsia="Times New Roman" w:hAnsi="Times New Roman"/>
          <w:sz w:val="18"/>
          <w:szCs w:val="18"/>
          <w:color w:val="2F2F31"/>
        </w:rPr>
        <w:t xml:space="preserve"> Company </w:t>
      </w:r>
      <w:r>
        <w:rPr>
          <w:rFonts w:ascii="Times New Roman" w:cs="Times New Roman" w:eastAsia="Times New Roman" w:hAnsi="Times New Roman"/>
          <w:sz w:val="18"/>
          <w:szCs w:val="18"/>
          <w:color w:val="1D1D1F"/>
        </w:rPr>
        <w:t>owns the</w:t>
      </w:r>
      <w:r>
        <w:rPr>
          <w:rFonts w:ascii="Times New Roman" w:cs="Times New Roman" w:eastAsia="Times New Roman" w:hAnsi="Times New Roman"/>
          <w:sz w:val="18"/>
          <w:szCs w:val="18"/>
          <w:color w:val="2F2F31"/>
        </w:rPr>
        <w:t xml:space="preserve"> Confidential </w:t>
      </w:r>
      <w:r>
        <w:rPr>
          <w:rFonts w:ascii="Times New Roman" w:cs="Times New Roman" w:eastAsia="Times New Roman" w:hAnsi="Times New Roman"/>
          <w:sz w:val="18"/>
          <w:szCs w:val="18"/>
          <w:color w:val="1D1D1F"/>
        </w:rPr>
        <w:t>Information.</w:t>
      </w:r>
      <w:r>
        <w:rPr>
          <w:rFonts w:ascii="Times New Roman" w:cs="Times New Roman" w:eastAsia="Times New Roman" w:hAnsi="Times New Roman"/>
          <w:sz w:val="18"/>
          <w:szCs w:val="18"/>
          <w:color w:val="2F2F31"/>
        </w:rPr>
        <w:t xml:space="preserve"> You agree not to </w:t>
      </w:r>
      <w:r>
        <w:rPr>
          <w:rFonts w:ascii="Times New Roman" w:cs="Times New Roman" w:eastAsia="Times New Roman" w:hAnsi="Times New Roman"/>
          <w:sz w:val="18"/>
          <w:szCs w:val="18"/>
          <w:color w:val="1D1D1F"/>
        </w:rPr>
        <w:t>dispute,</w:t>
      </w:r>
      <w:r>
        <w:rPr>
          <w:rFonts w:ascii="Times New Roman" w:cs="Times New Roman" w:eastAsia="Times New Roman" w:hAnsi="Times New Roman"/>
          <w:sz w:val="18"/>
          <w:szCs w:val="18"/>
          <w:color w:val="2F2F31"/>
        </w:rPr>
        <w:t xml:space="preserve"> contest, or </w:t>
      </w:r>
      <w:r>
        <w:rPr>
          <w:rFonts w:ascii="Times New Roman" w:cs="Times New Roman" w:eastAsia="Times New Roman" w:hAnsi="Times New Roman"/>
          <w:sz w:val="18"/>
          <w:szCs w:val="18"/>
          <w:color w:val="1D1D1F"/>
        </w:rPr>
        <w:t>deny</w:t>
      </w:r>
      <w:r>
        <w:rPr>
          <w:rFonts w:ascii="Times New Roman" w:cs="Times New Roman" w:eastAsia="Times New Roman" w:hAnsi="Times New Roman"/>
          <w:sz w:val="18"/>
          <w:szCs w:val="18"/>
          <w:color w:val="2F2F31"/>
        </w:rPr>
        <w:t xml:space="preserve"> any such ownership rights either </w:t>
      </w:r>
      <w:r>
        <w:rPr>
          <w:rFonts w:ascii="Times New Roman" w:cs="Times New Roman" w:eastAsia="Times New Roman" w:hAnsi="Times New Roman"/>
          <w:sz w:val="18"/>
          <w:szCs w:val="18"/>
          <w:color w:val="1D1D1F"/>
        </w:rPr>
        <w:t>during</w:t>
      </w:r>
      <w:r>
        <w:rPr>
          <w:rFonts w:ascii="Times New Roman" w:cs="Times New Roman" w:eastAsia="Times New Roman" w:hAnsi="Times New Roman"/>
          <w:sz w:val="18"/>
          <w:szCs w:val="18"/>
          <w:color w:val="2F2F31"/>
        </w:rPr>
        <w:t xml:space="preserve"> or after your separation from the Company for whatever reason.</w:t>
      </w:r>
    </w:p>
    <w:p>
      <w:pPr>
        <w:spacing w:after="0" w:line="165" w:lineRule="exact"/>
        <w:rPr>
          <w:sz w:val="20"/>
          <w:szCs w:val="20"/>
          <w:color w:val="auto"/>
        </w:rPr>
      </w:pPr>
    </w:p>
    <w:p>
      <w:pPr>
        <w:jc w:val="both"/>
        <w:ind w:left="100" w:right="20" w:firstLine="749"/>
        <w:spacing w:after="0" w:line="254" w:lineRule="auto"/>
        <w:rPr>
          <w:sz w:val="20"/>
          <w:szCs w:val="20"/>
          <w:color w:val="auto"/>
        </w:rPr>
      </w:pPr>
      <w:r>
        <w:rPr>
          <w:rFonts w:ascii="Times New Roman" w:cs="Times New Roman" w:eastAsia="Times New Roman" w:hAnsi="Times New Roman"/>
          <w:sz w:val="18"/>
          <w:szCs w:val="18"/>
          <w:color w:val="2F2F31"/>
        </w:rPr>
        <w:t xml:space="preserve">1.4 Throughout your employment with the Employer and at all times </w:t>
      </w:r>
      <w:r>
        <w:rPr>
          <w:rFonts w:ascii="Times New Roman" w:cs="Times New Roman" w:eastAsia="Times New Roman" w:hAnsi="Times New Roman"/>
          <w:sz w:val="18"/>
          <w:szCs w:val="18"/>
          <w:color w:val="1D1D1F"/>
        </w:rPr>
        <w:t>thereafter:</w:t>
      </w:r>
      <w:r>
        <w:rPr>
          <w:rFonts w:ascii="Times New Roman" w:cs="Times New Roman" w:eastAsia="Times New Roman" w:hAnsi="Times New Roman"/>
          <w:sz w:val="18"/>
          <w:szCs w:val="18"/>
          <w:color w:val="2F2F31"/>
        </w:rPr>
        <w:t xml:space="preserve"> (a) you will hold all Confidential Information </w:t>
      </w:r>
      <w:r>
        <w:rPr>
          <w:rFonts w:ascii="Times New Roman" w:cs="Times New Roman" w:eastAsia="Times New Roman" w:hAnsi="Times New Roman"/>
          <w:sz w:val="18"/>
          <w:szCs w:val="18"/>
          <w:color w:val="1D1D1F"/>
        </w:rPr>
        <w:t>in</w:t>
      </w:r>
      <w:r>
        <w:rPr>
          <w:rFonts w:ascii="Times New Roman" w:cs="Times New Roman" w:eastAsia="Times New Roman" w:hAnsi="Times New Roman"/>
          <w:sz w:val="18"/>
          <w:szCs w:val="18"/>
          <w:color w:val="2F2F31"/>
        </w:rPr>
        <w:t xml:space="preserve"> the strictest confidence</w:t>
      </w:r>
      <w:r>
        <w:rPr>
          <w:rFonts w:ascii="Times New Roman" w:cs="Times New Roman" w:eastAsia="Times New Roman" w:hAnsi="Times New Roman"/>
          <w:sz w:val="18"/>
          <w:szCs w:val="18"/>
          <w:color w:val="525254"/>
        </w:rPr>
        <w:t>,</w:t>
      </w:r>
      <w:r>
        <w:rPr>
          <w:rFonts w:ascii="Times New Roman" w:cs="Times New Roman" w:eastAsia="Times New Roman" w:hAnsi="Times New Roman"/>
          <w:sz w:val="18"/>
          <w:szCs w:val="18"/>
          <w:color w:val="2F2F31"/>
        </w:rPr>
        <w:t xml:space="preserve"> take all reasonable precautions to prevent its inadvertent disclosure to any </w:t>
      </w:r>
      <w:r>
        <w:rPr>
          <w:rFonts w:ascii="Times New Roman" w:cs="Times New Roman" w:eastAsia="Times New Roman" w:hAnsi="Times New Roman"/>
          <w:sz w:val="18"/>
          <w:szCs w:val="18"/>
          <w:color w:val="1D1D1F"/>
        </w:rPr>
        <w:t>unauthorized</w:t>
      </w:r>
      <w:r>
        <w:rPr>
          <w:rFonts w:ascii="Times New Roman" w:cs="Times New Roman" w:eastAsia="Times New Roman" w:hAnsi="Times New Roman"/>
          <w:sz w:val="18"/>
          <w:szCs w:val="18"/>
          <w:color w:val="2F2F31"/>
        </w:rPr>
        <w:t xml:space="preserve"> person</w:t>
      </w:r>
      <w:r>
        <w:rPr>
          <w:rFonts w:ascii="Times New Roman" w:cs="Times New Roman" w:eastAsia="Times New Roman" w:hAnsi="Times New Roman"/>
          <w:sz w:val="18"/>
          <w:szCs w:val="18"/>
          <w:color w:val="525254"/>
        </w:rPr>
        <w:t>,</w:t>
      </w:r>
      <w:r>
        <w:rPr>
          <w:rFonts w:ascii="Times New Roman" w:cs="Times New Roman" w:eastAsia="Times New Roman" w:hAnsi="Times New Roman"/>
          <w:sz w:val="18"/>
          <w:szCs w:val="18"/>
          <w:color w:val="2F2F31"/>
        </w:rPr>
        <w:t xml:space="preserve"> and follow all Employer and any applicable Company policies designed to protect the Confidential </w:t>
      </w:r>
      <w:r>
        <w:rPr>
          <w:rFonts w:ascii="Times New Roman" w:cs="Times New Roman" w:eastAsia="Times New Roman" w:hAnsi="Times New Roman"/>
          <w:sz w:val="18"/>
          <w:szCs w:val="18"/>
          <w:color w:val="1D1D1F"/>
        </w:rPr>
        <w:t>Information</w:t>
      </w:r>
      <w:r>
        <w:rPr>
          <w:rFonts w:ascii="Times New Roman" w:cs="Times New Roman" w:eastAsia="Times New Roman" w:hAnsi="Times New Roman"/>
          <w:sz w:val="18"/>
          <w:szCs w:val="18"/>
          <w:color w:val="525254"/>
        </w:rPr>
        <w:t>;</w:t>
      </w:r>
      <w:r>
        <w:rPr>
          <w:rFonts w:ascii="Times New Roman" w:cs="Times New Roman" w:eastAsia="Times New Roman" w:hAnsi="Times New Roman"/>
          <w:sz w:val="18"/>
          <w:szCs w:val="18"/>
          <w:color w:val="2F2F31"/>
        </w:rPr>
        <w:t xml:space="preserve"> (b) you will not</w:t>
      </w:r>
      <w:r>
        <w:rPr>
          <w:rFonts w:ascii="Times New Roman" w:cs="Times New Roman" w:eastAsia="Times New Roman" w:hAnsi="Times New Roman"/>
          <w:sz w:val="18"/>
          <w:szCs w:val="18"/>
          <w:color w:val="525254"/>
        </w:rPr>
        <w:t>,</w:t>
      </w:r>
      <w:r>
        <w:rPr>
          <w:rFonts w:ascii="Times New Roman" w:cs="Times New Roman" w:eastAsia="Times New Roman" w:hAnsi="Times New Roman"/>
          <w:sz w:val="18"/>
          <w:szCs w:val="18"/>
          <w:color w:val="2F2F31"/>
        </w:rPr>
        <w:t xml:space="preserve"> </w:t>
      </w:r>
      <w:r>
        <w:rPr>
          <w:rFonts w:ascii="Times New Roman" w:cs="Times New Roman" w:eastAsia="Times New Roman" w:hAnsi="Times New Roman"/>
          <w:sz w:val="18"/>
          <w:szCs w:val="18"/>
          <w:color w:val="1D1D1F"/>
        </w:rPr>
        <w:t>directly</w:t>
      </w:r>
      <w:r>
        <w:rPr>
          <w:rFonts w:ascii="Times New Roman" w:cs="Times New Roman" w:eastAsia="Times New Roman" w:hAnsi="Times New Roman"/>
          <w:sz w:val="18"/>
          <w:szCs w:val="18"/>
          <w:color w:val="2F2F31"/>
        </w:rPr>
        <w:t xml:space="preserve"> or indirectly</w:t>
      </w:r>
      <w:r>
        <w:rPr>
          <w:rFonts w:ascii="Times New Roman" w:cs="Times New Roman" w:eastAsia="Times New Roman" w:hAnsi="Times New Roman"/>
          <w:sz w:val="18"/>
          <w:szCs w:val="18"/>
          <w:color w:val="525254"/>
        </w:rPr>
        <w:t>,</w:t>
      </w:r>
      <w:r>
        <w:rPr>
          <w:rFonts w:ascii="Times New Roman" w:cs="Times New Roman" w:eastAsia="Times New Roman" w:hAnsi="Times New Roman"/>
          <w:sz w:val="18"/>
          <w:szCs w:val="18"/>
          <w:color w:val="2F2F31"/>
        </w:rPr>
        <w:t xml:space="preserve"> </w:t>
      </w:r>
      <w:r>
        <w:rPr>
          <w:rFonts w:ascii="Times New Roman" w:cs="Times New Roman" w:eastAsia="Times New Roman" w:hAnsi="Times New Roman"/>
          <w:sz w:val="18"/>
          <w:szCs w:val="18"/>
          <w:color w:val="1D1D1F"/>
        </w:rPr>
        <w:t>utilize</w:t>
      </w:r>
      <w:r>
        <w:rPr>
          <w:rFonts w:ascii="Times New Roman" w:cs="Times New Roman" w:eastAsia="Times New Roman" w:hAnsi="Times New Roman"/>
          <w:sz w:val="18"/>
          <w:szCs w:val="18"/>
          <w:color w:val="525254"/>
        </w:rPr>
        <w:t>,</w:t>
      </w:r>
      <w:r>
        <w:rPr>
          <w:rFonts w:ascii="Times New Roman" w:cs="Times New Roman" w:eastAsia="Times New Roman" w:hAnsi="Times New Roman"/>
          <w:sz w:val="18"/>
          <w:szCs w:val="18"/>
          <w:color w:val="2F2F31"/>
        </w:rPr>
        <w:t xml:space="preserve"> communicate, disclose</w:t>
      </w:r>
      <w:r>
        <w:rPr>
          <w:rFonts w:ascii="Times New Roman" w:cs="Times New Roman" w:eastAsia="Times New Roman" w:hAnsi="Times New Roman"/>
          <w:sz w:val="18"/>
          <w:szCs w:val="18"/>
          <w:color w:val="525254"/>
        </w:rPr>
        <w:t>,</w:t>
      </w:r>
      <w:r>
        <w:rPr>
          <w:rFonts w:ascii="Times New Roman" w:cs="Times New Roman" w:eastAsia="Times New Roman" w:hAnsi="Times New Roman"/>
          <w:sz w:val="18"/>
          <w:szCs w:val="18"/>
          <w:color w:val="2F2F31"/>
        </w:rPr>
        <w:t xml:space="preserve"> divulge, or make available to any other person or entity</w:t>
      </w:r>
      <w:r>
        <w:rPr>
          <w:rFonts w:ascii="Times New Roman" w:cs="Times New Roman" w:eastAsia="Times New Roman" w:hAnsi="Times New Roman"/>
          <w:sz w:val="18"/>
          <w:szCs w:val="18"/>
          <w:color w:val="525254"/>
        </w:rPr>
        <w:t>,</w:t>
      </w:r>
      <w:r>
        <w:rPr>
          <w:rFonts w:ascii="Times New Roman" w:cs="Times New Roman" w:eastAsia="Times New Roman" w:hAnsi="Times New Roman"/>
          <w:sz w:val="18"/>
          <w:szCs w:val="18"/>
          <w:color w:val="2F2F31"/>
        </w:rPr>
        <w:t xml:space="preserve"> any of the Confidential </w:t>
      </w:r>
      <w:r>
        <w:rPr>
          <w:rFonts w:ascii="Times New Roman" w:cs="Times New Roman" w:eastAsia="Times New Roman" w:hAnsi="Times New Roman"/>
          <w:sz w:val="18"/>
          <w:szCs w:val="18"/>
          <w:color w:val="1D1D1F"/>
        </w:rPr>
        <w:t>Information</w:t>
      </w:r>
      <w:r>
        <w:rPr>
          <w:rFonts w:ascii="Times New Roman" w:cs="Times New Roman" w:eastAsia="Times New Roman" w:hAnsi="Times New Roman"/>
          <w:sz w:val="18"/>
          <w:szCs w:val="18"/>
          <w:color w:val="525254"/>
        </w:rPr>
        <w:t>,</w:t>
      </w:r>
      <w:r>
        <w:rPr>
          <w:rFonts w:ascii="Times New Roman" w:cs="Times New Roman" w:eastAsia="Times New Roman" w:hAnsi="Times New Roman"/>
          <w:sz w:val="18"/>
          <w:szCs w:val="18"/>
          <w:color w:val="2F2F31"/>
        </w:rPr>
        <w:t xml:space="preserve"> other </w:t>
      </w:r>
      <w:r>
        <w:rPr>
          <w:rFonts w:ascii="Times New Roman" w:cs="Times New Roman" w:eastAsia="Times New Roman" w:hAnsi="Times New Roman"/>
          <w:sz w:val="18"/>
          <w:szCs w:val="18"/>
          <w:color w:val="1D1D1F"/>
        </w:rPr>
        <w:t>than</w:t>
      </w:r>
      <w:r>
        <w:rPr>
          <w:rFonts w:ascii="Times New Roman" w:cs="Times New Roman" w:eastAsia="Times New Roman" w:hAnsi="Times New Roman"/>
          <w:sz w:val="18"/>
          <w:szCs w:val="18"/>
          <w:color w:val="525254"/>
        </w:rPr>
        <w:t>:</w:t>
      </w:r>
      <w:r>
        <w:rPr>
          <w:rFonts w:ascii="Times New Roman" w:cs="Times New Roman" w:eastAsia="Times New Roman" w:hAnsi="Times New Roman"/>
          <w:sz w:val="18"/>
          <w:szCs w:val="18"/>
          <w:color w:val="2F2F31"/>
        </w:rPr>
        <w:t xml:space="preserve"> (i) as specifically </w:t>
      </w:r>
      <w:r>
        <w:rPr>
          <w:rFonts w:ascii="Times New Roman" w:cs="Times New Roman" w:eastAsia="Times New Roman" w:hAnsi="Times New Roman"/>
          <w:sz w:val="18"/>
          <w:szCs w:val="18"/>
          <w:color w:val="1D1D1F"/>
        </w:rPr>
        <w:t>required by</w:t>
      </w:r>
      <w:r>
        <w:rPr>
          <w:rFonts w:ascii="Times New Roman" w:cs="Times New Roman" w:eastAsia="Times New Roman" w:hAnsi="Times New Roman"/>
          <w:sz w:val="18"/>
          <w:szCs w:val="18"/>
          <w:color w:val="2F2F31"/>
        </w:rPr>
        <w:t xml:space="preserve"> court order</w:t>
      </w:r>
      <w:r>
        <w:rPr>
          <w:rFonts w:ascii="Times New Roman" w:cs="Times New Roman" w:eastAsia="Times New Roman" w:hAnsi="Times New Roman"/>
          <w:sz w:val="18"/>
          <w:szCs w:val="18"/>
          <w:color w:val="525254"/>
        </w:rPr>
        <w:t>,</w:t>
      </w:r>
      <w:r>
        <w:rPr>
          <w:rFonts w:ascii="Times New Roman" w:cs="Times New Roman" w:eastAsia="Times New Roman" w:hAnsi="Times New Roman"/>
          <w:sz w:val="18"/>
          <w:szCs w:val="18"/>
          <w:color w:val="2F2F31"/>
        </w:rPr>
        <w:t xml:space="preserve"> </w:t>
      </w:r>
      <w:r>
        <w:rPr>
          <w:rFonts w:ascii="Times New Roman" w:cs="Times New Roman" w:eastAsia="Times New Roman" w:hAnsi="Times New Roman"/>
          <w:sz w:val="18"/>
          <w:szCs w:val="18"/>
          <w:color w:val="1D1D1F"/>
        </w:rPr>
        <w:t>law,</w:t>
      </w:r>
      <w:r>
        <w:rPr>
          <w:rFonts w:ascii="Times New Roman" w:cs="Times New Roman" w:eastAsia="Times New Roman" w:hAnsi="Times New Roman"/>
          <w:sz w:val="18"/>
          <w:szCs w:val="18"/>
          <w:color w:val="2F2F31"/>
        </w:rPr>
        <w:t xml:space="preserve"> subpoena, regulation and/or </w:t>
      </w:r>
      <w:r>
        <w:rPr>
          <w:rFonts w:ascii="Times New Roman" w:cs="Times New Roman" w:eastAsia="Times New Roman" w:hAnsi="Times New Roman"/>
          <w:sz w:val="18"/>
          <w:szCs w:val="18"/>
          <w:color w:val="1D1D1F"/>
        </w:rPr>
        <w:t>legal</w:t>
      </w:r>
      <w:r>
        <w:rPr>
          <w:rFonts w:ascii="Times New Roman" w:cs="Times New Roman" w:eastAsia="Times New Roman" w:hAnsi="Times New Roman"/>
          <w:sz w:val="18"/>
          <w:szCs w:val="18"/>
          <w:color w:val="2F2F31"/>
        </w:rPr>
        <w:t xml:space="preserve"> process or as identified above in Section 1.2</w:t>
      </w:r>
      <w:r>
        <w:rPr>
          <w:rFonts w:ascii="Times New Roman" w:cs="Times New Roman" w:eastAsia="Times New Roman" w:hAnsi="Times New Roman"/>
          <w:sz w:val="18"/>
          <w:szCs w:val="18"/>
          <w:color w:val="525254"/>
        </w:rPr>
        <w:t>,</w:t>
      </w:r>
      <w:r>
        <w:rPr>
          <w:rFonts w:ascii="Times New Roman" w:cs="Times New Roman" w:eastAsia="Times New Roman" w:hAnsi="Times New Roman"/>
          <w:sz w:val="18"/>
          <w:szCs w:val="18"/>
          <w:color w:val="2F2F31"/>
        </w:rPr>
        <w:t xml:space="preserve"> or (ii) </w:t>
      </w:r>
      <w:r>
        <w:rPr>
          <w:rFonts w:ascii="Times New Roman" w:cs="Times New Roman" w:eastAsia="Times New Roman" w:hAnsi="Times New Roman"/>
          <w:sz w:val="18"/>
          <w:szCs w:val="18"/>
          <w:color w:val="1D1D1F"/>
        </w:rPr>
        <w:t>in</w:t>
      </w:r>
      <w:r>
        <w:rPr>
          <w:rFonts w:ascii="Times New Roman" w:cs="Times New Roman" w:eastAsia="Times New Roman" w:hAnsi="Times New Roman"/>
          <w:sz w:val="18"/>
          <w:szCs w:val="18"/>
          <w:color w:val="2F2F31"/>
        </w:rPr>
        <w:t xml:space="preserve"> the proper performance of your duties during your employment with </w:t>
      </w:r>
      <w:r>
        <w:rPr>
          <w:rFonts w:ascii="Times New Roman" w:cs="Times New Roman" w:eastAsia="Times New Roman" w:hAnsi="Times New Roman"/>
          <w:sz w:val="18"/>
          <w:szCs w:val="18"/>
          <w:color w:val="1D1D1F"/>
        </w:rPr>
        <w:t>the</w:t>
      </w:r>
      <w:r>
        <w:rPr>
          <w:rFonts w:ascii="Times New Roman" w:cs="Times New Roman" w:eastAsia="Times New Roman" w:hAnsi="Times New Roman"/>
          <w:sz w:val="18"/>
          <w:szCs w:val="18"/>
          <w:color w:val="2F2F31"/>
        </w:rPr>
        <w:t xml:space="preserve"> Employer; (c) you will </w:t>
      </w:r>
      <w:r>
        <w:rPr>
          <w:rFonts w:ascii="Times New Roman" w:cs="Times New Roman" w:eastAsia="Times New Roman" w:hAnsi="Times New Roman"/>
          <w:sz w:val="18"/>
          <w:szCs w:val="18"/>
          <w:color w:val="1D1D1F"/>
        </w:rPr>
        <w:t>not use the</w:t>
      </w:r>
      <w:r>
        <w:rPr>
          <w:rFonts w:ascii="Times New Roman" w:cs="Times New Roman" w:eastAsia="Times New Roman" w:hAnsi="Times New Roman"/>
          <w:sz w:val="18"/>
          <w:szCs w:val="18"/>
          <w:color w:val="2F2F31"/>
        </w:rPr>
        <w:t xml:space="preserve"> Confidential </w:t>
      </w:r>
      <w:r>
        <w:rPr>
          <w:rFonts w:ascii="Times New Roman" w:cs="Times New Roman" w:eastAsia="Times New Roman" w:hAnsi="Times New Roman"/>
          <w:sz w:val="18"/>
          <w:szCs w:val="18"/>
          <w:color w:val="1D1D1F"/>
        </w:rPr>
        <w:t>Information</w:t>
      </w:r>
      <w:r>
        <w:rPr>
          <w:rFonts w:ascii="Times New Roman" w:cs="Times New Roman" w:eastAsia="Times New Roman" w:hAnsi="Times New Roman"/>
          <w:sz w:val="18"/>
          <w:szCs w:val="18"/>
          <w:color w:val="2F2F31"/>
        </w:rPr>
        <w:t xml:space="preserve"> or any </w:t>
      </w:r>
      <w:r>
        <w:rPr>
          <w:rFonts w:ascii="Times New Roman" w:cs="Times New Roman" w:eastAsia="Times New Roman" w:hAnsi="Times New Roman"/>
          <w:sz w:val="18"/>
          <w:szCs w:val="18"/>
          <w:color w:val="1D1D1F"/>
        </w:rPr>
        <w:t>trade</w:t>
      </w:r>
      <w:r>
        <w:rPr>
          <w:rFonts w:ascii="Times New Roman" w:cs="Times New Roman" w:eastAsia="Times New Roman" w:hAnsi="Times New Roman"/>
          <w:sz w:val="18"/>
          <w:szCs w:val="18"/>
          <w:color w:val="2F2F31"/>
        </w:rPr>
        <w:t xml:space="preserve"> secrets of </w:t>
      </w:r>
      <w:r>
        <w:rPr>
          <w:rFonts w:ascii="Times New Roman" w:cs="Times New Roman" w:eastAsia="Times New Roman" w:hAnsi="Times New Roman"/>
          <w:sz w:val="18"/>
          <w:szCs w:val="18"/>
          <w:color w:val="1D1D1F"/>
        </w:rPr>
        <w:t>the</w:t>
      </w:r>
      <w:r>
        <w:rPr>
          <w:rFonts w:ascii="Times New Roman" w:cs="Times New Roman" w:eastAsia="Times New Roman" w:hAnsi="Times New Roman"/>
          <w:sz w:val="18"/>
          <w:szCs w:val="18"/>
          <w:color w:val="2F2F31"/>
        </w:rPr>
        <w:t xml:space="preserve"> Company </w:t>
      </w:r>
      <w:r>
        <w:rPr>
          <w:rFonts w:ascii="Times New Roman" w:cs="Times New Roman" w:eastAsia="Times New Roman" w:hAnsi="Times New Roman"/>
          <w:sz w:val="18"/>
          <w:szCs w:val="18"/>
          <w:color w:val="1D1D1F"/>
        </w:rPr>
        <w:t>to</w:t>
      </w:r>
      <w:r>
        <w:rPr>
          <w:rFonts w:ascii="Times New Roman" w:cs="Times New Roman" w:eastAsia="Times New Roman" w:hAnsi="Times New Roman"/>
          <w:sz w:val="18"/>
          <w:szCs w:val="18"/>
          <w:color w:val="2F2F31"/>
        </w:rPr>
        <w:t xml:space="preserve"> attempt to solicit</w:t>
      </w:r>
      <w:r>
        <w:rPr>
          <w:rFonts w:ascii="Times New Roman" w:cs="Times New Roman" w:eastAsia="Times New Roman" w:hAnsi="Times New Roman"/>
          <w:sz w:val="18"/>
          <w:szCs w:val="18"/>
          <w:color w:val="525254"/>
        </w:rPr>
        <w:t>,</w:t>
      </w:r>
      <w:r>
        <w:rPr>
          <w:rFonts w:ascii="Times New Roman" w:cs="Times New Roman" w:eastAsia="Times New Roman" w:hAnsi="Times New Roman"/>
          <w:sz w:val="18"/>
          <w:szCs w:val="18"/>
          <w:color w:val="2F2F31"/>
        </w:rPr>
        <w:t xml:space="preserve"> induce, recruit</w:t>
      </w:r>
      <w:r>
        <w:rPr>
          <w:rFonts w:ascii="Times New Roman" w:cs="Times New Roman" w:eastAsia="Times New Roman" w:hAnsi="Times New Roman"/>
          <w:sz w:val="18"/>
          <w:szCs w:val="18"/>
          <w:color w:val="525254"/>
        </w:rPr>
        <w:t>,</w:t>
      </w:r>
      <w:r>
        <w:rPr>
          <w:rFonts w:ascii="Times New Roman" w:cs="Times New Roman" w:eastAsia="Times New Roman" w:hAnsi="Times New Roman"/>
          <w:sz w:val="18"/>
          <w:szCs w:val="18"/>
          <w:color w:val="2F2F31"/>
        </w:rPr>
        <w:t xml:space="preserve"> or take away any clients, customers or employees of the Company; and (d) if you learn that any </w:t>
      </w:r>
      <w:r>
        <w:rPr>
          <w:rFonts w:ascii="Times New Roman" w:cs="Times New Roman" w:eastAsia="Times New Roman" w:hAnsi="Times New Roman"/>
          <w:sz w:val="18"/>
          <w:szCs w:val="18"/>
          <w:color w:val="1D1D1F"/>
        </w:rPr>
        <w:t>person</w:t>
      </w:r>
      <w:r>
        <w:rPr>
          <w:rFonts w:ascii="Times New Roman" w:cs="Times New Roman" w:eastAsia="Times New Roman" w:hAnsi="Times New Roman"/>
          <w:sz w:val="18"/>
          <w:szCs w:val="18"/>
          <w:color w:val="2F2F31"/>
        </w:rPr>
        <w:t xml:space="preserve"> or entity is taking or threatening to take any actions which would compromise any Confidential </w:t>
      </w:r>
      <w:r>
        <w:rPr>
          <w:rFonts w:ascii="Times New Roman" w:cs="Times New Roman" w:eastAsia="Times New Roman" w:hAnsi="Times New Roman"/>
          <w:sz w:val="18"/>
          <w:szCs w:val="18"/>
          <w:color w:val="1D1D1F"/>
        </w:rPr>
        <w:t>Information</w:t>
      </w:r>
      <w:r>
        <w:rPr>
          <w:rFonts w:ascii="Times New Roman" w:cs="Times New Roman" w:eastAsia="Times New Roman" w:hAnsi="Times New Roman"/>
          <w:sz w:val="18"/>
          <w:szCs w:val="18"/>
          <w:color w:val="525254"/>
        </w:rPr>
        <w:t>,</w:t>
      </w:r>
      <w:r>
        <w:rPr>
          <w:rFonts w:ascii="Times New Roman" w:cs="Times New Roman" w:eastAsia="Times New Roman" w:hAnsi="Times New Roman"/>
          <w:sz w:val="18"/>
          <w:szCs w:val="18"/>
          <w:color w:val="2F2F31"/>
        </w:rPr>
        <w:t xml:space="preserve"> you will promptly advise the Employer of all facts concerning such action or threatened action.</w:t>
      </w:r>
    </w:p>
    <w:p>
      <w:pPr>
        <w:spacing w:after="0" w:line="148" w:lineRule="exact"/>
        <w:rPr>
          <w:sz w:val="20"/>
          <w:szCs w:val="20"/>
          <w:color w:val="auto"/>
        </w:rPr>
      </w:pPr>
    </w:p>
    <w:p>
      <w:pPr>
        <w:jc w:val="both"/>
        <w:ind w:left="100" w:firstLine="749"/>
        <w:spacing w:after="0" w:line="254" w:lineRule="auto"/>
        <w:rPr>
          <w:sz w:val="20"/>
          <w:szCs w:val="20"/>
          <w:color w:val="auto"/>
        </w:rPr>
      </w:pPr>
      <w:r>
        <w:rPr>
          <w:rFonts w:ascii="Times New Roman" w:cs="Times New Roman" w:eastAsia="Times New Roman" w:hAnsi="Times New Roman"/>
          <w:sz w:val="18"/>
          <w:szCs w:val="18"/>
          <w:color w:val="2F2F31"/>
        </w:rPr>
        <w:t xml:space="preserve">1.5 You understand </w:t>
      </w:r>
      <w:r>
        <w:rPr>
          <w:rFonts w:ascii="Times New Roman" w:cs="Times New Roman" w:eastAsia="Times New Roman" w:hAnsi="Times New Roman"/>
          <w:sz w:val="18"/>
          <w:szCs w:val="18"/>
          <w:color w:val="1D1D1F"/>
        </w:rPr>
        <w:t>that</w:t>
      </w:r>
      <w:r>
        <w:rPr>
          <w:rFonts w:ascii="Times New Roman" w:cs="Times New Roman" w:eastAsia="Times New Roman" w:hAnsi="Times New Roman"/>
          <w:sz w:val="18"/>
          <w:szCs w:val="18"/>
          <w:color w:val="2F2F31"/>
        </w:rPr>
        <w:t xml:space="preserve"> the Company </w:t>
      </w:r>
      <w:r>
        <w:rPr>
          <w:rFonts w:ascii="Times New Roman" w:cs="Times New Roman" w:eastAsia="Times New Roman" w:hAnsi="Times New Roman"/>
          <w:sz w:val="18"/>
          <w:szCs w:val="18"/>
          <w:color w:val="1D1D1F"/>
        </w:rPr>
        <w:t>does not</w:t>
      </w:r>
      <w:r>
        <w:rPr>
          <w:rFonts w:ascii="Times New Roman" w:cs="Times New Roman" w:eastAsia="Times New Roman" w:hAnsi="Times New Roman"/>
          <w:sz w:val="18"/>
          <w:szCs w:val="18"/>
          <w:color w:val="2F2F31"/>
        </w:rPr>
        <w:t xml:space="preserve"> wish to incorporate any </w:t>
      </w:r>
      <w:r>
        <w:rPr>
          <w:rFonts w:ascii="Times New Roman" w:cs="Times New Roman" w:eastAsia="Times New Roman" w:hAnsi="Times New Roman"/>
          <w:sz w:val="18"/>
          <w:szCs w:val="18"/>
          <w:color w:val="1D1D1F"/>
        </w:rPr>
        <w:t>unlicensed</w:t>
      </w:r>
      <w:r>
        <w:rPr>
          <w:rFonts w:ascii="Times New Roman" w:cs="Times New Roman" w:eastAsia="Times New Roman" w:hAnsi="Times New Roman"/>
          <w:sz w:val="18"/>
          <w:szCs w:val="18"/>
          <w:color w:val="2F2F31"/>
        </w:rPr>
        <w:t xml:space="preserve"> or </w:t>
      </w:r>
      <w:r>
        <w:rPr>
          <w:rFonts w:ascii="Times New Roman" w:cs="Times New Roman" w:eastAsia="Times New Roman" w:hAnsi="Times New Roman"/>
          <w:sz w:val="18"/>
          <w:szCs w:val="18"/>
          <w:color w:val="1D1D1F"/>
        </w:rPr>
        <w:t>unauthorized</w:t>
      </w:r>
      <w:r>
        <w:rPr>
          <w:rFonts w:ascii="Times New Roman" w:cs="Times New Roman" w:eastAsia="Times New Roman" w:hAnsi="Times New Roman"/>
          <w:sz w:val="18"/>
          <w:szCs w:val="18"/>
          <w:color w:val="2F2F31"/>
        </w:rPr>
        <w:t xml:space="preserve"> material into its products or services. Therefore</w:t>
      </w:r>
      <w:r>
        <w:rPr>
          <w:rFonts w:ascii="Times New Roman" w:cs="Times New Roman" w:eastAsia="Times New Roman" w:hAnsi="Times New Roman"/>
          <w:sz w:val="18"/>
          <w:szCs w:val="18"/>
          <w:color w:val="525254"/>
        </w:rPr>
        <w:t>,</w:t>
      </w:r>
      <w:r>
        <w:rPr>
          <w:rFonts w:ascii="Times New Roman" w:cs="Times New Roman" w:eastAsia="Times New Roman" w:hAnsi="Times New Roman"/>
          <w:sz w:val="18"/>
          <w:szCs w:val="18"/>
          <w:color w:val="2F2F31"/>
        </w:rPr>
        <w:t xml:space="preserve"> you agree that you will </w:t>
      </w:r>
      <w:r>
        <w:rPr>
          <w:rFonts w:ascii="Times New Roman" w:cs="Times New Roman" w:eastAsia="Times New Roman" w:hAnsi="Times New Roman"/>
          <w:sz w:val="18"/>
          <w:szCs w:val="18"/>
          <w:color w:val="1D1D1F"/>
        </w:rPr>
        <w:t>not</w:t>
      </w:r>
      <w:r>
        <w:rPr>
          <w:rFonts w:ascii="Times New Roman" w:cs="Times New Roman" w:eastAsia="Times New Roman" w:hAnsi="Times New Roman"/>
          <w:sz w:val="18"/>
          <w:szCs w:val="18"/>
          <w:color w:val="2F2F31"/>
        </w:rPr>
        <w:t xml:space="preserve"> knowingly disclose to </w:t>
      </w:r>
      <w:r>
        <w:rPr>
          <w:rFonts w:ascii="Times New Roman" w:cs="Times New Roman" w:eastAsia="Times New Roman" w:hAnsi="Times New Roman"/>
          <w:sz w:val="18"/>
          <w:szCs w:val="18"/>
          <w:color w:val="1D1D1F"/>
        </w:rPr>
        <w:t>the</w:t>
      </w:r>
      <w:r>
        <w:rPr>
          <w:rFonts w:ascii="Times New Roman" w:cs="Times New Roman" w:eastAsia="Times New Roman" w:hAnsi="Times New Roman"/>
          <w:sz w:val="18"/>
          <w:szCs w:val="18"/>
          <w:color w:val="2F2F31"/>
        </w:rPr>
        <w:t xml:space="preserve"> Company, use </w:t>
      </w:r>
      <w:r>
        <w:rPr>
          <w:rFonts w:ascii="Times New Roman" w:cs="Times New Roman" w:eastAsia="Times New Roman" w:hAnsi="Times New Roman"/>
          <w:sz w:val="18"/>
          <w:szCs w:val="18"/>
          <w:color w:val="1D1D1F"/>
        </w:rPr>
        <w:t>in</w:t>
      </w:r>
      <w:r>
        <w:rPr>
          <w:rFonts w:ascii="Times New Roman" w:cs="Times New Roman" w:eastAsia="Times New Roman" w:hAnsi="Times New Roman"/>
          <w:sz w:val="18"/>
          <w:szCs w:val="18"/>
          <w:color w:val="2F2F31"/>
        </w:rPr>
        <w:t xml:space="preserve"> the Company's </w:t>
      </w:r>
      <w:r>
        <w:rPr>
          <w:rFonts w:ascii="Times New Roman" w:cs="Times New Roman" w:eastAsia="Times New Roman" w:hAnsi="Times New Roman"/>
          <w:sz w:val="18"/>
          <w:szCs w:val="18"/>
          <w:color w:val="1D1D1F"/>
        </w:rPr>
        <w:t>business</w:t>
      </w:r>
      <w:r>
        <w:rPr>
          <w:rFonts w:ascii="Times New Roman" w:cs="Times New Roman" w:eastAsia="Times New Roman" w:hAnsi="Times New Roman"/>
          <w:sz w:val="18"/>
          <w:szCs w:val="18"/>
          <w:color w:val="525254"/>
        </w:rPr>
        <w:t>,</w:t>
      </w:r>
      <w:r>
        <w:rPr>
          <w:rFonts w:ascii="Times New Roman" w:cs="Times New Roman" w:eastAsia="Times New Roman" w:hAnsi="Times New Roman"/>
          <w:sz w:val="18"/>
          <w:szCs w:val="18"/>
          <w:color w:val="2F2F31"/>
        </w:rPr>
        <w:t xml:space="preserve"> or cause the Company to </w:t>
      </w:r>
      <w:r>
        <w:rPr>
          <w:rFonts w:ascii="Times New Roman" w:cs="Times New Roman" w:eastAsia="Times New Roman" w:hAnsi="Times New Roman"/>
          <w:sz w:val="18"/>
          <w:szCs w:val="18"/>
          <w:color w:val="1D1D1F"/>
        </w:rPr>
        <w:t>use</w:t>
      </w:r>
      <w:r>
        <w:rPr>
          <w:rFonts w:ascii="Times New Roman" w:cs="Times New Roman" w:eastAsia="Times New Roman" w:hAnsi="Times New Roman"/>
          <w:sz w:val="18"/>
          <w:szCs w:val="18"/>
          <w:color w:val="525254"/>
        </w:rPr>
        <w:t>,</w:t>
      </w:r>
      <w:r>
        <w:rPr>
          <w:rFonts w:ascii="Times New Roman" w:cs="Times New Roman" w:eastAsia="Times New Roman" w:hAnsi="Times New Roman"/>
          <w:sz w:val="18"/>
          <w:szCs w:val="18"/>
          <w:color w:val="2F2F31"/>
        </w:rPr>
        <w:t xml:space="preserve"> any </w:t>
      </w:r>
      <w:r>
        <w:rPr>
          <w:rFonts w:ascii="Times New Roman" w:cs="Times New Roman" w:eastAsia="Times New Roman" w:hAnsi="Times New Roman"/>
          <w:sz w:val="18"/>
          <w:szCs w:val="18"/>
          <w:color w:val="1D1D1F"/>
        </w:rPr>
        <w:t xml:space="preserve">information </w:t>
      </w:r>
      <w:r>
        <w:rPr>
          <w:rFonts w:ascii="Times New Roman" w:cs="Times New Roman" w:eastAsia="Times New Roman" w:hAnsi="Times New Roman"/>
          <w:sz w:val="18"/>
          <w:szCs w:val="18"/>
          <w:color w:val="2F2F31"/>
        </w:rPr>
        <w:t>or</w:t>
      </w:r>
      <w:r>
        <w:rPr>
          <w:rFonts w:ascii="Times New Roman" w:cs="Times New Roman" w:eastAsia="Times New Roman" w:hAnsi="Times New Roman"/>
          <w:sz w:val="18"/>
          <w:szCs w:val="18"/>
          <w:color w:val="1D1D1F"/>
        </w:rPr>
        <w:t xml:space="preserve"> material </w:t>
      </w:r>
      <w:r>
        <w:rPr>
          <w:rFonts w:ascii="Times New Roman" w:cs="Times New Roman" w:eastAsia="Times New Roman" w:hAnsi="Times New Roman"/>
          <w:sz w:val="18"/>
          <w:szCs w:val="18"/>
          <w:color w:val="2F2F31"/>
        </w:rPr>
        <w:t>which</w:t>
      </w:r>
      <w:r>
        <w:rPr>
          <w:rFonts w:ascii="Times New Roman" w:cs="Times New Roman" w:eastAsia="Times New Roman" w:hAnsi="Times New Roman"/>
          <w:sz w:val="18"/>
          <w:szCs w:val="18"/>
          <w:color w:val="1D1D1F"/>
        </w:rPr>
        <w:t xml:space="preserve"> is </w:t>
      </w:r>
      <w:r>
        <w:rPr>
          <w:rFonts w:ascii="Times New Roman" w:cs="Times New Roman" w:eastAsia="Times New Roman" w:hAnsi="Times New Roman"/>
          <w:sz w:val="18"/>
          <w:szCs w:val="18"/>
          <w:color w:val="2F2F31"/>
        </w:rPr>
        <w:t>confidential or proprietary</w:t>
      </w:r>
      <w:r>
        <w:rPr>
          <w:rFonts w:ascii="Times New Roman" w:cs="Times New Roman" w:eastAsia="Times New Roman" w:hAnsi="Times New Roman"/>
          <w:sz w:val="18"/>
          <w:szCs w:val="18"/>
          <w:color w:val="1D1D1F"/>
        </w:rPr>
        <w:t xml:space="preserve"> to </w:t>
      </w:r>
      <w:r>
        <w:rPr>
          <w:rFonts w:ascii="Times New Roman" w:cs="Times New Roman" w:eastAsia="Times New Roman" w:hAnsi="Times New Roman"/>
          <w:sz w:val="18"/>
          <w:szCs w:val="18"/>
          <w:color w:val="2F2F31"/>
        </w:rPr>
        <w:t>any third party including</w:t>
      </w:r>
      <w:r>
        <w:rPr>
          <w:rFonts w:ascii="Times New Roman" w:cs="Times New Roman" w:eastAsia="Times New Roman" w:hAnsi="Times New Roman"/>
          <w:sz w:val="18"/>
          <w:szCs w:val="18"/>
          <w:color w:val="525254"/>
        </w:rPr>
        <w:t>,</w:t>
      </w:r>
      <w:r>
        <w:rPr>
          <w:rFonts w:ascii="Times New Roman" w:cs="Times New Roman" w:eastAsia="Times New Roman" w:hAnsi="Times New Roman"/>
          <w:sz w:val="18"/>
          <w:szCs w:val="18"/>
          <w:color w:val="1D1D1F"/>
        </w:rPr>
        <w:t xml:space="preserve"> </w:t>
      </w:r>
      <w:r>
        <w:rPr>
          <w:rFonts w:ascii="Times New Roman" w:cs="Times New Roman" w:eastAsia="Times New Roman" w:hAnsi="Times New Roman"/>
          <w:sz w:val="18"/>
          <w:szCs w:val="18"/>
          <w:color w:val="2F2F31"/>
        </w:rPr>
        <w:t>but not</w:t>
      </w:r>
      <w:r>
        <w:rPr>
          <w:rFonts w:ascii="Times New Roman" w:cs="Times New Roman" w:eastAsia="Times New Roman" w:hAnsi="Times New Roman"/>
          <w:sz w:val="18"/>
          <w:szCs w:val="18"/>
          <w:color w:val="1D1D1F"/>
        </w:rPr>
        <w:t xml:space="preserve"> limited </w:t>
      </w:r>
      <w:r>
        <w:rPr>
          <w:rFonts w:ascii="Times New Roman" w:cs="Times New Roman" w:eastAsia="Times New Roman" w:hAnsi="Times New Roman"/>
          <w:sz w:val="18"/>
          <w:szCs w:val="18"/>
          <w:color w:val="2F2F31"/>
        </w:rPr>
        <w:t>to</w:t>
      </w:r>
      <w:r>
        <w:rPr>
          <w:rFonts w:ascii="Times New Roman" w:cs="Times New Roman" w:eastAsia="Times New Roman" w:hAnsi="Times New Roman"/>
          <w:sz w:val="18"/>
          <w:szCs w:val="18"/>
          <w:color w:val="525254"/>
        </w:rPr>
        <w:t>,</w:t>
      </w:r>
      <w:r>
        <w:rPr>
          <w:rFonts w:ascii="Times New Roman" w:cs="Times New Roman" w:eastAsia="Times New Roman" w:hAnsi="Times New Roman"/>
          <w:sz w:val="18"/>
          <w:szCs w:val="18"/>
          <w:color w:val="1D1D1F"/>
        </w:rPr>
        <w:t xml:space="preserve"> </w:t>
      </w:r>
      <w:r>
        <w:rPr>
          <w:rFonts w:ascii="Times New Roman" w:cs="Times New Roman" w:eastAsia="Times New Roman" w:hAnsi="Times New Roman"/>
          <w:sz w:val="18"/>
          <w:szCs w:val="18"/>
          <w:color w:val="2F2F31"/>
        </w:rPr>
        <w:t>any former employer</w:t>
      </w:r>
      <w:r>
        <w:rPr>
          <w:rFonts w:ascii="Times New Roman" w:cs="Times New Roman" w:eastAsia="Times New Roman" w:hAnsi="Times New Roman"/>
          <w:sz w:val="18"/>
          <w:szCs w:val="18"/>
          <w:color w:val="525254"/>
        </w:rPr>
        <w:t>,</w:t>
      </w:r>
      <w:r>
        <w:rPr>
          <w:rFonts w:ascii="Times New Roman" w:cs="Times New Roman" w:eastAsia="Times New Roman" w:hAnsi="Times New Roman"/>
          <w:sz w:val="18"/>
          <w:szCs w:val="18"/>
          <w:color w:val="1D1D1F"/>
        </w:rPr>
        <w:t xml:space="preserve"> </w:t>
      </w:r>
      <w:r>
        <w:rPr>
          <w:rFonts w:ascii="Times New Roman" w:cs="Times New Roman" w:eastAsia="Times New Roman" w:hAnsi="Times New Roman"/>
          <w:sz w:val="18"/>
          <w:szCs w:val="18"/>
          <w:color w:val="2F2F31"/>
        </w:rPr>
        <w:t>competitor or client</w:t>
      </w:r>
      <w:r>
        <w:rPr>
          <w:rFonts w:ascii="Times New Roman" w:cs="Times New Roman" w:eastAsia="Times New Roman" w:hAnsi="Times New Roman"/>
          <w:sz w:val="18"/>
          <w:szCs w:val="18"/>
          <w:color w:val="525254"/>
        </w:rPr>
        <w:t>,</w:t>
      </w:r>
      <w:r>
        <w:rPr>
          <w:rFonts w:ascii="Times New Roman" w:cs="Times New Roman" w:eastAsia="Times New Roman" w:hAnsi="Times New Roman"/>
          <w:sz w:val="18"/>
          <w:szCs w:val="18"/>
          <w:color w:val="1D1D1F"/>
        </w:rPr>
        <w:t xml:space="preserve"> </w:t>
      </w:r>
      <w:r>
        <w:rPr>
          <w:rFonts w:ascii="Times New Roman" w:cs="Times New Roman" w:eastAsia="Times New Roman" w:hAnsi="Times New Roman"/>
          <w:sz w:val="18"/>
          <w:szCs w:val="18"/>
          <w:color w:val="2F2F31"/>
        </w:rPr>
        <w:t xml:space="preserve">unless the Company </w:t>
      </w:r>
      <w:r>
        <w:rPr>
          <w:rFonts w:ascii="Times New Roman" w:cs="Times New Roman" w:eastAsia="Times New Roman" w:hAnsi="Times New Roman"/>
          <w:sz w:val="18"/>
          <w:szCs w:val="18"/>
          <w:color w:val="1D1D1F"/>
        </w:rPr>
        <w:t>has</w:t>
      </w:r>
      <w:r>
        <w:rPr>
          <w:rFonts w:ascii="Times New Roman" w:cs="Times New Roman" w:eastAsia="Times New Roman" w:hAnsi="Times New Roman"/>
          <w:sz w:val="18"/>
          <w:szCs w:val="18"/>
          <w:color w:val="2F2F31"/>
        </w:rPr>
        <w:t xml:space="preserve"> a right to receive and use such </w:t>
      </w:r>
      <w:r>
        <w:rPr>
          <w:rFonts w:ascii="Times New Roman" w:cs="Times New Roman" w:eastAsia="Times New Roman" w:hAnsi="Times New Roman"/>
          <w:sz w:val="18"/>
          <w:szCs w:val="18"/>
          <w:color w:val="1D1D1F"/>
        </w:rPr>
        <w:t>information</w:t>
      </w:r>
      <w:r>
        <w:rPr>
          <w:rFonts w:ascii="Times New Roman" w:cs="Times New Roman" w:eastAsia="Times New Roman" w:hAnsi="Times New Roman"/>
          <w:sz w:val="18"/>
          <w:szCs w:val="18"/>
          <w:color w:val="525254"/>
        </w:rPr>
        <w:t>.</w:t>
      </w:r>
      <w:r>
        <w:rPr>
          <w:rFonts w:ascii="Times New Roman" w:cs="Times New Roman" w:eastAsia="Times New Roman" w:hAnsi="Times New Roman"/>
          <w:sz w:val="18"/>
          <w:szCs w:val="18"/>
          <w:color w:val="2F2F31"/>
        </w:rPr>
        <w:t xml:space="preserve"> You agree not to incorporate </w:t>
      </w:r>
      <w:r>
        <w:rPr>
          <w:rFonts w:ascii="Times New Roman" w:cs="Times New Roman" w:eastAsia="Times New Roman" w:hAnsi="Times New Roman"/>
          <w:sz w:val="18"/>
          <w:szCs w:val="18"/>
          <w:color w:val="1D1D1F"/>
        </w:rPr>
        <w:t>into</w:t>
      </w:r>
      <w:r>
        <w:rPr>
          <w:rFonts w:ascii="Times New Roman" w:cs="Times New Roman" w:eastAsia="Times New Roman" w:hAnsi="Times New Roman"/>
          <w:sz w:val="18"/>
          <w:szCs w:val="18"/>
          <w:color w:val="2F2F31"/>
        </w:rPr>
        <w:t xml:space="preserve"> your work for the Employer any material that is subject to </w:t>
      </w:r>
      <w:r>
        <w:rPr>
          <w:rFonts w:ascii="Times New Roman" w:cs="Times New Roman" w:eastAsia="Times New Roman" w:hAnsi="Times New Roman"/>
          <w:sz w:val="18"/>
          <w:szCs w:val="18"/>
          <w:color w:val="1D1D1F"/>
        </w:rPr>
        <w:t>the</w:t>
      </w:r>
      <w:r>
        <w:rPr>
          <w:rFonts w:ascii="Times New Roman" w:cs="Times New Roman" w:eastAsia="Times New Roman" w:hAnsi="Times New Roman"/>
          <w:sz w:val="18"/>
          <w:szCs w:val="18"/>
          <w:color w:val="2F2F31"/>
        </w:rPr>
        <w:t xml:space="preserve"> copyrights of any third party </w:t>
      </w:r>
      <w:r>
        <w:rPr>
          <w:rFonts w:ascii="Times New Roman" w:cs="Times New Roman" w:eastAsia="Times New Roman" w:hAnsi="Times New Roman"/>
          <w:sz w:val="18"/>
          <w:szCs w:val="18"/>
          <w:color w:val="1D1D1F"/>
        </w:rPr>
        <w:t>unless</w:t>
      </w:r>
      <w:r>
        <w:rPr>
          <w:rFonts w:ascii="Times New Roman" w:cs="Times New Roman" w:eastAsia="Times New Roman" w:hAnsi="Times New Roman"/>
          <w:sz w:val="18"/>
          <w:szCs w:val="18"/>
          <w:color w:val="2F2F31"/>
        </w:rPr>
        <w:t xml:space="preserve"> the Company has a written agreement with that third part</w:t>
      </w:r>
      <w:r>
        <w:rPr>
          <w:rFonts w:ascii="Times New Roman" w:cs="Times New Roman" w:eastAsia="Times New Roman" w:hAnsi="Times New Roman"/>
          <w:sz w:val="18"/>
          <w:szCs w:val="18"/>
          <w:color w:val="525254"/>
        </w:rPr>
        <w:t>y</w:t>
      </w:r>
      <w:r>
        <w:rPr>
          <w:rFonts w:ascii="Times New Roman" w:cs="Times New Roman" w:eastAsia="Times New Roman" w:hAnsi="Times New Roman"/>
          <w:sz w:val="18"/>
          <w:szCs w:val="18"/>
          <w:color w:val="2F2F31"/>
        </w:rPr>
        <w:t xml:space="preserve"> or otherwise has the right to receive and </w:t>
      </w:r>
      <w:r>
        <w:rPr>
          <w:rFonts w:ascii="Times New Roman" w:cs="Times New Roman" w:eastAsia="Times New Roman" w:hAnsi="Times New Roman"/>
          <w:sz w:val="18"/>
          <w:szCs w:val="18"/>
          <w:color w:val="1D1D1F"/>
        </w:rPr>
        <w:t xml:space="preserve">use </w:t>
      </w:r>
      <w:r>
        <w:rPr>
          <w:rFonts w:ascii="Times New Roman" w:cs="Times New Roman" w:eastAsia="Times New Roman" w:hAnsi="Times New Roman"/>
          <w:sz w:val="18"/>
          <w:szCs w:val="18"/>
          <w:color w:val="2F2F31"/>
        </w:rPr>
        <w:t>such</w:t>
      </w:r>
      <w:r>
        <w:rPr>
          <w:rFonts w:ascii="Times New Roman" w:cs="Times New Roman" w:eastAsia="Times New Roman" w:hAnsi="Times New Roman"/>
          <w:sz w:val="18"/>
          <w:szCs w:val="18"/>
          <w:color w:val="1D1D1F"/>
        </w:rPr>
        <w:t xml:space="preserve"> information. </w:t>
      </w:r>
      <w:r>
        <w:rPr>
          <w:rFonts w:ascii="Times New Roman" w:cs="Times New Roman" w:eastAsia="Times New Roman" w:hAnsi="Times New Roman"/>
          <w:sz w:val="18"/>
          <w:szCs w:val="18"/>
          <w:color w:val="2F2F31"/>
        </w:rPr>
        <w:t>You further represent that: (a) your execution and delivery of this Agreement does not conflict with, or result</w:t>
      </w:r>
      <w:r>
        <w:rPr>
          <w:rFonts w:ascii="Times New Roman" w:cs="Times New Roman" w:eastAsia="Times New Roman" w:hAnsi="Times New Roman"/>
          <w:sz w:val="18"/>
          <w:szCs w:val="18"/>
          <w:color w:val="1D1D1F"/>
        </w:rPr>
        <w:t xml:space="preserve"> in </w:t>
      </w:r>
      <w:r>
        <w:rPr>
          <w:rFonts w:ascii="Times New Roman" w:cs="Times New Roman" w:eastAsia="Times New Roman" w:hAnsi="Times New Roman"/>
          <w:sz w:val="18"/>
          <w:szCs w:val="18"/>
          <w:color w:val="2F2F31"/>
        </w:rPr>
        <w:t>a breach of or</w:t>
      </w:r>
      <w:r>
        <w:rPr>
          <w:rFonts w:ascii="Times New Roman" w:cs="Times New Roman" w:eastAsia="Times New Roman" w:hAnsi="Times New Roman"/>
          <w:sz w:val="18"/>
          <w:szCs w:val="18"/>
          <w:color w:val="1D1D1F"/>
        </w:rPr>
        <w:t xml:space="preserve"> </w:t>
      </w:r>
      <w:r>
        <w:rPr>
          <w:rFonts w:ascii="Times New Roman" w:cs="Times New Roman" w:eastAsia="Times New Roman" w:hAnsi="Times New Roman"/>
          <w:sz w:val="18"/>
          <w:szCs w:val="18"/>
          <w:color w:val="2F2F31"/>
        </w:rPr>
        <w:t xml:space="preserve">constitute a default </w:t>
      </w:r>
      <w:r>
        <w:rPr>
          <w:rFonts w:ascii="Times New Roman" w:cs="Times New Roman" w:eastAsia="Times New Roman" w:hAnsi="Times New Roman"/>
          <w:sz w:val="18"/>
          <w:szCs w:val="18"/>
          <w:color w:val="1D1D1F"/>
        </w:rPr>
        <w:t>under</w:t>
      </w:r>
      <w:r>
        <w:rPr>
          <w:rFonts w:ascii="Times New Roman" w:cs="Times New Roman" w:eastAsia="Times New Roman" w:hAnsi="Times New Roman"/>
          <w:sz w:val="18"/>
          <w:szCs w:val="18"/>
          <w:color w:val="525254"/>
        </w:rPr>
        <w:t>,</w:t>
      </w:r>
      <w:r>
        <w:rPr>
          <w:rFonts w:ascii="Times New Roman" w:cs="Times New Roman" w:eastAsia="Times New Roman" w:hAnsi="Times New Roman"/>
          <w:sz w:val="18"/>
          <w:szCs w:val="18"/>
          <w:color w:val="2F2F31"/>
        </w:rPr>
        <w:t xml:space="preserve"> any agreement or contract</w:t>
      </w:r>
      <w:r>
        <w:rPr>
          <w:rFonts w:ascii="Times New Roman" w:cs="Times New Roman" w:eastAsia="Times New Roman" w:hAnsi="Times New Roman"/>
          <w:sz w:val="18"/>
          <w:szCs w:val="18"/>
          <w:color w:val="525254"/>
        </w:rPr>
        <w:t>,</w:t>
      </w:r>
      <w:r>
        <w:rPr>
          <w:rFonts w:ascii="Times New Roman" w:cs="Times New Roman" w:eastAsia="Times New Roman" w:hAnsi="Times New Roman"/>
          <w:sz w:val="18"/>
          <w:szCs w:val="18"/>
          <w:color w:val="2F2F31"/>
        </w:rPr>
        <w:t xml:space="preserve"> whether oral or written</w:t>
      </w:r>
      <w:r>
        <w:rPr>
          <w:rFonts w:ascii="Times New Roman" w:cs="Times New Roman" w:eastAsia="Times New Roman" w:hAnsi="Times New Roman"/>
          <w:sz w:val="18"/>
          <w:szCs w:val="18"/>
          <w:color w:val="525254"/>
        </w:rPr>
        <w:t>,</w:t>
      </w:r>
      <w:r>
        <w:rPr>
          <w:rFonts w:ascii="Times New Roman" w:cs="Times New Roman" w:eastAsia="Times New Roman" w:hAnsi="Times New Roman"/>
          <w:sz w:val="18"/>
          <w:szCs w:val="18"/>
          <w:color w:val="2F2F31"/>
        </w:rPr>
        <w:t xml:space="preserve"> to which you are a party or by which you </w:t>
      </w:r>
      <w:r>
        <w:rPr>
          <w:rFonts w:ascii="Times New Roman" w:cs="Times New Roman" w:eastAsia="Times New Roman" w:hAnsi="Times New Roman"/>
          <w:sz w:val="18"/>
          <w:szCs w:val="18"/>
          <w:color w:val="1D1D1F"/>
        </w:rPr>
        <w:t>may</w:t>
      </w:r>
      <w:r>
        <w:rPr>
          <w:rFonts w:ascii="Times New Roman" w:cs="Times New Roman" w:eastAsia="Times New Roman" w:hAnsi="Times New Roman"/>
          <w:sz w:val="18"/>
          <w:szCs w:val="18"/>
          <w:color w:val="2F2F31"/>
        </w:rPr>
        <w:t xml:space="preserve"> be bound; and (b) you are not involved </w:t>
      </w:r>
      <w:r>
        <w:rPr>
          <w:rFonts w:ascii="Times New Roman" w:cs="Times New Roman" w:eastAsia="Times New Roman" w:hAnsi="Times New Roman"/>
          <w:sz w:val="18"/>
          <w:szCs w:val="18"/>
          <w:color w:val="1D1D1F"/>
        </w:rPr>
        <w:t>in</w:t>
      </w:r>
      <w:r>
        <w:rPr>
          <w:rFonts w:ascii="Times New Roman" w:cs="Times New Roman" w:eastAsia="Times New Roman" w:hAnsi="Times New Roman"/>
          <w:sz w:val="18"/>
          <w:szCs w:val="18"/>
          <w:color w:val="2F2F31"/>
        </w:rPr>
        <w:t xml:space="preserve"> any </w:t>
      </w:r>
      <w:r>
        <w:rPr>
          <w:rFonts w:ascii="Times New Roman" w:cs="Times New Roman" w:eastAsia="Times New Roman" w:hAnsi="Times New Roman"/>
          <w:sz w:val="18"/>
          <w:szCs w:val="18"/>
          <w:color w:val="1D1D1F"/>
        </w:rPr>
        <w:t>litigation</w:t>
      </w:r>
      <w:r>
        <w:rPr>
          <w:rFonts w:ascii="Times New Roman" w:cs="Times New Roman" w:eastAsia="Times New Roman" w:hAnsi="Times New Roman"/>
          <w:sz w:val="18"/>
          <w:szCs w:val="18"/>
          <w:color w:val="2F2F31"/>
        </w:rPr>
        <w:t xml:space="preserve"> that would </w:t>
      </w:r>
      <w:r>
        <w:rPr>
          <w:rFonts w:ascii="Times New Roman" w:cs="Times New Roman" w:eastAsia="Times New Roman" w:hAnsi="Times New Roman"/>
          <w:sz w:val="18"/>
          <w:szCs w:val="18"/>
          <w:color w:val="1D1D1F"/>
        </w:rPr>
        <w:t>interfere</w:t>
      </w:r>
      <w:r>
        <w:rPr>
          <w:rFonts w:ascii="Times New Roman" w:cs="Times New Roman" w:eastAsia="Times New Roman" w:hAnsi="Times New Roman"/>
          <w:sz w:val="18"/>
          <w:szCs w:val="18"/>
          <w:color w:val="2F2F31"/>
        </w:rPr>
        <w:t xml:space="preserve"> with the performance of your </w:t>
      </w:r>
      <w:r>
        <w:rPr>
          <w:rFonts w:ascii="Times New Roman" w:cs="Times New Roman" w:eastAsia="Times New Roman" w:hAnsi="Times New Roman"/>
          <w:sz w:val="18"/>
          <w:szCs w:val="18"/>
          <w:color w:val="1D1D1F"/>
        </w:rPr>
        <w:t>duties</w:t>
      </w:r>
      <w:r>
        <w:rPr>
          <w:rFonts w:ascii="Times New Roman" w:cs="Times New Roman" w:eastAsia="Times New Roman" w:hAnsi="Times New Roman"/>
          <w:sz w:val="18"/>
          <w:szCs w:val="18"/>
          <w:color w:val="2F2F31"/>
        </w:rPr>
        <w:t xml:space="preserve"> on </w:t>
      </w:r>
      <w:r>
        <w:rPr>
          <w:rFonts w:ascii="Times New Roman" w:cs="Times New Roman" w:eastAsia="Times New Roman" w:hAnsi="Times New Roman"/>
          <w:sz w:val="18"/>
          <w:szCs w:val="18"/>
          <w:color w:val="1D1D1F"/>
        </w:rPr>
        <w:t>behalf</w:t>
      </w:r>
      <w:r>
        <w:rPr>
          <w:rFonts w:ascii="Times New Roman" w:cs="Times New Roman" w:eastAsia="Times New Roman" w:hAnsi="Times New Roman"/>
          <w:sz w:val="18"/>
          <w:szCs w:val="18"/>
          <w:color w:val="2F2F31"/>
        </w:rPr>
        <w:t xml:space="preserve"> of the Employer.</w:t>
      </w:r>
    </w:p>
    <w:p>
      <w:pPr>
        <w:spacing w:after="0" w:line="151" w:lineRule="exact"/>
        <w:rPr>
          <w:sz w:val="20"/>
          <w:szCs w:val="20"/>
          <w:color w:val="auto"/>
        </w:rPr>
      </w:pPr>
    </w:p>
    <w:p>
      <w:pPr>
        <w:jc w:val="both"/>
        <w:ind w:left="100" w:firstLine="764"/>
        <w:spacing w:after="0" w:line="255" w:lineRule="auto"/>
        <w:rPr>
          <w:sz w:val="20"/>
          <w:szCs w:val="20"/>
          <w:color w:val="auto"/>
        </w:rPr>
      </w:pPr>
      <w:r>
        <w:rPr>
          <w:rFonts w:ascii="Times New Roman" w:cs="Times New Roman" w:eastAsia="Times New Roman" w:hAnsi="Times New Roman"/>
          <w:sz w:val="18"/>
          <w:szCs w:val="18"/>
          <w:color w:val="2F2F31"/>
        </w:rPr>
        <w:t xml:space="preserve">1.6 Your obligations under this Section </w:t>
      </w:r>
      <w:r>
        <w:rPr>
          <w:rFonts w:ascii="Times New Roman" w:cs="Times New Roman" w:eastAsia="Times New Roman" w:hAnsi="Times New Roman"/>
          <w:sz w:val="18"/>
          <w:szCs w:val="18"/>
          <w:color w:val="1D1D1F"/>
        </w:rPr>
        <w:t>I</w:t>
      </w:r>
      <w:r>
        <w:rPr>
          <w:rFonts w:ascii="Times New Roman" w:cs="Times New Roman" w:eastAsia="Times New Roman" w:hAnsi="Times New Roman"/>
          <w:sz w:val="18"/>
          <w:szCs w:val="18"/>
          <w:color w:val="2F2F31"/>
        </w:rPr>
        <w:t xml:space="preserve"> shall </w:t>
      </w:r>
      <w:r>
        <w:rPr>
          <w:rFonts w:ascii="Times New Roman" w:cs="Times New Roman" w:eastAsia="Times New Roman" w:hAnsi="Times New Roman"/>
          <w:sz w:val="18"/>
          <w:szCs w:val="18"/>
          <w:color w:val="1D1D1F"/>
        </w:rPr>
        <w:t>terminate</w:t>
      </w:r>
      <w:r>
        <w:rPr>
          <w:rFonts w:ascii="Times New Roman" w:cs="Times New Roman" w:eastAsia="Times New Roman" w:hAnsi="Times New Roman"/>
          <w:sz w:val="18"/>
          <w:szCs w:val="18"/>
          <w:color w:val="2F2F31"/>
        </w:rPr>
        <w:t xml:space="preserve"> only at such time (if any) as the Confidential </w:t>
      </w:r>
      <w:r>
        <w:rPr>
          <w:rFonts w:ascii="Times New Roman" w:cs="Times New Roman" w:eastAsia="Times New Roman" w:hAnsi="Times New Roman"/>
          <w:sz w:val="18"/>
          <w:szCs w:val="18"/>
          <w:color w:val="1D1D1F"/>
        </w:rPr>
        <w:t>Information in</w:t>
      </w:r>
      <w:r>
        <w:rPr>
          <w:rFonts w:ascii="Times New Roman" w:cs="Times New Roman" w:eastAsia="Times New Roman" w:hAnsi="Times New Roman"/>
          <w:sz w:val="18"/>
          <w:szCs w:val="18"/>
          <w:color w:val="2F2F31"/>
        </w:rPr>
        <w:t xml:space="preserve"> question </w:t>
      </w:r>
      <w:r>
        <w:rPr>
          <w:rFonts w:ascii="Times New Roman" w:cs="Times New Roman" w:eastAsia="Times New Roman" w:hAnsi="Times New Roman"/>
          <w:sz w:val="18"/>
          <w:szCs w:val="18"/>
          <w:color w:val="1D1D1F"/>
        </w:rPr>
        <w:t xml:space="preserve">becomes </w:t>
      </w:r>
      <w:r>
        <w:rPr>
          <w:rFonts w:ascii="Times New Roman" w:cs="Times New Roman" w:eastAsia="Times New Roman" w:hAnsi="Times New Roman"/>
          <w:sz w:val="18"/>
          <w:szCs w:val="18"/>
          <w:color w:val="2F2F31"/>
        </w:rPr>
        <w:t>generally known to the</w:t>
      </w:r>
      <w:r>
        <w:rPr>
          <w:rFonts w:ascii="Times New Roman" w:cs="Times New Roman" w:eastAsia="Times New Roman" w:hAnsi="Times New Roman"/>
          <w:sz w:val="18"/>
          <w:szCs w:val="18"/>
          <w:color w:val="1D1D1F"/>
        </w:rPr>
        <w:t xml:space="preserve"> public </w:t>
      </w:r>
      <w:r>
        <w:rPr>
          <w:rFonts w:ascii="Times New Roman" w:cs="Times New Roman" w:eastAsia="Times New Roman" w:hAnsi="Times New Roman"/>
          <w:sz w:val="18"/>
          <w:szCs w:val="18"/>
          <w:color w:val="2F2F31"/>
        </w:rPr>
        <w:t>(other than as</w:t>
      </w:r>
      <w:r>
        <w:rPr>
          <w:rFonts w:ascii="Times New Roman" w:cs="Times New Roman" w:eastAsia="Times New Roman" w:hAnsi="Times New Roman"/>
          <w:sz w:val="18"/>
          <w:szCs w:val="18"/>
          <w:color w:val="1D1D1F"/>
        </w:rPr>
        <w:t xml:space="preserve"> may </w:t>
      </w:r>
      <w:r>
        <w:rPr>
          <w:rFonts w:ascii="Times New Roman" w:cs="Times New Roman" w:eastAsia="Times New Roman" w:hAnsi="Times New Roman"/>
          <w:sz w:val="18"/>
          <w:szCs w:val="18"/>
          <w:color w:val="2F2F31"/>
        </w:rPr>
        <w:t>occur from a breach of your obligations</w:t>
      </w:r>
      <w:r>
        <w:rPr>
          <w:rFonts w:ascii="Times New Roman" w:cs="Times New Roman" w:eastAsia="Times New Roman" w:hAnsi="Times New Roman"/>
          <w:sz w:val="18"/>
          <w:szCs w:val="18"/>
          <w:color w:val="1D1D1F"/>
        </w:rPr>
        <w:t xml:space="preserve"> under </w:t>
      </w:r>
      <w:r>
        <w:rPr>
          <w:rFonts w:ascii="Times New Roman" w:cs="Times New Roman" w:eastAsia="Times New Roman" w:hAnsi="Times New Roman"/>
          <w:sz w:val="18"/>
          <w:szCs w:val="18"/>
          <w:color w:val="2F2F31"/>
        </w:rPr>
        <w:t>this Agreement).</w:t>
      </w:r>
      <w:r>
        <w:rPr>
          <w:rFonts w:ascii="Times New Roman" w:cs="Times New Roman" w:eastAsia="Times New Roman" w:hAnsi="Times New Roman"/>
          <w:sz w:val="18"/>
          <w:szCs w:val="18"/>
          <w:color w:val="1D1D1F"/>
        </w:rPr>
        <w:t xml:space="preserve"> If </w:t>
      </w:r>
      <w:r>
        <w:rPr>
          <w:rFonts w:ascii="Times New Roman" w:cs="Times New Roman" w:eastAsia="Times New Roman" w:hAnsi="Times New Roman"/>
          <w:sz w:val="18"/>
          <w:szCs w:val="18"/>
          <w:color w:val="2F2F31"/>
        </w:rPr>
        <w:t>you are requested</w:t>
      </w:r>
      <w:r>
        <w:rPr>
          <w:rFonts w:ascii="Times New Roman" w:cs="Times New Roman" w:eastAsia="Times New Roman" w:hAnsi="Times New Roman"/>
          <w:sz w:val="18"/>
          <w:szCs w:val="18"/>
          <w:color w:val="1D1D1F"/>
        </w:rPr>
        <w:t xml:space="preserve"> </w:t>
      </w:r>
      <w:r>
        <w:rPr>
          <w:rFonts w:ascii="Times New Roman" w:cs="Times New Roman" w:eastAsia="Times New Roman" w:hAnsi="Times New Roman"/>
          <w:sz w:val="18"/>
          <w:szCs w:val="18"/>
          <w:color w:val="2F2F31"/>
        </w:rPr>
        <w:t>pursuant to</w:t>
      </w:r>
      <w:r>
        <w:rPr>
          <w:rFonts w:ascii="Times New Roman" w:cs="Times New Roman" w:eastAsia="Times New Roman" w:hAnsi="Times New Roman"/>
          <w:sz w:val="18"/>
          <w:szCs w:val="18"/>
          <w:color w:val="525254"/>
        </w:rPr>
        <w:t>,</w:t>
      </w:r>
      <w:r>
        <w:rPr>
          <w:rFonts w:ascii="Times New Roman" w:cs="Times New Roman" w:eastAsia="Times New Roman" w:hAnsi="Times New Roman"/>
          <w:sz w:val="18"/>
          <w:szCs w:val="18"/>
          <w:color w:val="2F2F31"/>
        </w:rPr>
        <w:t xml:space="preserve"> or required by any </w:t>
      </w:r>
      <w:r>
        <w:rPr>
          <w:rFonts w:ascii="Times New Roman" w:cs="Times New Roman" w:eastAsia="Times New Roman" w:hAnsi="Times New Roman"/>
          <w:sz w:val="18"/>
          <w:szCs w:val="18"/>
          <w:color w:val="1D1D1F"/>
        </w:rPr>
        <w:t>law</w:t>
      </w:r>
      <w:r>
        <w:rPr>
          <w:rFonts w:ascii="Times New Roman" w:cs="Times New Roman" w:eastAsia="Times New Roman" w:hAnsi="Times New Roman"/>
          <w:sz w:val="18"/>
          <w:szCs w:val="18"/>
          <w:color w:val="525254"/>
        </w:rPr>
        <w:t>,</w:t>
      </w:r>
      <w:r>
        <w:rPr>
          <w:rFonts w:ascii="Times New Roman" w:cs="Times New Roman" w:eastAsia="Times New Roman" w:hAnsi="Times New Roman"/>
          <w:sz w:val="18"/>
          <w:szCs w:val="18"/>
          <w:color w:val="2F2F31"/>
        </w:rPr>
        <w:t xml:space="preserve"> regulation or </w:t>
      </w:r>
      <w:r>
        <w:rPr>
          <w:rFonts w:ascii="Times New Roman" w:cs="Times New Roman" w:eastAsia="Times New Roman" w:hAnsi="Times New Roman"/>
          <w:sz w:val="18"/>
          <w:szCs w:val="18"/>
          <w:color w:val="1D1D1F"/>
        </w:rPr>
        <w:t>legal process</w:t>
      </w:r>
      <w:r>
        <w:rPr>
          <w:rFonts w:ascii="Times New Roman" w:cs="Times New Roman" w:eastAsia="Times New Roman" w:hAnsi="Times New Roman"/>
          <w:sz w:val="18"/>
          <w:szCs w:val="18"/>
          <w:color w:val="2F2F31"/>
        </w:rPr>
        <w:t xml:space="preserve"> to disclose any Confidential </w:t>
      </w:r>
      <w:r>
        <w:rPr>
          <w:rFonts w:ascii="Times New Roman" w:cs="Times New Roman" w:eastAsia="Times New Roman" w:hAnsi="Times New Roman"/>
          <w:sz w:val="18"/>
          <w:szCs w:val="18"/>
          <w:color w:val="1D1D1F"/>
        </w:rPr>
        <w:t>Information</w:t>
      </w:r>
      <w:r>
        <w:rPr>
          <w:rFonts w:ascii="Times New Roman" w:cs="Times New Roman" w:eastAsia="Times New Roman" w:hAnsi="Times New Roman"/>
          <w:sz w:val="18"/>
          <w:szCs w:val="18"/>
          <w:color w:val="525254"/>
        </w:rPr>
        <w:t>,</w:t>
      </w:r>
      <w:r>
        <w:rPr>
          <w:rFonts w:ascii="Times New Roman" w:cs="Times New Roman" w:eastAsia="Times New Roman" w:hAnsi="Times New Roman"/>
          <w:sz w:val="18"/>
          <w:szCs w:val="18"/>
          <w:color w:val="2F2F31"/>
        </w:rPr>
        <w:t xml:space="preserve"> you will provide Employer with written </w:t>
      </w:r>
      <w:r>
        <w:rPr>
          <w:rFonts w:ascii="Times New Roman" w:cs="Times New Roman" w:eastAsia="Times New Roman" w:hAnsi="Times New Roman"/>
          <w:sz w:val="18"/>
          <w:szCs w:val="18"/>
          <w:color w:val="1D1D1F"/>
        </w:rPr>
        <w:t xml:space="preserve">notice </w:t>
      </w:r>
      <w:r>
        <w:rPr>
          <w:rFonts w:ascii="Times New Roman" w:cs="Times New Roman" w:eastAsia="Times New Roman" w:hAnsi="Times New Roman"/>
          <w:sz w:val="18"/>
          <w:szCs w:val="18"/>
          <w:color w:val="2F2F31"/>
        </w:rPr>
        <w:t>of such</w:t>
      </w:r>
      <w:r>
        <w:rPr>
          <w:rFonts w:ascii="Times New Roman" w:cs="Times New Roman" w:eastAsia="Times New Roman" w:hAnsi="Times New Roman"/>
          <w:sz w:val="18"/>
          <w:szCs w:val="18"/>
          <w:color w:val="1D1D1F"/>
        </w:rPr>
        <w:t xml:space="preserve"> request </w:t>
      </w:r>
      <w:r>
        <w:rPr>
          <w:rFonts w:ascii="Times New Roman" w:cs="Times New Roman" w:eastAsia="Times New Roman" w:hAnsi="Times New Roman"/>
          <w:sz w:val="18"/>
          <w:szCs w:val="18"/>
          <w:color w:val="2F2F31"/>
        </w:rPr>
        <w:t>or requirement as</w:t>
      </w:r>
      <w:r>
        <w:rPr>
          <w:rFonts w:ascii="Times New Roman" w:cs="Times New Roman" w:eastAsia="Times New Roman" w:hAnsi="Times New Roman"/>
          <w:sz w:val="18"/>
          <w:szCs w:val="18"/>
          <w:color w:val="1D1D1F"/>
        </w:rPr>
        <w:t xml:space="preserve"> promptly </w:t>
      </w:r>
      <w:r>
        <w:rPr>
          <w:rFonts w:ascii="Times New Roman" w:cs="Times New Roman" w:eastAsia="Times New Roman" w:hAnsi="Times New Roman"/>
          <w:sz w:val="18"/>
          <w:szCs w:val="18"/>
          <w:color w:val="2F2F31"/>
        </w:rPr>
        <w:t>as</w:t>
      </w:r>
      <w:r>
        <w:rPr>
          <w:rFonts w:ascii="Times New Roman" w:cs="Times New Roman" w:eastAsia="Times New Roman" w:hAnsi="Times New Roman"/>
          <w:sz w:val="18"/>
          <w:szCs w:val="18"/>
          <w:color w:val="1D1D1F"/>
        </w:rPr>
        <w:t xml:space="preserve"> the </w:t>
      </w:r>
      <w:r>
        <w:rPr>
          <w:rFonts w:ascii="Times New Roman" w:cs="Times New Roman" w:eastAsia="Times New Roman" w:hAnsi="Times New Roman"/>
          <w:sz w:val="18"/>
          <w:szCs w:val="18"/>
          <w:color w:val="2F2F31"/>
        </w:rPr>
        <w:t>circumstances reasonably permit and comply with any protective order or other appropriate</w:t>
      </w:r>
      <w:r>
        <w:rPr>
          <w:rFonts w:ascii="Times New Roman" w:cs="Times New Roman" w:eastAsia="Times New Roman" w:hAnsi="Times New Roman"/>
          <w:sz w:val="18"/>
          <w:szCs w:val="18"/>
          <w:color w:val="1D1D1F"/>
        </w:rPr>
        <w:t xml:space="preserve"> </w:t>
      </w:r>
      <w:r>
        <w:rPr>
          <w:rFonts w:ascii="Times New Roman" w:cs="Times New Roman" w:eastAsia="Times New Roman" w:hAnsi="Times New Roman"/>
          <w:sz w:val="18"/>
          <w:szCs w:val="18"/>
          <w:color w:val="2F2F31"/>
        </w:rPr>
        <w:t xml:space="preserve">relief the Employer or the Company obtains preventing or </w:t>
      </w:r>
      <w:r>
        <w:rPr>
          <w:rFonts w:ascii="Times New Roman" w:cs="Times New Roman" w:eastAsia="Times New Roman" w:hAnsi="Times New Roman"/>
          <w:sz w:val="18"/>
          <w:szCs w:val="18"/>
          <w:color w:val="1D1D1F"/>
        </w:rPr>
        <w:t>limiting</w:t>
      </w:r>
      <w:r>
        <w:rPr>
          <w:rFonts w:ascii="Times New Roman" w:cs="Times New Roman" w:eastAsia="Times New Roman" w:hAnsi="Times New Roman"/>
          <w:sz w:val="18"/>
          <w:szCs w:val="18"/>
          <w:color w:val="2F2F31"/>
        </w:rPr>
        <w:t xml:space="preserve"> any such disclosure. You agree and acknowledge that you are obligated </w:t>
      </w:r>
      <w:r>
        <w:rPr>
          <w:rFonts w:ascii="Times New Roman" w:cs="Times New Roman" w:eastAsia="Times New Roman" w:hAnsi="Times New Roman"/>
          <w:sz w:val="18"/>
          <w:szCs w:val="18"/>
          <w:color w:val="1D1D1F"/>
        </w:rPr>
        <w:t>to maintain</w:t>
      </w:r>
      <w:r>
        <w:rPr>
          <w:rFonts w:ascii="Times New Roman" w:cs="Times New Roman" w:eastAsia="Times New Roman" w:hAnsi="Times New Roman"/>
          <w:sz w:val="18"/>
          <w:szCs w:val="18"/>
          <w:color w:val="2F2F31"/>
        </w:rPr>
        <w:t xml:space="preserve"> </w:t>
      </w:r>
      <w:r>
        <w:rPr>
          <w:rFonts w:ascii="Times New Roman" w:cs="Times New Roman" w:eastAsia="Times New Roman" w:hAnsi="Times New Roman"/>
          <w:sz w:val="18"/>
          <w:szCs w:val="18"/>
          <w:color w:val="1D1D1F"/>
        </w:rPr>
        <w:t xml:space="preserve">trade </w:t>
      </w:r>
      <w:r>
        <w:rPr>
          <w:rFonts w:ascii="Times New Roman" w:cs="Times New Roman" w:eastAsia="Times New Roman" w:hAnsi="Times New Roman"/>
          <w:sz w:val="18"/>
          <w:szCs w:val="18"/>
          <w:color w:val="2F2F31"/>
        </w:rPr>
        <w:t>secrets</w:t>
      </w:r>
      <w:r>
        <w:rPr>
          <w:rFonts w:ascii="Times New Roman" w:cs="Times New Roman" w:eastAsia="Times New Roman" w:hAnsi="Times New Roman"/>
          <w:sz w:val="18"/>
          <w:szCs w:val="18"/>
          <w:color w:val="1D1D1F"/>
        </w:rPr>
        <w:t xml:space="preserve"> pursuant </w:t>
      </w:r>
      <w:r>
        <w:rPr>
          <w:rFonts w:ascii="Times New Roman" w:cs="Times New Roman" w:eastAsia="Times New Roman" w:hAnsi="Times New Roman"/>
          <w:sz w:val="18"/>
          <w:szCs w:val="18"/>
          <w:color w:val="2F2F31"/>
        </w:rPr>
        <w:t>to any applicable state Uniform Trade Secret Act</w:t>
      </w:r>
      <w:r>
        <w:rPr>
          <w:rFonts w:ascii="Times New Roman" w:cs="Times New Roman" w:eastAsia="Times New Roman" w:hAnsi="Times New Roman"/>
          <w:sz w:val="18"/>
          <w:szCs w:val="18"/>
          <w:color w:val="525254"/>
        </w:rPr>
        <w:t>,</w:t>
      </w:r>
      <w:r>
        <w:rPr>
          <w:rFonts w:ascii="Times New Roman" w:cs="Times New Roman" w:eastAsia="Times New Roman" w:hAnsi="Times New Roman"/>
          <w:sz w:val="18"/>
          <w:szCs w:val="18"/>
          <w:color w:val="1D1D1F"/>
        </w:rPr>
        <w:t xml:space="preserve"> </w:t>
      </w:r>
      <w:r>
        <w:rPr>
          <w:rFonts w:ascii="Times New Roman" w:cs="Times New Roman" w:eastAsia="Times New Roman" w:hAnsi="Times New Roman"/>
          <w:sz w:val="18"/>
          <w:szCs w:val="18"/>
          <w:color w:val="2F2F31"/>
        </w:rPr>
        <w:t>and that this Agreement does</w:t>
      </w:r>
      <w:r>
        <w:rPr>
          <w:rFonts w:ascii="Times New Roman" w:cs="Times New Roman" w:eastAsia="Times New Roman" w:hAnsi="Times New Roman"/>
          <w:sz w:val="18"/>
          <w:szCs w:val="18"/>
          <w:color w:val="1D1D1F"/>
        </w:rPr>
        <w:t xml:space="preserve"> not </w:t>
      </w:r>
      <w:r>
        <w:rPr>
          <w:rFonts w:ascii="Times New Roman" w:cs="Times New Roman" w:eastAsia="Times New Roman" w:hAnsi="Times New Roman"/>
          <w:sz w:val="18"/>
          <w:szCs w:val="18"/>
          <w:color w:val="2F2F31"/>
        </w:rPr>
        <w:t>supersede or in any way</w:t>
      </w:r>
      <w:r>
        <w:rPr>
          <w:rFonts w:ascii="Times New Roman" w:cs="Times New Roman" w:eastAsia="Times New Roman" w:hAnsi="Times New Roman"/>
          <w:sz w:val="18"/>
          <w:szCs w:val="18"/>
          <w:color w:val="1D1D1F"/>
        </w:rPr>
        <w:t xml:space="preserve"> limit </w:t>
      </w:r>
      <w:r>
        <w:rPr>
          <w:rFonts w:ascii="Times New Roman" w:cs="Times New Roman" w:eastAsia="Times New Roman" w:hAnsi="Times New Roman"/>
          <w:sz w:val="18"/>
          <w:szCs w:val="18"/>
          <w:color w:val="2F2F31"/>
        </w:rPr>
        <w:t>the protections</w:t>
      </w:r>
      <w:r>
        <w:rPr>
          <w:rFonts w:ascii="Times New Roman" w:cs="Times New Roman" w:eastAsia="Times New Roman" w:hAnsi="Times New Roman"/>
          <w:sz w:val="18"/>
          <w:szCs w:val="18"/>
          <w:color w:val="1D1D1F"/>
        </w:rPr>
        <w:t xml:space="preserve"> </w:t>
      </w:r>
      <w:r>
        <w:rPr>
          <w:rFonts w:ascii="Times New Roman" w:cs="Times New Roman" w:eastAsia="Times New Roman" w:hAnsi="Times New Roman"/>
          <w:sz w:val="18"/>
          <w:szCs w:val="18"/>
          <w:color w:val="2F2F31"/>
        </w:rPr>
        <w:t xml:space="preserve">of such statutory </w:t>
      </w:r>
      <w:r>
        <w:rPr>
          <w:rFonts w:ascii="Times New Roman" w:cs="Times New Roman" w:eastAsia="Times New Roman" w:hAnsi="Times New Roman"/>
          <w:sz w:val="18"/>
          <w:szCs w:val="18"/>
          <w:color w:val="1D1D1F"/>
        </w:rPr>
        <w:t>protections.</w:t>
      </w:r>
    </w:p>
    <w:p>
      <w:pPr>
        <w:spacing w:after="0" w:line="158" w:lineRule="exact"/>
        <w:rPr>
          <w:sz w:val="20"/>
          <w:szCs w:val="20"/>
          <w:color w:val="auto"/>
        </w:rPr>
      </w:pPr>
    </w:p>
    <w:p>
      <w:pPr>
        <w:ind w:left="680" w:hanging="647"/>
        <w:spacing w:after="0"/>
        <w:tabs>
          <w:tab w:leader="none" w:pos="680" w:val="left"/>
        </w:tabs>
        <w:numPr>
          <w:ilvl w:val="0"/>
          <w:numId w:val="232"/>
        </w:numPr>
        <w:rPr>
          <w:rFonts w:ascii="Times New Roman" w:cs="Times New Roman" w:eastAsia="Times New Roman" w:hAnsi="Times New Roman"/>
          <w:sz w:val="18"/>
          <w:szCs w:val="18"/>
          <w:b w:val="1"/>
          <w:bCs w:val="1"/>
          <w:color w:val="2F2F31"/>
        </w:rPr>
      </w:pPr>
      <w:r>
        <w:rPr>
          <w:rFonts w:ascii="Times New Roman" w:cs="Times New Roman" w:eastAsia="Times New Roman" w:hAnsi="Times New Roman"/>
          <w:sz w:val="18"/>
          <w:szCs w:val="18"/>
          <w:b w:val="1"/>
          <w:bCs w:val="1"/>
          <w:color w:val="2F2F31"/>
        </w:rPr>
        <w:t>Return of Company Property</w:t>
      </w:r>
    </w:p>
    <w:p>
      <w:pPr>
        <w:spacing w:after="0" w:line="189" w:lineRule="exact"/>
        <w:rPr>
          <w:sz w:val="20"/>
          <w:szCs w:val="20"/>
          <w:color w:val="auto"/>
        </w:rPr>
      </w:pPr>
    </w:p>
    <w:p>
      <w:pPr>
        <w:jc w:val="both"/>
        <w:ind w:left="80" w:right="40" w:firstLine="734"/>
        <w:spacing w:after="0" w:line="255" w:lineRule="auto"/>
        <w:rPr>
          <w:sz w:val="20"/>
          <w:szCs w:val="20"/>
          <w:color w:val="auto"/>
        </w:rPr>
      </w:pPr>
      <w:r>
        <w:rPr>
          <w:rFonts w:ascii="Times New Roman" w:cs="Times New Roman" w:eastAsia="Times New Roman" w:hAnsi="Times New Roman"/>
          <w:sz w:val="18"/>
          <w:szCs w:val="18"/>
          <w:color w:val="2F2F31"/>
        </w:rPr>
        <w:t xml:space="preserve">2.1 Upon separation </w:t>
      </w:r>
      <w:r>
        <w:rPr>
          <w:rFonts w:ascii="Times New Roman" w:cs="Times New Roman" w:eastAsia="Times New Roman" w:hAnsi="Times New Roman"/>
          <w:sz w:val="18"/>
          <w:szCs w:val="18"/>
          <w:color w:val="1D1D1F"/>
        </w:rPr>
        <w:t>from the</w:t>
      </w:r>
      <w:r>
        <w:rPr>
          <w:rFonts w:ascii="Times New Roman" w:cs="Times New Roman" w:eastAsia="Times New Roman" w:hAnsi="Times New Roman"/>
          <w:sz w:val="18"/>
          <w:szCs w:val="18"/>
          <w:color w:val="2F2F31"/>
        </w:rPr>
        <w:t xml:space="preserve"> Employer for whatever reason</w:t>
      </w:r>
      <w:r>
        <w:rPr>
          <w:rFonts w:ascii="Times New Roman" w:cs="Times New Roman" w:eastAsia="Times New Roman" w:hAnsi="Times New Roman"/>
          <w:sz w:val="18"/>
          <w:szCs w:val="18"/>
          <w:color w:val="525254"/>
        </w:rPr>
        <w:t>,</w:t>
      </w:r>
      <w:r>
        <w:rPr>
          <w:rFonts w:ascii="Times New Roman" w:cs="Times New Roman" w:eastAsia="Times New Roman" w:hAnsi="Times New Roman"/>
          <w:sz w:val="18"/>
          <w:szCs w:val="18"/>
          <w:color w:val="2F2F31"/>
        </w:rPr>
        <w:t xml:space="preserve"> you will immediately deliver </w:t>
      </w:r>
      <w:r>
        <w:rPr>
          <w:rFonts w:ascii="Times New Roman" w:cs="Times New Roman" w:eastAsia="Times New Roman" w:hAnsi="Times New Roman"/>
          <w:sz w:val="18"/>
          <w:szCs w:val="18"/>
          <w:color w:val="1D1D1F"/>
        </w:rPr>
        <w:t>to</w:t>
      </w:r>
      <w:r>
        <w:rPr>
          <w:rFonts w:ascii="Times New Roman" w:cs="Times New Roman" w:eastAsia="Times New Roman" w:hAnsi="Times New Roman"/>
          <w:sz w:val="18"/>
          <w:szCs w:val="18"/>
          <w:color w:val="2F2F31"/>
        </w:rPr>
        <w:t xml:space="preserve"> the Employer: (a) all property of the Company that is then in your </w:t>
      </w:r>
      <w:r>
        <w:rPr>
          <w:rFonts w:ascii="Times New Roman" w:cs="Times New Roman" w:eastAsia="Times New Roman" w:hAnsi="Times New Roman"/>
          <w:sz w:val="18"/>
          <w:szCs w:val="18"/>
          <w:color w:val="1D1D1F"/>
        </w:rPr>
        <w:t>possession,</w:t>
      </w:r>
      <w:r>
        <w:rPr>
          <w:rFonts w:ascii="Times New Roman" w:cs="Times New Roman" w:eastAsia="Times New Roman" w:hAnsi="Times New Roman"/>
          <w:sz w:val="18"/>
          <w:szCs w:val="18"/>
          <w:color w:val="2F2F31"/>
        </w:rPr>
        <w:t xml:space="preserve"> custody or control</w:t>
      </w:r>
      <w:r>
        <w:rPr>
          <w:rFonts w:ascii="Times New Roman" w:cs="Times New Roman" w:eastAsia="Times New Roman" w:hAnsi="Times New Roman"/>
          <w:sz w:val="18"/>
          <w:szCs w:val="18"/>
          <w:color w:val="525254"/>
        </w:rPr>
        <w:t>,</w:t>
      </w:r>
      <w:r>
        <w:rPr>
          <w:rFonts w:ascii="Times New Roman" w:cs="Times New Roman" w:eastAsia="Times New Roman" w:hAnsi="Times New Roman"/>
          <w:sz w:val="18"/>
          <w:szCs w:val="18"/>
          <w:color w:val="2F2F31"/>
        </w:rPr>
        <w:t xml:space="preserve"> including</w:t>
      </w:r>
      <w:r>
        <w:rPr>
          <w:rFonts w:ascii="Times New Roman" w:cs="Times New Roman" w:eastAsia="Times New Roman" w:hAnsi="Times New Roman"/>
          <w:sz w:val="18"/>
          <w:szCs w:val="18"/>
          <w:color w:val="525254"/>
        </w:rPr>
        <w:t>,</w:t>
      </w:r>
      <w:r>
        <w:rPr>
          <w:rFonts w:ascii="Times New Roman" w:cs="Times New Roman" w:eastAsia="Times New Roman" w:hAnsi="Times New Roman"/>
          <w:sz w:val="18"/>
          <w:szCs w:val="18"/>
          <w:color w:val="2F2F31"/>
        </w:rPr>
        <w:t xml:space="preserve"> without </w:t>
      </w:r>
      <w:r>
        <w:rPr>
          <w:rFonts w:ascii="Times New Roman" w:cs="Times New Roman" w:eastAsia="Times New Roman" w:hAnsi="Times New Roman"/>
          <w:sz w:val="18"/>
          <w:szCs w:val="18"/>
          <w:color w:val="1D1D1F"/>
        </w:rPr>
        <w:t>limitation</w:t>
      </w:r>
      <w:r>
        <w:rPr>
          <w:rFonts w:ascii="Times New Roman" w:cs="Times New Roman" w:eastAsia="Times New Roman" w:hAnsi="Times New Roman"/>
          <w:sz w:val="18"/>
          <w:szCs w:val="18"/>
          <w:color w:val="525254"/>
        </w:rPr>
        <w:t>,</w:t>
      </w:r>
      <w:r>
        <w:rPr>
          <w:rFonts w:ascii="Times New Roman" w:cs="Times New Roman" w:eastAsia="Times New Roman" w:hAnsi="Times New Roman"/>
          <w:sz w:val="18"/>
          <w:szCs w:val="18"/>
          <w:color w:val="2F2F31"/>
        </w:rPr>
        <w:t xml:space="preserve"> all keys, access cards</w:t>
      </w:r>
      <w:r>
        <w:rPr>
          <w:rFonts w:ascii="Times New Roman" w:cs="Times New Roman" w:eastAsia="Times New Roman" w:hAnsi="Times New Roman"/>
          <w:sz w:val="18"/>
          <w:szCs w:val="18"/>
          <w:color w:val="525254"/>
        </w:rPr>
        <w:t>,</w:t>
      </w:r>
      <w:r>
        <w:rPr>
          <w:rFonts w:ascii="Times New Roman" w:cs="Times New Roman" w:eastAsia="Times New Roman" w:hAnsi="Times New Roman"/>
          <w:sz w:val="18"/>
          <w:szCs w:val="18"/>
          <w:color w:val="2F2F31"/>
        </w:rPr>
        <w:t xml:space="preserve"> computer hardware (including </w:t>
      </w:r>
      <w:r>
        <w:rPr>
          <w:rFonts w:ascii="Times New Roman" w:cs="Times New Roman" w:eastAsia="Times New Roman" w:hAnsi="Times New Roman"/>
          <w:sz w:val="18"/>
          <w:szCs w:val="18"/>
          <w:color w:val="1D1D1F"/>
        </w:rPr>
        <w:t>but not</w:t>
      </w:r>
      <w:r>
        <w:rPr>
          <w:rFonts w:ascii="Times New Roman" w:cs="Times New Roman" w:eastAsia="Times New Roman" w:hAnsi="Times New Roman"/>
          <w:sz w:val="18"/>
          <w:szCs w:val="18"/>
          <w:color w:val="2F2F31"/>
        </w:rPr>
        <w:t xml:space="preserve"> </w:t>
      </w:r>
      <w:r>
        <w:rPr>
          <w:rFonts w:ascii="Times New Roman" w:cs="Times New Roman" w:eastAsia="Times New Roman" w:hAnsi="Times New Roman"/>
          <w:sz w:val="18"/>
          <w:szCs w:val="18"/>
          <w:color w:val="1D1D1F"/>
        </w:rPr>
        <w:t xml:space="preserve">limited to </w:t>
      </w:r>
      <w:r>
        <w:rPr>
          <w:rFonts w:ascii="Times New Roman" w:cs="Times New Roman" w:eastAsia="Times New Roman" w:hAnsi="Times New Roman"/>
          <w:sz w:val="18"/>
          <w:szCs w:val="18"/>
          <w:color w:val="2F2F31"/>
        </w:rPr>
        <w:t>any</w:t>
      </w:r>
      <w:r>
        <w:rPr>
          <w:rFonts w:ascii="Times New Roman" w:cs="Times New Roman" w:eastAsia="Times New Roman" w:hAnsi="Times New Roman"/>
          <w:sz w:val="18"/>
          <w:szCs w:val="18"/>
          <w:color w:val="1D1D1F"/>
        </w:rPr>
        <w:t xml:space="preserve"> hard drives</w:t>
      </w:r>
      <w:r>
        <w:rPr>
          <w:rFonts w:ascii="Times New Roman" w:cs="Times New Roman" w:eastAsia="Times New Roman" w:hAnsi="Times New Roman"/>
          <w:sz w:val="18"/>
          <w:szCs w:val="18"/>
          <w:color w:val="525254"/>
        </w:rPr>
        <w:t>,</w:t>
      </w:r>
      <w:r>
        <w:rPr>
          <w:rFonts w:ascii="Times New Roman" w:cs="Times New Roman" w:eastAsia="Times New Roman" w:hAnsi="Times New Roman"/>
          <w:sz w:val="18"/>
          <w:szCs w:val="18"/>
          <w:color w:val="1D1D1F"/>
        </w:rPr>
        <w:t xml:space="preserve"> </w:t>
      </w:r>
      <w:r>
        <w:rPr>
          <w:rFonts w:ascii="Times New Roman" w:cs="Times New Roman" w:eastAsia="Times New Roman" w:hAnsi="Times New Roman"/>
          <w:sz w:val="18"/>
          <w:szCs w:val="18"/>
          <w:color w:val="2D2D2F"/>
        </w:rPr>
        <w:t>diskettes</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1D1D1F"/>
        </w:rPr>
        <w:t xml:space="preserve"> </w:t>
      </w:r>
      <w:r>
        <w:rPr>
          <w:rFonts w:ascii="Times New Roman" w:cs="Times New Roman" w:eastAsia="Times New Roman" w:hAnsi="Times New Roman"/>
          <w:sz w:val="18"/>
          <w:szCs w:val="18"/>
          <w:color w:val="2D2D2F"/>
        </w:rPr>
        <w:t>CDs,</w:t>
      </w:r>
      <w:r>
        <w:rPr>
          <w:rFonts w:ascii="Times New Roman" w:cs="Times New Roman" w:eastAsia="Times New Roman" w:hAnsi="Times New Roman"/>
          <w:sz w:val="18"/>
          <w:szCs w:val="18"/>
          <w:color w:val="1D1D1F"/>
        </w:rPr>
        <w:t xml:space="preserve"> DVDs</w:t>
      </w:r>
      <w:r>
        <w:rPr>
          <w:rFonts w:ascii="Times New Roman" w:cs="Times New Roman" w:eastAsia="Times New Roman" w:hAnsi="Times New Roman"/>
          <w:sz w:val="18"/>
          <w:szCs w:val="18"/>
          <w:color w:val="464646"/>
        </w:rPr>
        <w:t>,</w:t>
      </w:r>
      <w:r>
        <w:rPr>
          <w:rFonts w:ascii="Times New Roman" w:cs="Times New Roman" w:eastAsia="Times New Roman" w:hAnsi="Times New Roman"/>
          <w:sz w:val="18"/>
          <w:szCs w:val="18"/>
          <w:color w:val="1D1D1F"/>
        </w:rPr>
        <w:t xml:space="preserve"> </w:t>
      </w:r>
      <w:r>
        <w:rPr>
          <w:rFonts w:ascii="Times New Roman" w:cs="Times New Roman" w:eastAsia="Times New Roman" w:hAnsi="Times New Roman"/>
          <w:sz w:val="18"/>
          <w:szCs w:val="18"/>
          <w:color w:val="2D2D2F"/>
        </w:rPr>
        <w:t>flash or jump</w:t>
      </w:r>
      <w:r>
        <w:rPr>
          <w:rFonts w:ascii="Times New Roman" w:cs="Times New Roman" w:eastAsia="Times New Roman" w:hAnsi="Times New Roman"/>
          <w:sz w:val="18"/>
          <w:szCs w:val="18"/>
          <w:color w:val="1D1D1F"/>
        </w:rPr>
        <w:t xml:space="preserve"> drives</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1D1D1F"/>
        </w:rPr>
        <w:t xml:space="preserve"> laptop </w:t>
      </w:r>
      <w:r>
        <w:rPr>
          <w:rFonts w:ascii="Times New Roman" w:cs="Times New Roman" w:eastAsia="Times New Roman" w:hAnsi="Times New Roman"/>
          <w:sz w:val="18"/>
          <w:szCs w:val="18"/>
          <w:color w:val="2D2D2F"/>
        </w:rPr>
        <w:t>computers and</w:t>
      </w:r>
      <w:r>
        <w:rPr>
          <w:rFonts w:ascii="Times New Roman" w:cs="Times New Roman" w:eastAsia="Times New Roman" w:hAnsi="Times New Roman"/>
          <w:sz w:val="18"/>
          <w:szCs w:val="18"/>
          <w:color w:val="1D1D1F"/>
        </w:rPr>
        <w:t xml:space="preserve"> personal data </w:t>
      </w:r>
      <w:r>
        <w:rPr>
          <w:rFonts w:ascii="Times New Roman" w:cs="Times New Roman" w:eastAsia="Times New Roman" w:hAnsi="Times New Roman"/>
          <w:sz w:val="18"/>
          <w:szCs w:val="18"/>
          <w:color w:val="2D2D2F"/>
        </w:rPr>
        <w:t>assistants and the entire contents of each</w:t>
      </w:r>
      <w:r>
        <w:rPr>
          <w:rFonts w:ascii="Times New Roman" w:cs="Times New Roman" w:eastAsia="Times New Roman" w:hAnsi="Times New Roman"/>
          <w:sz w:val="18"/>
          <w:szCs w:val="18"/>
          <w:color w:val="1D1D1F"/>
        </w:rPr>
        <w:t xml:space="preserve"> </w:t>
      </w:r>
      <w:r>
        <w:rPr>
          <w:rFonts w:ascii="Times New Roman" w:cs="Times New Roman" w:eastAsia="Times New Roman" w:hAnsi="Times New Roman"/>
          <w:sz w:val="18"/>
          <w:szCs w:val="18"/>
          <w:color w:val="2D2D2F"/>
        </w:rPr>
        <w:t xml:space="preserve">such </w:t>
      </w:r>
      <w:r>
        <w:rPr>
          <w:rFonts w:ascii="Times New Roman" w:cs="Times New Roman" w:eastAsia="Times New Roman" w:hAnsi="Times New Roman"/>
          <w:sz w:val="18"/>
          <w:szCs w:val="18"/>
          <w:color w:val="1D1D1F"/>
        </w:rPr>
        <w:t>item</w:t>
      </w:r>
      <w:r>
        <w:rPr>
          <w:rFonts w:ascii="Times New Roman" w:cs="Times New Roman" w:eastAsia="Times New Roman" w:hAnsi="Times New Roman"/>
          <w:sz w:val="18"/>
          <w:szCs w:val="18"/>
          <w:color w:val="464646"/>
        </w:rPr>
        <w:t>,</w:t>
      </w:r>
      <w:r>
        <w:rPr>
          <w:rFonts w:ascii="Times New Roman" w:cs="Times New Roman" w:eastAsia="Times New Roman" w:hAnsi="Times New Roman"/>
          <w:sz w:val="18"/>
          <w:szCs w:val="18"/>
          <w:color w:val="2D2D2F"/>
        </w:rPr>
        <w:t xml:space="preserve"> as well as any </w:t>
      </w:r>
      <w:r>
        <w:rPr>
          <w:rFonts w:ascii="Times New Roman" w:cs="Times New Roman" w:eastAsia="Times New Roman" w:hAnsi="Times New Roman"/>
          <w:sz w:val="18"/>
          <w:szCs w:val="18"/>
          <w:color w:val="1D1D1F"/>
        </w:rPr>
        <w:t>passwords</w:t>
      </w:r>
      <w:r>
        <w:rPr>
          <w:rFonts w:ascii="Times New Roman" w:cs="Times New Roman" w:eastAsia="Times New Roman" w:hAnsi="Times New Roman"/>
          <w:sz w:val="18"/>
          <w:szCs w:val="18"/>
          <w:color w:val="2D2D2F"/>
        </w:rPr>
        <w:t xml:space="preserve"> or codes needed </w:t>
      </w:r>
      <w:r>
        <w:rPr>
          <w:rFonts w:ascii="Times New Roman" w:cs="Times New Roman" w:eastAsia="Times New Roman" w:hAnsi="Times New Roman"/>
          <w:sz w:val="18"/>
          <w:szCs w:val="18"/>
          <w:color w:val="1D1D1F"/>
        </w:rPr>
        <w:t>to</w:t>
      </w:r>
      <w:r>
        <w:rPr>
          <w:rFonts w:ascii="Times New Roman" w:cs="Times New Roman" w:eastAsia="Times New Roman" w:hAnsi="Times New Roman"/>
          <w:sz w:val="18"/>
          <w:szCs w:val="18"/>
          <w:color w:val="2D2D2F"/>
        </w:rPr>
        <w:t xml:space="preserve"> access or operate effectively any such </w:t>
      </w:r>
      <w:r>
        <w:rPr>
          <w:rFonts w:ascii="Times New Roman" w:cs="Times New Roman" w:eastAsia="Times New Roman" w:hAnsi="Times New Roman"/>
          <w:sz w:val="18"/>
          <w:szCs w:val="18"/>
          <w:color w:val="1D1D1F"/>
        </w:rPr>
        <w:t>item)</w:t>
      </w:r>
      <w:r>
        <w:rPr>
          <w:rFonts w:ascii="Times New Roman" w:cs="Times New Roman" w:eastAsia="Times New Roman" w:hAnsi="Times New Roman"/>
          <w:sz w:val="18"/>
          <w:szCs w:val="18"/>
          <w:color w:val="464646"/>
        </w:rPr>
        <w:t>,</w:t>
      </w:r>
      <w:r>
        <w:rPr>
          <w:rFonts w:ascii="Times New Roman" w:cs="Times New Roman" w:eastAsia="Times New Roman" w:hAnsi="Times New Roman"/>
          <w:sz w:val="18"/>
          <w:szCs w:val="18"/>
          <w:color w:val="2D2D2F"/>
        </w:rPr>
        <w:t xml:space="preserve"> electronically-stored </w:t>
      </w:r>
      <w:r>
        <w:rPr>
          <w:rFonts w:ascii="Times New Roman" w:cs="Times New Roman" w:eastAsia="Times New Roman" w:hAnsi="Times New Roman"/>
          <w:sz w:val="18"/>
          <w:szCs w:val="18"/>
          <w:color w:val="1D1D1F"/>
        </w:rPr>
        <w:t>information</w:t>
      </w:r>
      <w:r>
        <w:rPr>
          <w:rFonts w:ascii="Times New Roman" w:cs="Times New Roman" w:eastAsia="Times New Roman" w:hAnsi="Times New Roman"/>
          <w:sz w:val="18"/>
          <w:szCs w:val="18"/>
          <w:color w:val="2D2D2F"/>
        </w:rPr>
        <w:t xml:space="preserve"> (including </w:t>
      </w:r>
      <w:r>
        <w:rPr>
          <w:rFonts w:ascii="Times New Roman" w:cs="Times New Roman" w:eastAsia="Times New Roman" w:hAnsi="Times New Roman"/>
          <w:sz w:val="18"/>
          <w:szCs w:val="18"/>
          <w:color w:val="1D1D1F"/>
        </w:rPr>
        <w:t>but</w:t>
      </w:r>
      <w:r>
        <w:rPr>
          <w:rFonts w:ascii="Times New Roman" w:cs="Times New Roman" w:eastAsia="Times New Roman" w:hAnsi="Times New Roman"/>
          <w:sz w:val="18"/>
          <w:szCs w:val="18"/>
          <w:color w:val="2D2D2F"/>
        </w:rPr>
        <w:t xml:space="preserve"> </w:t>
      </w:r>
      <w:r>
        <w:rPr>
          <w:rFonts w:ascii="Times New Roman" w:cs="Times New Roman" w:eastAsia="Times New Roman" w:hAnsi="Times New Roman"/>
          <w:sz w:val="18"/>
          <w:szCs w:val="18"/>
          <w:color w:val="1D1D1F"/>
        </w:rPr>
        <w:t xml:space="preserve">not limited </w:t>
      </w:r>
      <w:r>
        <w:rPr>
          <w:rFonts w:ascii="Times New Roman" w:cs="Times New Roman" w:eastAsia="Times New Roman" w:hAnsi="Times New Roman"/>
          <w:sz w:val="18"/>
          <w:szCs w:val="18"/>
          <w:color w:val="2D2D2F"/>
        </w:rPr>
        <w:t>to any</w:t>
      </w:r>
      <w:r>
        <w:rPr>
          <w:rFonts w:ascii="Times New Roman" w:cs="Times New Roman" w:eastAsia="Times New Roman" w:hAnsi="Times New Roman"/>
          <w:sz w:val="18"/>
          <w:szCs w:val="18"/>
          <w:color w:val="1D1D1F"/>
        </w:rPr>
        <w:t xml:space="preserve"> documents </w:t>
      </w:r>
      <w:r>
        <w:rPr>
          <w:rFonts w:ascii="Times New Roman" w:cs="Times New Roman" w:eastAsia="Times New Roman" w:hAnsi="Times New Roman"/>
          <w:sz w:val="18"/>
          <w:szCs w:val="18"/>
          <w:color w:val="2D2D2F"/>
        </w:rPr>
        <w:t>or</w:t>
      </w:r>
      <w:r>
        <w:rPr>
          <w:rFonts w:ascii="Times New Roman" w:cs="Times New Roman" w:eastAsia="Times New Roman" w:hAnsi="Times New Roman"/>
          <w:sz w:val="18"/>
          <w:szCs w:val="18"/>
          <w:color w:val="1D1D1F"/>
        </w:rPr>
        <w:t xml:space="preserve"> information </w:t>
      </w:r>
      <w:r>
        <w:rPr>
          <w:rFonts w:ascii="Times New Roman" w:cs="Times New Roman" w:eastAsia="Times New Roman" w:hAnsi="Times New Roman"/>
          <w:sz w:val="18"/>
          <w:szCs w:val="18"/>
          <w:color w:val="2D2D2F"/>
        </w:rPr>
        <w:t>stored within or on any third-party email or cloud-based storage repositories)</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1D1D1F"/>
        </w:rPr>
        <w:t xml:space="preserve"> </w:t>
      </w:r>
      <w:r>
        <w:rPr>
          <w:rFonts w:ascii="Times New Roman" w:cs="Times New Roman" w:eastAsia="Times New Roman" w:hAnsi="Times New Roman"/>
          <w:sz w:val="18"/>
          <w:szCs w:val="18"/>
          <w:color w:val="2D2D2F"/>
        </w:rPr>
        <w:t>computer software and</w:t>
      </w:r>
      <w:r>
        <w:rPr>
          <w:rFonts w:ascii="Times New Roman" w:cs="Times New Roman" w:eastAsia="Times New Roman" w:hAnsi="Times New Roman"/>
          <w:sz w:val="18"/>
          <w:szCs w:val="18"/>
          <w:color w:val="1D1D1F"/>
        </w:rPr>
        <w:t xml:space="preserve"> programs</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1D1D1F"/>
        </w:rPr>
        <w:t xml:space="preserve"> data</w:t>
      </w:r>
      <w:r>
        <w:rPr>
          <w:rFonts w:ascii="Times New Roman" w:cs="Times New Roman" w:eastAsia="Times New Roman" w:hAnsi="Times New Roman"/>
          <w:sz w:val="18"/>
          <w:szCs w:val="18"/>
          <w:color w:val="464646"/>
        </w:rPr>
        <w:t>,</w:t>
      </w:r>
      <w:r>
        <w:rPr>
          <w:rFonts w:ascii="Times New Roman" w:cs="Times New Roman" w:eastAsia="Times New Roman" w:hAnsi="Times New Roman"/>
          <w:sz w:val="18"/>
          <w:szCs w:val="18"/>
          <w:color w:val="1D1D1F"/>
        </w:rPr>
        <w:t xml:space="preserve"> </w:t>
      </w:r>
      <w:r>
        <w:rPr>
          <w:rFonts w:ascii="Times New Roman" w:cs="Times New Roman" w:eastAsia="Times New Roman" w:hAnsi="Times New Roman"/>
          <w:sz w:val="18"/>
          <w:szCs w:val="18"/>
          <w:color w:val="2D2D2F"/>
        </w:rPr>
        <w:t>materials,</w:t>
      </w:r>
      <w:r>
        <w:rPr>
          <w:rFonts w:ascii="Times New Roman" w:cs="Times New Roman" w:eastAsia="Times New Roman" w:hAnsi="Times New Roman"/>
          <w:sz w:val="18"/>
          <w:szCs w:val="18"/>
          <w:color w:val="1D1D1F"/>
        </w:rPr>
        <w:t xml:space="preserve"> papers</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1D1D1F"/>
        </w:rPr>
        <w:t xml:space="preserve"> books</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1D1D1F"/>
        </w:rPr>
        <w:t xml:space="preserve"> </w:t>
      </w:r>
      <w:r>
        <w:rPr>
          <w:rFonts w:ascii="Times New Roman" w:cs="Times New Roman" w:eastAsia="Times New Roman" w:hAnsi="Times New Roman"/>
          <w:sz w:val="18"/>
          <w:szCs w:val="18"/>
          <w:color w:val="2D2D2F"/>
        </w:rPr>
        <w:t>files, documents, records</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1D1D1F"/>
        </w:rPr>
        <w:t xml:space="preserve"> </w:t>
      </w:r>
      <w:r>
        <w:rPr>
          <w:rFonts w:ascii="Times New Roman" w:cs="Times New Roman" w:eastAsia="Times New Roman" w:hAnsi="Times New Roman"/>
          <w:sz w:val="18"/>
          <w:szCs w:val="18"/>
          <w:color w:val="2D2D2F"/>
        </w:rPr>
        <w:t>policies,</w:t>
      </w:r>
      <w:r>
        <w:rPr>
          <w:rFonts w:ascii="Times New Roman" w:cs="Times New Roman" w:eastAsia="Times New Roman" w:hAnsi="Times New Roman"/>
          <w:sz w:val="18"/>
          <w:szCs w:val="18"/>
          <w:color w:val="1D1D1F"/>
        </w:rPr>
        <w:t xml:space="preserve"> client </w:t>
      </w:r>
      <w:r>
        <w:rPr>
          <w:rFonts w:ascii="Times New Roman" w:cs="Times New Roman" w:eastAsia="Times New Roman" w:hAnsi="Times New Roman"/>
          <w:sz w:val="18"/>
          <w:szCs w:val="18"/>
          <w:color w:val="2D2D2F"/>
        </w:rPr>
        <w:t>and customer</w:t>
      </w:r>
      <w:r>
        <w:rPr>
          <w:rFonts w:ascii="Times New Roman" w:cs="Times New Roman" w:eastAsia="Times New Roman" w:hAnsi="Times New Roman"/>
          <w:sz w:val="18"/>
          <w:szCs w:val="18"/>
          <w:color w:val="1D1D1F"/>
        </w:rPr>
        <w:t xml:space="preserve"> information </w:t>
      </w:r>
      <w:r>
        <w:rPr>
          <w:rFonts w:ascii="Times New Roman" w:cs="Times New Roman" w:eastAsia="Times New Roman" w:hAnsi="Times New Roman"/>
          <w:sz w:val="18"/>
          <w:szCs w:val="18"/>
          <w:color w:val="2D2D2F"/>
        </w:rPr>
        <w:t>and</w:t>
      </w:r>
      <w:r>
        <w:rPr>
          <w:rFonts w:ascii="Times New Roman" w:cs="Times New Roman" w:eastAsia="Times New Roman" w:hAnsi="Times New Roman"/>
          <w:sz w:val="18"/>
          <w:szCs w:val="18"/>
          <w:color w:val="1D1D1F"/>
        </w:rPr>
        <w:t xml:space="preserve"> lists</w:t>
      </w:r>
      <w:r>
        <w:rPr>
          <w:rFonts w:ascii="Times New Roman" w:cs="Times New Roman" w:eastAsia="Times New Roman" w:hAnsi="Times New Roman"/>
          <w:sz w:val="18"/>
          <w:szCs w:val="18"/>
          <w:color w:val="464646"/>
        </w:rPr>
        <w:t>,</w:t>
      </w:r>
      <w:r>
        <w:rPr>
          <w:rFonts w:ascii="Times New Roman" w:cs="Times New Roman" w:eastAsia="Times New Roman" w:hAnsi="Times New Roman"/>
          <w:sz w:val="18"/>
          <w:szCs w:val="18"/>
          <w:color w:val="1D1D1F"/>
        </w:rPr>
        <w:t xml:space="preserve"> financial </w:t>
      </w:r>
      <w:r>
        <w:rPr>
          <w:rFonts w:ascii="Times New Roman" w:cs="Times New Roman" w:eastAsia="Times New Roman" w:hAnsi="Times New Roman"/>
          <w:sz w:val="18"/>
          <w:szCs w:val="18"/>
          <w:color w:val="2D2D2F"/>
        </w:rPr>
        <w:t>data</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1D1D1F"/>
        </w:rPr>
        <w:t xml:space="preserve"> </w:t>
      </w:r>
      <w:r>
        <w:rPr>
          <w:rFonts w:ascii="Times New Roman" w:cs="Times New Roman" w:eastAsia="Times New Roman" w:hAnsi="Times New Roman"/>
          <w:sz w:val="18"/>
          <w:szCs w:val="18"/>
          <w:color w:val="2D2D2F"/>
        </w:rPr>
        <w:t>marketing</w:t>
      </w:r>
      <w:r>
        <w:rPr>
          <w:rFonts w:ascii="Times New Roman" w:cs="Times New Roman" w:eastAsia="Times New Roman" w:hAnsi="Times New Roman"/>
          <w:sz w:val="18"/>
          <w:szCs w:val="18"/>
          <w:color w:val="1D1D1F"/>
        </w:rPr>
        <w:t xml:space="preserve"> </w:t>
      </w:r>
      <w:r>
        <w:rPr>
          <w:rFonts w:ascii="Times New Roman" w:cs="Times New Roman" w:eastAsia="Times New Roman" w:hAnsi="Times New Roman"/>
          <w:sz w:val="18"/>
          <w:szCs w:val="18"/>
          <w:color w:val="2D2D2F"/>
        </w:rPr>
        <w:t>information</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2D2D2F"/>
        </w:rPr>
        <w:t xml:space="preserve"> </w:t>
      </w:r>
      <w:r>
        <w:rPr>
          <w:rFonts w:ascii="Times New Roman" w:cs="Times New Roman" w:eastAsia="Times New Roman" w:hAnsi="Times New Roman"/>
          <w:sz w:val="18"/>
          <w:szCs w:val="18"/>
          <w:color w:val="1D1D1F"/>
        </w:rPr>
        <w:t>design</w:t>
      </w:r>
      <w:r>
        <w:rPr>
          <w:rFonts w:ascii="Times New Roman" w:cs="Times New Roman" w:eastAsia="Times New Roman" w:hAnsi="Times New Roman"/>
          <w:sz w:val="18"/>
          <w:szCs w:val="18"/>
          <w:color w:val="2D2D2F"/>
        </w:rPr>
        <w:t xml:space="preserve"> information</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2D2D2F"/>
        </w:rPr>
        <w:t xml:space="preserve"> specifications and </w:t>
      </w:r>
      <w:r>
        <w:rPr>
          <w:rFonts w:ascii="Times New Roman" w:cs="Times New Roman" w:eastAsia="Times New Roman" w:hAnsi="Times New Roman"/>
          <w:sz w:val="18"/>
          <w:szCs w:val="18"/>
          <w:color w:val="1D1D1F"/>
        </w:rPr>
        <w:t>plans</w:t>
      </w:r>
      <w:r>
        <w:rPr>
          <w:rFonts w:ascii="Times New Roman" w:cs="Times New Roman" w:eastAsia="Times New Roman" w:hAnsi="Times New Roman"/>
          <w:sz w:val="18"/>
          <w:szCs w:val="18"/>
          <w:color w:val="464646"/>
        </w:rPr>
        <w:t>,</w:t>
      </w:r>
      <w:r>
        <w:rPr>
          <w:rFonts w:ascii="Times New Roman" w:cs="Times New Roman" w:eastAsia="Times New Roman" w:hAnsi="Times New Roman"/>
          <w:sz w:val="18"/>
          <w:szCs w:val="18"/>
          <w:color w:val="2D2D2F"/>
        </w:rPr>
        <w:t xml:space="preserve"> data </w:t>
      </w:r>
      <w:r>
        <w:rPr>
          <w:rFonts w:ascii="Times New Roman" w:cs="Times New Roman" w:eastAsia="Times New Roman" w:hAnsi="Times New Roman"/>
          <w:sz w:val="18"/>
          <w:szCs w:val="18"/>
          <w:color w:val="1D1D1F"/>
        </w:rPr>
        <w:t>base information</w:t>
      </w:r>
      <w:r>
        <w:rPr>
          <w:rFonts w:ascii="Times New Roman" w:cs="Times New Roman" w:eastAsia="Times New Roman" w:hAnsi="Times New Roman"/>
          <w:sz w:val="18"/>
          <w:szCs w:val="18"/>
          <w:color w:val="2D2D2F"/>
        </w:rPr>
        <w:t xml:space="preserve"> and </w:t>
      </w:r>
      <w:r>
        <w:rPr>
          <w:rFonts w:ascii="Times New Roman" w:cs="Times New Roman" w:eastAsia="Times New Roman" w:hAnsi="Times New Roman"/>
          <w:sz w:val="18"/>
          <w:szCs w:val="18"/>
          <w:color w:val="1D1D1F"/>
        </w:rPr>
        <w:t>lists</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2D2D2F"/>
        </w:rPr>
        <w:t xml:space="preserve"> mailing </w:t>
      </w:r>
      <w:r>
        <w:rPr>
          <w:rFonts w:ascii="Times New Roman" w:cs="Times New Roman" w:eastAsia="Times New Roman" w:hAnsi="Times New Roman"/>
          <w:sz w:val="18"/>
          <w:szCs w:val="18"/>
          <w:color w:val="1D1D1F"/>
        </w:rPr>
        <w:t>lists</w:t>
      </w:r>
      <w:r>
        <w:rPr>
          <w:rFonts w:ascii="Times New Roman" w:cs="Times New Roman" w:eastAsia="Times New Roman" w:hAnsi="Times New Roman"/>
          <w:sz w:val="18"/>
          <w:szCs w:val="18"/>
          <w:color w:val="464646"/>
        </w:rPr>
        <w:t>,</w:t>
      </w:r>
      <w:r>
        <w:rPr>
          <w:rFonts w:ascii="Times New Roman" w:cs="Times New Roman" w:eastAsia="Times New Roman" w:hAnsi="Times New Roman"/>
          <w:sz w:val="18"/>
          <w:szCs w:val="18"/>
          <w:color w:val="2D2D2F"/>
        </w:rPr>
        <w:t xml:space="preserve"> </w:t>
      </w:r>
      <w:r>
        <w:rPr>
          <w:rFonts w:ascii="Times New Roman" w:cs="Times New Roman" w:eastAsia="Times New Roman" w:hAnsi="Times New Roman"/>
          <w:sz w:val="18"/>
          <w:szCs w:val="18"/>
          <w:color w:val="1D1D1F"/>
        </w:rPr>
        <w:t>notes</w:t>
      </w:r>
      <w:r>
        <w:rPr>
          <w:rFonts w:ascii="Times New Roman" w:cs="Times New Roman" w:eastAsia="Times New Roman" w:hAnsi="Times New Roman"/>
          <w:sz w:val="18"/>
          <w:szCs w:val="18"/>
          <w:color w:val="464646"/>
        </w:rPr>
        <w:t>,</w:t>
      </w:r>
      <w:r>
        <w:rPr>
          <w:rFonts w:ascii="Times New Roman" w:cs="Times New Roman" w:eastAsia="Times New Roman" w:hAnsi="Times New Roman"/>
          <w:sz w:val="18"/>
          <w:szCs w:val="18"/>
          <w:color w:val="2D2D2F"/>
        </w:rPr>
        <w:t xml:space="preserve"> and any other </w:t>
      </w:r>
      <w:r>
        <w:rPr>
          <w:rFonts w:ascii="Times New Roman" w:cs="Times New Roman" w:eastAsia="Times New Roman" w:hAnsi="Times New Roman"/>
          <w:sz w:val="18"/>
          <w:szCs w:val="18"/>
          <w:color w:val="1D1D1F"/>
        </w:rPr>
        <w:t>property or information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62628"/>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76200</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00" w:top="513" w:right="479" w:bottom="1440" w:gutter="0" w:footer="0" w:header="0"/>
        </w:sectPr>
      </w:pPr>
    </w:p>
    <w:bookmarkStart w:id="178" w:name="page179"/>
    <w:bookmarkEnd w:id="178"/>
    <w:p>
      <w:pPr>
        <w:jc w:val="both"/>
        <w:ind w:left="80" w:right="60"/>
        <w:spacing w:after="0" w:line="266" w:lineRule="auto"/>
        <w:rPr>
          <w:sz w:val="20"/>
          <w:szCs w:val="20"/>
          <w:color w:val="auto"/>
        </w:rPr>
      </w:pPr>
      <w:r>
        <w:rPr>
          <w:rFonts w:ascii="Times New Roman" w:cs="Times New Roman" w:eastAsia="Times New Roman" w:hAnsi="Times New Roman"/>
          <w:sz w:val="18"/>
          <w:szCs w:val="18"/>
          <w:color w:val="2D2D2F"/>
        </w:rPr>
        <w:t xml:space="preserve">that you </w:t>
      </w:r>
      <w:r>
        <w:rPr>
          <w:rFonts w:ascii="Times New Roman" w:cs="Times New Roman" w:eastAsia="Times New Roman" w:hAnsi="Times New Roman"/>
          <w:sz w:val="18"/>
          <w:szCs w:val="18"/>
          <w:color w:val="1D1D1F"/>
        </w:rPr>
        <w:t>have</w:t>
      </w:r>
      <w:r>
        <w:rPr>
          <w:rFonts w:ascii="Times New Roman" w:cs="Times New Roman" w:eastAsia="Times New Roman" w:hAnsi="Times New Roman"/>
          <w:sz w:val="18"/>
          <w:szCs w:val="18"/>
          <w:color w:val="2D2D2F"/>
        </w:rPr>
        <w:t xml:space="preserve"> relating </w:t>
      </w:r>
      <w:r>
        <w:rPr>
          <w:rFonts w:ascii="Times New Roman" w:cs="Times New Roman" w:eastAsia="Times New Roman" w:hAnsi="Times New Roman"/>
          <w:sz w:val="18"/>
          <w:szCs w:val="18"/>
          <w:color w:val="1D1D1F"/>
        </w:rPr>
        <w:t>to</w:t>
      </w:r>
      <w:r>
        <w:rPr>
          <w:rFonts w:ascii="Times New Roman" w:cs="Times New Roman" w:eastAsia="Times New Roman" w:hAnsi="Times New Roman"/>
          <w:sz w:val="18"/>
          <w:szCs w:val="18"/>
          <w:color w:val="2D2D2F"/>
        </w:rPr>
        <w:t xml:space="preserve"> the Company (whether those materials are in paper </w:t>
      </w:r>
      <w:r>
        <w:rPr>
          <w:rFonts w:ascii="Times New Roman" w:cs="Times New Roman" w:eastAsia="Times New Roman" w:hAnsi="Times New Roman"/>
          <w:sz w:val="18"/>
          <w:szCs w:val="18"/>
          <w:color w:val="1D1D1F"/>
        </w:rPr>
        <w:t>or</w:t>
      </w:r>
      <w:r>
        <w:rPr>
          <w:rFonts w:ascii="Times New Roman" w:cs="Times New Roman" w:eastAsia="Times New Roman" w:hAnsi="Times New Roman"/>
          <w:sz w:val="18"/>
          <w:szCs w:val="18"/>
          <w:color w:val="2D2D2F"/>
        </w:rPr>
        <w:t xml:space="preserve"> electronically stored form)</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2D2D2F"/>
        </w:rPr>
        <w:t xml:space="preserve"> and (b) any and all </w:t>
      </w:r>
      <w:r>
        <w:rPr>
          <w:rFonts w:ascii="Times New Roman" w:cs="Times New Roman" w:eastAsia="Times New Roman" w:hAnsi="Times New Roman"/>
          <w:sz w:val="18"/>
          <w:szCs w:val="18"/>
          <w:color w:val="1D1D1F"/>
        </w:rPr>
        <w:t>documents</w:t>
      </w:r>
      <w:r>
        <w:rPr>
          <w:rFonts w:ascii="Times New Roman" w:cs="Times New Roman" w:eastAsia="Times New Roman" w:hAnsi="Times New Roman"/>
          <w:sz w:val="18"/>
          <w:szCs w:val="18"/>
          <w:color w:val="2D2D2F"/>
        </w:rPr>
        <w:t xml:space="preserve"> or other items containing, summarizing, or </w:t>
      </w:r>
      <w:r>
        <w:rPr>
          <w:rFonts w:ascii="Times New Roman" w:cs="Times New Roman" w:eastAsia="Times New Roman" w:hAnsi="Times New Roman"/>
          <w:sz w:val="18"/>
          <w:szCs w:val="18"/>
          <w:color w:val="1D1D1F"/>
        </w:rPr>
        <w:t>describing</w:t>
      </w:r>
      <w:r>
        <w:rPr>
          <w:rFonts w:ascii="Times New Roman" w:cs="Times New Roman" w:eastAsia="Times New Roman" w:hAnsi="Times New Roman"/>
          <w:sz w:val="18"/>
          <w:szCs w:val="18"/>
          <w:color w:val="2D2D2F"/>
        </w:rPr>
        <w:t xml:space="preserve"> any Confidential Information</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2D2D2F"/>
        </w:rPr>
        <w:t xml:space="preserve"> </w:t>
      </w:r>
      <w:r>
        <w:rPr>
          <w:rFonts w:ascii="Times New Roman" w:cs="Times New Roman" w:eastAsia="Times New Roman" w:hAnsi="Times New Roman"/>
          <w:sz w:val="18"/>
          <w:szCs w:val="18"/>
          <w:color w:val="1D1D1F"/>
        </w:rPr>
        <w:t>including</w:t>
      </w:r>
      <w:r>
        <w:rPr>
          <w:rFonts w:ascii="Times New Roman" w:cs="Times New Roman" w:eastAsia="Times New Roman" w:hAnsi="Times New Roman"/>
          <w:sz w:val="18"/>
          <w:szCs w:val="18"/>
          <w:color w:val="2D2D2F"/>
        </w:rPr>
        <w:t xml:space="preserve"> all originals </w:t>
      </w:r>
      <w:r>
        <w:rPr>
          <w:rFonts w:ascii="Times New Roman" w:cs="Times New Roman" w:eastAsia="Times New Roman" w:hAnsi="Times New Roman"/>
          <w:sz w:val="18"/>
          <w:szCs w:val="18"/>
          <w:color w:val="1D1D1F"/>
        </w:rPr>
        <w:t>and</w:t>
      </w:r>
      <w:r>
        <w:rPr>
          <w:rFonts w:ascii="Times New Roman" w:cs="Times New Roman" w:eastAsia="Times New Roman" w:hAnsi="Times New Roman"/>
          <w:sz w:val="18"/>
          <w:szCs w:val="18"/>
          <w:color w:val="2D2D2F"/>
        </w:rPr>
        <w:t xml:space="preserve"> copies, whether or not they are electronically stored or in </w:t>
      </w:r>
      <w:r>
        <w:rPr>
          <w:rFonts w:ascii="Times New Roman" w:cs="Times New Roman" w:eastAsia="Times New Roman" w:hAnsi="Times New Roman"/>
          <w:sz w:val="18"/>
          <w:szCs w:val="18"/>
          <w:color w:val="1D1D1F"/>
        </w:rPr>
        <w:t>hard</w:t>
      </w:r>
      <w:r>
        <w:rPr>
          <w:rFonts w:ascii="Times New Roman" w:cs="Times New Roman" w:eastAsia="Times New Roman" w:hAnsi="Times New Roman"/>
          <w:sz w:val="18"/>
          <w:szCs w:val="18"/>
          <w:color w:val="2D2D2F"/>
        </w:rPr>
        <w:t xml:space="preserve"> copy form</w:t>
      </w:r>
      <w:r>
        <w:rPr>
          <w:rFonts w:ascii="Times New Roman" w:cs="Times New Roman" w:eastAsia="Times New Roman" w:hAnsi="Times New Roman"/>
          <w:sz w:val="18"/>
          <w:szCs w:val="18"/>
          <w:color w:val="565656"/>
        </w:rPr>
        <w:t>.</w:t>
      </w:r>
    </w:p>
    <w:p>
      <w:pPr>
        <w:spacing w:after="0" w:line="145" w:lineRule="exact"/>
        <w:rPr>
          <w:sz w:val="20"/>
          <w:szCs w:val="20"/>
          <w:color w:val="auto"/>
        </w:rPr>
      </w:pPr>
    </w:p>
    <w:p>
      <w:pPr>
        <w:ind w:left="680" w:hanging="647"/>
        <w:spacing w:after="0"/>
        <w:tabs>
          <w:tab w:leader="none" w:pos="680" w:val="left"/>
        </w:tabs>
        <w:numPr>
          <w:ilvl w:val="0"/>
          <w:numId w:val="233"/>
        </w:numPr>
        <w:rPr>
          <w:rFonts w:ascii="Times New Roman" w:cs="Times New Roman" w:eastAsia="Times New Roman" w:hAnsi="Times New Roman"/>
          <w:sz w:val="18"/>
          <w:szCs w:val="18"/>
          <w:b w:val="1"/>
          <w:bCs w:val="1"/>
          <w:color w:val="2D2D2F"/>
        </w:rPr>
      </w:pPr>
      <w:r>
        <w:rPr>
          <w:rFonts w:ascii="Times New Roman" w:cs="Times New Roman" w:eastAsia="Times New Roman" w:hAnsi="Times New Roman"/>
          <w:sz w:val="18"/>
          <w:szCs w:val="18"/>
          <w:b w:val="1"/>
          <w:bCs w:val="1"/>
          <w:color w:val="2D2D2F"/>
        </w:rPr>
        <w:t xml:space="preserve">Inventions, Works, and Intellectual </w:t>
      </w:r>
      <w:r>
        <w:rPr>
          <w:rFonts w:ascii="Times New Roman" w:cs="Times New Roman" w:eastAsia="Times New Roman" w:hAnsi="Times New Roman"/>
          <w:sz w:val="18"/>
          <w:szCs w:val="18"/>
          <w:b w:val="1"/>
          <w:bCs w:val="1"/>
          <w:color w:val="1D1D1F"/>
        </w:rPr>
        <w:t>Property</w:t>
      </w:r>
    </w:p>
    <w:p>
      <w:pPr>
        <w:spacing w:after="0" w:line="189" w:lineRule="exact"/>
        <w:rPr>
          <w:sz w:val="20"/>
          <w:szCs w:val="20"/>
          <w:color w:val="auto"/>
        </w:rPr>
      </w:pPr>
    </w:p>
    <w:p>
      <w:pPr>
        <w:jc w:val="both"/>
        <w:ind w:left="100" w:right="20" w:firstLine="719"/>
        <w:spacing w:after="0" w:line="253" w:lineRule="auto"/>
        <w:rPr>
          <w:sz w:val="20"/>
          <w:szCs w:val="20"/>
          <w:color w:val="auto"/>
        </w:rPr>
      </w:pPr>
      <w:r>
        <w:rPr>
          <w:rFonts w:ascii="Times New Roman" w:cs="Times New Roman" w:eastAsia="Times New Roman" w:hAnsi="Times New Roman"/>
          <w:sz w:val="18"/>
          <w:szCs w:val="18"/>
          <w:color w:val="2D2D2F"/>
        </w:rPr>
        <w:t xml:space="preserve">3.1 You acknowledge and agree that all </w:t>
      </w:r>
      <w:r>
        <w:rPr>
          <w:rFonts w:ascii="Times New Roman" w:cs="Times New Roman" w:eastAsia="Times New Roman" w:hAnsi="Times New Roman"/>
          <w:sz w:val="18"/>
          <w:szCs w:val="18"/>
          <w:color w:val="1D1D1F"/>
        </w:rPr>
        <w:t>inventions</w:t>
      </w:r>
      <w:r>
        <w:rPr>
          <w:rFonts w:ascii="Times New Roman" w:cs="Times New Roman" w:eastAsia="Times New Roman" w:hAnsi="Times New Roman"/>
          <w:sz w:val="18"/>
          <w:szCs w:val="18"/>
          <w:color w:val="464646"/>
        </w:rPr>
        <w:t>;</w:t>
      </w:r>
      <w:r>
        <w:rPr>
          <w:rFonts w:ascii="Times New Roman" w:cs="Times New Roman" w:eastAsia="Times New Roman" w:hAnsi="Times New Roman"/>
          <w:sz w:val="18"/>
          <w:szCs w:val="18"/>
          <w:color w:val="2D2D2F"/>
        </w:rPr>
        <w:t xml:space="preserve"> genetically-engineered </w:t>
      </w:r>
      <w:r>
        <w:rPr>
          <w:rFonts w:ascii="Times New Roman" w:cs="Times New Roman" w:eastAsia="Times New Roman" w:hAnsi="Times New Roman"/>
          <w:sz w:val="18"/>
          <w:szCs w:val="18"/>
          <w:color w:val="1D1D1F"/>
        </w:rPr>
        <w:t>material</w:t>
      </w:r>
      <w:r>
        <w:rPr>
          <w:rFonts w:ascii="Times New Roman" w:cs="Times New Roman" w:eastAsia="Times New Roman" w:hAnsi="Times New Roman"/>
          <w:sz w:val="18"/>
          <w:szCs w:val="18"/>
          <w:color w:val="464646"/>
        </w:rPr>
        <w:t>;</w:t>
      </w:r>
      <w:r>
        <w:rPr>
          <w:rFonts w:ascii="Times New Roman" w:cs="Times New Roman" w:eastAsia="Times New Roman" w:hAnsi="Times New Roman"/>
          <w:sz w:val="18"/>
          <w:szCs w:val="18"/>
          <w:color w:val="2D2D2F"/>
        </w:rPr>
        <w:t xml:space="preserve"> compositions and methods for making and </w:t>
      </w:r>
      <w:r>
        <w:rPr>
          <w:rFonts w:ascii="Times New Roman" w:cs="Times New Roman" w:eastAsia="Times New Roman" w:hAnsi="Times New Roman"/>
          <w:sz w:val="18"/>
          <w:szCs w:val="18"/>
          <w:color w:val="1D1D1F"/>
        </w:rPr>
        <w:t>using</w:t>
      </w:r>
      <w:r>
        <w:rPr>
          <w:rFonts w:ascii="Times New Roman" w:cs="Times New Roman" w:eastAsia="Times New Roman" w:hAnsi="Times New Roman"/>
          <w:sz w:val="18"/>
          <w:szCs w:val="18"/>
          <w:color w:val="2D2D2F"/>
        </w:rPr>
        <w:t xml:space="preserve"> cannabis plants and compositions </w:t>
      </w:r>
      <w:r>
        <w:rPr>
          <w:rFonts w:ascii="Times New Roman" w:cs="Times New Roman" w:eastAsia="Times New Roman" w:hAnsi="Times New Roman"/>
          <w:sz w:val="18"/>
          <w:szCs w:val="18"/>
          <w:color w:val="1D1D1F"/>
        </w:rPr>
        <w:t>derived thereof</w:t>
      </w:r>
      <w:r>
        <w:rPr>
          <w:rFonts w:ascii="Times New Roman" w:cs="Times New Roman" w:eastAsia="Times New Roman" w:hAnsi="Times New Roman"/>
          <w:sz w:val="18"/>
          <w:szCs w:val="18"/>
          <w:color w:val="464646"/>
        </w:rPr>
        <w:t>;</w:t>
      </w:r>
      <w:r>
        <w:rPr>
          <w:rFonts w:ascii="Times New Roman" w:cs="Times New Roman" w:eastAsia="Times New Roman" w:hAnsi="Times New Roman"/>
          <w:sz w:val="18"/>
          <w:szCs w:val="18"/>
          <w:color w:val="2D2D2F"/>
        </w:rPr>
        <w:t xml:space="preserve"> strains with </w:t>
      </w:r>
      <w:r>
        <w:rPr>
          <w:rFonts w:ascii="Times New Roman" w:cs="Times New Roman" w:eastAsia="Times New Roman" w:hAnsi="Times New Roman"/>
          <w:sz w:val="18"/>
          <w:szCs w:val="18"/>
          <w:color w:val="1D1D1F"/>
        </w:rPr>
        <w:t>distinctive</w:t>
      </w:r>
      <w:r>
        <w:rPr>
          <w:rFonts w:ascii="Times New Roman" w:cs="Times New Roman" w:eastAsia="Times New Roman" w:hAnsi="Times New Roman"/>
          <w:sz w:val="18"/>
          <w:szCs w:val="18"/>
          <w:color w:val="2D2D2F"/>
        </w:rPr>
        <w:t xml:space="preserve"> ratios of cannabinoids; prototypes; written works</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2D2D2F"/>
        </w:rPr>
        <w:t xml:space="preserve"> </w:t>
      </w:r>
      <w:r>
        <w:rPr>
          <w:rFonts w:ascii="Times New Roman" w:cs="Times New Roman" w:eastAsia="Times New Roman" w:hAnsi="Times New Roman"/>
          <w:sz w:val="18"/>
          <w:szCs w:val="18"/>
          <w:color w:val="1D1D1F"/>
        </w:rPr>
        <w:t>published material</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2D2D2F"/>
        </w:rPr>
        <w:t xml:space="preserve"> </w:t>
      </w:r>
      <w:r>
        <w:rPr>
          <w:rFonts w:ascii="Times New Roman" w:cs="Times New Roman" w:eastAsia="Times New Roman" w:hAnsi="Times New Roman"/>
          <w:sz w:val="18"/>
          <w:szCs w:val="18"/>
          <w:color w:val="1D1D1F"/>
        </w:rPr>
        <w:t>ideas</w:t>
      </w:r>
      <w:r>
        <w:rPr>
          <w:rFonts w:ascii="Times New Roman" w:cs="Times New Roman" w:eastAsia="Times New Roman" w:hAnsi="Times New Roman"/>
          <w:sz w:val="18"/>
          <w:szCs w:val="18"/>
          <w:color w:val="2D2D2F"/>
        </w:rPr>
        <w:t xml:space="preserve"> conceived</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2D2D2F"/>
        </w:rPr>
        <w:t xml:space="preserve"> </w:t>
      </w:r>
      <w:r>
        <w:rPr>
          <w:rFonts w:ascii="Times New Roman" w:cs="Times New Roman" w:eastAsia="Times New Roman" w:hAnsi="Times New Roman"/>
          <w:sz w:val="18"/>
          <w:szCs w:val="18"/>
          <w:color w:val="1D1D1F"/>
        </w:rPr>
        <w:t>produced</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2D2D2F"/>
        </w:rPr>
        <w:t xml:space="preserve"> created, or </w:t>
      </w:r>
      <w:r>
        <w:rPr>
          <w:rFonts w:ascii="Times New Roman" w:cs="Times New Roman" w:eastAsia="Times New Roman" w:hAnsi="Times New Roman"/>
          <w:sz w:val="18"/>
          <w:szCs w:val="18"/>
          <w:color w:val="1D1D1F"/>
        </w:rPr>
        <w:t>reduced to practice</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2D2D2F"/>
        </w:rPr>
        <w:t xml:space="preserve"> personas created; </w:t>
      </w:r>
      <w:r>
        <w:rPr>
          <w:rFonts w:ascii="Times New Roman" w:cs="Times New Roman" w:eastAsia="Times New Roman" w:hAnsi="Times New Roman"/>
          <w:sz w:val="18"/>
          <w:szCs w:val="18"/>
          <w:color w:val="1D1D1F"/>
        </w:rPr>
        <w:t>developments</w:t>
      </w:r>
      <w:r>
        <w:rPr>
          <w:rFonts w:ascii="Times New Roman" w:cs="Times New Roman" w:eastAsia="Times New Roman" w:hAnsi="Times New Roman"/>
          <w:sz w:val="18"/>
          <w:szCs w:val="18"/>
          <w:color w:val="464646"/>
        </w:rPr>
        <w:t>;</w:t>
      </w:r>
      <w:r>
        <w:rPr>
          <w:rFonts w:ascii="Times New Roman" w:cs="Times New Roman" w:eastAsia="Times New Roman" w:hAnsi="Times New Roman"/>
          <w:sz w:val="18"/>
          <w:szCs w:val="18"/>
          <w:color w:val="2D2D2F"/>
        </w:rPr>
        <w:t xml:space="preserve"> </w:t>
      </w:r>
      <w:r>
        <w:rPr>
          <w:rFonts w:ascii="Times New Roman" w:cs="Times New Roman" w:eastAsia="Times New Roman" w:hAnsi="Times New Roman"/>
          <w:sz w:val="18"/>
          <w:szCs w:val="18"/>
          <w:color w:val="1D1D1F"/>
        </w:rPr>
        <w:t>derivatives</w:t>
      </w:r>
      <w:r>
        <w:rPr>
          <w:rFonts w:ascii="Times New Roman" w:cs="Times New Roman" w:eastAsia="Times New Roman" w:hAnsi="Times New Roman"/>
          <w:sz w:val="18"/>
          <w:szCs w:val="18"/>
          <w:color w:val="2D2D2F"/>
        </w:rPr>
        <w:t xml:space="preserve"> and </w:t>
      </w:r>
      <w:r>
        <w:rPr>
          <w:rFonts w:ascii="Times New Roman" w:cs="Times New Roman" w:eastAsia="Times New Roman" w:hAnsi="Times New Roman"/>
          <w:sz w:val="18"/>
          <w:szCs w:val="18"/>
          <w:color w:val="1D1D1F"/>
        </w:rPr>
        <w:t>improvements</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2D2D2F"/>
        </w:rPr>
        <w:t xml:space="preserve"> copyrights; copyright </w:t>
      </w:r>
      <w:r>
        <w:rPr>
          <w:rFonts w:ascii="Times New Roman" w:cs="Times New Roman" w:eastAsia="Times New Roman" w:hAnsi="Times New Roman"/>
          <w:sz w:val="18"/>
          <w:szCs w:val="18"/>
          <w:color w:val="1D1D1F"/>
        </w:rPr>
        <w:t>designs</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2D2D2F"/>
        </w:rPr>
        <w:t xml:space="preserve"> trade secrets; trademarks; mask work rights; processes; discoveries; enhancements; software; source </w:t>
      </w:r>
      <w:r>
        <w:rPr>
          <w:rFonts w:ascii="Times New Roman" w:cs="Times New Roman" w:eastAsia="Times New Roman" w:hAnsi="Times New Roman"/>
          <w:sz w:val="18"/>
          <w:szCs w:val="18"/>
          <w:color w:val="1D1D1F"/>
        </w:rPr>
        <w:t>code</w:t>
      </w:r>
      <w:r>
        <w:rPr>
          <w:rFonts w:ascii="Times New Roman" w:cs="Times New Roman" w:eastAsia="Times New Roman" w:hAnsi="Times New Roman"/>
          <w:sz w:val="18"/>
          <w:szCs w:val="18"/>
          <w:color w:val="464646"/>
        </w:rPr>
        <w:t>;</w:t>
      </w:r>
      <w:r>
        <w:rPr>
          <w:rFonts w:ascii="Times New Roman" w:cs="Times New Roman" w:eastAsia="Times New Roman" w:hAnsi="Times New Roman"/>
          <w:sz w:val="18"/>
          <w:szCs w:val="18"/>
          <w:color w:val="2D2D2F"/>
        </w:rPr>
        <w:t xml:space="preserve"> database rights; catalogues; prints; </w:t>
      </w:r>
      <w:r>
        <w:rPr>
          <w:rFonts w:ascii="Times New Roman" w:cs="Times New Roman" w:eastAsia="Times New Roman" w:hAnsi="Times New Roman"/>
          <w:sz w:val="18"/>
          <w:szCs w:val="18"/>
          <w:color w:val="1D1D1F"/>
        </w:rPr>
        <w:t>business</w:t>
      </w:r>
      <w:r>
        <w:rPr>
          <w:rFonts w:ascii="Times New Roman" w:cs="Times New Roman" w:eastAsia="Times New Roman" w:hAnsi="Times New Roman"/>
          <w:sz w:val="18"/>
          <w:szCs w:val="18"/>
          <w:color w:val="2D2D2F"/>
        </w:rPr>
        <w:t xml:space="preserve"> appl</w:t>
      </w:r>
      <w:r>
        <w:rPr>
          <w:rFonts w:ascii="Times New Roman" w:cs="Times New Roman" w:eastAsia="Times New Roman" w:hAnsi="Times New Roman"/>
          <w:sz w:val="18"/>
          <w:szCs w:val="18"/>
          <w:color w:val="08080A"/>
        </w:rPr>
        <w:t>i</w:t>
      </w:r>
      <w:r>
        <w:rPr>
          <w:rFonts w:ascii="Times New Roman" w:cs="Times New Roman" w:eastAsia="Times New Roman" w:hAnsi="Times New Roman"/>
          <w:sz w:val="18"/>
          <w:szCs w:val="18"/>
          <w:color w:val="2D2D2F"/>
        </w:rPr>
        <w:t xml:space="preserve">cations; </w:t>
      </w:r>
      <w:r>
        <w:rPr>
          <w:rFonts w:ascii="Times New Roman" w:cs="Times New Roman" w:eastAsia="Times New Roman" w:hAnsi="Times New Roman"/>
          <w:sz w:val="18"/>
          <w:szCs w:val="18"/>
          <w:color w:val="1D1D1F"/>
        </w:rPr>
        <w:t>plans;</w:t>
      </w:r>
      <w:r>
        <w:rPr>
          <w:rFonts w:ascii="Times New Roman" w:cs="Times New Roman" w:eastAsia="Times New Roman" w:hAnsi="Times New Roman"/>
          <w:sz w:val="18"/>
          <w:szCs w:val="18"/>
          <w:color w:val="2D2D2F"/>
        </w:rPr>
        <w:t xml:space="preserve"> writings; </w:t>
      </w:r>
      <w:r>
        <w:rPr>
          <w:rFonts w:ascii="Times New Roman" w:cs="Times New Roman" w:eastAsia="Times New Roman" w:hAnsi="Times New Roman"/>
          <w:sz w:val="18"/>
          <w:szCs w:val="18"/>
          <w:color w:val="464646"/>
        </w:rPr>
        <w:t>and</w:t>
      </w:r>
      <w:r>
        <w:rPr>
          <w:rFonts w:ascii="Times New Roman" w:cs="Times New Roman" w:eastAsia="Times New Roman" w:hAnsi="Times New Roman"/>
          <w:sz w:val="18"/>
          <w:szCs w:val="18"/>
          <w:color w:val="2D2D2F"/>
        </w:rPr>
        <w:t xml:space="preserve"> other developments or improvements and all other intellectual property and proprietary rights and any derivative works based </w:t>
      </w:r>
      <w:r>
        <w:rPr>
          <w:rFonts w:ascii="Times New Roman" w:cs="Times New Roman" w:eastAsia="Times New Roman" w:hAnsi="Times New Roman"/>
          <w:sz w:val="18"/>
          <w:szCs w:val="18"/>
          <w:color w:val="1D1D1F"/>
        </w:rPr>
        <w:t>thereon</w:t>
      </w:r>
      <w:r>
        <w:rPr>
          <w:rFonts w:ascii="Times New Roman" w:cs="Times New Roman" w:eastAsia="Times New Roman" w:hAnsi="Times New Roman"/>
          <w:sz w:val="18"/>
          <w:szCs w:val="18"/>
          <w:color w:val="2D2D2F"/>
        </w:rPr>
        <w:t xml:space="preserve"> </w:t>
      </w:r>
      <w:r>
        <w:rPr>
          <w:rFonts w:ascii="Times New Roman" w:cs="Times New Roman" w:eastAsia="Times New Roman" w:hAnsi="Times New Roman"/>
          <w:sz w:val="18"/>
          <w:szCs w:val="18"/>
          <w:b w:val="1"/>
          <w:bCs w:val="1"/>
          <w:color w:val="2D2D2F"/>
        </w:rPr>
        <w:t>("Inventions</w:t>
      </w:r>
      <w:r>
        <w:rPr>
          <w:rFonts w:ascii="Times New Roman" w:cs="Times New Roman" w:eastAsia="Times New Roman" w:hAnsi="Times New Roman"/>
          <w:sz w:val="18"/>
          <w:szCs w:val="18"/>
          <w:b w:val="1"/>
          <w:bCs w:val="1"/>
          <w:color w:val="565656"/>
        </w:rPr>
        <w:t>"</w:t>
      </w:r>
      <w:r>
        <w:rPr>
          <w:rFonts w:ascii="Times New Roman" w:cs="Times New Roman" w:eastAsia="Times New Roman" w:hAnsi="Times New Roman"/>
          <w:sz w:val="18"/>
          <w:szCs w:val="18"/>
          <w:b w:val="1"/>
          <w:bCs w:val="1"/>
          <w:color w:val="2D2D2F"/>
        </w:rPr>
        <w:t>)</w:t>
      </w:r>
      <w:r>
        <w:rPr>
          <w:rFonts w:ascii="Times New Roman" w:cs="Times New Roman" w:eastAsia="Times New Roman" w:hAnsi="Times New Roman"/>
          <w:sz w:val="18"/>
          <w:szCs w:val="18"/>
          <w:color w:val="2D2D2F"/>
        </w:rPr>
        <w:t xml:space="preserve"> and all works of </w:t>
      </w:r>
      <w:r>
        <w:rPr>
          <w:rFonts w:ascii="Times New Roman" w:cs="Times New Roman" w:eastAsia="Times New Roman" w:hAnsi="Times New Roman"/>
          <w:sz w:val="18"/>
          <w:szCs w:val="18"/>
          <w:color w:val="1D1D1F"/>
        </w:rPr>
        <w:t>original</w:t>
      </w:r>
      <w:r>
        <w:rPr>
          <w:rFonts w:ascii="Times New Roman" w:cs="Times New Roman" w:eastAsia="Times New Roman" w:hAnsi="Times New Roman"/>
          <w:sz w:val="18"/>
          <w:szCs w:val="18"/>
          <w:color w:val="2D2D2F"/>
        </w:rPr>
        <w:t xml:space="preserve"> authorship or </w:t>
      </w:r>
      <w:r>
        <w:rPr>
          <w:rFonts w:ascii="Times New Roman" w:cs="Times New Roman" w:eastAsia="Times New Roman" w:hAnsi="Times New Roman"/>
          <w:sz w:val="18"/>
          <w:szCs w:val="18"/>
          <w:color w:val="1D1D1F"/>
        </w:rPr>
        <w:t>images</w:t>
      </w:r>
      <w:r>
        <w:rPr>
          <w:rFonts w:ascii="Times New Roman" w:cs="Times New Roman" w:eastAsia="Times New Roman" w:hAnsi="Times New Roman"/>
          <w:sz w:val="18"/>
          <w:szCs w:val="18"/>
          <w:color w:val="2D2D2F"/>
        </w:rPr>
        <w:t xml:space="preserve"> that are fixed in any tangible medium of expression and all copies thereof </w:t>
      </w:r>
      <w:r>
        <w:rPr>
          <w:rFonts w:ascii="Times New Roman" w:cs="Times New Roman" w:eastAsia="Times New Roman" w:hAnsi="Times New Roman"/>
          <w:sz w:val="18"/>
          <w:szCs w:val="18"/>
          <w:b w:val="1"/>
          <w:bCs w:val="1"/>
          <w:color w:val="2D2D2F"/>
        </w:rPr>
        <w:t>("Works</w:t>
      </w:r>
      <w:r>
        <w:rPr>
          <w:rFonts w:ascii="Times New Roman" w:cs="Times New Roman" w:eastAsia="Times New Roman" w:hAnsi="Times New Roman"/>
          <w:sz w:val="18"/>
          <w:szCs w:val="18"/>
          <w:b w:val="1"/>
          <w:bCs w:val="1"/>
          <w:color w:val="565656"/>
        </w:rPr>
        <w:t>"</w:t>
      </w:r>
      <w:r>
        <w:rPr>
          <w:rFonts w:ascii="Times New Roman" w:cs="Times New Roman" w:eastAsia="Times New Roman" w:hAnsi="Times New Roman"/>
          <w:sz w:val="18"/>
          <w:szCs w:val="18"/>
          <w:b w:val="1"/>
          <w:bCs w:val="1"/>
          <w:color w:val="2D2D2F"/>
        </w:rPr>
        <w:t>)</w:t>
      </w:r>
      <w:r>
        <w:rPr>
          <w:rFonts w:ascii="Times New Roman" w:cs="Times New Roman" w:eastAsia="Times New Roman" w:hAnsi="Times New Roman"/>
          <w:sz w:val="18"/>
          <w:szCs w:val="18"/>
          <w:b w:val="1"/>
          <w:bCs w:val="1"/>
          <w:color w:val="565656"/>
        </w:rPr>
        <w:t>,</w:t>
      </w:r>
      <w:r>
        <w:rPr>
          <w:rFonts w:ascii="Times New Roman" w:cs="Times New Roman" w:eastAsia="Times New Roman" w:hAnsi="Times New Roman"/>
          <w:sz w:val="18"/>
          <w:szCs w:val="18"/>
          <w:color w:val="2D2D2F"/>
        </w:rPr>
        <w:t xml:space="preserve"> whether or not copyrightable</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2D2D2F"/>
        </w:rPr>
        <w:t xml:space="preserve"> patentable or otherwise </w:t>
      </w:r>
      <w:r>
        <w:rPr>
          <w:rFonts w:ascii="Times New Roman" w:cs="Times New Roman" w:eastAsia="Times New Roman" w:hAnsi="Times New Roman"/>
          <w:sz w:val="18"/>
          <w:szCs w:val="18"/>
          <w:color w:val="1D1D1F"/>
        </w:rPr>
        <w:t>protectable</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2D2D2F"/>
        </w:rPr>
        <w:t xml:space="preserve"> which are </w:t>
      </w:r>
      <w:r>
        <w:rPr>
          <w:rFonts w:ascii="Times New Roman" w:cs="Times New Roman" w:eastAsia="Times New Roman" w:hAnsi="Times New Roman"/>
          <w:sz w:val="18"/>
          <w:szCs w:val="18"/>
          <w:color w:val="1D1D1F"/>
        </w:rPr>
        <w:t>designed</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2D2D2F"/>
        </w:rPr>
        <w:t xml:space="preserve"> created, conceived, </w:t>
      </w:r>
      <w:r>
        <w:rPr>
          <w:rFonts w:ascii="Times New Roman" w:cs="Times New Roman" w:eastAsia="Times New Roman" w:hAnsi="Times New Roman"/>
          <w:sz w:val="18"/>
          <w:szCs w:val="18"/>
          <w:color w:val="1D1D1F"/>
        </w:rPr>
        <w:t>developed</w:t>
      </w:r>
      <w:r>
        <w:rPr>
          <w:rFonts w:ascii="Times New Roman" w:cs="Times New Roman" w:eastAsia="Times New Roman" w:hAnsi="Times New Roman"/>
          <w:sz w:val="18"/>
          <w:szCs w:val="18"/>
          <w:color w:val="2D2D2F"/>
        </w:rPr>
        <w:t xml:space="preserve"> or reduced to practice, writing or publication by </w:t>
      </w:r>
      <w:r>
        <w:rPr>
          <w:rFonts w:ascii="Times New Roman" w:cs="Times New Roman" w:eastAsia="Times New Roman" w:hAnsi="Times New Roman"/>
          <w:sz w:val="18"/>
          <w:szCs w:val="18"/>
          <w:color w:val="464646"/>
        </w:rPr>
        <w:t>you,</w:t>
      </w:r>
      <w:r>
        <w:rPr>
          <w:rFonts w:ascii="Times New Roman" w:cs="Times New Roman" w:eastAsia="Times New Roman" w:hAnsi="Times New Roman"/>
          <w:sz w:val="18"/>
          <w:szCs w:val="18"/>
          <w:color w:val="2D2D2F"/>
        </w:rPr>
        <w:t xml:space="preserve"> either solely or jointly with others, during your employment with the Employer</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2D2D2F"/>
        </w:rPr>
        <w:t xml:space="preserve"> </w:t>
      </w:r>
      <w:r>
        <w:rPr>
          <w:rFonts w:ascii="Times New Roman" w:cs="Times New Roman" w:eastAsia="Times New Roman" w:hAnsi="Times New Roman"/>
          <w:sz w:val="18"/>
          <w:szCs w:val="18"/>
          <w:color w:val="1D1D1F"/>
        </w:rPr>
        <w:t>including</w:t>
      </w:r>
      <w:r>
        <w:rPr>
          <w:rFonts w:ascii="Times New Roman" w:cs="Times New Roman" w:eastAsia="Times New Roman" w:hAnsi="Times New Roman"/>
          <w:sz w:val="18"/>
          <w:szCs w:val="18"/>
          <w:color w:val="2D2D2F"/>
        </w:rPr>
        <w:t xml:space="preserve"> those </w:t>
      </w:r>
      <w:r>
        <w:rPr>
          <w:rFonts w:ascii="Times New Roman" w:cs="Times New Roman" w:eastAsia="Times New Roman" w:hAnsi="Times New Roman"/>
          <w:sz w:val="18"/>
          <w:szCs w:val="18"/>
          <w:color w:val="1D1D1F"/>
        </w:rPr>
        <w:t>developed</w:t>
      </w:r>
      <w:r>
        <w:rPr>
          <w:rFonts w:ascii="Times New Roman" w:cs="Times New Roman" w:eastAsia="Times New Roman" w:hAnsi="Times New Roman"/>
          <w:sz w:val="18"/>
          <w:szCs w:val="18"/>
          <w:color w:val="2D2D2F"/>
        </w:rPr>
        <w:t xml:space="preserve"> on your own </w:t>
      </w:r>
      <w:r>
        <w:rPr>
          <w:rFonts w:ascii="Times New Roman" w:cs="Times New Roman" w:eastAsia="Times New Roman" w:hAnsi="Times New Roman"/>
          <w:sz w:val="18"/>
          <w:szCs w:val="18"/>
          <w:color w:val="1D1D1F"/>
        </w:rPr>
        <w:t>time</w:t>
      </w:r>
      <w:r>
        <w:rPr>
          <w:rFonts w:ascii="Times New Roman" w:cs="Times New Roman" w:eastAsia="Times New Roman" w:hAnsi="Times New Roman"/>
          <w:sz w:val="18"/>
          <w:szCs w:val="18"/>
          <w:color w:val="464646"/>
        </w:rPr>
        <w:t>,</w:t>
      </w:r>
      <w:r>
        <w:rPr>
          <w:rFonts w:ascii="Times New Roman" w:cs="Times New Roman" w:eastAsia="Times New Roman" w:hAnsi="Times New Roman"/>
          <w:sz w:val="18"/>
          <w:szCs w:val="18"/>
          <w:color w:val="2D2D2F"/>
        </w:rPr>
        <w:t xml:space="preserve"> which related to or are </w:t>
      </w:r>
      <w:r>
        <w:rPr>
          <w:rFonts w:ascii="Times New Roman" w:cs="Times New Roman" w:eastAsia="Times New Roman" w:hAnsi="Times New Roman"/>
          <w:sz w:val="18"/>
          <w:szCs w:val="18"/>
          <w:color w:val="1D1D1F"/>
        </w:rPr>
        <w:t>useful</w:t>
      </w:r>
      <w:r>
        <w:rPr>
          <w:rFonts w:ascii="Times New Roman" w:cs="Times New Roman" w:eastAsia="Times New Roman" w:hAnsi="Times New Roman"/>
          <w:sz w:val="18"/>
          <w:szCs w:val="18"/>
          <w:color w:val="2D2D2F"/>
        </w:rPr>
        <w:t xml:space="preserve"> in the Company's </w:t>
      </w:r>
      <w:r>
        <w:rPr>
          <w:rFonts w:ascii="Times New Roman" w:cs="Times New Roman" w:eastAsia="Times New Roman" w:hAnsi="Times New Roman"/>
          <w:sz w:val="18"/>
          <w:szCs w:val="18"/>
          <w:color w:val="1D1D1F"/>
        </w:rPr>
        <w:t>business</w:t>
      </w:r>
      <w:r>
        <w:rPr>
          <w:rFonts w:ascii="Times New Roman" w:cs="Times New Roman" w:eastAsia="Times New Roman" w:hAnsi="Times New Roman"/>
          <w:sz w:val="18"/>
          <w:szCs w:val="18"/>
          <w:color w:val="2D2D2F"/>
        </w:rPr>
        <w:t xml:space="preserve"> (collectively</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2D2D2F"/>
        </w:rPr>
        <w:t xml:space="preserve"> with the </w:t>
      </w:r>
      <w:r>
        <w:rPr>
          <w:rFonts w:ascii="Times New Roman" w:cs="Times New Roman" w:eastAsia="Times New Roman" w:hAnsi="Times New Roman"/>
          <w:sz w:val="18"/>
          <w:szCs w:val="18"/>
          <w:color w:val="1D1D1F"/>
        </w:rPr>
        <w:t>Invention</w:t>
      </w:r>
      <w:r>
        <w:rPr>
          <w:rFonts w:ascii="Times New Roman" w:cs="Times New Roman" w:eastAsia="Times New Roman" w:hAnsi="Times New Roman"/>
          <w:sz w:val="18"/>
          <w:szCs w:val="18"/>
          <w:color w:val="464646"/>
        </w:rPr>
        <w:t>s</w:t>
      </w:r>
      <w:r>
        <w:rPr>
          <w:rFonts w:ascii="Times New Roman" w:cs="Times New Roman" w:eastAsia="Times New Roman" w:hAnsi="Times New Roman"/>
          <w:sz w:val="18"/>
          <w:szCs w:val="18"/>
          <w:color w:val="2D2D2F"/>
        </w:rPr>
        <w:t xml:space="preserve"> and Works</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2D2D2F"/>
        </w:rPr>
        <w:t xml:space="preserve"> the </w:t>
      </w:r>
      <w:r>
        <w:rPr>
          <w:rFonts w:ascii="Times New Roman" w:cs="Times New Roman" w:eastAsia="Times New Roman" w:hAnsi="Times New Roman"/>
          <w:sz w:val="18"/>
          <w:szCs w:val="18"/>
          <w:b w:val="1"/>
          <w:bCs w:val="1"/>
          <w:color w:val="565656"/>
        </w:rPr>
        <w:t>"</w:t>
      </w:r>
      <w:r>
        <w:rPr>
          <w:rFonts w:ascii="Times New Roman" w:cs="Times New Roman" w:eastAsia="Times New Roman" w:hAnsi="Times New Roman"/>
          <w:sz w:val="18"/>
          <w:szCs w:val="18"/>
          <w:b w:val="1"/>
          <w:bCs w:val="1"/>
          <w:color w:val="2D2D2F"/>
        </w:rPr>
        <w:t>Intellectual Property"),</w:t>
      </w:r>
      <w:r>
        <w:rPr>
          <w:rFonts w:ascii="Times New Roman" w:cs="Times New Roman" w:eastAsia="Times New Roman" w:hAnsi="Times New Roman"/>
          <w:sz w:val="18"/>
          <w:szCs w:val="18"/>
          <w:color w:val="2D2D2F"/>
        </w:rPr>
        <w:t xml:space="preserve"> are made and conceived for the benefit of the Company and are the exclusive property of </w:t>
      </w:r>
      <w:r>
        <w:rPr>
          <w:rFonts w:ascii="Times New Roman" w:cs="Times New Roman" w:eastAsia="Times New Roman" w:hAnsi="Times New Roman"/>
          <w:sz w:val="18"/>
          <w:szCs w:val="18"/>
          <w:color w:val="1D1D1F"/>
        </w:rPr>
        <w:t>the</w:t>
      </w:r>
      <w:r>
        <w:rPr>
          <w:rFonts w:ascii="Times New Roman" w:cs="Times New Roman" w:eastAsia="Times New Roman" w:hAnsi="Times New Roman"/>
          <w:sz w:val="18"/>
          <w:szCs w:val="18"/>
          <w:color w:val="2D2D2F"/>
        </w:rPr>
        <w:t xml:space="preserve"> Company.</w:t>
      </w:r>
    </w:p>
    <w:p>
      <w:pPr>
        <w:spacing w:after="0" w:line="154" w:lineRule="exact"/>
        <w:rPr>
          <w:sz w:val="20"/>
          <w:szCs w:val="20"/>
          <w:color w:val="auto"/>
        </w:rPr>
      </w:pPr>
    </w:p>
    <w:p>
      <w:pPr>
        <w:jc w:val="both"/>
        <w:ind w:left="100" w:firstLine="749"/>
        <w:spacing w:after="0" w:line="252" w:lineRule="auto"/>
        <w:rPr>
          <w:sz w:val="20"/>
          <w:szCs w:val="20"/>
          <w:color w:val="auto"/>
        </w:rPr>
      </w:pPr>
      <w:r>
        <w:rPr>
          <w:rFonts w:ascii="Times New Roman" w:cs="Times New Roman" w:eastAsia="Times New Roman" w:hAnsi="Times New Roman"/>
          <w:sz w:val="18"/>
          <w:szCs w:val="18"/>
          <w:color w:val="2D2D2F"/>
        </w:rPr>
        <w:t>3</w:t>
      </w:r>
      <w:r>
        <w:rPr>
          <w:rFonts w:ascii="Times New Roman" w:cs="Times New Roman" w:eastAsia="Times New Roman" w:hAnsi="Times New Roman"/>
          <w:sz w:val="18"/>
          <w:szCs w:val="18"/>
          <w:color w:val="464646"/>
        </w:rPr>
        <w:t>.2</w:t>
      </w:r>
      <w:r>
        <w:rPr>
          <w:rFonts w:ascii="Times New Roman" w:cs="Times New Roman" w:eastAsia="Times New Roman" w:hAnsi="Times New Roman"/>
          <w:sz w:val="18"/>
          <w:szCs w:val="18"/>
          <w:color w:val="2D2D2F"/>
        </w:rPr>
        <w:t xml:space="preserve"> You recognize and acknowledge that all Works shall </w:t>
      </w:r>
      <w:r>
        <w:rPr>
          <w:rFonts w:ascii="Times New Roman" w:cs="Times New Roman" w:eastAsia="Times New Roman" w:hAnsi="Times New Roman"/>
          <w:sz w:val="18"/>
          <w:szCs w:val="18"/>
          <w:color w:val="1D1D1F"/>
        </w:rPr>
        <w:t>be done</w:t>
      </w:r>
      <w:r>
        <w:rPr>
          <w:rFonts w:ascii="Times New Roman" w:cs="Times New Roman" w:eastAsia="Times New Roman" w:hAnsi="Times New Roman"/>
          <w:sz w:val="18"/>
          <w:szCs w:val="18"/>
          <w:color w:val="2D2D2F"/>
        </w:rPr>
        <w:t xml:space="preserve"> as </w:t>
      </w:r>
      <w:r>
        <w:rPr>
          <w:rFonts w:ascii="Times New Roman" w:cs="Times New Roman" w:eastAsia="Times New Roman" w:hAnsi="Times New Roman"/>
          <w:sz w:val="18"/>
          <w:szCs w:val="18"/>
          <w:color w:val="464646"/>
        </w:rPr>
        <w:t>"work</w:t>
      </w:r>
      <w:r>
        <w:rPr>
          <w:rFonts w:ascii="Times New Roman" w:cs="Times New Roman" w:eastAsia="Times New Roman" w:hAnsi="Times New Roman"/>
          <w:sz w:val="18"/>
          <w:szCs w:val="18"/>
          <w:color w:val="2D2D2F"/>
        </w:rPr>
        <w:t xml:space="preserve"> </w:t>
      </w:r>
      <w:r>
        <w:rPr>
          <w:rFonts w:ascii="Times New Roman" w:cs="Times New Roman" w:eastAsia="Times New Roman" w:hAnsi="Times New Roman"/>
          <w:sz w:val="18"/>
          <w:szCs w:val="18"/>
          <w:color w:val="1D1D1F"/>
        </w:rPr>
        <w:t>made</w:t>
      </w:r>
      <w:r>
        <w:rPr>
          <w:rFonts w:ascii="Times New Roman" w:cs="Times New Roman" w:eastAsia="Times New Roman" w:hAnsi="Times New Roman"/>
          <w:sz w:val="18"/>
          <w:szCs w:val="18"/>
          <w:color w:val="2D2D2F"/>
        </w:rPr>
        <w:t xml:space="preserve"> for </w:t>
      </w:r>
      <w:r>
        <w:rPr>
          <w:rFonts w:ascii="Times New Roman" w:cs="Times New Roman" w:eastAsia="Times New Roman" w:hAnsi="Times New Roman"/>
          <w:sz w:val="18"/>
          <w:szCs w:val="18"/>
          <w:color w:val="1D1D1F"/>
        </w:rPr>
        <w:t>hire</w:t>
      </w:r>
      <w:r>
        <w:rPr>
          <w:rFonts w:ascii="Times New Roman" w:cs="Times New Roman" w:eastAsia="Times New Roman" w:hAnsi="Times New Roman"/>
          <w:sz w:val="18"/>
          <w:szCs w:val="18"/>
          <w:color w:val="464646"/>
        </w:rPr>
        <w:t>"</w:t>
      </w:r>
      <w:r>
        <w:rPr>
          <w:rFonts w:ascii="Times New Roman" w:cs="Times New Roman" w:eastAsia="Times New Roman" w:hAnsi="Times New Roman"/>
          <w:sz w:val="18"/>
          <w:szCs w:val="18"/>
          <w:color w:val="2D2D2F"/>
        </w:rPr>
        <w:t xml:space="preserve"> as defined and used in the Copyright Act of 1976</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2D2D2F"/>
        </w:rPr>
        <w:t xml:space="preserve"> 17 U</w:t>
      </w:r>
      <w:r>
        <w:rPr>
          <w:rFonts w:ascii="Times New Roman" w:cs="Times New Roman" w:eastAsia="Times New Roman" w:hAnsi="Times New Roman"/>
          <w:sz w:val="18"/>
          <w:szCs w:val="18"/>
          <w:color w:val="08080A"/>
        </w:rPr>
        <w:t>.</w:t>
      </w:r>
      <w:r>
        <w:rPr>
          <w:rFonts w:ascii="Times New Roman" w:cs="Times New Roman" w:eastAsia="Times New Roman" w:hAnsi="Times New Roman"/>
          <w:sz w:val="18"/>
          <w:szCs w:val="18"/>
          <w:color w:val="2D2D2F"/>
        </w:rPr>
        <w:t>S</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2D2D2F"/>
        </w:rPr>
        <w:t xml:space="preserve">C. § </w:t>
      </w:r>
      <w:r>
        <w:rPr>
          <w:rFonts w:ascii="Times New Roman" w:cs="Times New Roman" w:eastAsia="Times New Roman" w:hAnsi="Times New Roman"/>
          <w:sz w:val="18"/>
          <w:szCs w:val="18"/>
          <w:color w:val="1D1D1F"/>
        </w:rPr>
        <w:t>I</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2D2D2F"/>
        </w:rPr>
        <w:t xml:space="preserve"> </w:t>
      </w:r>
      <w:r>
        <w:rPr>
          <w:rFonts w:ascii="Times New Roman" w:cs="Times New Roman" w:eastAsia="Times New Roman" w:hAnsi="Times New Roman"/>
          <w:sz w:val="18"/>
          <w:szCs w:val="18"/>
          <w:i w:val="1"/>
          <w:iCs w:val="1"/>
          <w:color w:val="464646"/>
        </w:rPr>
        <w:t>et seq.,</w:t>
      </w:r>
      <w:r>
        <w:rPr>
          <w:rFonts w:ascii="Times New Roman" w:cs="Times New Roman" w:eastAsia="Times New Roman" w:hAnsi="Times New Roman"/>
          <w:sz w:val="18"/>
          <w:szCs w:val="18"/>
          <w:color w:val="2D2D2F"/>
        </w:rPr>
        <w:t xml:space="preserve"> as may be amended from time to time</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2D2D2F"/>
        </w:rPr>
        <w:t xml:space="preserve"> with </w:t>
      </w:r>
      <w:r>
        <w:rPr>
          <w:rFonts w:ascii="Times New Roman" w:cs="Times New Roman" w:eastAsia="Times New Roman" w:hAnsi="Times New Roman"/>
          <w:sz w:val="18"/>
          <w:szCs w:val="18"/>
          <w:color w:val="1D1D1F"/>
        </w:rPr>
        <w:t>the</w:t>
      </w:r>
      <w:r>
        <w:rPr>
          <w:rFonts w:ascii="Times New Roman" w:cs="Times New Roman" w:eastAsia="Times New Roman" w:hAnsi="Times New Roman"/>
          <w:sz w:val="18"/>
          <w:szCs w:val="18"/>
          <w:color w:val="2D2D2F"/>
        </w:rPr>
        <w:t xml:space="preserve"> Company being considered the author for copyright </w:t>
      </w:r>
      <w:r>
        <w:rPr>
          <w:rFonts w:ascii="Times New Roman" w:cs="Times New Roman" w:eastAsia="Times New Roman" w:hAnsi="Times New Roman"/>
          <w:sz w:val="18"/>
          <w:szCs w:val="18"/>
          <w:color w:val="1D1D1F"/>
        </w:rPr>
        <w:t>purposes</w:t>
      </w:r>
      <w:r>
        <w:rPr>
          <w:rFonts w:ascii="Times New Roman" w:cs="Times New Roman" w:eastAsia="Times New Roman" w:hAnsi="Times New Roman"/>
          <w:sz w:val="18"/>
          <w:szCs w:val="18"/>
          <w:color w:val="2D2D2F"/>
        </w:rPr>
        <w:t xml:space="preserve"> and </w:t>
      </w:r>
      <w:r>
        <w:rPr>
          <w:rFonts w:ascii="Times New Roman" w:cs="Times New Roman" w:eastAsia="Times New Roman" w:hAnsi="Times New Roman"/>
          <w:sz w:val="18"/>
          <w:szCs w:val="18"/>
          <w:color w:val="1D1D1F"/>
        </w:rPr>
        <w:t>the</w:t>
      </w:r>
      <w:r>
        <w:rPr>
          <w:rFonts w:ascii="Times New Roman" w:cs="Times New Roman" w:eastAsia="Times New Roman" w:hAnsi="Times New Roman"/>
          <w:sz w:val="18"/>
          <w:szCs w:val="18"/>
          <w:color w:val="2D2D2F"/>
        </w:rPr>
        <w:t xml:space="preserve"> owner of </w:t>
      </w:r>
      <w:r>
        <w:rPr>
          <w:rFonts w:ascii="Times New Roman" w:cs="Times New Roman" w:eastAsia="Times New Roman" w:hAnsi="Times New Roman"/>
          <w:sz w:val="18"/>
          <w:szCs w:val="18"/>
          <w:color w:val="1D1D1F"/>
        </w:rPr>
        <w:t xml:space="preserve">the </w:t>
      </w:r>
      <w:r>
        <w:rPr>
          <w:rFonts w:ascii="Times New Roman" w:cs="Times New Roman" w:eastAsia="Times New Roman" w:hAnsi="Times New Roman"/>
          <w:sz w:val="18"/>
          <w:szCs w:val="18"/>
          <w:color w:val="2D2D2F"/>
        </w:rPr>
        <w:t>copyright and all other rights whether</w:t>
      </w:r>
      <w:r>
        <w:rPr>
          <w:rFonts w:ascii="Times New Roman" w:cs="Times New Roman" w:eastAsia="Times New Roman" w:hAnsi="Times New Roman"/>
          <w:sz w:val="18"/>
          <w:szCs w:val="18"/>
          <w:color w:val="1D1D1F"/>
        </w:rPr>
        <w:t xml:space="preserve"> now </w:t>
      </w:r>
      <w:r>
        <w:rPr>
          <w:rFonts w:ascii="Times New Roman" w:cs="Times New Roman" w:eastAsia="Times New Roman" w:hAnsi="Times New Roman"/>
          <w:sz w:val="18"/>
          <w:szCs w:val="18"/>
          <w:color w:val="2D2D2F"/>
        </w:rPr>
        <w:t>known or</w:t>
      </w:r>
      <w:r>
        <w:rPr>
          <w:rFonts w:ascii="Times New Roman" w:cs="Times New Roman" w:eastAsia="Times New Roman" w:hAnsi="Times New Roman"/>
          <w:sz w:val="18"/>
          <w:szCs w:val="18"/>
          <w:color w:val="1D1D1F"/>
        </w:rPr>
        <w:t xml:space="preserve"> hereafter </w:t>
      </w:r>
      <w:r>
        <w:rPr>
          <w:rFonts w:ascii="Times New Roman" w:cs="Times New Roman" w:eastAsia="Times New Roman" w:hAnsi="Times New Roman"/>
          <w:sz w:val="18"/>
          <w:szCs w:val="18"/>
          <w:color w:val="2D2D2F"/>
        </w:rPr>
        <w:t>recognized. You hereby waive the benefits of any provision of</w:t>
      </w:r>
      <w:r>
        <w:rPr>
          <w:rFonts w:ascii="Times New Roman" w:cs="Times New Roman" w:eastAsia="Times New Roman" w:hAnsi="Times New Roman"/>
          <w:sz w:val="18"/>
          <w:szCs w:val="18"/>
          <w:color w:val="1D1D1F"/>
        </w:rPr>
        <w:t xml:space="preserve"> law </w:t>
      </w:r>
      <w:r>
        <w:rPr>
          <w:rFonts w:ascii="Times New Roman" w:cs="Times New Roman" w:eastAsia="Times New Roman" w:hAnsi="Times New Roman"/>
          <w:sz w:val="18"/>
          <w:szCs w:val="18"/>
          <w:color w:val="2D2D2F"/>
        </w:rPr>
        <w:t>known as the</w:t>
      </w:r>
      <w:r>
        <w:rPr>
          <w:rFonts w:ascii="Times New Roman" w:cs="Times New Roman" w:eastAsia="Times New Roman" w:hAnsi="Times New Roman"/>
          <w:sz w:val="18"/>
          <w:szCs w:val="18"/>
          <w:color w:val="1D1D1F"/>
        </w:rPr>
        <w:t xml:space="preserve"> </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2D2D2F"/>
        </w:rPr>
        <w:t>droit moral</w:t>
      </w:r>
      <w:r>
        <w:rPr>
          <w:rFonts w:ascii="Times New Roman" w:cs="Times New Roman" w:eastAsia="Times New Roman" w:hAnsi="Times New Roman"/>
          <w:sz w:val="18"/>
          <w:szCs w:val="18"/>
          <w:color w:val="565656"/>
        </w:rPr>
        <w:t xml:space="preserve">" </w:t>
      </w:r>
      <w:r>
        <w:rPr>
          <w:rFonts w:ascii="Times New Roman" w:cs="Times New Roman" w:eastAsia="Times New Roman" w:hAnsi="Times New Roman"/>
          <w:sz w:val="18"/>
          <w:szCs w:val="18"/>
          <w:color w:val="2D2D2F"/>
        </w:rPr>
        <w:t>or any similar</w:t>
      </w:r>
      <w:r>
        <w:rPr>
          <w:rFonts w:ascii="Times New Roman" w:cs="Times New Roman" w:eastAsia="Times New Roman" w:hAnsi="Times New Roman"/>
          <w:sz w:val="18"/>
          <w:szCs w:val="18"/>
          <w:color w:val="565656"/>
        </w:rPr>
        <w:t xml:space="preserve"> </w:t>
      </w:r>
      <w:r>
        <w:rPr>
          <w:rFonts w:ascii="Times New Roman" w:cs="Times New Roman" w:eastAsia="Times New Roman" w:hAnsi="Times New Roman"/>
          <w:sz w:val="18"/>
          <w:szCs w:val="18"/>
          <w:color w:val="1D1D1F"/>
        </w:rPr>
        <w:t>law</w:t>
      </w:r>
      <w:r>
        <w:rPr>
          <w:rFonts w:ascii="Times New Roman" w:cs="Times New Roman" w:eastAsia="Times New Roman" w:hAnsi="Times New Roman"/>
          <w:sz w:val="18"/>
          <w:szCs w:val="18"/>
          <w:color w:val="565656"/>
        </w:rPr>
        <w:t xml:space="preserve"> </w:t>
      </w:r>
      <w:r>
        <w:rPr>
          <w:rFonts w:ascii="Times New Roman" w:cs="Times New Roman" w:eastAsia="Times New Roman" w:hAnsi="Times New Roman"/>
          <w:sz w:val="18"/>
          <w:szCs w:val="18"/>
          <w:color w:val="2D2D2F"/>
        </w:rPr>
        <w:t>or principle</w:t>
      </w:r>
      <w:r>
        <w:rPr>
          <w:rFonts w:ascii="Times New Roman" w:cs="Times New Roman" w:eastAsia="Times New Roman" w:hAnsi="Times New Roman"/>
          <w:sz w:val="18"/>
          <w:szCs w:val="18"/>
          <w:color w:val="565656"/>
        </w:rPr>
        <w:t xml:space="preserve"> </w:t>
      </w:r>
      <w:r>
        <w:rPr>
          <w:rFonts w:ascii="Times New Roman" w:cs="Times New Roman" w:eastAsia="Times New Roman" w:hAnsi="Times New Roman"/>
          <w:sz w:val="18"/>
          <w:szCs w:val="18"/>
          <w:color w:val="1D1D1F"/>
        </w:rPr>
        <w:t>in</w:t>
      </w:r>
      <w:r>
        <w:rPr>
          <w:rFonts w:ascii="Times New Roman" w:cs="Times New Roman" w:eastAsia="Times New Roman" w:hAnsi="Times New Roman"/>
          <w:sz w:val="18"/>
          <w:szCs w:val="18"/>
          <w:color w:val="565656"/>
        </w:rPr>
        <w:t xml:space="preserve"> </w:t>
      </w:r>
      <w:r>
        <w:rPr>
          <w:rFonts w:ascii="Times New Roman" w:cs="Times New Roman" w:eastAsia="Times New Roman" w:hAnsi="Times New Roman"/>
          <w:sz w:val="18"/>
          <w:szCs w:val="18"/>
          <w:color w:val="2D2D2F"/>
        </w:rPr>
        <w:t>any country throughout the world</w:t>
      </w:r>
      <w:r>
        <w:rPr>
          <w:rFonts w:ascii="Times New Roman" w:cs="Times New Roman" w:eastAsia="Times New Roman" w:hAnsi="Times New Roman"/>
          <w:sz w:val="18"/>
          <w:szCs w:val="18"/>
          <w:color w:val="565656"/>
        </w:rPr>
        <w:t xml:space="preserve">. </w:t>
      </w:r>
      <w:r>
        <w:rPr>
          <w:rFonts w:ascii="Times New Roman" w:cs="Times New Roman" w:eastAsia="Times New Roman" w:hAnsi="Times New Roman"/>
          <w:sz w:val="18"/>
          <w:szCs w:val="18"/>
          <w:color w:val="2D2D2F"/>
        </w:rPr>
        <w:t>To</w:t>
      </w:r>
      <w:r>
        <w:rPr>
          <w:rFonts w:ascii="Times New Roman" w:cs="Times New Roman" w:eastAsia="Times New Roman" w:hAnsi="Times New Roman"/>
          <w:sz w:val="18"/>
          <w:szCs w:val="18"/>
          <w:color w:val="565656"/>
        </w:rPr>
        <w:t xml:space="preserve"> </w:t>
      </w:r>
      <w:r>
        <w:rPr>
          <w:rFonts w:ascii="Times New Roman" w:cs="Times New Roman" w:eastAsia="Times New Roman" w:hAnsi="Times New Roman"/>
          <w:sz w:val="18"/>
          <w:szCs w:val="18"/>
          <w:color w:val="1D1D1F"/>
        </w:rPr>
        <w:t>the</w:t>
      </w:r>
      <w:r>
        <w:rPr>
          <w:rFonts w:ascii="Times New Roman" w:cs="Times New Roman" w:eastAsia="Times New Roman" w:hAnsi="Times New Roman"/>
          <w:sz w:val="18"/>
          <w:szCs w:val="18"/>
          <w:color w:val="565656"/>
        </w:rPr>
        <w:t xml:space="preserve"> </w:t>
      </w:r>
      <w:r>
        <w:rPr>
          <w:rFonts w:ascii="Times New Roman" w:cs="Times New Roman" w:eastAsia="Times New Roman" w:hAnsi="Times New Roman"/>
          <w:sz w:val="18"/>
          <w:szCs w:val="18"/>
          <w:color w:val="2D2D2F"/>
        </w:rPr>
        <w:t>extent that any Works are not considered</w:t>
      </w:r>
      <w:r>
        <w:rPr>
          <w:rFonts w:ascii="Times New Roman" w:cs="Times New Roman" w:eastAsia="Times New Roman" w:hAnsi="Times New Roman"/>
          <w:sz w:val="18"/>
          <w:szCs w:val="18"/>
          <w:color w:val="565656"/>
        </w:rPr>
        <w:t xml:space="preserve"> "</w:t>
      </w:r>
      <w:r>
        <w:rPr>
          <w:rFonts w:ascii="Times New Roman" w:cs="Times New Roman" w:eastAsia="Times New Roman" w:hAnsi="Times New Roman"/>
          <w:sz w:val="18"/>
          <w:szCs w:val="18"/>
          <w:color w:val="2D2D2F"/>
        </w:rPr>
        <w:t>works made for</w:t>
      </w:r>
      <w:r>
        <w:rPr>
          <w:rFonts w:ascii="Times New Roman" w:cs="Times New Roman" w:eastAsia="Times New Roman" w:hAnsi="Times New Roman"/>
          <w:sz w:val="18"/>
          <w:szCs w:val="18"/>
          <w:color w:val="565656"/>
        </w:rPr>
        <w:t xml:space="preserve"> </w:t>
      </w:r>
      <w:r>
        <w:rPr>
          <w:rFonts w:ascii="Times New Roman" w:cs="Times New Roman" w:eastAsia="Times New Roman" w:hAnsi="Times New Roman"/>
          <w:sz w:val="18"/>
          <w:szCs w:val="18"/>
          <w:color w:val="2D2D2F"/>
        </w:rPr>
        <w:t>hire</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2D2D2F"/>
        </w:rPr>
        <w:t xml:space="preserve"> </w:t>
      </w:r>
      <w:r>
        <w:rPr>
          <w:rFonts w:ascii="Times New Roman" w:cs="Times New Roman" w:eastAsia="Times New Roman" w:hAnsi="Times New Roman"/>
          <w:sz w:val="18"/>
          <w:szCs w:val="18"/>
          <w:color w:val="464646"/>
        </w:rPr>
        <w:t>you</w:t>
      </w:r>
      <w:r>
        <w:rPr>
          <w:rFonts w:ascii="Times New Roman" w:cs="Times New Roman" w:eastAsia="Times New Roman" w:hAnsi="Times New Roman"/>
          <w:sz w:val="18"/>
          <w:szCs w:val="18"/>
          <w:color w:val="2D2D2F"/>
        </w:rPr>
        <w:t xml:space="preserve"> hereby assign and agree to assign to </w:t>
      </w:r>
      <w:r>
        <w:rPr>
          <w:rFonts w:ascii="Times New Roman" w:cs="Times New Roman" w:eastAsia="Times New Roman" w:hAnsi="Times New Roman"/>
          <w:sz w:val="18"/>
          <w:szCs w:val="18"/>
          <w:color w:val="1D1D1F"/>
        </w:rPr>
        <w:t>the</w:t>
      </w:r>
      <w:r>
        <w:rPr>
          <w:rFonts w:ascii="Times New Roman" w:cs="Times New Roman" w:eastAsia="Times New Roman" w:hAnsi="Times New Roman"/>
          <w:sz w:val="18"/>
          <w:szCs w:val="18"/>
          <w:color w:val="2D2D2F"/>
        </w:rPr>
        <w:t xml:space="preserve"> Company or </w:t>
      </w:r>
      <w:r>
        <w:rPr>
          <w:rFonts w:ascii="Times New Roman" w:cs="Times New Roman" w:eastAsia="Times New Roman" w:hAnsi="Times New Roman"/>
          <w:sz w:val="18"/>
          <w:szCs w:val="18"/>
          <w:color w:val="1D1D1F"/>
        </w:rPr>
        <w:t>its</w:t>
      </w:r>
      <w:r>
        <w:rPr>
          <w:rFonts w:ascii="Times New Roman" w:cs="Times New Roman" w:eastAsia="Times New Roman" w:hAnsi="Times New Roman"/>
          <w:sz w:val="18"/>
          <w:szCs w:val="18"/>
          <w:color w:val="2D2D2F"/>
        </w:rPr>
        <w:t xml:space="preserve"> nominee any and all interest that you may have in any Intellectual </w:t>
      </w:r>
      <w:r>
        <w:rPr>
          <w:rFonts w:ascii="Times New Roman" w:cs="Times New Roman" w:eastAsia="Times New Roman" w:hAnsi="Times New Roman"/>
          <w:sz w:val="18"/>
          <w:szCs w:val="18"/>
          <w:color w:val="1D1D1F"/>
        </w:rPr>
        <w:t>Property.</w:t>
      </w:r>
      <w:r>
        <w:rPr>
          <w:rFonts w:ascii="Times New Roman" w:cs="Times New Roman" w:eastAsia="Times New Roman" w:hAnsi="Times New Roman"/>
          <w:sz w:val="18"/>
          <w:szCs w:val="18"/>
          <w:color w:val="2D2D2F"/>
        </w:rPr>
        <w:t xml:space="preserve"> You shall promptly notify the Company or its nominee upon </w:t>
      </w:r>
      <w:r>
        <w:rPr>
          <w:rFonts w:ascii="Times New Roman" w:cs="Times New Roman" w:eastAsia="Times New Roman" w:hAnsi="Times New Roman"/>
          <w:sz w:val="18"/>
          <w:szCs w:val="18"/>
          <w:color w:val="1D1D1F"/>
        </w:rPr>
        <w:t>the</w:t>
      </w:r>
      <w:r>
        <w:rPr>
          <w:rFonts w:ascii="Times New Roman" w:cs="Times New Roman" w:eastAsia="Times New Roman" w:hAnsi="Times New Roman"/>
          <w:sz w:val="18"/>
          <w:szCs w:val="18"/>
          <w:color w:val="2D2D2F"/>
        </w:rPr>
        <w:t xml:space="preserve"> design</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2D2D2F"/>
        </w:rPr>
        <w:t xml:space="preserve"> creation or development of any and all Inventions and Works</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2D2D2F"/>
        </w:rPr>
        <w:t xml:space="preserve"> At the Company's or Employer's request</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2D2D2F"/>
        </w:rPr>
        <w:t xml:space="preserve"> </w:t>
      </w:r>
      <w:r>
        <w:rPr>
          <w:rFonts w:ascii="Times New Roman" w:cs="Times New Roman" w:eastAsia="Times New Roman" w:hAnsi="Times New Roman"/>
          <w:sz w:val="18"/>
          <w:szCs w:val="18"/>
          <w:color w:val="464646"/>
        </w:rPr>
        <w:t>yo</w:t>
      </w:r>
      <w:r>
        <w:rPr>
          <w:rFonts w:ascii="Times New Roman" w:cs="Times New Roman" w:eastAsia="Times New Roman" w:hAnsi="Times New Roman"/>
          <w:sz w:val="18"/>
          <w:szCs w:val="18"/>
          <w:color w:val="1D1D1F"/>
        </w:rPr>
        <w:t>u</w:t>
      </w:r>
      <w:r>
        <w:rPr>
          <w:rFonts w:ascii="Times New Roman" w:cs="Times New Roman" w:eastAsia="Times New Roman" w:hAnsi="Times New Roman"/>
          <w:sz w:val="18"/>
          <w:szCs w:val="18"/>
          <w:color w:val="2D2D2F"/>
        </w:rPr>
        <w:t xml:space="preserve"> shall execute and deliver to the Company and/or </w:t>
      </w:r>
      <w:r>
        <w:rPr>
          <w:rFonts w:ascii="Times New Roman" w:cs="Times New Roman" w:eastAsia="Times New Roman" w:hAnsi="Times New Roman"/>
          <w:sz w:val="18"/>
          <w:szCs w:val="18"/>
          <w:color w:val="1D1D1F"/>
        </w:rPr>
        <w:t>the</w:t>
      </w:r>
      <w:r>
        <w:rPr>
          <w:rFonts w:ascii="Times New Roman" w:cs="Times New Roman" w:eastAsia="Times New Roman" w:hAnsi="Times New Roman"/>
          <w:sz w:val="18"/>
          <w:szCs w:val="18"/>
          <w:color w:val="2D2D2F"/>
        </w:rPr>
        <w:t xml:space="preserve"> Employer as applicable all documents or instruments that </w:t>
      </w:r>
      <w:r>
        <w:rPr>
          <w:rFonts w:ascii="Times New Roman" w:cs="Times New Roman" w:eastAsia="Times New Roman" w:hAnsi="Times New Roman"/>
          <w:sz w:val="18"/>
          <w:szCs w:val="18"/>
          <w:color w:val="1D1D1F"/>
        </w:rPr>
        <w:t>may</w:t>
      </w:r>
      <w:r>
        <w:rPr>
          <w:rFonts w:ascii="Times New Roman" w:cs="Times New Roman" w:eastAsia="Times New Roman" w:hAnsi="Times New Roman"/>
          <w:sz w:val="18"/>
          <w:szCs w:val="18"/>
          <w:color w:val="2D2D2F"/>
        </w:rPr>
        <w:t xml:space="preserve"> be </w:t>
      </w:r>
      <w:r>
        <w:rPr>
          <w:rFonts w:ascii="Times New Roman" w:cs="Times New Roman" w:eastAsia="Times New Roman" w:hAnsi="Times New Roman"/>
          <w:sz w:val="18"/>
          <w:szCs w:val="18"/>
          <w:color w:val="1D1D1F"/>
        </w:rPr>
        <w:t xml:space="preserve">necessary </w:t>
      </w:r>
      <w:r>
        <w:rPr>
          <w:rFonts w:ascii="Times New Roman" w:cs="Times New Roman" w:eastAsia="Times New Roman" w:hAnsi="Times New Roman"/>
          <w:sz w:val="18"/>
          <w:szCs w:val="18"/>
          <w:color w:val="2D2D2F"/>
        </w:rPr>
        <w:t>to secure or perfect the Company</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2D2D2F"/>
        </w:rPr>
        <w:t>s title to or</w:t>
      </w:r>
      <w:r>
        <w:rPr>
          <w:rFonts w:ascii="Times New Roman" w:cs="Times New Roman" w:eastAsia="Times New Roman" w:hAnsi="Times New Roman"/>
          <w:sz w:val="18"/>
          <w:szCs w:val="18"/>
          <w:color w:val="1D1D1F"/>
        </w:rPr>
        <w:t xml:space="preserve"> interest </w:t>
      </w:r>
      <w:r>
        <w:rPr>
          <w:rFonts w:ascii="Times New Roman" w:cs="Times New Roman" w:eastAsia="Times New Roman" w:hAnsi="Times New Roman"/>
          <w:sz w:val="18"/>
          <w:szCs w:val="18"/>
          <w:color w:val="2D2D2F"/>
        </w:rPr>
        <w:t>in the</w:t>
      </w:r>
      <w:r>
        <w:rPr>
          <w:rFonts w:ascii="Times New Roman" w:cs="Times New Roman" w:eastAsia="Times New Roman" w:hAnsi="Times New Roman"/>
          <w:sz w:val="18"/>
          <w:szCs w:val="18"/>
          <w:color w:val="1D1D1F"/>
        </w:rPr>
        <w:t xml:space="preserve"> Inventions </w:t>
      </w:r>
      <w:r>
        <w:rPr>
          <w:rFonts w:ascii="Times New Roman" w:cs="Times New Roman" w:eastAsia="Times New Roman" w:hAnsi="Times New Roman"/>
          <w:sz w:val="18"/>
          <w:szCs w:val="18"/>
          <w:color w:val="2D2D2F"/>
        </w:rPr>
        <w:t>and Works</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1D1D1F"/>
        </w:rPr>
        <w:t xml:space="preserve"> including </w:t>
      </w:r>
      <w:r>
        <w:rPr>
          <w:rFonts w:ascii="Times New Roman" w:cs="Times New Roman" w:eastAsia="Times New Roman" w:hAnsi="Times New Roman"/>
          <w:sz w:val="18"/>
          <w:szCs w:val="18"/>
          <w:color w:val="2D2D2F"/>
        </w:rPr>
        <w:t>but not</w:t>
      </w:r>
      <w:r>
        <w:rPr>
          <w:rFonts w:ascii="Times New Roman" w:cs="Times New Roman" w:eastAsia="Times New Roman" w:hAnsi="Times New Roman"/>
          <w:sz w:val="18"/>
          <w:szCs w:val="18"/>
          <w:color w:val="1D1D1F"/>
        </w:rPr>
        <w:t xml:space="preserve"> limited </w:t>
      </w:r>
      <w:r>
        <w:rPr>
          <w:rFonts w:ascii="Times New Roman" w:cs="Times New Roman" w:eastAsia="Times New Roman" w:hAnsi="Times New Roman"/>
          <w:sz w:val="18"/>
          <w:szCs w:val="18"/>
          <w:color w:val="2D2D2F"/>
        </w:rPr>
        <w:t>to United States and foreign</w:t>
      </w:r>
      <w:r>
        <w:rPr>
          <w:rFonts w:ascii="Times New Roman" w:cs="Times New Roman" w:eastAsia="Times New Roman" w:hAnsi="Times New Roman"/>
          <w:sz w:val="18"/>
          <w:szCs w:val="18"/>
          <w:color w:val="1D1D1F"/>
        </w:rPr>
        <w:t xml:space="preserve"> </w:t>
      </w:r>
      <w:r>
        <w:rPr>
          <w:rFonts w:ascii="Times New Roman" w:cs="Times New Roman" w:eastAsia="Times New Roman" w:hAnsi="Times New Roman"/>
          <w:sz w:val="18"/>
          <w:szCs w:val="18"/>
          <w:color w:val="2D2D2F"/>
        </w:rPr>
        <w:t>applications for letters of patents and extensions, continuations or reissues thereof</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2D2D2F"/>
        </w:rPr>
        <w:t xml:space="preserve"> applications for copyrights and </w:t>
      </w:r>
      <w:r>
        <w:rPr>
          <w:rFonts w:ascii="Times New Roman" w:cs="Times New Roman" w:eastAsia="Times New Roman" w:hAnsi="Times New Roman"/>
          <w:sz w:val="18"/>
          <w:szCs w:val="18"/>
          <w:color w:val="1D1D1F"/>
        </w:rPr>
        <w:t>documents</w:t>
      </w:r>
      <w:r>
        <w:rPr>
          <w:rFonts w:ascii="Times New Roman" w:cs="Times New Roman" w:eastAsia="Times New Roman" w:hAnsi="Times New Roman"/>
          <w:sz w:val="18"/>
          <w:szCs w:val="18"/>
          <w:color w:val="2D2D2F"/>
        </w:rPr>
        <w:t xml:space="preserve"> or instruments of assignments or transfer. Such obligations shall continue </w:t>
      </w:r>
      <w:r>
        <w:rPr>
          <w:rFonts w:ascii="Times New Roman" w:cs="Times New Roman" w:eastAsia="Times New Roman" w:hAnsi="Times New Roman"/>
          <w:sz w:val="18"/>
          <w:szCs w:val="18"/>
          <w:color w:val="1D1D1F"/>
        </w:rPr>
        <w:t>beyond the</w:t>
      </w:r>
      <w:r>
        <w:rPr>
          <w:rFonts w:ascii="Times New Roman" w:cs="Times New Roman" w:eastAsia="Times New Roman" w:hAnsi="Times New Roman"/>
          <w:sz w:val="18"/>
          <w:szCs w:val="18"/>
          <w:color w:val="2D2D2F"/>
        </w:rPr>
        <w:t xml:space="preserve"> termination of employment with respect to Works and </w:t>
      </w:r>
      <w:r>
        <w:rPr>
          <w:rFonts w:ascii="Times New Roman" w:cs="Times New Roman" w:eastAsia="Times New Roman" w:hAnsi="Times New Roman"/>
          <w:sz w:val="18"/>
          <w:szCs w:val="18"/>
          <w:color w:val="1D1D1F"/>
        </w:rPr>
        <w:t>Inventions</w:t>
      </w:r>
      <w:r>
        <w:rPr>
          <w:rFonts w:ascii="Times New Roman" w:cs="Times New Roman" w:eastAsia="Times New Roman" w:hAnsi="Times New Roman"/>
          <w:sz w:val="18"/>
          <w:szCs w:val="18"/>
          <w:color w:val="2D2D2F"/>
        </w:rPr>
        <w:t xml:space="preserve"> designed</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2D2D2F"/>
        </w:rPr>
        <w:t xml:space="preserve"> created or developed </w:t>
      </w:r>
      <w:r>
        <w:rPr>
          <w:rFonts w:ascii="Times New Roman" w:cs="Times New Roman" w:eastAsia="Times New Roman" w:hAnsi="Times New Roman"/>
          <w:sz w:val="18"/>
          <w:szCs w:val="18"/>
          <w:color w:val="1D1D1F"/>
        </w:rPr>
        <w:t>by</w:t>
      </w:r>
      <w:r>
        <w:rPr>
          <w:rFonts w:ascii="Times New Roman" w:cs="Times New Roman" w:eastAsia="Times New Roman" w:hAnsi="Times New Roman"/>
          <w:sz w:val="18"/>
          <w:szCs w:val="18"/>
          <w:color w:val="2D2D2F"/>
        </w:rPr>
        <w:t xml:space="preserve"> you during the period of employment hereunder, and shall be </w:t>
      </w:r>
      <w:r>
        <w:rPr>
          <w:rFonts w:ascii="Times New Roman" w:cs="Times New Roman" w:eastAsia="Times New Roman" w:hAnsi="Times New Roman"/>
          <w:sz w:val="18"/>
          <w:szCs w:val="18"/>
          <w:color w:val="1D1D1F"/>
        </w:rPr>
        <w:t>binding upon</w:t>
      </w:r>
      <w:r>
        <w:rPr>
          <w:rFonts w:ascii="Times New Roman" w:cs="Times New Roman" w:eastAsia="Times New Roman" w:hAnsi="Times New Roman"/>
          <w:sz w:val="18"/>
          <w:szCs w:val="18"/>
          <w:color w:val="2D2D2F"/>
        </w:rPr>
        <w:t xml:space="preserve"> your </w:t>
      </w:r>
      <w:r>
        <w:rPr>
          <w:rFonts w:ascii="Times New Roman" w:cs="Times New Roman" w:eastAsia="Times New Roman" w:hAnsi="Times New Roman"/>
          <w:sz w:val="18"/>
          <w:szCs w:val="18"/>
          <w:color w:val="1D1D1F"/>
        </w:rPr>
        <w:t>heirs</w:t>
      </w:r>
      <w:r>
        <w:rPr>
          <w:rFonts w:ascii="Times New Roman" w:cs="Times New Roman" w:eastAsia="Times New Roman" w:hAnsi="Times New Roman"/>
          <w:sz w:val="18"/>
          <w:szCs w:val="18"/>
          <w:color w:val="464646"/>
        </w:rPr>
        <w:t>,</w:t>
      </w:r>
      <w:r>
        <w:rPr>
          <w:rFonts w:ascii="Times New Roman" w:cs="Times New Roman" w:eastAsia="Times New Roman" w:hAnsi="Times New Roman"/>
          <w:sz w:val="18"/>
          <w:szCs w:val="18"/>
          <w:color w:val="2D2D2F"/>
        </w:rPr>
        <w:t xml:space="preserve"> assigns, executors, administrators and other </w:t>
      </w:r>
      <w:r>
        <w:rPr>
          <w:rFonts w:ascii="Times New Roman" w:cs="Times New Roman" w:eastAsia="Times New Roman" w:hAnsi="Times New Roman"/>
          <w:sz w:val="18"/>
          <w:szCs w:val="18"/>
          <w:color w:val="1D1D1F"/>
        </w:rPr>
        <w:t>le</w:t>
      </w:r>
      <w:r>
        <w:rPr>
          <w:rFonts w:ascii="Times New Roman" w:cs="Times New Roman" w:eastAsia="Times New Roman" w:hAnsi="Times New Roman"/>
          <w:sz w:val="18"/>
          <w:szCs w:val="18"/>
          <w:color w:val="464646"/>
        </w:rPr>
        <w:t>ga</w:t>
      </w:r>
      <w:r>
        <w:rPr>
          <w:rFonts w:ascii="Times New Roman" w:cs="Times New Roman" w:eastAsia="Times New Roman" w:hAnsi="Times New Roman"/>
          <w:sz w:val="18"/>
          <w:szCs w:val="18"/>
          <w:color w:val="1D1D1F"/>
        </w:rPr>
        <w:t xml:space="preserve">l </w:t>
      </w:r>
      <w:r>
        <w:rPr>
          <w:rFonts w:ascii="Times New Roman" w:cs="Times New Roman" w:eastAsia="Times New Roman" w:hAnsi="Times New Roman"/>
          <w:sz w:val="18"/>
          <w:szCs w:val="18"/>
          <w:color w:val="2D2D2F"/>
        </w:rPr>
        <w:t>representatives. You shall render all assistance that the Company and</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2D2D2F"/>
        </w:rPr>
        <w:t>or the Employer may require in any registration</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1D1D1F"/>
        </w:rPr>
        <w:t xml:space="preserve"> </w:t>
      </w:r>
      <w:r>
        <w:rPr>
          <w:rFonts w:ascii="Times New Roman" w:cs="Times New Roman" w:eastAsia="Times New Roman" w:hAnsi="Times New Roman"/>
          <w:sz w:val="18"/>
          <w:szCs w:val="18"/>
          <w:color w:val="2D2D2F"/>
        </w:rPr>
        <w:t>proceeding or</w:t>
      </w:r>
      <w:r>
        <w:rPr>
          <w:rFonts w:ascii="Times New Roman" w:cs="Times New Roman" w:eastAsia="Times New Roman" w:hAnsi="Times New Roman"/>
          <w:sz w:val="18"/>
          <w:szCs w:val="18"/>
          <w:color w:val="1D1D1F"/>
        </w:rPr>
        <w:t xml:space="preserve"> liti</w:t>
      </w:r>
      <w:r>
        <w:rPr>
          <w:rFonts w:ascii="Times New Roman" w:cs="Times New Roman" w:eastAsia="Times New Roman" w:hAnsi="Times New Roman"/>
          <w:sz w:val="18"/>
          <w:szCs w:val="18"/>
          <w:color w:val="464646"/>
        </w:rPr>
        <w:t>ga</w:t>
      </w:r>
      <w:r>
        <w:rPr>
          <w:rFonts w:ascii="Times New Roman" w:cs="Times New Roman" w:eastAsia="Times New Roman" w:hAnsi="Times New Roman"/>
          <w:sz w:val="18"/>
          <w:szCs w:val="18"/>
          <w:color w:val="1D1D1F"/>
        </w:rPr>
        <w:t>tion</w:t>
      </w:r>
      <w:r>
        <w:rPr>
          <w:rFonts w:ascii="Times New Roman" w:cs="Times New Roman" w:eastAsia="Times New Roman" w:hAnsi="Times New Roman"/>
          <w:sz w:val="18"/>
          <w:szCs w:val="18"/>
          <w:color w:val="464646"/>
        </w:rPr>
        <w:t>,</w:t>
      </w:r>
      <w:r>
        <w:rPr>
          <w:rFonts w:ascii="Times New Roman" w:cs="Times New Roman" w:eastAsia="Times New Roman" w:hAnsi="Times New Roman"/>
          <w:sz w:val="18"/>
          <w:szCs w:val="18"/>
          <w:color w:val="1D1D1F"/>
        </w:rPr>
        <w:t xml:space="preserve"> including </w:t>
      </w:r>
      <w:r>
        <w:rPr>
          <w:rFonts w:ascii="Times New Roman" w:cs="Times New Roman" w:eastAsia="Times New Roman" w:hAnsi="Times New Roman"/>
          <w:sz w:val="18"/>
          <w:szCs w:val="18"/>
          <w:color w:val="2D2D2F"/>
        </w:rPr>
        <w:t>at</w:t>
      </w:r>
      <w:r>
        <w:rPr>
          <w:rFonts w:ascii="Times New Roman" w:cs="Times New Roman" w:eastAsia="Times New Roman" w:hAnsi="Times New Roman"/>
          <w:sz w:val="18"/>
          <w:szCs w:val="18"/>
          <w:color w:val="1D1D1F"/>
        </w:rPr>
        <w:t xml:space="preserve"> the </w:t>
      </w:r>
      <w:r>
        <w:rPr>
          <w:rFonts w:ascii="Times New Roman" w:cs="Times New Roman" w:eastAsia="Times New Roman" w:hAnsi="Times New Roman"/>
          <w:sz w:val="18"/>
          <w:szCs w:val="18"/>
          <w:color w:val="2D2D2F"/>
        </w:rPr>
        <w:t>United State Patent and Trademark Office or</w:t>
      </w:r>
      <w:r>
        <w:rPr>
          <w:rFonts w:ascii="Times New Roman" w:cs="Times New Roman" w:eastAsia="Times New Roman" w:hAnsi="Times New Roman"/>
          <w:sz w:val="18"/>
          <w:szCs w:val="18"/>
          <w:color w:val="1D1D1F"/>
        </w:rPr>
        <w:t xml:space="preserve"> the </w:t>
      </w:r>
      <w:r>
        <w:rPr>
          <w:rFonts w:ascii="Times New Roman" w:cs="Times New Roman" w:eastAsia="Times New Roman" w:hAnsi="Times New Roman"/>
          <w:sz w:val="18"/>
          <w:szCs w:val="18"/>
          <w:color w:val="2D2D2F"/>
        </w:rPr>
        <w:t>United States Copyright Office</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1D1D1F"/>
        </w:rPr>
        <w:t xml:space="preserve"> </w:t>
      </w:r>
      <w:r>
        <w:rPr>
          <w:rFonts w:ascii="Times New Roman" w:cs="Times New Roman" w:eastAsia="Times New Roman" w:hAnsi="Times New Roman"/>
          <w:sz w:val="18"/>
          <w:szCs w:val="18"/>
          <w:color w:val="2D2D2F"/>
        </w:rPr>
        <w:t>involving such Inventions or Works</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1D1D1F"/>
        </w:rPr>
        <w:t xml:space="preserve"> </w:t>
      </w:r>
      <w:r>
        <w:rPr>
          <w:rFonts w:ascii="Times New Roman" w:cs="Times New Roman" w:eastAsia="Times New Roman" w:hAnsi="Times New Roman"/>
          <w:sz w:val="18"/>
          <w:szCs w:val="18"/>
          <w:color w:val="2D2D2F"/>
        </w:rPr>
        <w:t>without charge to</w:t>
      </w:r>
      <w:r>
        <w:rPr>
          <w:rFonts w:ascii="Times New Roman" w:cs="Times New Roman" w:eastAsia="Times New Roman" w:hAnsi="Times New Roman"/>
          <w:sz w:val="18"/>
          <w:szCs w:val="18"/>
          <w:color w:val="1D1D1F"/>
        </w:rPr>
        <w:t xml:space="preserve"> </w:t>
      </w:r>
      <w:r>
        <w:rPr>
          <w:rFonts w:ascii="Times New Roman" w:cs="Times New Roman" w:eastAsia="Times New Roman" w:hAnsi="Times New Roman"/>
          <w:sz w:val="18"/>
          <w:szCs w:val="18"/>
          <w:color w:val="2D2D2F"/>
        </w:rPr>
        <w:t>the Company and/or the Employer</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2D2D2F"/>
        </w:rPr>
        <w:t xml:space="preserve"> other than a reasonable payment for time involved </w:t>
      </w:r>
      <w:r>
        <w:rPr>
          <w:rFonts w:ascii="Times New Roman" w:cs="Times New Roman" w:eastAsia="Times New Roman" w:hAnsi="Times New Roman"/>
          <w:sz w:val="18"/>
          <w:szCs w:val="18"/>
          <w:color w:val="1D1D1F"/>
        </w:rPr>
        <w:t>in</w:t>
      </w:r>
      <w:r>
        <w:rPr>
          <w:rFonts w:ascii="Times New Roman" w:cs="Times New Roman" w:eastAsia="Times New Roman" w:hAnsi="Times New Roman"/>
          <w:sz w:val="18"/>
          <w:szCs w:val="18"/>
          <w:color w:val="2D2D2F"/>
        </w:rPr>
        <w:t xml:space="preserve"> the event you are </w:t>
      </w:r>
      <w:r>
        <w:rPr>
          <w:rFonts w:ascii="Times New Roman" w:cs="Times New Roman" w:eastAsia="Times New Roman" w:hAnsi="Times New Roman"/>
          <w:sz w:val="18"/>
          <w:szCs w:val="18"/>
          <w:color w:val="1D1D1F"/>
        </w:rPr>
        <w:t>no longer</w:t>
      </w:r>
      <w:r>
        <w:rPr>
          <w:rFonts w:ascii="Times New Roman" w:cs="Times New Roman" w:eastAsia="Times New Roman" w:hAnsi="Times New Roman"/>
          <w:sz w:val="18"/>
          <w:szCs w:val="18"/>
          <w:color w:val="2D2D2F"/>
        </w:rPr>
        <w:t xml:space="preserve"> employed by or engaged </w:t>
      </w:r>
      <w:r>
        <w:rPr>
          <w:rFonts w:ascii="Times New Roman" w:cs="Times New Roman" w:eastAsia="Times New Roman" w:hAnsi="Times New Roman"/>
          <w:sz w:val="18"/>
          <w:szCs w:val="18"/>
          <w:color w:val="1D1D1F"/>
        </w:rPr>
        <w:t>by the</w:t>
      </w:r>
      <w:r>
        <w:rPr>
          <w:rFonts w:ascii="Times New Roman" w:cs="Times New Roman" w:eastAsia="Times New Roman" w:hAnsi="Times New Roman"/>
          <w:sz w:val="18"/>
          <w:szCs w:val="18"/>
          <w:color w:val="2D2D2F"/>
        </w:rPr>
        <w:t xml:space="preserve"> Employer.</w:t>
      </w:r>
    </w:p>
    <w:p>
      <w:pPr>
        <w:spacing w:after="0" w:line="169" w:lineRule="exact"/>
        <w:rPr>
          <w:sz w:val="20"/>
          <w:szCs w:val="20"/>
          <w:color w:val="auto"/>
        </w:rPr>
      </w:pPr>
    </w:p>
    <w:p>
      <w:pPr>
        <w:jc w:val="both"/>
        <w:ind w:left="80" w:right="60" w:firstLine="735"/>
        <w:spacing w:after="0" w:line="258" w:lineRule="auto"/>
        <w:rPr>
          <w:sz w:val="20"/>
          <w:szCs w:val="20"/>
          <w:color w:val="auto"/>
        </w:rPr>
      </w:pPr>
      <w:r>
        <w:rPr>
          <w:rFonts w:ascii="Times New Roman" w:cs="Times New Roman" w:eastAsia="Times New Roman" w:hAnsi="Times New Roman"/>
          <w:sz w:val="18"/>
          <w:szCs w:val="18"/>
          <w:color w:val="2D2D2F"/>
        </w:rPr>
        <w:t xml:space="preserve">3.3 Notwithstanding the foregoing, you </w:t>
      </w:r>
      <w:r>
        <w:rPr>
          <w:rFonts w:ascii="Times New Roman" w:cs="Times New Roman" w:eastAsia="Times New Roman" w:hAnsi="Times New Roman"/>
          <w:sz w:val="18"/>
          <w:szCs w:val="18"/>
          <w:color w:val="1D1D1F"/>
        </w:rPr>
        <w:t>understand</w:t>
      </w:r>
      <w:r>
        <w:rPr>
          <w:rFonts w:ascii="Times New Roman" w:cs="Times New Roman" w:eastAsia="Times New Roman" w:hAnsi="Times New Roman"/>
          <w:sz w:val="18"/>
          <w:szCs w:val="18"/>
          <w:color w:val="2D2D2F"/>
        </w:rPr>
        <w:t xml:space="preserve"> and acknowledge </w:t>
      </w:r>
      <w:r>
        <w:rPr>
          <w:rFonts w:ascii="Times New Roman" w:cs="Times New Roman" w:eastAsia="Times New Roman" w:hAnsi="Times New Roman"/>
          <w:sz w:val="18"/>
          <w:szCs w:val="18"/>
          <w:color w:val="1D1D1F"/>
        </w:rPr>
        <w:t>that</w:t>
      </w:r>
      <w:r>
        <w:rPr>
          <w:rFonts w:ascii="Times New Roman" w:cs="Times New Roman" w:eastAsia="Times New Roman" w:hAnsi="Times New Roman"/>
          <w:sz w:val="18"/>
          <w:szCs w:val="18"/>
          <w:color w:val="464646"/>
        </w:rPr>
        <w:t>,</w:t>
      </w:r>
      <w:r>
        <w:rPr>
          <w:rFonts w:ascii="Times New Roman" w:cs="Times New Roman" w:eastAsia="Times New Roman" w:hAnsi="Times New Roman"/>
          <w:sz w:val="18"/>
          <w:szCs w:val="18"/>
          <w:color w:val="2D2D2F"/>
        </w:rPr>
        <w:t xml:space="preserve"> pursuant to the Employee </w:t>
      </w:r>
      <w:r>
        <w:rPr>
          <w:rFonts w:ascii="Times New Roman" w:cs="Times New Roman" w:eastAsia="Times New Roman" w:hAnsi="Times New Roman"/>
          <w:sz w:val="18"/>
          <w:szCs w:val="18"/>
          <w:color w:val="1D1D1F"/>
        </w:rPr>
        <w:t>Patent</w:t>
      </w:r>
      <w:r>
        <w:rPr>
          <w:rFonts w:ascii="Times New Roman" w:cs="Times New Roman" w:eastAsia="Times New Roman" w:hAnsi="Times New Roman"/>
          <w:sz w:val="18"/>
          <w:szCs w:val="18"/>
          <w:color w:val="2D2D2F"/>
        </w:rPr>
        <w:t xml:space="preserve"> Act</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2D2D2F"/>
        </w:rPr>
        <w:t xml:space="preserve"> Illinois Public Act 83-493 (to the extent applicable to your employment), the Employer </w:t>
      </w:r>
      <w:r>
        <w:rPr>
          <w:rFonts w:ascii="Times New Roman" w:cs="Times New Roman" w:eastAsia="Times New Roman" w:hAnsi="Times New Roman"/>
          <w:sz w:val="18"/>
          <w:szCs w:val="18"/>
          <w:color w:val="1D1D1F"/>
        </w:rPr>
        <w:t>has informed</w:t>
      </w:r>
      <w:r>
        <w:rPr>
          <w:rFonts w:ascii="Times New Roman" w:cs="Times New Roman" w:eastAsia="Times New Roman" w:hAnsi="Times New Roman"/>
          <w:sz w:val="18"/>
          <w:szCs w:val="18"/>
          <w:color w:val="2D2D2F"/>
        </w:rPr>
        <w:t xml:space="preserve"> you </w:t>
      </w:r>
      <w:r>
        <w:rPr>
          <w:rFonts w:ascii="Times New Roman" w:cs="Times New Roman" w:eastAsia="Times New Roman" w:hAnsi="Times New Roman"/>
          <w:sz w:val="18"/>
          <w:szCs w:val="18"/>
          <w:color w:val="1D1D1F"/>
        </w:rPr>
        <w:t>that</w:t>
      </w:r>
      <w:r>
        <w:rPr>
          <w:rFonts w:ascii="Times New Roman" w:cs="Times New Roman" w:eastAsia="Times New Roman" w:hAnsi="Times New Roman"/>
          <w:sz w:val="18"/>
          <w:szCs w:val="18"/>
          <w:color w:val="2D2D2F"/>
        </w:rPr>
        <w:t xml:space="preserve"> the </w:t>
      </w:r>
      <w:r>
        <w:rPr>
          <w:rFonts w:ascii="Times New Roman" w:cs="Times New Roman" w:eastAsia="Times New Roman" w:hAnsi="Times New Roman"/>
          <w:sz w:val="18"/>
          <w:szCs w:val="18"/>
          <w:color w:val="1D1D1F"/>
        </w:rPr>
        <w:t>provisions</w:t>
      </w:r>
      <w:r>
        <w:rPr>
          <w:rFonts w:ascii="Times New Roman" w:cs="Times New Roman" w:eastAsia="Times New Roman" w:hAnsi="Times New Roman"/>
          <w:sz w:val="18"/>
          <w:szCs w:val="18"/>
          <w:color w:val="2D2D2F"/>
        </w:rPr>
        <w:t xml:space="preserve"> of </w:t>
      </w:r>
      <w:r>
        <w:rPr>
          <w:rFonts w:ascii="Times New Roman" w:cs="Times New Roman" w:eastAsia="Times New Roman" w:hAnsi="Times New Roman"/>
          <w:sz w:val="18"/>
          <w:szCs w:val="18"/>
          <w:color w:val="1D1D1F"/>
        </w:rPr>
        <w:t>this</w:t>
      </w:r>
      <w:r>
        <w:rPr>
          <w:rFonts w:ascii="Times New Roman" w:cs="Times New Roman" w:eastAsia="Times New Roman" w:hAnsi="Times New Roman"/>
          <w:sz w:val="18"/>
          <w:szCs w:val="18"/>
          <w:color w:val="2D2D2F"/>
        </w:rPr>
        <w:t xml:space="preserve"> Section 3 wi</w:t>
      </w:r>
      <w:r>
        <w:rPr>
          <w:rFonts w:ascii="Times New Roman" w:cs="Times New Roman" w:eastAsia="Times New Roman" w:hAnsi="Times New Roman"/>
          <w:sz w:val="18"/>
          <w:szCs w:val="18"/>
          <w:color w:val="08080A"/>
        </w:rPr>
        <w:t>ll</w:t>
      </w:r>
      <w:r>
        <w:rPr>
          <w:rFonts w:ascii="Times New Roman" w:cs="Times New Roman" w:eastAsia="Times New Roman" w:hAnsi="Times New Roman"/>
          <w:sz w:val="18"/>
          <w:szCs w:val="18"/>
          <w:color w:val="2D2D2F"/>
        </w:rPr>
        <w:t xml:space="preserve"> </w:t>
      </w:r>
      <w:r>
        <w:rPr>
          <w:rFonts w:ascii="Times New Roman" w:cs="Times New Roman" w:eastAsia="Times New Roman" w:hAnsi="Times New Roman"/>
          <w:sz w:val="18"/>
          <w:szCs w:val="18"/>
          <w:color w:val="1D1D1F"/>
        </w:rPr>
        <w:t>not</w:t>
      </w:r>
      <w:r>
        <w:rPr>
          <w:rFonts w:ascii="Times New Roman" w:cs="Times New Roman" w:eastAsia="Times New Roman" w:hAnsi="Times New Roman"/>
          <w:sz w:val="18"/>
          <w:szCs w:val="18"/>
          <w:color w:val="2D2D2F"/>
        </w:rPr>
        <w:t xml:space="preserve"> apply to any </w:t>
      </w:r>
      <w:r>
        <w:rPr>
          <w:rFonts w:ascii="Times New Roman" w:cs="Times New Roman" w:eastAsia="Times New Roman" w:hAnsi="Times New Roman"/>
          <w:sz w:val="18"/>
          <w:szCs w:val="18"/>
          <w:color w:val="1D1D1F"/>
        </w:rPr>
        <w:t>Inventions</w:t>
      </w:r>
      <w:r>
        <w:rPr>
          <w:rFonts w:ascii="Times New Roman" w:cs="Times New Roman" w:eastAsia="Times New Roman" w:hAnsi="Times New Roman"/>
          <w:sz w:val="18"/>
          <w:szCs w:val="18"/>
          <w:color w:val="2D2D2F"/>
        </w:rPr>
        <w:t xml:space="preserve"> for which </w:t>
      </w:r>
      <w:r>
        <w:rPr>
          <w:rFonts w:ascii="Times New Roman" w:cs="Times New Roman" w:eastAsia="Times New Roman" w:hAnsi="Times New Roman"/>
          <w:sz w:val="18"/>
          <w:szCs w:val="18"/>
          <w:color w:val="1D1D1F"/>
        </w:rPr>
        <w:t>no</w:t>
      </w:r>
      <w:r>
        <w:rPr>
          <w:rFonts w:ascii="Times New Roman" w:cs="Times New Roman" w:eastAsia="Times New Roman" w:hAnsi="Times New Roman"/>
          <w:sz w:val="18"/>
          <w:szCs w:val="18"/>
          <w:color w:val="2D2D2F"/>
        </w:rPr>
        <w:t xml:space="preserve"> equipment</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2D2D2F"/>
        </w:rPr>
        <w:t xml:space="preserve"> </w:t>
      </w:r>
      <w:r>
        <w:rPr>
          <w:rFonts w:ascii="Times New Roman" w:cs="Times New Roman" w:eastAsia="Times New Roman" w:hAnsi="Times New Roman"/>
          <w:sz w:val="18"/>
          <w:szCs w:val="18"/>
          <w:color w:val="000000"/>
        </w:rPr>
        <w:t>s</w:t>
      </w:r>
      <w:r>
        <w:rPr>
          <w:rFonts w:ascii="Times New Roman" w:cs="Times New Roman" w:eastAsia="Times New Roman" w:hAnsi="Times New Roman"/>
          <w:sz w:val="18"/>
          <w:szCs w:val="18"/>
          <w:color w:val="28282A"/>
        </w:rPr>
        <w:t>upplies</w:t>
      </w:r>
      <w:r>
        <w:rPr>
          <w:rFonts w:ascii="Times New Roman" w:cs="Times New Roman" w:eastAsia="Times New Roman" w:hAnsi="Times New Roman"/>
          <w:sz w:val="18"/>
          <w:szCs w:val="18"/>
          <w:color w:val="4B4B4B"/>
        </w:rPr>
        <w:t>,</w:t>
      </w:r>
      <w:r>
        <w:rPr>
          <w:rFonts w:ascii="Times New Roman" w:cs="Times New Roman" w:eastAsia="Times New Roman" w:hAnsi="Times New Roman"/>
          <w:sz w:val="18"/>
          <w:szCs w:val="18"/>
          <w:color w:val="2D2D2F"/>
        </w:rPr>
        <w:t xml:space="preserve"> </w:t>
      </w:r>
      <w:r>
        <w:rPr>
          <w:rFonts w:ascii="Times New Roman" w:cs="Times New Roman" w:eastAsia="Times New Roman" w:hAnsi="Times New Roman"/>
          <w:sz w:val="18"/>
          <w:szCs w:val="18"/>
          <w:color w:val="28282A"/>
        </w:rPr>
        <w:t>facility or trade secret information of the Company was used and which</w:t>
      </w:r>
      <w:r>
        <w:rPr>
          <w:rFonts w:ascii="Times New Roman" w:cs="Times New Roman" w:eastAsia="Times New Roman" w:hAnsi="Times New Roman"/>
          <w:sz w:val="18"/>
          <w:szCs w:val="18"/>
          <w:color w:val="2D2D2F"/>
        </w:rPr>
        <w:t xml:space="preserve"> </w:t>
      </w:r>
      <w:r>
        <w:rPr>
          <w:rFonts w:ascii="Times New Roman" w:cs="Times New Roman" w:eastAsia="Times New Roman" w:hAnsi="Times New Roman"/>
          <w:sz w:val="18"/>
          <w:szCs w:val="18"/>
          <w:color w:val="38383B"/>
        </w:rPr>
        <w:t>were</w:t>
      </w:r>
      <w:r>
        <w:rPr>
          <w:rFonts w:ascii="Times New Roman" w:cs="Times New Roman" w:eastAsia="Times New Roman" w:hAnsi="Times New Roman"/>
          <w:sz w:val="18"/>
          <w:szCs w:val="18"/>
          <w:color w:val="2D2D2F"/>
        </w:rPr>
        <w:t xml:space="preserve"> </w:t>
      </w:r>
      <w:r>
        <w:rPr>
          <w:rFonts w:ascii="Times New Roman" w:cs="Times New Roman" w:eastAsia="Times New Roman" w:hAnsi="Times New Roman"/>
          <w:sz w:val="18"/>
          <w:szCs w:val="18"/>
          <w:color w:val="28282A"/>
        </w:rPr>
        <w:t>developed entirely on</w:t>
      </w:r>
      <w:r>
        <w:rPr>
          <w:rFonts w:ascii="Times New Roman" w:cs="Times New Roman" w:eastAsia="Times New Roman" w:hAnsi="Times New Roman"/>
          <w:sz w:val="18"/>
          <w:szCs w:val="18"/>
          <w:color w:val="2D2D2F"/>
        </w:rPr>
        <w:t xml:space="preserve"> </w:t>
      </w:r>
      <w:r>
        <w:rPr>
          <w:rFonts w:ascii="Times New Roman" w:cs="Times New Roman" w:eastAsia="Times New Roman" w:hAnsi="Times New Roman"/>
          <w:sz w:val="18"/>
          <w:szCs w:val="18"/>
          <w:color w:val="38383B"/>
        </w:rPr>
        <w:t>your</w:t>
      </w:r>
      <w:r>
        <w:rPr>
          <w:rFonts w:ascii="Times New Roman" w:cs="Times New Roman" w:eastAsia="Times New Roman" w:hAnsi="Times New Roman"/>
          <w:sz w:val="18"/>
          <w:szCs w:val="18"/>
          <w:color w:val="2D2D2F"/>
        </w:rPr>
        <w:t xml:space="preserve"> </w:t>
      </w:r>
      <w:r>
        <w:rPr>
          <w:rFonts w:ascii="Times New Roman" w:cs="Times New Roman" w:eastAsia="Times New Roman" w:hAnsi="Times New Roman"/>
          <w:sz w:val="18"/>
          <w:szCs w:val="18"/>
          <w:color w:val="28282A"/>
        </w:rPr>
        <w:t>own time</w:t>
      </w:r>
      <w:r>
        <w:rPr>
          <w:rFonts w:ascii="Times New Roman" w:cs="Times New Roman" w:eastAsia="Times New Roman" w:hAnsi="Times New Roman"/>
          <w:sz w:val="18"/>
          <w:szCs w:val="18"/>
          <w:color w:val="4B4B4B"/>
        </w:rPr>
        <w:t>,</w:t>
      </w:r>
      <w:r>
        <w:rPr>
          <w:rFonts w:ascii="Times New Roman" w:cs="Times New Roman" w:eastAsia="Times New Roman" w:hAnsi="Times New Roman"/>
          <w:sz w:val="18"/>
          <w:szCs w:val="18"/>
          <w:color w:val="2D2D2F"/>
        </w:rPr>
        <w:t xml:space="preserve"> </w:t>
      </w:r>
      <w:r>
        <w:rPr>
          <w:rFonts w:ascii="Times New Roman" w:cs="Times New Roman" w:eastAsia="Times New Roman" w:hAnsi="Times New Roman"/>
          <w:sz w:val="18"/>
          <w:szCs w:val="18"/>
          <w:color w:val="28282A"/>
        </w:rPr>
        <w:t xml:space="preserve">unless: </w:t>
      </w:r>
      <w:r>
        <w:rPr>
          <w:rFonts w:ascii="Times New Roman" w:cs="Times New Roman" w:eastAsia="Times New Roman" w:hAnsi="Times New Roman"/>
          <w:sz w:val="18"/>
          <w:szCs w:val="18"/>
          <w:color w:val="38383B"/>
        </w:rPr>
        <w:t>(a)</w:t>
      </w:r>
      <w:r>
        <w:rPr>
          <w:rFonts w:ascii="Times New Roman" w:cs="Times New Roman" w:eastAsia="Times New Roman" w:hAnsi="Times New Roman"/>
          <w:sz w:val="18"/>
          <w:szCs w:val="18"/>
          <w:color w:val="28282A"/>
        </w:rPr>
        <w:t xml:space="preserve"> the Invention relates (i) to the business of the Company</w:t>
      </w:r>
      <w:r>
        <w:rPr>
          <w:rFonts w:ascii="Times New Roman" w:cs="Times New Roman" w:eastAsia="Times New Roman" w:hAnsi="Times New Roman"/>
          <w:sz w:val="18"/>
          <w:szCs w:val="18"/>
          <w:color w:val="4B4B4B"/>
        </w:rPr>
        <w:t>,</w:t>
      </w:r>
      <w:r>
        <w:rPr>
          <w:rFonts w:ascii="Times New Roman" w:cs="Times New Roman" w:eastAsia="Times New Roman" w:hAnsi="Times New Roman"/>
          <w:sz w:val="18"/>
          <w:szCs w:val="18"/>
          <w:color w:val="28282A"/>
        </w:rPr>
        <w:t xml:space="preserve"> or (ii) to actual or demonstrably anticipated research or development of the Company; or (b) the Invention results from any work performed by </w:t>
      </w:r>
      <w:r>
        <w:rPr>
          <w:rFonts w:ascii="Times New Roman" w:cs="Times New Roman" w:eastAsia="Times New Roman" w:hAnsi="Times New Roman"/>
          <w:sz w:val="18"/>
          <w:szCs w:val="18"/>
          <w:color w:val="38383B"/>
        </w:rPr>
        <w:t>you</w:t>
      </w:r>
      <w:r>
        <w:rPr>
          <w:rFonts w:ascii="Times New Roman" w:cs="Times New Roman" w:eastAsia="Times New Roman" w:hAnsi="Times New Roman"/>
          <w:sz w:val="18"/>
          <w:szCs w:val="18"/>
          <w:color w:val="28282A"/>
        </w:rPr>
        <w:t xml:space="preserve"> for the Employer.</w:t>
      </w:r>
    </w:p>
    <w:p>
      <w:pPr>
        <w:spacing w:after="0" w:line="139" w:lineRule="exact"/>
        <w:rPr>
          <w:sz w:val="20"/>
          <w:szCs w:val="20"/>
          <w:color w:val="auto"/>
        </w:rPr>
      </w:pPr>
    </w:p>
    <w:p>
      <w:pPr>
        <w:ind w:left="680" w:hanging="647"/>
        <w:spacing w:after="0"/>
        <w:tabs>
          <w:tab w:leader="none" w:pos="680" w:val="left"/>
        </w:tabs>
        <w:numPr>
          <w:ilvl w:val="0"/>
          <w:numId w:val="234"/>
        </w:numPr>
        <w:rPr>
          <w:rFonts w:ascii="Times New Roman" w:cs="Times New Roman" w:eastAsia="Times New Roman" w:hAnsi="Times New Roman"/>
          <w:sz w:val="18"/>
          <w:szCs w:val="18"/>
          <w:b w:val="1"/>
          <w:bCs w:val="1"/>
          <w:color w:val="28282A"/>
        </w:rPr>
      </w:pPr>
      <w:r>
        <w:rPr>
          <w:rFonts w:ascii="Times New Roman" w:cs="Times New Roman" w:eastAsia="Times New Roman" w:hAnsi="Times New Roman"/>
          <w:sz w:val="18"/>
          <w:szCs w:val="18"/>
          <w:b w:val="1"/>
          <w:bCs w:val="1"/>
          <w:color w:val="28282A"/>
        </w:rPr>
        <w:t>Employment and Post-Employment Restrictive Covenants</w:t>
      </w:r>
    </w:p>
    <w:p>
      <w:pPr>
        <w:spacing w:after="0" w:line="185" w:lineRule="exact"/>
        <w:rPr>
          <w:sz w:val="20"/>
          <w:szCs w:val="20"/>
          <w:color w:val="auto"/>
        </w:rPr>
      </w:pPr>
    </w:p>
    <w:p>
      <w:pPr>
        <w:ind w:left="100" w:right="40" w:firstLine="719"/>
        <w:spacing w:after="0" w:line="286" w:lineRule="auto"/>
        <w:rPr>
          <w:sz w:val="20"/>
          <w:szCs w:val="20"/>
          <w:color w:val="auto"/>
        </w:rPr>
      </w:pPr>
      <w:r>
        <w:rPr>
          <w:rFonts w:ascii="Times New Roman" w:cs="Times New Roman" w:eastAsia="Times New Roman" w:hAnsi="Times New Roman"/>
          <w:sz w:val="18"/>
          <w:szCs w:val="18"/>
          <w:b w:val="1"/>
          <w:bCs w:val="1"/>
          <w:color w:val="28282A"/>
        </w:rPr>
        <w:t xml:space="preserve">4.1 Non-Solicitation. </w:t>
      </w:r>
      <w:r>
        <w:rPr>
          <w:rFonts w:ascii="Times New Roman" w:cs="Times New Roman" w:eastAsia="Times New Roman" w:hAnsi="Times New Roman"/>
          <w:sz w:val="18"/>
          <w:szCs w:val="18"/>
          <w:color w:val="28282A"/>
        </w:rPr>
        <w:t>While</w:t>
      </w:r>
      <w:r>
        <w:rPr>
          <w:rFonts w:ascii="Times New Roman" w:cs="Times New Roman" w:eastAsia="Times New Roman" w:hAnsi="Times New Roman"/>
          <w:sz w:val="18"/>
          <w:szCs w:val="18"/>
          <w:b w:val="1"/>
          <w:bCs w:val="1"/>
          <w:color w:val="28282A"/>
        </w:rPr>
        <w:t xml:space="preserve"> </w:t>
      </w:r>
      <w:r>
        <w:rPr>
          <w:rFonts w:ascii="Times New Roman" w:cs="Times New Roman" w:eastAsia="Times New Roman" w:hAnsi="Times New Roman"/>
          <w:sz w:val="18"/>
          <w:szCs w:val="18"/>
          <w:color w:val="38383B"/>
        </w:rPr>
        <w:t>you</w:t>
      </w:r>
      <w:r>
        <w:rPr>
          <w:rFonts w:ascii="Times New Roman" w:cs="Times New Roman" w:eastAsia="Times New Roman" w:hAnsi="Times New Roman"/>
          <w:sz w:val="18"/>
          <w:szCs w:val="18"/>
          <w:b w:val="1"/>
          <w:bCs w:val="1"/>
          <w:color w:val="28282A"/>
        </w:rPr>
        <w:t xml:space="preserve"> </w:t>
      </w:r>
      <w:r>
        <w:rPr>
          <w:rFonts w:ascii="Times New Roman" w:cs="Times New Roman" w:eastAsia="Times New Roman" w:hAnsi="Times New Roman"/>
          <w:sz w:val="18"/>
          <w:szCs w:val="18"/>
          <w:color w:val="28282A"/>
        </w:rPr>
        <w:t>are</w:t>
      </w:r>
      <w:r>
        <w:rPr>
          <w:rFonts w:ascii="Times New Roman" w:cs="Times New Roman" w:eastAsia="Times New Roman" w:hAnsi="Times New Roman"/>
          <w:sz w:val="18"/>
          <w:szCs w:val="18"/>
          <w:b w:val="1"/>
          <w:bCs w:val="1"/>
          <w:color w:val="28282A"/>
        </w:rPr>
        <w:t xml:space="preserve"> </w:t>
      </w:r>
      <w:r>
        <w:rPr>
          <w:rFonts w:ascii="Times New Roman" w:cs="Times New Roman" w:eastAsia="Times New Roman" w:hAnsi="Times New Roman"/>
          <w:sz w:val="18"/>
          <w:szCs w:val="18"/>
          <w:color w:val="38383B"/>
        </w:rPr>
        <w:t>employed</w:t>
      </w:r>
      <w:r>
        <w:rPr>
          <w:rFonts w:ascii="Times New Roman" w:cs="Times New Roman" w:eastAsia="Times New Roman" w:hAnsi="Times New Roman"/>
          <w:sz w:val="18"/>
          <w:szCs w:val="18"/>
          <w:b w:val="1"/>
          <w:bCs w:val="1"/>
          <w:color w:val="28282A"/>
        </w:rPr>
        <w:t xml:space="preserve"> </w:t>
      </w:r>
      <w:r>
        <w:rPr>
          <w:rFonts w:ascii="Times New Roman" w:cs="Times New Roman" w:eastAsia="Times New Roman" w:hAnsi="Times New Roman"/>
          <w:sz w:val="18"/>
          <w:szCs w:val="18"/>
          <w:color w:val="28282A"/>
        </w:rPr>
        <w:t>by the Employer and for a period of I year after the termination of your employment</w:t>
      </w:r>
      <w:r>
        <w:rPr>
          <w:rFonts w:ascii="Times New Roman" w:cs="Times New Roman" w:eastAsia="Times New Roman" w:hAnsi="Times New Roman"/>
          <w:sz w:val="18"/>
          <w:szCs w:val="18"/>
          <w:b w:val="1"/>
          <w:bCs w:val="1"/>
          <w:color w:val="28282A"/>
        </w:rPr>
        <w:t xml:space="preserve"> </w:t>
      </w:r>
      <w:r>
        <w:rPr>
          <w:rFonts w:ascii="Times New Roman" w:cs="Times New Roman" w:eastAsia="Times New Roman" w:hAnsi="Times New Roman"/>
          <w:sz w:val="18"/>
          <w:szCs w:val="18"/>
          <w:color w:val="28282A"/>
        </w:rPr>
        <w:t>with the Employer</w:t>
      </w:r>
      <w:r>
        <w:rPr>
          <w:rFonts w:ascii="Times New Roman" w:cs="Times New Roman" w:eastAsia="Times New Roman" w:hAnsi="Times New Roman"/>
          <w:sz w:val="18"/>
          <w:szCs w:val="18"/>
          <w:color w:val="4B4B4B"/>
        </w:rPr>
        <w:t>,</w:t>
      </w:r>
      <w:r>
        <w:rPr>
          <w:rFonts w:ascii="Times New Roman" w:cs="Times New Roman" w:eastAsia="Times New Roman" w:hAnsi="Times New Roman"/>
          <w:sz w:val="18"/>
          <w:szCs w:val="18"/>
          <w:color w:val="28282A"/>
        </w:rPr>
        <w:t xml:space="preserve"> whether voluntary or involuntary</w:t>
      </w:r>
      <w:r>
        <w:rPr>
          <w:rFonts w:ascii="Times New Roman" w:cs="Times New Roman" w:eastAsia="Times New Roman" w:hAnsi="Times New Roman"/>
          <w:sz w:val="18"/>
          <w:szCs w:val="18"/>
          <w:color w:val="5D5D5D"/>
        </w:rPr>
        <w:t>,</w:t>
      </w:r>
      <w:r>
        <w:rPr>
          <w:rFonts w:ascii="Times New Roman" w:cs="Times New Roman" w:eastAsia="Times New Roman" w:hAnsi="Times New Roman"/>
          <w:sz w:val="18"/>
          <w:szCs w:val="18"/>
          <w:color w:val="28282A"/>
        </w:rPr>
        <w:t xml:space="preserve"> </w:t>
      </w:r>
      <w:r>
        <w:rPr>
          <w:rFonts w:ascii="Times New Roman" w:cs="Times New Roman" w:eastAsia="Times New Roman" w:hAnsi="Times New Roman"/>
          <w:sz w:val="18"/>
          <w:szCs w:val="18"/>
          <w:color w:val="38383B"/>
        </w:rPr>
        <w:t>you shall</w:t>
      </w:r>
      <w:r>
        <w:rPr>
          <w:rFonts w:ascii="Times New Roman" w:cs="Times New Roman" w:eastAsia="Times New Roman" w:hAnsi="Times New Roman"/>
          <w:sz w:val="18"/>
          <w:szCs w:val="18"/>
          <w:color w:val="28282A"/>
        </w:rPr>
        <w:t xml:space="preserve"> </w:t>
      </w:r>
      <w:r>
        <w:rPr>
          <w:rFonts w:ascii="Times New Roman" w:cs="Times New Roman" w:eastAsia="Times New Roman" w:hAnsi="Times New Roman"/>
          <w:sz w:val="18"/>
          <w:szCs w:val="18"/>
          <w:i w:val="1"/>
          <w:iCs w:val="1"/>
          <w:color w:val="28282A"/>
        </w:rPr>
        <w:t>not:</w:t>
      </w:r>
    </w:p>
    <w:p>
      <w:pPr>
        <w:spacing w:after="0" w:line="132" w:lineRule="exact"/>
        <w:rPr>
          <w:sz w:val="20"/>
          <w:szCs w:val="20"/>
          <w:color w:val="auto"/>
        </w:rPr>
      </w:pPr>
    </w:p>
    <w:p>
      <w:pPr>
        <w:jc w:val="both"/>
        <w:ind w:left="820" w:right="40" w:firstLine="740"/>
        <w:spacing w:after="0" w:line="261" w:lineRule="auto"/>
        <w:tabs>
          <w:tab w:leader="none" w:pos="2293" w:val="left"/>
        </w:tabs>
        <w:numPr>
          <w:ilvl w:val="0"/>
          <w:numId w:val="235"/>
        </w:numPr>
        <w:rPr>
          <w:rFonts w:ascii="Times New Roman" w:cs="Times New Roman" w:eastAsia="Times New Roman" w:hAnsi="Times New Roman"/>
          <w:sz w:val="17"/>
          <w:szCs w:val="17"/>
          <w:color w:val="38383B"/>
        </w:rPr>
      </w:pPr>
      <w:r>
        <w:rPr>
          <w:rFonts w:ascii="Times New Roman" w:cs="Times New Roman" w:eastAsia="Times New Roman" w:hAnsi="Times New Roman"/>
          <w:sz w:val="18"/>
          <w:szCs w:val="18"/>
          <w:color w:val="28282A"/>
        </w:rPr>
        <w:t>Contact or solicit</w:t>
      </w:r>
      <w:r>
        <w:rPr>
          <w:rFonts w:ascii="Times New Roman" w:cs="Times New Roman" w:eastAsia="Times New Roman" w:hAnsi="Times New Roman"/>
          <w:sz w:val="18"/>
          <w:szCs w:val="18"/>
          <w:color w:val="4B4B4B"/>
        </w:rPr>
        <w:t>,</w:t>
      </w:r>
      <w:r>
        <w:rPr>
          <w:rFonts w:ascii="Times New Roman" w:cs="Times New Roman" w:eastAsia="Times New Roman" w:hAnsi="Times New Roman"/>
          <w:sz w:val="18"/>
          <w:szCs w:val="18"/>
          <w:color w:val="28282A"/>
        </w:rPr>
        <w:t xml:space="preserve"> or direct</w:t>
      </w:r>
      <w:r>
        <w:rPr>
          <w:rFonts w:ascii="Times New Roman" w:cs="Times New Roman" w:eastAsia="Times New Roman" w:hAnsi="Times New Roman"/>
          <w:sz w:val="18"/>
          <w:szCs w:val="18"/>
          <w:color w:val="4B4B4B"/>
        </w:rPr>
        <w:t>,</w:t>
      </w:r>
      <w:r>
        <w:rPr>
          <w:rFonts w:ascii="Times New Roman" w:cs="Times New Roman" w:eastAsia="Times New Roman" w:hAnsi="Times New Roman"/>
          <w:sz w:val="18"/>
          <w:szCs w:val="18"/>
          <w:color w:val="28282A"/>
        </w:rPr>
        <w:t xml:space="preserve"> </w:t>
      </w:r>
      <w:r>
        <w:rPr>
          <w:rFonts w:ascii="Times New Roman" w:cs="Times New Roman" w:eastAsia="Times New Roman" w:hAnsi="Times New Roman"/>
          <w:sz w:val="18"/>
          <w:szCs w:val="18"/>
          <w:color w:val="38383B"/>
        </w:rPr>
        <w:t>encourage</w:t>
      </w:r>
      <w:r>
        <w:rPr>
          <w:rFonts w:ascii="Times New Roman" w:cs="Times New Roman" w:eastAsia="Times New Roman" w:hAnsi="Times New Roman"/>
          <w:sz w:val="18"/>
          <w:szCs w:val="18"/>
          <w:color w:val="28282A"/>
        </w:rPr>
        <w:t xml:space="preserve"> or facilitate any person or entity to contact or solicit</w:t>
      </w:r>
      <w:r>
        <w:rPr>
          <w:rFonts w:ascii="Times New Roman" w:cs="Times New Roman" w:eastAsia="Times New Roman" w:hAnsi="Times New Roman"/>
          <w:sz w:val="18"/>
          <w:szCs w:val="18"/>
          <w:color w:val="4B4B4B"/>
        </w:rPr>
        <w:t>,</w:t>
      </w:r>
      <w:r>
        <w:rPr>
          <w:rFonts w:ascii="Times New Roman" w:cs="Times New Roman" w:eastAsia="Times New Roman" w:hAnsi="Times New Roman"/>
          <w:sz w:val="18"/>
          <w:szCs w:val="18"/>
          <w:color w:val="28282A"/>
        </w:rPr>
        <w:t xml:space="preserve"> </w:t>
      </w:r>
      <w:r>
        <w:rPr>
          <w:rFonts w:ascii="Times New Roman" w:cs="Times New Roman" w:eastAsia="Times New Roman" w:hAnsi="Times New Roman"/>
          <w:sz w:val="18"/>
          <w:szCs w:val="18"/>
          <w:color w:val="38383B"/>
        </w:rPr>
        <w:t>any</w:t>
      </w:r>
      <w:r>
        <w:rPr>
          <w:rFonts w:ascii="Times New Roman" w:cs="Times New Roman" w:eastAsia="Times New Roman" w:hAnsi="Times New Roman"/>
          <w:sz w:val="18"/>
          <w:szCs w:val="18"/>
          <w:color w:val="28282A"/>
        </w:rPr>
        <w:t xml:space="preserve"> of the Company</w:t>
      </w:r>
      <w:r>
        <w:rPr>
          <w:rFonts w:ascii="Times New Roman" w:cs="Times New Roman" w:eastAsia="Times New Roman" w:hAnsi="Times New Roman"/>
          <w:sz w:val="18"/>
          <w:szCs w:val="18"/>
          <w:color w:val="4B4B4B"/>
        </w:rPr>
        <w:t>'</w:t>
      </w:r>
      <w:r>
        <w:rPr>
          <w:rFonts w:ascii="Times New Roman" w:cs="Times New Roman" w:eastAsia="Times New Roman" w:hAnsi="Times New Roman"/>
          <w:sz w:val="18"/>
          <w:szCs w:val="18"/>
          <w:color w:val="28282A"/>
        </w:rPr>
        <w:t xml:space="preserve">s customers or prospective customers with which </w:t>
      </w:r>
      <w:r>
        <w:rPr>
          <w:rFonts w:ascii="Times New Roman" w:cs="Times New Roman" w:eastAsia="Times New Roman" w:hAnsi="Times New Roman"/>
          <w:sz w:val="18"/>
          <w:szCs w:val="18"/>
          <w:color w:val="38383B"/>
        </w:rPr>
        <w:t>you</w:t>
      </w:r>
      <w:r>
        <w:rPr>
          <w:rFonts w:ascii="Times New Roman" w:cs="Times New Roman" w:eastAsia="Times New Roman" w:hAnsi="Times New Roman"/>
          <w:sz w:val="18"/>
          <w:szCs w:val="18"/>
          <w:color w:val="28282A"/>
        </w:rPr>
        <w:t xml:space="preserve"> interacted, supervised people who interacted</w:t>
      </w:r>
      <w:r>
        <w:rPr>
          <w:rFonts w:ascii="Times New Roman" w:cs="Times New Roman" w:eastAsia="Times New Roman" w:hAnsi="Times New Roman"/>
          <w:sz w:val="18"/>
          <w:szCs w:val="18"/>
          <w:color w:val="4B4B4B"/>
        </w:rPr>
        <w:t>,</w:t>
      </w:r>
      <w:r>
        <w:rPr>
          <w:rFonts w:ascii="Times New Roman" w:cs="Times New Roman" w:eastAsia="Times New Roman" w:hAnsi="Times New Roman"/>
          <w:sz w:val="18"/>
          <w:szCs w:val="18"/>
          <w:color w:val="28282A"/>
        </w:rPr>
        <w:t xml:space="preserve"> </w:t>
      </w:r>
      <w:r>
        <w:rPr>
          <w:rFonts w:ascii="Times New Roman" w:cs="Times New Roman" w:eastAsia="Times New Roman" w:hAnsi="Times New Roman"/>
          <w:sz w:val="18"/>
          <w:szCs w:val="18"/>
          <w:color w:val="38383B"/>
        </w:rPr>
        <w:t>and/or for which you</w:t>
      </w:r>
      <w:r>
        <w:rPr>
          <w:rFonts w:ascii="Times New Roman" w:cs="Times New Roman" w:eastAsia="Times New Roman" w:hAnsi="Times New Roman"/>
          <w:sz w:val="18"/>
          <w:szCs w:val="18"/>
          <w:color w:val="28282A"/>
        </w:rPr>
        <w:t xml:space="preserve"> had access to Confidential Information, for the purpose of providing any non</w:t>
      </w:r>
      <w:r>
        <w:rPr>
          <w:rFonts w:ascii="Times New Roman" w:cs="Times New Roman" w:eastAsia="Times New Roman" w:hAnsi="Times New Roman"/>
          <w:sz w:val="18"/>
          <w:szCs w:val="18"/>
          <w:color w:val="070707"/>
        </w:rPr>
        <w:t>-</w:t>
      </w:r>
      <w:r>
        <w:rPr>
          <w:rFonts w:ascii="Times New Roman" w:cs="Times New Roman" w:eastAsia="Times New Roman" w:hAnsi="Times New Roman"/>
          <w:sz w:val="18"/>
          <w:szCs w:val="18"/>
          <w:color w:val="28282A"/>
        </w:rPr>
        <w:t>Company products and</w:t>
      </w:r>
      <w:r>
        <w:rPr>
          <w:rFonts w:ascii="Times New Roman" w:cs="Times New Roman" w:eastAsia="Times New Roman" w:hAnsi="Times New Roman"/>
          <w:sz w:val="18"/>
          <w:szCs w:val="18"/>
          <w:color w:val="4B4B4B"/>
        </w:rPr>
        <w:t>/</w:t>
      </w:r>
      <w:r>
        <w:rPr>
          <w:rFonts w:ascii="Times New Roman" w:cs="Times New Roman" w:eastAsia="Times New Roman" w:hAnsi="Times New Roman"/>
          <w:sz w:val="18"/>
          <w:szCs w:val="18"/>
          <w:color w:val="28282A"/>
        </w:rPr>
        <w:t xml:space="preserve">or services that </w:t>
      </w:r>
      <w:r>
        <w:rPr>
          <w:rFonts w:ascii="Times New Roman" w:cs="Times New Roman" w:eastAsia="Times New Roman" w:hAnsi="Times New Roman"/>
          <w:sz w:val="18"/>
          <w:szCs w:val="18"/>
          <w:color w:val="38383B"/>
        </w:rPr>
        <w:t>are</w:t>
      </w:r>
      <w:r>
        <w:rPr>
          <w:rFonts w:ascii="Times New Roman" w:cs="Times New Roman" w:eastAsia="Times New Roman" w:hAnsi="Times New Roman"/>
          <w:sz w:val="18"/>
          <w:szCs w:val="18"/>
          <w:color w:val="28282A"/>
        </w:rPr>
        <w:t xml:space="preserve"> the </w:t>
      </w:r>
      <w:r>
        <w:rPr>
          <w:rFonts w:ascii="Times New Roman" w:cs="Times New Roman" w:eastAsia="Times New Roman" w:hAnsi="Times New Roman"/>
          <w:sz w:val="18"/>
          <w:szCs w:val="18"/>
          <w:color w:val="38383B"/>
        </w:rPr>
        <w:t>same as</w:t>
      </w:r>
      <w:r>
        <w:rPr>
          <w:rFonts w:ascii="Times New Roman" w:cs="Times New Roman" w:eastAsia="Times New Roman" w:hAnsi="Times New Roman"/>
          <w:sz w:val="18"/>
          <w:szCs w:val="18"/>
          <w:color w:val="28282A"/>
        </w:rPr>
        <w:t xml:space="preserve"> or similar to the products and services provided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62628"/>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76200</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513" w:right="459" w:bottom="1440" w:gutter="0" w:footer="0" w:header="0"/>
        </w:sectPr>
      </w:pPr>
    </w:p>
    <w:bookmarkStart w:id="179" w:name="page180"/>
    <w:bookmarkEnd w:id="179"/>
    <w:p>
      <w:pPr>
        <w:ind w:left="820" w:right="20"/>
        <w:spacing w:after="0" w:line="282" w:lineRule="auto"/>
        <w:rPr>
          <w:sz w:val="20"/>
          <w:szCs w:val="20"/>
          <w:color w:val="auto"/>
        </w:rPr>
      </w:pPr>
      <w:r>
        <w:rPr>
          <w:rFonts w:ascii="Times New Roman" w:cs="Times New Roman" w:eastAsia="Times New Roman" w:hAnsi="Times New Roman"/>
          <w:sz w:val="18"/>
          <w:szCs w:val="18"/>
          <w:color w:val="28282A"/>
        </w:rPr>
        <w:t xml:space="preserve">by the Company </w:t>
      </w:r>
      <w:r>
        <w:rPr>
          <w:rFonts w:ascii="Times New Roman" w:cs="Times New Roman" w:eastAsia="Times New Roman" w:hAnsi="Times New Roman"/>
          <w:sz w:val="18"/>
          <w:szCs w:val="18"/>
          <w:color w:val="38383B"/>
        </w:rPr>
        <w:t>(or</w:t>
      </w:r>
      <w:r>
        <w:rPr>
          <w:rFonts w:ascii="Times New Roman" w:cs="Times New Roman" w:eastAsia="Times New Roman" w:hAnsi="Times New Roman"/>
          <w:sz w:val="18"/>
          <w:szCs w:val="18"/>
          <w:color w:val="28282A"/>
        </w:rPr>
        <w:t xml:space="preserve"> that otherwise compete </w:t>
      </w:r>
      <w:r>
        <w:rPr>
          <w:rFonts w:ascii="Times New Roman" w:cs="Times New Roman" w:eastAsia="Times New Roman" w:hAnsi="Times New Roman"/>
          <w:sz w:val="18"/>
          <w:szCs w:val="18"/>
          <w:color w:val="38383B"/>
        </w:rPr>
        <w:t>with</w:t>
      </w:r>
      <w:r>
        <w:rPr>
          <w:rFonts w:ascii="Times New Roman" w:cs="Times New Roman" w:eastAsia="Times New Roman" w:hAnsi="Times New Roman"/>
          <w:sz w:val="18"/>
          <w:szCs w:val="18"/>
          <w:color w:val="28282A"/>
        </w:rPr>
        <w:t xml:space="preserve"> the products and services provided by the Company) or for the purpose of negatively interfering with the business relationships between the Company and its customers or prospective customers</w:t>
      </w:r>
      <w:r>
        <w:rPr>
          <w:rFonts w:ascii="Times New Roman" w:cs="Times New Roman" w:eastAsia="Times New Roman" w:hAnsi="Times New Roman"/>
          <w:sz w:val="18"/>
          <w:szCs w:val="18"/>
          <w:color w:val="4B4B4B"/>
        </w:rPr>
        <w:t>;</w:t>
      </w:r>
      <w:r>
        <w:rPr>
          <w:rFonts w:ascii="Times New Roman" w:cs="Times New Roman" w:eastAsia="Times New Roman" w:hAnsi="Times New Roman"/>
          <w:sz w:val="18"/>
          <w:szCs w:val="18"/>
          <w:color w:val="28282A"/>
        </w:rPr>
        <w:t xml:space="preserve"> or</w:t>
      </w:r>
    </w:p>
    <w:p>
      <w:pPr>
        <w:spacing w:after="0" w:line="135" w:lineRule="exact"/>
        <w:rPr>
          <w:sz w:val="20"/>
          <w:szCs w:val="20"/>
          <w:color w:val="auto"/>
        </w:rPr>
      </w:pPr>
    </w:p>
    <w:p>
      <w:pPr>
        <w:jc w:val="both"/>
        <w:ind w:left="900" w:right="20" w:firstLine="630"/>
        <w:spacing w:after="0" w:line="256" w:lineRule="auto"/>
        <w:tabs>
          <w:tab w:leader="none" w:pos="2247" w:val="left"/>
        </w:tabs>
        <w:numPr>
          <w:ilvl w:val="0"/>
          <w:numId w:val="236"/>
        </w:numPr>
        <w:rPr>
          <w:rFonts w:ascii="Times New Roman" w:cs="Times New Roman" w:eastAsia="Times New Roman" w:hAnsi="Times New Roman"/>
          <w:sz w:val="17"/>
          <w:szCs w:val="17"/>
          <w:color w:val="38383B"/>
        </w:rPr>
      </w:pPr>
      <w:r>
        <w:rPr>
          <w:rFonts w:ascii="Times New Roman" w:cs="Times New Roman" w:eastAsia="Times New Roman" w:hAnsi="Times New Roman"/>
          <w:sz w:val="18"/>
          <w:szCs w:val="18"/>
          <w:color w:val="38383B"/>
        </w:rPr>
        <w:t>So</w:t>
      </w:r>
      <w:r>
        <w:rPr>
          <w:rFonts w:ascii="Times New Roman" w:cs="Times New Roman" w:eastAsia="Times New Roman" w:hAnsi="Times New Roman"/>
          <w:sz w:val="18"/>
          <w:szCs w:val="18"/>
          <w:color w:val="070707"/>
        </w:rPr>
        <w:t>l</w:t>
      </w:r>
      <w:r>
        <w:rPr>
          <w:rFonts w:ascii="Times New Roman" w:cs="Times New Roman" w:eastAsia="Times New Roman" w:hAnsi="Times New Roman"/>
          <w:sz w:val="18"/>
          <w:szCs w:val="18"/>
          <w:color w:val="28282A"/>
        </w:rPr>
        <w:t>icit the</w:t>
      </w:r>
      <w:r>
        <w:rPr>
          <w:rFonts w:ascii="Times New Roman" w:cs="Times New Roman" w:eastAsia="Times New Roman" w:hAnsi="Times New Roman"/>
          <w:sz w:val="18"/>
          <w:szCs w:val="18"/>
          <w:color w:val="38383B"/>
        </w:rPr>
        <w:t xml:space="preserve"> services </w:t>
      </w:r>
      <w:r>
        <w:rPr>
          <w:rFonts w:ascii="Times New Roman" w:cs="Times New Roman" w:eastAsia="Times New Roman" w:hAnsi="Times New Roman"/>
          <w:sz w:val="18"/>
          <w:szCs w:val="18"/>
          <w:color w:val="28282A"/>
        </w:rPr>
        <w:t>of</w:t>
      </w:r>
      <w:r>
        <w:rPr>
          <w:rFonts w:ascii="Times New Roman" w:cs="Times New Roman" w:eastAsia="Times New Roman" w:hAnsi="Times New Roman"/>
          <w:sz w:val="18"/>
          <w:szCs w:val="18"/>
          <w:color w:val="4B4B4B"/>
        </w:rPr>
        <w:t>,</w:t>
      </w:r>
      <w:r>
        <w:rPr>
          <w:rFonts w:ascii="Times New Roman" w:cs="Times New Roman" w:eastAsia="Times New Roman" w:hAnsi="Times New Roman"/>
          <w:sz w:val="18"/>
          <w:szCs w:val="18"/>
          <w:color w:val="38383B"/>
        </w:rPr>
        <w:t xml:space="preserve"> </w:t>
      </w:r>
      <w:r>
        <w:rPr>
          <w:rFonts w:ascii="Times New Roman" w:cs="Times New Roman" w:eastAsia="Times New Roman" w:hAnsi="Times New Roman"/>
          <w:sz w:val="18"/>
          <w:szCs w:val="18"/>
          <w:color w:val="28282A"/>
        </w:rPr>
        <w:t>or otherwise seek to influence or induce to leave</w:t>
      </w:r>
      <w:r>
        <w:rPr>
          <w:rFonts w:ascii="Times New Roman" w:cs="Times New Roman" w:eastAsia="Times New Roman" w:hAnsi="Times New Roman"/>
          <w:sz w:val="18"/>
          <w:szCs w:val="18"/>
          <w:color w:val="4B4B4B"/>
        </w:rPr>
        <w:t>,</w:t>
      </w:r>
      <w:r>
        <w:rPr>
          <w:rFonts w:ascii="Times New Roman" w:cs="Times New Roman" w:eastAsia="Times New Roman" w:hAnsi="Times New Roman"/>
          <w:sz w:val="18"/>
          <w:szCs w:val="18"/>
          <w:color w:val="38383B"/>
        </w:rPr>
        <w:t xml:space="preserve"> </w:t>
      </w:r>
      <w:r>
        <w:rPr>
          <w:rFonts w:ascii="Times New Roman" w:cs="Times New Roman" w:eastAsia="Times New Roman" w:hAnsi="Times New Roman"/>
          <w:sz w:val="18"/>
          <w:szCs w:val="18"/>
          <w:color w:val="28282A"/>
        </w:rPr>
        <w:t>whether directl</w:t>
      </w:r>
      <w:r>
        <w:rPr>
          <w:rFonts w:ascii="Times New Roman" w:cs="Times New Roman" w:eastAsia="Times New Roman" w:hAnsi="Times New Roman"/>
          <w:sz w:val="18"/>
          <w:szCs w:val="18"/>
          <w:color w:val="4B4B4B"/>
        </w:rPr>
        <w:t>y</w:t>
      </w:r>
      <w:r>
        <w:rPr>
          <w:rFonts w:ascii="Times New Roman" w:cs="Times New Roman" w:eastAsia="Times New Roman" w:hAnsi="Times New Roman"/>
          <w:sz w:val="18"/>
          <w:szCs w:val="18"/>
          <w:color w:val="38383B"/>
        </w:rPr>
        <w:t xml:space="preserve"> </w:t>
      </w:r>
      <w:r>
        <w:rPr>
          <w:rFonts w:ascii="Times New Roman" w:cs="Times New Roman" w:eastAsia="Times New Roman" w:hAnsi="Times New Roman"/>
          <w:sz w:val="18"/>
          <w:szCs w:val="18"/>
          <w:color w:val="28282A"/>
        </w:rPr>
        <w:t>or indirectly</w:t>
      </w:r>
      <w:r>
        <w:rPr>
          <w:rFonts w:ascii="Times New Roman" w:cs="Times New Roman" w:eastAsia="Times New Roman" w:hAnsi="Times New Roman"/>
          <w:sz w:val="18"/>
          <w:szCs w:val="18"/>
          <w:color w:val="5D5D5D"/>
        </w:rPr>
        <w:t>,</w:t>
      </w:r>
      <w:r>
        <w:rPr>
          <w:rFonts w:ascii="Times New Roman" w:cs="Times New Roman" w:eastAsia="Times New Roman" w:hAnsi="Times New Roman"/>
          <w:sz w:val="18"/>
          <w:szCs w:val="18"/>
          <w:color w:val="38383B"/>
        </w:rPr>
        <w:t xml:space="preserve"> </w:t>
      </w:r>
      <w:r>
        <w:rPr>
          <w:rFonts w:ascii="Times New Roman" w:cs="Times New Roman" w:eastAsia="Times New Roman" w:hAnsi="Times New Roman"/>
          <w:sz w:val="18"/>
          <w:szCs w:val="18"/>
          <w:color w:val="28282A"/>
        </w:rPr>
        <w:t>on your own</w:t>
      </w:r>
      <w:r>
        <w:rPr>
          <w:rFonts w:ascii="Times New Roman" w:cs="Times New Roman" w:eastAsia="Times New Roman" w:hAnsi="Times New Roman"/>
          <w:sz w:val="18"/>
          <w:szCs w:val="18"/>
          <w:color w:val="38383B"/>
        </w:rPr>
        <w:t xml:space="preserve"> </w:t>
      </w:r>
      <w:r>
        <w:rPr>
          <w:rFonts w:ascii="Times New Roman" w:cs="Times New Roman" w:eastAsia="Times New Roman" w:hAnsi="Times New Roman"/>
          <w:sz w:val="18"/>
          <w:szCs w:val="18"/>
          <w:color w:val="28282A"/>
        </w:rPr>
        <w:t xml:space="preserve">behalf or on behalf of </w:t>
      </w:r>
      <w:r>
        <w:rPr>
          <w:rFonts w:ascii="Times New Roman" w:cs="Times New Roman" w:eastAsia="Times New Roman" w:hAnsi="Times New Roman"/>
          <w:sz w:val="18"/>
          <w:szCs w:val="18"/>
          <w:color w:val="38383B"/>
        </w:rPr>
        <w:t>any</w:t>
      </w:r>
      <w:r>
        <w:rPr>
          <w:rFonts w:ascii="Times New Roman" w:cs="Times New Roman" w:eastAsia="Times New Roman" w:hAnsi="Times New Roman"/>
          <w:sz w:val="18"/>
          <w:szCs w:val="18"/>
          <w:color w:val="28282A"/>
        </w:rPr>
        <w:t xml:space="preserve"> other person or entity</w:t>
      </w:r>
      <w:r>
        <w:rPr>
          <w:rFonts w:ascii="Times New Roman" w:cs="Times New Roman" w:eastAsia="Times New Roman" w:hAnsi="Times New Roman"/>
          <w:sz w:val="18"/>
          <w:szCs w:val="18"/>
          <w:color w:val="5D5D5D"/>
        </w:rPr>
        <w:t>,</w:t>
      </w:r>
      <w:r>
        <w:rPr>
          <w:rFonts w:ascii="Times New Roman" w:cs="Times New Roman" w:eastAsia="Times New Roman" w:hAnsi="Times New Roman"/>
          <w:sz w:val="18"/>
          <w:szCs w:val="18"/>
          <w:color w:val="28282A"/>
        </w:rPr>
        <w:t xml:space="preserve"> any person who is </w:t>
      </w:r>
      <w:r>
        <w:rPr>
          <w:rFonts w:ascii="Times New Roman" w:cs="Times New Roman" w:eastAsia="Times New Roman" w:hAnsi="Times New Roman"/>
          <w:sz w:val="18"/>
          <w:szCs w:val="18"/>
          <w:color w:val="38383B"/>
        </w:rPr>
        <w:t>a</w:t>
      </w:r>
      <w:r>
        <w:rPr>
          <w:rFonts w:ascii="Times New Roman" w:cs="Times New Roman" w:eastAsia="Times New Roman" w:hAnsi="Times New Roman"/>
          <w:sz w:val="18"/>
          <w:szCs w:val="18"/>
          <w:color w:val="28282A"/>
        </w:rPr>
        <w:t xml:space="preserve"> current employee of the </w:t>
      </w:r>
      <w:r>
        <w:rPr>
          <w:rFonts w:ascii="Times New Roman" w:cs="Times New Roman" w:eastAsia="Times New Roman" w:hAnsi="Times New Roman"/>
          <w:sz w:val="18"/>
          <w:szCs w:val="18"/>
          <w:color w:val="38383B"/>
        </w:rPr>
        <w:t>Company (or was</w:t>
      </w:r>
      <w:r>
        <w:rPr>
          <w:rFonts w:ascii="Times New Roman" w:cs="Times New Roman" w:eastAsia="Times New Roman" w:hAnsi="Times New Roman"/>
          <w:sz w:val="18"/>
          <w:szCs w:val="18"/>
          <w:color w:val="28282A"/>
        </w:rPr>
        <w:t xml:space="preserve"> an </w:t>
      </w:r>
      <w:r>
        <w:rPr>
          <w:rFonts w:ascii="Times New Roman" w:cs="Times New Roman" w:eastAsia="Times New Roman" w:hAnsi="Times New Roman"/>
          <w:sz w:val="18"/>
          <w:szCs w:val="18"/>
          <w:color w:val="38383B"/>
        </w:rPr>
        <w:t>employee</w:t>
      </w:r>
      <w:r>
        <w:rPr>
          <w:rFonts w:ascii="Times New Roman" w:cs="Times New Roman" w:eastAsia="Times New Roman" w:hAnsi="Times New Roman"/>
          <w:sz w:val="18"/>
          <w:szCs w:val="18"/>
          <w:color w:val="28282A"/>
        </w:rPr>
        <w:t xml:space="preserve"> of the Company during the twelve month period preceding such </w:t>
      </w:r>
      <w:r>
        <w:rPr>
          <w:rFonts w:ascii="Times New Roman" w:cs="Times New Roman" w:eastAsia="Times New Roman" w:hAnsi="Times New Roman"/>
          <w:sz w:val="18"/>
          <w:szCs w:val="18"/>
          <w:color w:val="38383B"/>
        </w:rPr>
        <w:t>solicitation),</w:t>
      </w:r>
      <w:r>
        <w:rPr>
          <w:rFonts w:ascii="Times New Roman" w:cs="Times New Roman" w:eastAsia="Times New Roman" w:hAnsi="Times New Roman"/>
          <w:sz w:val="18"/>
          <w:szCs w:val="18"/>
          <w:color w:val="28282A"/>
        </w:rPr>
        <w:t xml:space="preserve"> nor solicit any of the Company's </w:t>
      </w:r>
      <w:r>
        <w:rPr>
          <w:rFonts w:ascii="Times New Roman" w:cs="Times New Roman" w:eastAsia="Times New Roman" w:hAnsi="Times New Roman"/>
          <w:sz w:val="18"/>
          <w:szCs w:val="18"/>
          <w:color w:val="38383B"/>
        </w:rPr>
        <w:t>current</w:t>
      </w:r>
      <w:r>
        <w:rPr>
          <w:rFonts w:ascii="Times New Roman" w:cs="Times New Roman" w:eastAsia="Times New Roman" w:hAnsi="Times New Roman"/>
          <w:sz w:val="18"/>
          <w:szCs w:val="18"/>
          <w:color w:val="28282A"/>
        </w:rPr>
        <w:t xml:space="preserve"> employees (or any individual </w:t>
      </w:r>
      <w:r>
        <w:rPr>
          <w:rFonts w:ascii="Times New Roman" w:cs="Times New Roman" w:eastAsia="Times New Roman" w:hAnsi="Times New Roman"/>
          <w:sz w:val="18"/>
          <w:szCs w:val="18"/>
          <w:color w:val="38383B"/>
        </w:rPr>
        <w:t>who was</w:t>
      </w:r>
      <w:r>
        <w:rPr>
          <w:rFonts w:ascii="Times New Roman" w:cs="Times New Roman" w:eastAsia="Times New Roman" w:hAnsi="Times New Roman"/>
          <w:sz w:val="18"/>
          <w:szCs w:val="18"/>
          <w:color w:val="28282A"/>
        </w:rPr>
        <w:t xml:space="preserve"> an employee of </w:t>
      </w:r>
      <w:r>
        <w:rPr>
          <w:rFonts w:ascii="Times New Roman" w:cs="Times New Roman" w:eastAsia="Times New Roman" w:hAnsi="Times New Roman"/>
          <w:sz w:val="18"/>
          <w:szCs w:val="18"/>
          <w:color w:val="38383B"/>
        </w:rPr>
        <w:t>the</w:t>
      </w:r>
      <w:r>
        <w:rPr>
          <w:rFonts w:ascii="Times New Roman" w:cs="Times New Roman" w:eastAsia="Times New Roman" w:hAnsi="Times New Roman"/>
          <w:sz w:val="18"/>
          <w:szCs w:val="18"/>
          <w:color w:val="28282A"/>
        </w:rPr>
        <w:t xml:space="preserve"> Compan</w:t>
      </w:r>
      <w:r>
        <w:rPr>
          <w:rFonts w:ascii="Times New Roman" w:cs="Times New Roman" w:eastAsia="Times New Roman" w:hAnsi="Times New Roman"/>
          <w:sz w:val="18"/>
          <w:szCs w:val="18"/>
          <w:color w:val="4B4B4B"/>
        </w:rPr>
        <w:t>y</w:t>
      </w:r>
      <w:r>
        <w:rPr>
          <w:rFonts w:ascii="Times New Roman" w:cs="Times New Roman" w:eastAsia="Times New Roman" w:hAnsi="Times New Roman"/>
          <w:sz w:val="18"/>
          <w:szCs w:val="18"/>
          <w:color w:val="28282A"/>
        </w:rPr>
        <w:t xml:space="preserve"> during the twelve month period preceding </w:t>
      </w:r>
      <w:r>
        <w:rPr>
          <w:rFonts w:ascii="Times New Roman" w:cs="Times New Roman" w:eastAsia="Times New Roman" w:hAnsi="Times New Roman"/>
          <w:sz w:val="18"/>
          <w:szCs w:val="18"/>
          <w:color w:val="38383B"/>
        </w:rPr>
        <w:t>such</w:t>
      </w:r>
      <w:r>
        <w:rPr>
          <w:rFonts w:ascii="Times New Roman" w:cs="Times New Roman" w:eastAsia="Times New Roman" w:hAnsi="Times New Roman"/>
          <w:sz w:val="18"/>
          <w:szCs w:val="18"/>
          <w:color w:val="28282A"/>
        </w:rPr>
        <w:t xml:space="preserve"> solicitation) to terminate employment or </w:t>
      </w:r>
      <w:r>
        <w:rPr>
          <w:rFonts w:ascii="Times New Roman" w:cs="Times New Roman" w:eastAsia="Times New Roman" w:hAnsi="Times New Roman"/>
          <w:sz w:val="18"/>
          <w:szCs w:val="18"/>
          <w:color w:val="38383B"/>
        </w:rPr>
        <w:t xml:space="preserve">an engagement with </w:t>
      </w:r>
      <w:r>
        <w:rPr>
          <w:rFonts w:ascii="Times New Roman" w:cs="Times New Roman" w:eastAsia="Times New Roman" w:hAnsi="Times New Roman"/>
          <w:sz w:val="18"/>
          <w:szCs w:val="18"/>
          <w:color w:val="28282A"/>
        </w:rPr>
        <w:t>the Company</w:t>
      </w:r>
      <w:r>
        <w:rPr>
          <w:rFonts w:ascii="Times New Roman" w:cs="Times New Roman" w:eastAsia="Times New Roman" w:hAnsi="Times New Roman"/>
          <w:sz w:val="18"/>
          <w:szCs w:val="18"/>
          <w:color w:val="4B4B4B"/>
        </w:rPr>
        <w:t>,</w:t>
      </w:r>
      <w:r>
        <w:rPr>
          <w:rFonts w:ascii="Times New Roman" w:cs="Times New Roman" w:eastAsia="Times New Roman" w:hAnsi="Times New Roman"/>
          <w:sz w:val="18"/>
          <w:szCs w:val="18"/>
          <w:color w:val="38383B"/>
        </w:rPr>
        <w:t xml:space="preserve"> </w:t>
      </w:r>
      <w:r>
        <w:rPr>
          <w:rFonts w:ascii="Times New Roman" w:cs="Times New Roman" w:eastAsia="Times New Roman" w:hAnsi="Times New Roman"/>
          <w:sz w:val="18"/>
          <w:szCs w:val="18"/>
          <w:color w:val="28282A"/>
        </w:rPr>
        <w:t>nor agree to hire or hire</w:t>
      </w:r>
      <w:r>
        <w:rPr>
          <w:rFonts w:ascii="Times New Roman" w:cs="Times New Roman" w:eastAsia="Times New Roman" w:hAnsi="Times New Roman"/>
          <w:sz w:val="18"/>
          <w:szCs w:val="18"/>
          <w:color w:val="38383B"/>
        </w:rPr>
        <w:t xml:space="preserve"> any </w:t>
      </w:r>
      <w:r>
        <w:rPr>
          <w:rFonts w:ascii="Times New Roman" w:cs="Times New Roman" w:eastAsia="Times New Roman" w:hAnsi="Times New Roman"/>
          <w:sz w:val="18"/>
          <w:szCs w:val="18"/>
          <w:color w:val="28282A"/>
        </w:rPr>
        <w:t>current employee (or any individual</w:t>
      </w:r>
      <w:r>
        <w:rPr>
          <w:rFonts w:ascii="Times New Roman" w:cs="Times New Roman" w:eastAsia="Times New Roman" w:hAnsi="Times New Roman"/>
          <w:sz w:val="18"/>
          <w:szCs w:val="18"/>
          <w:color w:val="38383B"/>
        </w:rPr>
        <w:t xml:space="preserve"> who was an </w:t>
      </w:r>
      <w:r>
        <w:rPr>
          <w:rFonts w:ascii="Times New Roman" w:cs="Times New Roman" w:eastAsia="Times New Roman" w:hAnsi="Times New Roman"/>
          <w:sz w:val="18"/>
          <w:szCs w:val="18"/>
          <w:color w:val="28282A"/>
        </w:rPr>
        <w:t>employee of the Company</w:t>
      </w:r>
      <w:r>
        <w:rPr>
          <w:rFonts w:ascii="Times New Roman" w:cs="Times New Roman" w:eastAsia="Times New Roman" w:hAnsi="Times New Roman"/>
          <w:sz w:val="18"/>
          <w:szCs w:val="18"/>
          <w:color w:val="38383B"/>
        </w:rPr>
        <w:t xml:space="preserve"> </w:t>
      </w:r>
      <w:r>
        <w:rPr>
          <w:rFonts w:ascii="Times New Roman" w:cs="Times New Roman" w:eastAsia="Times New Roman" w:hAnsi="Times New Roman"/>
          <w:sz w:val="18"/>
          <w:szCs w:val="18"/>
          <w:color w:val="28282A"/>
        </w:rPr>
        <w:t xml:space="preserve">during the twelve month period preceding </w:t>
      </w:r>
      <w:r>
        <w:rPr>
          <w:rFonts w:ascii="Times New Roman" w:cs="Times New Roman" w:eastAsia="Times New Roman" w:hAnsi="Times New Roman"/>
          <w:sz w:val="18"/>
          <w:szCs w:val="18"/>
          <w:color w:val="38383B"/>
        </w:rPr>
        <w:t>such</w:t>
      </w:r>
      <w:r>
        <w:rPr>
          <w:rFonts w:ascii="Times New Roman" w:cs="Times New Roman" w:eastAsia="Times New Roman" w:hAnsi="Times New Roman"/>
          <w:sz w:val="18"/>
          <w:szCs w:val="18"/>
          <w:color w:val="28282A"/>
        </w:rPr>
        <w:t xml:space="preserve"> hire) of the </w:t>
      </w:r>
      <w:r>
        <w:rPr>
          <w:rFonts w:ascii="Times New Roman" w:cs="Times New Roman" w:eastAsia="Times New Roman" w:hAnsi="Times New Roman"/>
          <w:sz w:val="18"/>
          <w:szCs w:val="18"/>
          <w:color w:val="38383B"/>
        </w:rPr>
        <w:t>Company</w:t>
      </w:r>
      <w:r>
        <w:rPr>
          <w:rFonts w:ascii="Times New Roman" w:cs="Times New Roman" w:eastAsia="Times New Roman" w:hAnsi="Times New Roman"/>
          <w:sz w:val="18"/>
          <w:szCs w:val="18"/>
          <w:color w:val="28282A"/>
        </w:rPr>
        <w:t xml:space="preserve"> into </w:t>
      </w:r>
      <w:r>
        <w:rPr>
          <w:rFonts w:ascii="Times New Roman" w:cs="Times New Roman" w:eastAsia="Times New Roman" w:hAnsi="Times New Roman"/>
          <w:sz w:val="18"/>
          <w:szCs w:val="18"/>
          <w:color w:val="38383B"/>
        </w:rPr>
        <w:t>employment with you</w:t>
      </w:r>
      <w:r>
        <w:rPr>
          <w:rFonts w:ascii="Times New Roman" w:cs="Times New Roman" w:eastAsia="Times New Roman" w:hAnsi="Times New Roman"/>
          <w:sz w:val="18"/>
          <w:szCs w:val="18"/>
          <w:color w:val="28282A"/>
        </w:rPr>
        <w:t xml:space="preserve"> or </w:t>
      </w:r>
      <w:r>
        <w:rPr>
          <w:rFonts w:ascii="Times New Roman" w:cs="Times New Roman" w:eastAsia="Times New Roman" w:hAnsi="Times New Roman"/>
          <w:sz w:val="18"/>
          <w:szCs w:val="18"/>
          <w:color w:val="38383B"/>
        </w:rPr>
        <w:t>any other</w:t>
      </w:r>
      <w:r>
        <w:rPr>
          <w:rFonts w:ascii="Times New Roman" w:cs="Times New Roman" w:eastAsia="Times New Roman" w:hAnsi="Times New Roman"/>
          <w:sz w:val="18"/>
          <w:szCs w:val="18"/>
          <w:color w:val="28282A"/>
        </w:rPr>
        <w:t xml:space="preserve"> person or </w:t>
      </w:r>
      <w:r>
        <w:rPr>
          <w:rFonts w:ascii="Times New Roman" w:cs="Times New Roman" w:eastAsia="Times New Roman" w:hAnsi="Times New Roman"/>
          <w:sz w:val="18"/>
          <w:szCs w:val="18"/>
          <w:color w:val="38383B"/>
        </w:rPr>
        <w:t>entity.</w:t>
      </w:r>
    </w:p>
    <w:p>
      <w:pPr>
        <w:spacing w:after="0" w:line="143" w:lineRule="exact"/>
        <w:rPr>
          <w:sz w:val="20"/>
          <w:szCs w:val="20"/>
          <w:color w:val="auto"/>
        </w:rPr>
      </w:pPr>
    </w:p>
    <w:p>
      <w:pPr>
        <w:ind w:left="82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28282A"/>
        </w:rPr>
        <w:t>4.2</w:t>
      </w:r>
      <w:r>
        <w:rPr>
          <w:sz w:val="20"/>
          <w:szCs w:val="20"/>
          <w:color w:val="auto"/>
        </w:rPr>
        <w:tab/>
      </w:r>
      <w:r>
        <w:rPr>
          <w:rFonts w:ascii="Times New Roman" w:cs="Times New Roman" w:eastAsia="Times New Roman" w:hAnsi="Times New Roman"/>
          <w:sz w:val="18"/>
          <w:szCs w:val="18"/>
          <w:b w:val="1"/>
          <w:bCs w:val="1"/>
          <w:color w:val="28282A"/>
        </w:rPr>
        <w:t xml:space="preserve">Non-Competition. </w:t>
      </w:r>
      <w:r>
        <w:rPr>
          <w:rFonts w:ascii="Times New Roman" w:cs="Times New Roman" w:eastAsia="Times New Roman" w:hAnsi="Times New Roman"/>
          <w:sz w:val="18"/>
          <w:szCs w:val="18"/>
          <w:color w:val="28282A"/>
        </w:rPr>
        <w:t>While</w:t>
      </w:r>
      <w:r>
        <w:rPr>
          <w:rFonts w:ascii="Times New Roman" w:cs="Times New Roman" w:eastAsia="Times New Roman" w:hAnsi="Times New Roman"/>
          <w:sz w:val="18"/>
          <w:szCs w:val="18"/>
          <w:b w:val="1"/>
          <w:bCs w:val="1"/>
          <w:color w:val="28282A"/>
        </w:rPr>
        <w:t xml:space="preserve"> </w:t>
      </w:r>
      <w:r>
        <w:rPr>
          <w:rFonts w:ascii="Times New Roman" w:cs="Times New Roman" w:eastAsia="Times New Roman" w:hAnsi="Times New Roman"/>
          <w:sz w:val="18"/>
          <w:szCs w:val="18"/>
          <w:color w:val="38383B"/>
        </w:rPr>
        <w:t>you are</w:t>
      </w:r>
      <w:r>
        <w:rPr>
          <w:rFonts w:ascii="Times New Roman" w:cs="Times New Roman" w:eastAsia="Times New Roman" w:hAnsi="Times New Roman"/>
          <w:sz w:val="18"/>
          <w:szCs w:val="18"/>
          <w:b w:val="1"/>
          <w:bCs w:val="1"/>
          <w:color w:val="28282A"/>
        </w:rPr>
        <w:t xml:space="preserve"> </w:t>
      </w:r>
      <w:r>
        <w:rPr>
          <w:rFonts w:ascii="Times New Roman" w:cs="Times New Roman" w:eastAsia="Times New Roman" w:hAnsi="Times New Roman"/>
          <w:sz w:val="18"/>
          <w:szCs w:val="18"/>
          <w:color w:val="28282A"/>
        </w:rPr>
        <w:t>employed by the</w:t>
      </w:r>
      <w:r>
        <w:rPr>
          <w:rFonts w:ascii="Times New Roman" w:cs="Times New Roman" w:eastAsia="Times New Roman" w:hAnsi="Times New Roman"/>
          <w:sz w:val="18"/>
          <w:szCs w:val="18"/>
          <w:b w:val="1"/>
          <w:bCs w:val="1"/>
          <w:color w:val="28282A"/>
        </w:rPr>
        <w:t xml:space="preserve"> </w:t>
      </w:r>
      <w:r>
        <w:rPr>
          <w:rFonts w:ascii="Times New Roman" w:cs="Times New Roman" w:eastAsia="Times New Roman" w:hAnsi="Times New Roman"/>
          <w:sz w:val="18"/>
          <w:szCs w:val="18"/>
          <w:color w:val="38383B"/>
        </w:rPr>
        <w:t>Employer and</w:t>
      </w:r>
      <w:r>
        <w:rPr>
          <w:rFonts w:ascii="Times New Roman" w:cs="Times New Roman" w:eastAsia="Times New Roman" w:hAnsi="Times New Roman"/>
          <w:sz w:val="18"/>
          <w:szCs w:val="18"/>
          <w:b w:val="1"/>
          <w:bCs w:val="1"/>
          <w:color w:val="28282A"/>
        </w:rPr>
        <w:t xml:space="preserve"> </w:t>
      </w:r>
      <w:r>
        <w:rPr>
          <w:rFonts w:ascii="Times New Roman" w:cs="Times New Roman" w:eastAsia="Times New Roman" w:hAnsi="Times New Roman"/>
          <w:sz w:val="18"/>
          <w:szCs w:val="18"/>
          <w:color w:val="28282A"/>
        </w:rPr>
        <w:t>during the Restricted Period</w:t>
      </w:r>
      <w:r>
        <w:rPr>
          <w:rFonts w:ascii="Times New Roman" w:cs="Times New Roman" w:eastAsia="Times New Roman" w:hAnsi="Times New Roman"/>
          <w:sz w:val="18"/>
          <w:szCs w:val="18"/>
          <w:color w:val="4B4B4B"/>
        </w:rPr>
        <w:t>,</w:t>
      </w:r>
      <w:r>
        <w:rPr>
          <w:rFonts w:ascii="Times New Roman" w:cs="Times New Roman" w:eastAsia="Times New Roman" w:hAnsi="Times New Roman"/>
          <w:sz w:val="18"/>
          <w:szCs w:val="18"/>
          <w:b w:val="1"/>
          <w:bCs w:val="1"/>
          <w:color w:val="28282A"/>
        </w:rPr>
        <w:t xml:space="preserve"> </w:t>
      </w:r>
      <w:r>
        <w:rPr>
          <w:rFonts w:ascii="Times New Roman" w:cs="Times New Roman" w:eastAsia="Times New Roman" w:hAnsi="Times New Roman"/>
          <w:sz w:val="18"/>
          <w:szCs w:val="18"/>
          <w:color w:val="38383B"/>
        </w:rPr>
        <w:t>you</w:t>
      </w:r>
      <w:r>
        <w:rPr>
          <w:rFonts w:ascii="Times New Roman" w:cs="Times New Roman" w:eastAsia="Times New Roman" w:hAnsi="Times New Roman"/>
          <w:sz w:val="18"/>
          <w:szCs w:val="18"/>
          <w:b w:val="1"/>
          <w:bCs w:val="1"/>
          <w:color w:val="28282A"/>
        </w:rPr>
        <w:t xml:space="preserve"> </w:t>
      </w:r>
      <w:r>
        <w:rPr>
          <w:rFonts w:ascii="Times New Roman" w:cs="Times New Roman" w:eastAsia="Times New Roman" w:hAnsi="Times New Roman"/>
          <w:sz w:val="18"/>
          <w:szCs w:val="18"/>
          <w:color w:val="28282A"/>
        </w:rPr>
        <w:t>shall</w:t>
      </w:r>
      <w:r>
        <w:rPr>
          <w:rFonts w:ascii="Times New Roman" w:cs="Times New Roman" w:eastAsia="Times New Roman" w:hAnsi="Times New Roman"/>
          <w:sz w:val="18"/>
          <w:szCs w:val="18"/>
          <w:b w:val="1"/>
          <w:bCs w:val="1"/>
          <w:color w:val="28282A"/>
        </w:rPr>
        <w:t xml:space="preserve"> </w:t>
      </w:r>
      <w:r>
        <w:rPr>
          <w:rFonts w:ascii="Times New Roman" w:cs="Times New Roman" w:eastAsia="Times New Roman" w:hAnsi="Times New Roman"/>
          <w:sz w:val="18"/>
          <w:szCs w:val="18"/>
          <w:i w:val="1"/>
          <w:iCs w:val="1"/>
          <w:color w:val="28282A"/>
        </w:rPr>
        <w:t>not:</w:t>
      </w:r>
    </w:p>
    <w:p>
      <w:pPr>
        <w:spacing w:after="0" w:line="189" w:lineRule="exact"/>
        <w:rPr>
          <w:sz w:val="20"/>
          <w:szCs w:val="20"/>
          <w:color w:val="auto"/>
        </w:rPr>
      </w:pPr>
    </w:p>
    <w:p>
      <w:pPr>
        <w:jc w:val="both"/>
        <w:ind w:left="820" w:firstLine="725"/>
        <w:spacing w:after="0" w:line="254" w:lineRule="auto"/>
        <w:tabs>
          <w:tab w:leader="none" w:pos="2263" w:val="left"/>
        </w:tabs>
        <w:numPr>
          <w:ilvl w:val="0"/>
          <w:numId w:val="237"/>
        </w:numPr>
        <w:rPr>
          <w:rFonts w:ascii="Times New Roman" w:cs="Times New Roman" w:eastAsia="Times New Roman" w:hAnsi="Times New Roman"/>
          <w:sz w:val="17"/>
          <w:szCs w:val="17"/>
          <w:color w:val="38383B"/>
        </w:rPr>
      </w:pPr>
      <w:r>
        <w:rPr>
          <w:rFonts w:ascii="Times New Roman" w:cs="Times New Roman" w:eastAsia="Times New Roman" w:hAnsi="Times New Roman"/>
          <w:sz w:val="18"/>
          <w:szCs w:val="18"/>
          <w:color w:val="28282A"/>
        </w:rPr>
        <w:t>own</w:t>
      </w:r>
      <w:r>
        <w:rPr>
          <w:rFonts w:ascii="Times New Roman" w:cs="Times New Roman" w:eastAsia="Times New Roman" w:hAnsi="Times New Roman"/>
          <w:sz w:val="18"/>
          <w:szCs w:val="18"/>
          <w:color w:val="4B4B4B"/>
        </w:rPr>
        <w:t>,</w:t>
      </w:r>
      <w:r>
        <w:rPr>
          <w:rFonts w:ascii="Times New Roman" w:cs="Times New Roman" w:eastAsia="Times New Roman" w:hAnsi="Times New Roman"/>
          <w:sz w:val="18"/>
          <w:szCs w:val="18"/>
          <w:color w:val="28282A"/>
        </w:rPr>
        <w:t xml:space="preserve"> manage</w:t>
      </w:r>
      <w:r>
        <w:rPr>
          <w:rFonts w:ascii="Times New Roman" w:cs="Times New Roman" w:eastAsia="Times New Roman" w:hAnsi="Times New Roman"/>
          <w:sz w:val="18"/>
          <w:szCs w:val="18"/>
          <w:color w:val="4B4B4B"/>
        </w:rPr>
        <w:t>,</w:t>
      </w:r>
      <w:r>
        <w:rPr>
          <w:rFonts w:ascii="Times New Roman" w:cs="Times New Roman" w:eastAsia="Times New Roman" w:hAnsi="Times New Roman"/>
          <w:sz w:val="18"/>
          <w:szCs w:val="18"/>
          <w:color w:val="28282A"/>
        </w:rPr>
        <w:t xml:space="preserve"> operate</w:t>
      </w:r>
      <w:r>
        <w:rPr>
          <w:rFonts w:ascii="Times New Roman" w:cs="Times New Roman" w:eastAsia="Times New Roman" w:hAnsi="Times New Roman"/>
          <w:sz w:val="18"/>
          <w:szCs w:val="18"/>
          <w:color w:val="4B4B4B"/>
        </w:rPr>
        <w:t>,</w:t>
      </w:r>
      <w:r>
        <w:rPr>
          <w:rFonts w:ascii="Times New Roman" w:cs="Times New Roman" w:eastAsia="Times New Roman" w:hAnsi="Times New Roman"/>
          <w:sz w:val="18"/>
          <w:szCs w:val="18"/>
          <w:color w:val="28282A"/>
        </w:rPr>
        <w:t xml:space="preserve"> control or participate in the ownership</w:t>
      </w:r>
      <w:r>
        <w:rPr>
          <w:rFonts w:ascii="Times New Roman" w:cs="Times New Roman" w:eastAsia="Times New Roman" w:hAnsi="Times New Roman"/>
          <w:sz w:val="18"/>
          <w:szCs w:val="18"/>
          <w:color w:val="4B4B4B"/>
        </w:rPr>
        <w:t>,</w:t>
      </w:r>
      <w:r>
        <w:rPr>
          <w:rFonts w:ascii="Times New Roman" w:cs="Times New Roman" w:eastAsia="Times New Roman" w:hAnsi="Times New Roman"/>
          <w:sz w:val="18"/>
          <w:szCs w:val="18"/>
          <w:color w:val="28282A"/>
        </w:rPr>
        <w:t xml:space="preserve"> management</w:t>
      </w:r>
      <w:r>
        <w:rPr>
          <w:rFonts w:ascii="Times New Roman" w:cs="Times New Roman" w:eastAsia="Times New Roman" w:hAnsi="Times New Roman"/>
          <w:sz w:val="18"/>
          <w:szCs w:val="18"/>
          <w:color w:val="5D5D5D"/>
        </w:rPr>
        <w:t>,</w:t>
      </w:r>
      <w:r>
        <w:rPr>
          <w:rFonts w:ascii="Times New Roman" w:cs="Times New Roman" w:eastAsia="Times New Roman" w:hAnsi="Times New Roman"/>
          <w:sz w:val="18"/>
          <w:szCs w:val="18"/>
          <w:color w:val="28282A"/>
        </w:rPr>
        <w:t xml:space="preserve"> operation or control of</w:t>
      </w:r>
      <w:r>
        <w:rPr>
          <w:rFonts w:ascii="Times New Roman" w:cs="Times New Roman" w:eastAsia="Times New Roman" w:hAnsi="Times New Roman"/>
          <w:sz w:val="18"/>
          <w:szCs w:val="18"/>
          <w:color w:val="4B4B4B"/>
        </w:rPr>
        <w:t>,</w:t>
      </w:r>
      <w:r>
        <w:rPr>
          <w:rFonts w:ascii="Times New Roman" w:cs="Times New Roman" w:eastAsia="Times New Roman" w:hAnsi="Times New Roman"/>
          <w:sz w:val="18"/>
          <w:szCs w:val="18"/>
          <w:color w:val="28282A"/>
        </w:rPr>
        <w:t xml:space="preserve"> or be connected as in the </w:t>
      </w:r>
      <w:r>
        <w:rPr>
          <w:rFonts w:ascii="Times New Roman" w:cs="Times New Roman" w:eastAsia="Times New Roman" w:hAnsi="Times New Roman"/>
          <w:sz w:val="18"/>
          <w:szCs w:val="18"/>
          <w:color w:val="38383B"/>
        </w:rPr>
        <w:t>same</w:t>
      </w:r>
      <w:r>
        <w:rPr>
          <w:rFonts w:ascii="Times New Roman" w:cs="Times New Roman" w:eastAsia="Times New Roman" w:hAnsi="Times New Roman"/>
          <w:sz w:val="18"/>
          <w:szCs w:val="18"/>
          <w:color w:val="28282A"/>
        </w:rPr>
        <w:t xml:space="preserve"> or substantially the same position as an officer</w:t>
      </w:r>
      <w:r>
        <w:rPr>
          <w:rFonts w:ascii="Times New Roman" w:cs="Times New Roman" w:eastAsia="Times New Roman" w:hAnsi="Times New Roman"/>
          <w:sz w:val="18"/>
          <w:szCs w:val="18"/>
          <w:color w:val="4B4B4B"/>
        </w:rPr>
        <w:t>,</w:t>
      </w:r>
      <w:r>
        <w:rPr>
          <w:rFonts w:ascii="Times New Roman" w:cs="Times New Roman" w:eastAsia="Times New Roman" w:hAnsi="Times New Roman"/>
          <w:sz w:val="18"/>
          <w:szCs w:val="18"/>
          <w:color w:val="28282A"/>
        </w:rPr>
        <w:t xml:space="preserve"> executive</w:t>
      </w:r>
      <w:r>
        <w:rPr>
          <w:rFonts w:ascii="Times New Roman" w:cs="Times New Roman" w:eastAsia="Times New Roman" w:hAnsi="Times New Roman"/>
          <w:sz w:val="18"/>
          <w:szCs w:val="18"/>
          <w:color w:val="4B4B4B"/>
        </w:rPr>
        <w:t>,</w:t>
      </w:r>
      <w:r>
        <w:rPr>
          <w:rFonts w:ascii="Times New Roman" w:cs="Times New Roman" w:eastAsia="Times New Roman" w:hAnsi="Times New Roman"/>
          <w:sz w:val="18"/>
          <w:szCs w:val="18"/>
          <w:color w:val="28282A"/>
        </w:rPr>
        <w:t xml:space="preserve"> consultant</w:t>
      </w:r>
      <w:r>
        <w:rPr>
          <w:rFonts w:ascii="Times New Roman" w:cs="Times New Roman" w:eastAsia="Times New Roman" w:hAnsi="Times New Roman"/>
          <w:sz w:val="18"/>
          <w:szCs w:val="18"/>
          <w:color w:val="4B4B4B"/>
        </w:rPr>
        <w:t>,</w:t>
      </w:r>
      <w:r>
        <w:rPr>
          <w:rFonts w:ascii="Times New Roman" w:cs="Times New Roman" w:eastAsia="Times New Roman" w:hAnsi="Times New Roman"/>
          <w:sz w:val="18"/>
          <w:szCs w:val="18"/>
          <w:color w:val="28282A"/>
        </w:rPr>
        <w:t xml:space="preserve"> service provider</w:t>
      </w:r>
      <w:r>
        <w:rPr>
          <w:rFonts w:ascii="Times New Roman" w:cs="Times New Roman" w:eastAsia="Times New Roman" w:hAnsi="Times New Roman"/>
          <w:sz w:val="18"/>
          <w:szCs w:val="18"/>
          <w:color w:val="4B4B4B"/>
        </w:rPr>
        <w:t>,</w:t>
      </w:r>
      <w:r>
        <w:rPr>
          <w:rFonts w:ascii="Times New Roman" w:cs="Times New Roman" w:eastAsia="Times New Roman" w:hAnsi="Times New Roman"/>
          <w:sz w:val="18"/>
          <w:szCs w:val="18"/>
          <w:color w:val="28282A"/>
        </w:rPr>
        <w:t xml:space="preserve"> partner or director of</w:t>
      </w:r>
      <w:r>
        <w:rPr>
          <w:rFonts w:ascii="Times New Roman" w:cs="Times New Roman" w:eastAsia="Times New Roman" w:hAnsi="Times New Roman"/>
          <w:sz w:val="18"/>
          <w:szCs w:val="18"/>
          <w:color w:val="5D5D5D"/>
        </w:rPr>
        <w:t>,</w:t>
      </w:r>
      <w:r>
        <w:rPr>
          <w:rFonts w:ascii="Times New Roman" w:cs="Times New Roman" w:eastAsia="Times New Roman" w:hAnsi="Times New Roman"/>
          <w:sz w:val="18"/>
          <w:szCs w:val="18"/>
          <w:color w:val="28282A"/>
        </w:rPr>
        <w:t xml:space="preserve"> or have any financial interest in</w:t>
      </w:r>
      <w:r>
        <w:rPr>
          <w:rFonts w:ascii="Times New Roman" w:cs="Times New Roman" w:eastAsia="Times New Roman" w:hAnsi="Times New Roman"/>
          <w:sz w:val="18"/>
          <w:szCs w:val="18"/>
          <w:color w:val="4B4B4B"/>
        </w:rPr>
        <w:t>,</w:t>
      </w:r>
      <w:r>
        <w:rPr>
          <w:rFonts w:ascii="Times New Roman" w:cs="Times New Roman" w:eastAsia="Times New Roman" w:hAnsi="Times New Roman"/>
          <w:sz w:val="18"/>
          <w:szCs w:val="18"/>
          <w:color w:val="28282A"/>
        </w:rPr>
        <w:t xml:space="preserve"> or </w:t>
      </w:r>
      <w:r>
        <w:rPr>
          <w:rFonts w:ascii="Times New Roman" w:cs="Times New Roman" w:eastAsia="Times New Roman" w:hAnsi="Times New Roman"/>
          <w:sz w:val="18"/>
          <w:szCs w:val="18"/>
          <w:color w:val="38383B"/>
        </w:rPr>
        <w:t>aid</w:t>
      </w:r>
      <w:r>
        <w:rPr>
          <w:rFonts w:ascii="Times New Roman" w:cs="Times New Roman" w:eastAsia="Times New Roman" w:hAnsi="Times New Roman"/>
          <w:sz w:val="18"/>
          <w:szCs w:val="18"/>
          <w:color w:val="28282A"/>
        </w:rPr>
        <w:t xml:space="preserve"> or </w:t>
      </w:r>
      <w:r>
        <w:rPr>
          <w:rFonts w:ascii="Times New Roman" w:cs="Times New Roman" w:eastAsia="Times New Roman" w:hAnsi="Times New Roman"/>
          <w:sz w:val="18"/>
          <w:szCs w:val="18"/>
          <w:color w:val="38383B"/>
        </w:rPr>
        <w:t>assist anyone</w:t>
      </w:r>
      <w:r>
        <w:rPr>
          <w:rFonts w:ascii="Times New Roman" w:cs="Times New Roman" w:eastAsia="Times New Roman" w:hAnsi="Times New Roman"/>
          <w:sz w:val="18"/>
          <w:szCs w:val="18"/>
          <w:color w:val="28282A"/>
        </w:rPr>
        <w:t xml:space="preserve"> in the conduct of</w:t>
      </w:r>
      <w:r>
        <w:rPr>
          <w:rFonts w:ascii="Times New Roman" w:cs="Times New Roman" w:eastAsia="Times New Roman" w:hAnsi="Times New Roman"/>
          <w:sz w:val="18"/>
          <w:szCs w:val="18"/>
          <w:color w:val="4B4B4B"/>
        </w:rPr>
        <w:t>,</w:t>
      </w:r>
      <w:r>
        <w:rPr>
          <w:rFonts w:ascii="Times New Roman" w:cs="Times New Roman" w:eastAsia="Times New Roman" w:hAnsi="Times New Roman"/>
          <w:sz w:val="18"/>
          <w:szCs w:val="18"/>
          <w:color w:val="28282A"/>
        </w:rPr>
        <w:t xml:space="preserve"> </w:t>
      </w:r>
      <w:r>
        <w:rPr>
          <w:rFonts w:ascii="Times New Roman" w:cs="Times New Roman" w:eastAsia="Times New Roman" w:hAnsi="Times New Roman"/>
          <w:sz w:val="18"/>
          <w:szCs w:val="18"/>
          <w:color w:val="38383B"/>
        </w:rPr>
        <w:t>any</w:t>
      </w:r>
      <w:r>
        <w:rPr>
          <w:rFonts w:ascii="Times New Roman" w:cs="Times New Roman" w:eastAsia="Times New Roman" w:hAnsi="Times New Roman"/>
          <w:sz w:val="18"/>
          <w:szCs w:val="18"/>
          <w:color w:val="28282A"/>
        </w:rPr>
        <w:t xml:space="preserve"> business</w:t>
      </w:r>
      <w:r>
        <w:rPr>
          <w:rFonts w:ascii="Times New Roman" w:cs="Times New Roman" w:eastAsia="Times New Roman" w:hAnsi="Times New Roman"/>
          <w:sz w:val="18"/>
          <w:szCs w:val="18"/>
          <w:color w:val="5D5D5D"/>
        </w:rPr>
        <w:t>,</w:t>
      </w:r>
      <w:r>
        <w:rPr>
          <w:rFonts w:ascii="Times New Roman" w:cs="Times New Roman" w:eastAsia="Times New Roman" w:hAnsi="Times New Roman"/>
          <w:sz w:val="18"/>
          <w:szCs w:val="18"/>
          <w:color w:val="28282A"/>
        </w:rPr>
        <w:t xml:space="preserve"> </w:t>
      </w:r>
      <w:r>
        <w:rPr>
          <w:rFonts w:ascii="Times New Roman" w:cs="Times New Roman" w:eastAsia="Times New Roman" w:hAnsi="Times New Roman"/>
          <w:sz w:val="18"/>
          <w:szCs w:val="18"/>
          <w:color w:val="38383B"/>
        </w:rPr>
        <w:t>sole</w:t>
      </w:r>
      <w:r>
        <w:rPr>
          <w:rFonts w:ascii="Times New Roman" w:cs="Times New Roman" w:eastAsia="Times New Roman" w:hAnsi="Times New Roman"/>
          <w:sz w:val="18"/>
          <w:szCs w:val="18"/>
          <w:color w:val="28282A"/>
        </w:rPr>
        <w:t xml:space="preserve"> proprietorship, company</w:t>
      </w:r>
      <w:r>
        <w:rPr>
          <w:rFonts w:ascii="Times New Roman" w:cs="Times New Roman" w:eastAsia="Times New Roman" w:hAnsi="Times New Roman"/>
          <w:sz w:val="18"/>
          <w:szCs w:val="18"/>
          <w:color w:val="4B4B4B"/>
        </w:rPr>
        <w:t>,</w:t>
      </w:r>
      <w:r>
        <w:rPr>
          <w:rFonts w:ascii="Times New Roman" w:cs="Times New Roman" w:eastAsia="Times New Roman" w:hAnsi="Times New Roman"/>
          <w:sz w:val="18"/>
          <w:szCs w:val="18"/>
          <w:color w:val="28282A"/>
        </w:rPr>
        <w:t xml:space="preserve"> </w:t>
      </w:r>
      <w:r>
        <w:rPr>
          <w:rFonts w:ascii="Times New Roman" w:cs="Times New Roman" w:eastAsia="Times New Roman" w:hAnsi="Times New Roman"/>
          <w:sz w:val="18"/>
          <w:szCs w:val="18"/>
          <w:color w:val="38383B"/>
        </w:rPr>
        <w:t>corporation</w:t>
      </w:r>
      <w:r>
        <w:rPr>
          <w:rFonts w:ascii="Times New Roman" w:cs="Times New Roman" w:eastAsia="Times New Roman" w:hAnsi="Times New Roman"/>
          <w:sz w:val="18"/>
          <w:szCs w:val="18"/>
          <w:color w:val="5D5D5D"/>
        </w:rPr>
        <w:t>,</w:t>
      </w:r>
      <w:r>
        <w:rPr>
          <w:rFonts w:ascii="Times New Roman" w:cs="Times New Roman" w:eastAsia="Times New Roman" w:hAnsi="Times New Roman"/>
          <w:sz w:val="18"/>
          <w:szCs w:val="18"/>
          <w:color w:val="28282A"/>
        </w:rPr>
        <w:t xml:space="preserve"> association</w:t>
      </w:r>
      <w:r>
        <w:rPr>
          <w:rFonts w:ascii="Times New Roman" w:cs="Times New Roman" w:eastAsia="Times New Roman" w:hAnsi="Times New Roman"/>
          <w:sz w:val="18"/>
          <w:szCs w:val="18"/>
          <w:color w:val="4B4B4B"/>
        </w:rPr>
        <w:t>,</w:t>
      </w:r>
      <w:r>
        <w:rPr>
          <w:rFonts w:ascii="Times New Roman" w:cs="Times New Roman" w:eastAsia="Times New Roman" w:hAnsi="Times New Roman"/>
          <w:sz w:val="18"/>
          <w:szCs w:val="18"/>
          <w:color w:val="28282A"/>
        </w:rPr>
        <w:t xml:space="preserve"> partnership or other </w:t>
      </w:r>
      <w:r>
        <w:rPr>
          <w:rFonts w:ascii="Times New Roman" w:cs="Times New Roman" w:eastAsia="Times New Roman" w:hAnsi="Times New Roman"/>
          <w:sz w:val="18"/>
          <w:szCs w:val="18"/>
          <w:color w:val="38383B"/>
        </w:rPr>
        <w:t xml:space="preserve">entity </w:t>
      </w:r>
      <w:r>
        <w:rPr>
          <w:rFonts w:ascii="Times New Roman" w:cs="Times New Roman" w:eastAsia="Times New Roman" w:hAnsi="Times New Roman"/>
          <w:sz w:val="18"/>
          <w:szCs w:val="18"/>
          <w:color w:val="28282A"/>
        </w:rPr>
        <w:t>that cultivates</w:t>
      </w:r>
      <w:r>
        <w:rPr>
          <w:rFonts w:ascii="Times New Roman" w:cs="Times New Roman" w:eastAsia="Times New Roman" w:hAnsi="Times New Roman"/>
          <w:sz w:val="18"/>
          <w:szCs w:val="18"/>
          <w:color w:val="5D5D5D"/>
        </w:rPr>
        <w:t>,</w:t>
      </w:r>
      <w:r>
        <w:rPr>
          <w:rFonts w:ascii="Times New Roman" w:cs="Times New Roman" w:eastAsia="Times New Roman" w:hAnsi="Times New Roman"/>
          <w:sz w:val="18"/>
          <w:szCs w:val="18"/>
          <w:color w:val="38383B"/>
        </w:rPr>
        <w:t xml:space="preserve"> </w:t>
      </w:r>
      <w:r>
        <w:rPr>
          <w:rFonts w:ascii="Times New Roman" w:cs="Times New Roman" w:eastAsia="Times New Roman" w:hAnsi="Times New Roman"/>
          <w:sz w:val="18"/>
          <w:szCs w:val="18"/>
          <w:color w:val="28282A"/>
        </w:rPr>
        <w:t>processes or dispenses cannabis in a</w:t>
      </w:r>
      <w:r>
        <w:rPr>
          <w:rFonts w:ascii="Times New Roman" w:cs="Times New Roman" w:eastAsia="Times New Roman" w:hAnsi="Times New Roman"/>
          <w:sz w:val="18"/>
          <w:szCs w:val="18"/>
          <w:color w:val="38383B"/>
        </w:rPr>
        <w:t xml:space="preserve"> state </w:t>
      </w:r>
      <w:r>
        <w:rPr>
          <w:rFonts w:ascii="Times New Roman" w:cs="Times New Roman" w:eastAsia="Times New Roman" w:hAnsi="Times New Roman"/>
          <w:sz w:val="18"/>
          <w:szCs w:val="18"/>
          <w:color w:val="28282A"/>
        </w:rPr>
        <w:t>in the United States</w:t>
      </w:r>
      <w:r>
        <w:rPr>
          <w:rFonts w:ascii="Times New Roman" w:cs="Times New Roman" w:eastAsia="Times New Roman" w:hAnsi="Times New Roman"/>
          <w:sz w:val="18"/>
          <w:szCs w:val="18"/>
          <w:color w:val="38383B"/>
        </w:rPr>
        <w:t xml:space="preserve"> were </w:t>
      </w:r>
      <w:r>
        <w:rPr>
          <w:rFonts w:ascii="Times New Roman" w:cs="Times New Roman" w:eastAsia="Times New Roman" w:hAnsi="Times New Roman"/>
          <w:sz w:val="18"/>
          <w:szCs w:val="18"/>
          <w:color w:val="28282A"/>
        </w:rPr>
        <w:t>the</w:t>
      </w:r>
      <w:r>
        <w:rPr>
          <w:rFonts w:ascii="Times New Roman" w:cs="Times New Roman" w:eastAsia="Times New Roman" w:hAnsi="Times New Roman"/>
          <w:sz w:val="18"/>
          <w:szCs w:val="18"/>
          <w:color w:val="38383B"/>
        </w:rPr>
        <w:t xml:space="preserve"> Company </w:t>
      </w:r>
      <w:r>
        <w:rPr>
          <w:rFonts w:ascii="Times New Roman" w:cs="Times New Roman" w:eastAsia="Times New Roman" w:hAnsi="Times New Roman"/>
          <w:sz w:val="18"/>
          <w:szCs w:val="18"/>
          <w:color w:val="28282A"/>
        </w:rPr>
        <w:t>operates</w:t>
      </w:r>
      <w:r>
        <w:rPr>
          <w:rFonts w:ascii="Times New Roman" w:cs="Times New Roman" w:eastAsia="Times New Roman" w:hAnsi="Times New Roman"/>
          <w:sz w:val="18"/>
          <w:szCs w:val="18"/>
          <w:color w:val="38383B"/>
        </w:rPr>
        <w:t xml:space="preserve"> (a </w:t>
      </w:r>
      <w:r>
        <w:rPr>
          <w:rFonts w:ascii="Times New Roman" w:cs="Times New Roman" w:eastAsia="Times New Roman" w:hAnsi="Times New Roman"/>
          <w:sz w:val="18"/>
          <w:szCs w:val="18"/>
          <w:color w:val="5D5D5D"/>
        </w:rPr>
        <w:t>"</w:t>
      </w:r>
      <w:r>
        <w:rPr>
          <w:rFonts w:ascii="Times New Roman" w:cs="Times New Roman" w:eastAsia="Times New Roman" w:hAnsi="Times New Roman"/>
          <w:sz w:val="18"/>
          <w:szCs w:val="18"/>
          <w:color w:val="28282A"/>
        </w:rPr>
        <w:t>Competitor</w:t>
      </w:r>
      <w:r>
        <w:rPr>
          <w:rFonts w:ascii="Times New Roman" w:cs="Times New Roman" w:eastAsia="Times New Roman" w:hAnsi="Times New Roman"/>
          <w:sz w:val="18"/>
          <w:szCs w:val="18"/>
          <w:color w:val="4B4B4B"/>
        </w:rPr>
        <w:t>")</w:t>
      </w:r>
      <w:r>
        <w:rPr>
          <w:rFonts w:ascii="Times New Roman" w:cs="Times New Roman" w:eastAsia="Times New Roman" w:hAnsi="Times New Roman"/>
          <w:sz w:val="18"/>
          <w:szCs w:val="18"/>
          <w:color w:val="38383B"/>
        </w:rPr>
        <w:t xml:space="preserve"> whether </w:t>
      </w:r>
      <w:r>
        <w:rPr>
          <w:rFonts w:ascii="Times New Roman" w:cs="Times New Roman" w:eastAsia="Times New Roman" w:hAnsi="Times New Roman"/>
          <w:sz w:val="18"/>
          <w:szCs w:val="18"/>
          <w:color w:val="28282A"/>
        </w:rPr>
        <w:t>directly or indirectly</w:t>
      </w:r>
      <w:r>
        <w:rPr>
          <w:rFonts w:ascii="Times New Roman" w:cs="Times New Roman" w:eastAsia="Times New Roman" w:hAnsi="Times New Roman"/>
          <w:sz w:val="18"/>
          <w:szCs w:val="18"/>
          <w:color w:val="4B4B4B"/>
        </w:rPr>
        <w:t>,</w:t>
      </w:r>
      <w:r>
        <w:rPr>
          <w:rFonts w:ascii="Times New Roman" w:cs="Times New Roman" w:eastAsia="Times New Roman" w:hAnsi="Times New Roman"/>
          <w:sz w:val="18"/>
          <w:szCs w:val="18"/>
          <w:color w:val="28282A"/>
        </w:rPr>
        <w:t xml:space="preserve"> or through </w:t>
      </w:r>
      <w:r>
        <w:rPr>
          <w:rFonts w:ascii="Times New Roman" w:cs="Times New Roman" w:eastAsia="Times New Roman" w:hAnsi="Times New Roman"/>
          <w:sz w:val="18"/>
          <w:szCs w:val="18"/>
          <w:color w:val="38383B"/>
        </w:rPr>
        <w:t>an</w:t>
      </w:r>
      <w:r>
        <w:rPr>
          <w:rFonts w:ascii="Times New Roman" w:cs="Times New Roman" w:eastAsia="Times New Roman" w:hAnsi="Times New Roman"/>
          <w:sz w:val="18"/>
          <w:szCs w:val="18"/>
          <w:color w:val="28282A"/>
        </w:rPr>
        <w:t xml:space="preserve"> affiliate, or where Your </w:t>
      </w:r>
      <w:r>
        <w:rPr>
          <w:rFonts w:ascii="Times New Roman" w:cs="Times New Roman" w:eastAsia="Times New Roman" w:hAnsi="Times New Roman"/>
          <w:sz w:val="18"/>
          <w:szCs w:val="18"/>
          <w:color w:val="38383B"/>
        </w:rPr>
        <w:t>access</w:t>
      </w:r>
      <w:r>
        <w:rPr>
          <w:rFonts w:ascii="Times New Roman" w:cs="Times New Roman" w:eastAsia="Times New Roman" w:hAnsi="Times New Roman"/>
          <w:sz w:val="18"/>
          <w:szCs w:val="18"/>
          <w:color w:val="28282A"/>
        </w:rPr>
        <w:t xml:space="preserve"> to </w:t>
      </w:r>
      <w:r>
        <w:rPr>
          <w:rFonts w:ascii="Times New Roman" w:cs="Times New Roman" w:eastAsia="Times New Roman" w:hAnsi="Times New Roman"/>
          <w:sz w:val="18"/>
          <w:szCs w:val="18"/>
          <w:color w:val="38383B"/>
        </w:rPr>
        <w:t>Company Confidential</w:t>
      </w:r>
      <w:r>
        <w:rPr>
          <w:rFonts w:ascii="Times New Roman" w:cs="Times New Roman" w:eastAsia="Times New Roman" w:hAnsi="Times New Roman"/>
          <w:sz w:val="18"/>
          <w:szCs w:val="18"/>
          <w:color w:val="28282A"/>
        </w:rPr>
        <w:t xml:space="preserve"> Information will provide </w:t>
      </w:r>
      <w:r>
        <w:rPr>
          <w:rFonts w:ascii="Times New Roman" w:cs="Times New Roman" w:eastAsia="Times New Roman" w:hAnsi="Times New Roman"/>
          <w:sz w:val="18"/>
          <w:szCs w:val="18"/>
          <w:color w:val="38383B"/>
        </w:rPr>
        <w:t>a</w:t>
      </w:r>
      <w:r>
        <w:rPr>
          <w:rFonts w:ascii="Times New Roman" w:cs="Times New Roman" w:eastAsia="Times New Roman" w:hAnsi="Times New Roman"/>
          <w:sz w:val="18"/>
          <w:szCs w:val="18"/>
          <w:color w:val="28282A"/>
        </w:rPr>
        <w:t xml:space="preserve"> competitive benefit to any </w:t>
      </w:r>
      <w:r>
        <w:rPr>
          <w:rFonts w:ascii="Times New Roman" w:cs="Times New Roman" w:eastAsia="Times New Roman" w:hAnsi="Times New Roman"/>
          <w:sz w:val="18"/>
          <w:szCs w:val="18"/>
          <w:color w:val="38383B"/>
        </w:rPr>
        <w:t>Competitor.</w:t>
      </w:r>
      <w:r>
        <w:rPr>
          <w:rFonts w:ascii="Times New Roman" w:cs="Times New Roman" w:eastAsia="Times New Roman" w:hAnsi="Times New Roman"/>
          <w:sz w:val="18"/>
          <w:szCs w:val="18"/>
          <w:color w:val="28282A"/>
        </w:rPr>
        <w:t xml:space="preserve"> Notwith</w:t>
      </w:r>
      <w:r>
        <w:rPr>
          <w:rFonts w:ascii="Times New Roman" w:cs="Times New Roman" w:eastAsia="Times New Roman" w:hAnsi="Times New Roman"/>
          <w:sz w:val="18"/>
          <w:szCs w:val="18"/>
          <w:color w:val="4B4B4B"/>
        </w:rPr>
        <w:t>s</w:t>
      </w:r>
      <w:r>
        <w:rPr>
          <w:rFonts w:ascii="Times New Roman" w:cs="Times New Roman" w:eastAsia="Times New Roman" w:hAnsi="Times New Roman"/>
          <w:sz w:val="18"/>
          <w:szCs w:val="18"/>
          <w:color w:val="28282A"/>
        </w:rPr>
        <w:t>tandin</w:t>
      </w:r>
      <w:r>
        <w:rPr>
          <w:rFonts w:ascii="Times New Roman" w:cs="Times New Roman" w:eastAsia="Times New Roman" w:hAnsi="Times New Roman"/>
          <w:sz w:val="18"/>
          <w:szCs w:val="18"/>
          <w:color w:val="4B4B4B"/>
        </w:rPr>
        <w:t>g</w:t>
      </w:r>
      <w:r>
        <w:rPr>
          <w:rFonts w:ascii="Times New Roman" w:cs="Times New Roman" w:eastAsia="Times New Roman" w:hAnsi="Times New Roman"/>
          <w:sz w:val="18"/>
          <w:szCs w:val="18"/>
          <w:color w:val="28282A"/>
        </w:rPr>
        <w:t xml:space="preserve"> the </w:t>
      </w:r>
      <w:r>
        <w:rPr>
          <w:rFonts w:ascii="Times New Roman" w:cs="Times New Roman" w:eastAsia="Times New Roman" w:hAnsi="Times New Roman"/>
          <w:sz w:val="18"/>
          <w:szCs w:val="18"/>
          <w:color w:val="38383B"/>
        </w:rPr>
        <w:t>foregoing,</w:t>
      </w:r>
      <w:r>
        <w:rPr>
          <w:rFonts w:ascii="Times New Roman" w:cs="Times New Roman" w:eastAsia="Times New Roman" w:hAnsi="Times New Roman"/>
          <w:sz w:val="18"/>
          <w:szCs w:val="18"/>
          <w:color w:val="28282A"/>
        </w:rPr>
        <w:t xml:space="preserve"> the passive </w:t>
      </w:r>
      <w:r>
        <w:rPr>
          <w:rFonts w:ascii="Times New Roman" w:cs="Times New Roman" w:eastAsia="Times New Roman" w:hAnsi="Times New Roman"/>
          <w:sz w:val="18"/>
          <w:szCs w:val="18"/>
          <w:color w:val="38383B"/>
        </w:rPr>
        <w:t>ownership</w:t>
      </w:r>
      <w:r>
        <w:rPr>
          <w:rFonts w:ascii="Times New Roman" w:cs="Times New Roman" w:eastAsia="Times New Roman" w:hAnsi="Times New Roman"/>
          <w:sz w:val="18"/>
          <w:szCs w:val="18"/>
          <w:color w:val="28282A"/>
        </w:rPr>
        <w:t xml:space="preserve"> for investment of less than five percent </w:t>
      </w:r>
      <w:r>
        <w:rPr>
          <w:rFonts w:ascii="Times New Roman" w:cs="Times New Roman" w:eastAsia="Times New Roman" w:hAnsi="Times New Roman"/>
          <w:sz w:val="18"/>
          <w:szCs w:val="18"/>
          <w:color w:val="38383B"/>
        </w:rPr>
        <w:t>(5%) of</w:t>
      </w:r>
      <w:r>
        <w:rPr>
          <w:rFonts w:ascii="Times New Roman" w:cs="Times New Roman" w:eastAsia="Times New Roman" w:hAnsi="Times New Roman"/>
          <w:sz w:val="18"/>
          <w:szCs w:val="18"/>
          <w:color w:val="28282A"/>
        </w:rPr>
        <w:t xml:space="preserve"> the combined voting power of all issued </w:t>
      </w:r>
      <w:r>
        <w:rPr>
          <w:rFonts w:ascii="Times New Roman" w:cs="Times New Roman" w:eastAsia="Times New Roman" w:hAnsi="Times New Roman"/>
          <w:sz w:val="18"/>
          <w:szCs w:val="18"/>
          <w:color w:val="38383B"/>
        </w:rPr>
        <w:t>and</w:t>
      </w:r>
      <w:r>
        <w:rPr>
          <w:rFonts w:ascii="Times New Roman" w:cs="Times New Roman" w:eastAsia="Times New Roman" w:hAnsi="Times New Roman"/>
          <w:sz w:val="18"/>
          <w:szCs w:val="18"/>
          <w:color w:val="28282A"/>
        </w:rPr>
        <w:t xml:space="preserve"> outstanding </w:t>
      </w:r>
      <w:r>
        <w:rPr>
          <w:rFonts w:ascii="Times New Roman" w:cs="Times New Roman" w:eastAsia="Times New Roman" w:hAnsi="Times New Roman"/>
          <w:sz w:val="18"/>
          <w:szCs w:val="18"/>
          <w:color w:val="38383B"/>
        </w:rPr>
        <w:t>voting securities</w:t>
      </w:r>
      <w:r>
        <w:rPr>
          <w:rFonts w:ascii="Times New Roman" w:cs="Times New Roman" w:eastAsia="Times New Roman" w:hAnsi="Times New Roman"/>
          <w:sz w:val="18"/>
          <w:szCs w:val="18"/>
          <w:color w:val="28282A"/>
        </w:rPr>
        <w:t xml:space="preserve"> of a </w:t>
      </w:r>
      <w:r>
        <w:rPr>
          <w:rFonts w:ascii="Times New Roman" w:cs="Times New Roman" w:eastAsia="Times New Roman" w:hAnsi="Times New Roman"/>
          <w:sz w:val="18"/>
          <w:szCs w:val="18"/>
          <w:color w:val="38383B"/>
        </w:rPr>
        <w:t>company</w:t>
      </w:r>
      <w:r>
        <w:rPr>
          <w:rFonts w:ascii="Times New Roman" w:cs="Times New Roman" w:eastAsia="Times New Roman" w:hAnsi="Times New Roman"/>
          <w:sz w:val="18"/>
          <w:szCs w:val="18"/>
          <w:color w:val="28282A"/>
        </w:rPr>
        <w:t xml:space="preserve"> whose shares </w:t>
      </w:r>
      <w:r>
        <w:rPr>
          <w:rFonts w:ascii="Times New Roman" w:cs="Times New Roman" w:eastAsia="Times New Roman" w:hAnsi="Times New Roman"/>
          <w:sz w:val="18"/>
          <w:szCs w:val="18"/>
          <w:color w:val="38383B"/>
        </w:rPr>
        <w:t>are</w:t>
      </w:r>
      <w:r>
        <w:rPr>
          <w:rFonts w:ascii="Times New Roman" w:cs="Times New Roman" w:eastAsia="Times New Roman" w:hAnsi="Times New Roman"/>
          <w:sz w:val="18"/>
          <w:szCs w:val="18"/>
          <w:color w:val="28282A"/>
        </w:rPr>
        <w:t xml:space="preserve"> traded </w:t>
      </w:r>
      <w:r>
        <w:rPr>
          <w:rFonts w:ascii="Times New Roman" w:cs="Times New Roman" w:eastAsia="Times New Roman" w:hAnsi="Times New Roman"/>
          <w:sz w:val="18"/>
          <w:szCs w:val="18"/>
          <w:color w:val="38383B"/>
        </w:rPr>
        <w:t>on</w:t>
      </w:r>
      <w:r>
        <w:rPr>
          <w:rFonts w:ascii="Times New Roman" w:cs="Times New Roman" w:eastAsia="Times New Roman" w:hAnsi="Times New Roman"/>
          <w:sz w:val="18"/>
          <w:szCs w:val="18"/>
          <w:color w:val="28282A"/>
        </w:rPr>
        <w:t xml:space="preserve"> a public securities market </w:t>
      </w:r>
      <w:r>
        <w:rPr>
          <w:rFonts w:ascii="Times New Roman" w:cs="Times New Roman" w:eastAsia="Times New Roman" w:hAnsi="Times New Roman"/>
          <w:sz w:val="18"/>
          <w:szCs w:val="18"/>
          <w:color w:val="38383B"/>
        </w:rPr>
        <w:t>shall</w:t>
      </w:r>
      <w:r>
        <w:rPr>
          <w:rFonts w:ascii="Times New Roman" w:cs="Times New Roman" w:eastAsia="Times New Roman" w:hAnsi="Times New Roman"/>
          <w:sz w:val="18"/>
          <w:szCs w:val="18"/>
          <w:color w:val="28282A"/>
        </w:rPr>
        <w:t xml:space="preserve"> not be deemed to </w:t>
      </w:r>
      <w:r>
        <w:rPr>
          <w:rFonts w:ascii="Times New Roman" w:cs="Times New Roman" w:eastAsia="Times New Roman" w:hAnsi="Times New Roman"/>
          <w:sz w:val="18"/>
          <w:szCs w:val="18"/>
          <w:color w:val="38383B"/>
        </w:rPr>
        <w:t>violate</w:t>
      </w:r>
      <w:r>
        <w:rPr>
          <w:rFonts w:ascii="Times New Roman" w:cs="Times New Roman" w:eastAsia="Times New Roman" w:hAnsi="Times New Roman"/>
          <w:sz w:val="18"/>
          <w:szCs w:val="18"/>
          <w:color w:val="28282A"/>
        </w:rPr>
        <w:t xml:space="preserve"> this Section </w:t>
      </w:r>
      <w:r>
        <w:rPr>
          <w:rFonts w:ascii="Times New Roman" w:cs="Times New Roman" w:eastAsia="Times New Roman" w:hAnsi="Times New Roman"/>
          <w:sz w:val="18"/>
          <w:szCs w:val="18"/>
          <w:color w:val="38383B"/>
        </w:rPr>
        <w:t>4.2.</w:t>
      </w:r>
    </w:p>
    <w:p>
      <w:pPr>
        <w:spacing w:after="0" w:line="165" w:lineRule="exact"/>
        <w:rPr>
          <w:sz w:val="20"/>
          <w:szCs w:val="20"/>
          <w:color w:val="auto"/>
        </w:rPr>
      </w:pPr>
    </w:p>
    <w:p>
      <w:pPr>
        <w:jc w:val="both"/>
        <w:ind w:left="820" w:right="60" w:hanging="37"/>
        <w:spacing w:after="0" w:line="274" w:lineRule="auto"/>
        <w:rPr>
          <w:sz w:val="20"/>
          <w:szCs w:val="20"/>
          <w:color w:val="auto"/>
        </w:rPr>
      </w:pPr>
      <w:r>
        <w:rPr>
          <w:rFonts w:ascii="Times New Roman" w:cs="Times New Roman" w:eastAsia="Times New Roman" w:hAnsi="Times New Roman"/>
          <w:sz w:val="17"/>
          <w:szCs w:val="17"/>
          <w:color w:val="38383B"/>
        </w:rPr>
        <w:t>(b)</w:t>
      </w:r>
      <w:r>
        <w:rPr>
          <w:rFonts w:ascii="Times New Roman" w:cs="Times New Roman" w:eastAsia="Times New Roman" w:hAnsi="Times New Roman"/>
          <w:sz w:val="17"/>
          <w:szCs w:val="17"/>
          <w:color w:val="28282A"/>
        </w:rPr>
        <w:t>For purposes of this Section 4.2</w:t>
      </w:r>
      <w:r>
        <w:rPr>
          <w:rFonts w:ascii="Times New Roman" w:cs="Times New Roman" w:eastAsia="Times New Roman" w:hAnsi="Times New Roman"/>
          <w:sz w:val="17"/>
          <w:szCs w:val="17"/>
          <w:color w:val="5D5D5D"/>
        </w:rPr>
        <w:t>,</w:t>
      </w:r>
      <w:r>
        <w:rPr>
          <w:rFonts w:ascii="Times New Roman" w:cs="Times New Roman" w:eastAsia="Times New Roman" w:hAnsi="Times New Roman"/>
          <w:sz w:val="17"/>
          <w:szCs w:val="17"/>
          <w:color w:val="38383B"/>
        </w:rPr>
        <w:t xml:space="preserve"> </w:t>
      </w:r>
      <w:r>
        <w:rPr>
          <w:rFonts w:ascii="Times New Roman" w:cs="Times New Roman" w:eastAsia="Times New Roman" w:hAnsi="Times New Roman"/>
          <w:sz w:val="17"/>
          <w:szCs w:val="17"/>
          <w:color w:val="28282A"/>
        </w:rPr>
        <w:t>the Restricted Period</w:t>
      </w:r>
      <w:r>
        <w:rPr>
          <w:rFonts w:ascii="Times New Roman" w:cs="Times New Roman" w:eastAsia="Times New Roman" w:hAnsi="Times New Roman"/>
          <w:sz w:val="17"/>
          <w:szCs w:val="17"/>
          <w:color w:val="38383B"/>
        </w:rPr>
        <w:t xml:space="preserve"> shall </w:t>
      </w:r>
      <w:r>
        <w:rPr>
          <w:rFonts w:ascii="Times New Roman" w:cs="Times New Roman" w:eastAsia="Times New Roman" w:hAnsi="Times New Roman"/>
          <w:sz w:val="17"/>
          <w:szCs w:val="17"/>
          <w:color w:val="28282A"/>
        </w:rPr>
        <w:t>be defined as follows: (i) if</w:t>
      </w:r>
      <w:r>
        <w:rPr>
          <w:rFonts w:ascii="Times New Roman" w:cs="Times New Roman" w:eastAsia="Times New Roman" w:hAnsi="Times New Roman"/>
          <w:sz w:val="17"/>
          <w:szCs w:val="17"/>
          <w:color w:val="38383B"/>
        </w:rPr>
        <w:t xml:space="preserve"> you are employed </w:t>
      </w:r>
      <w:r>
        <w:rPr>
          <w:rFonts w:ascii="Times New Roman" w:cs="Times New Roman" w:eastAsia="Times New Roman" w:hAnsi="Times New Roman"/>
          <w:sz w:val="17"/>
          <w:szCs w:val="17"/>
          <w:color w:val="28282A"/>
        </w:rPr>
        <w:t>by the</w:t>
      </w:r>
      <w:r>
        <w:rPr>
          <w:rFonts w:ascii="Times New Roman" w:cs="Times New Roman" w:eastAsia="Times New Roman" w:hAnsi="Times New Roman"/>
          <w:sz w:val="17"/>
          <w:szCs w:val="17"/>
          <w:color w:val="38383B"/>
        </w:rPr>
        <w:t xml:space="preserve"> Employer </w:t>
      </w:r>
      <w:r>
        <w:rPr>
          <w:rFonts w:ascii="Times New Roman" w:cs="Times New Roman" w:eastAsia="Times New Roman" w:hAnsi="Times New Roman"/>
          <w:sz w:val="17"/>
          <w:szCs w:val="17"/>
          <w:color w:val="28282A"/>
        </w:rPr>
        <w:t>for</w:t>
      </w:r>
      <w:r>
        <w:rPr>
          <w:rFonts w:ascii="Times New Roman" w:cs="Times New Roman" w:eastAsia="Times New Roman" w:hAnsi="Times New Roman"/>
          <w:sz w:val="17"/>
          <w:szCs w:val="17"/>
          <w:color w:val="38383B"/>
        </w:rPr>
        <w:t xml:space="preserve"> a </w:t>
      </w:r>
      <w:r>
        <w:rPr>
          <w:rFonts w:ascii="Times New Roman" w:cs="Times New Roman" w:eastAsia="Times New Roman" w:hAnsi="Times New Roman"/>
          <w:sz w:val="17"/>
          <w:szCs w:val="17"/>
          <w:color w:val="28282A"/>
        </w:rPr>
        <w:t>period of</w:t>
      </w:r>
      <w:r>
        <w:rPr>
          <w:rFonts w:ascii="Times New Roman" w:cs="Times New Roman" w:eastAsia="Times New Roman" w:hAnsi="Times New Roman"/>
          <w:sz w:val="17"/>
          <w:szCs w:val="17"/>
          <w:color w:val="38383B"/>
        </w:rPr>
        <w:t xml:space="preserve"> </w:t>
      </w:r>
      <w:r>
        <w:rPr>
          <w:rFonts w:ascii="Times New Roman" w:cs="Times New Roman" w:eastAsia="Times New Roman" w:hAnsi="Times New Roman"/>
          <w:sz w:val="17"/>
          <w:szCs w:val="17"/>
          <w:color w:val="28282A"/>
        </w:rPr>
        <w:t xml:space="preserve">three </w:t>
      </w:r>
      <w:r>
        <w:rPr>
          <w:rFonts w:ascii="Times New Roman" w:cs="Times New Roman" w:eastAsia="Times New Roman" w:hAnsi="Times New Roman"/>
          <w:sz w:val="17"/>
          <w:szCs w:val="17"/>
          <w:color w:val="38383B"/>
        </w:rPr>
        <w:t>(3)</w:t>
      </w:r>
      <w:r>
        <w:rPr>
          <w:rFonts w:ascii="Times New Roman" w:cs="Times New Roman" w:eastAsia="Times New Roman" w:hAnsi="Times New Roman"/>
          <w:sz w:val="17"/>
          <w:szCs w:val="17"/>
          <w:color w:val="28282A"/>
        </w:rPr>
        <w:t xml:space="preserve"> months </w:t>
      </w:r>
      <w:r>
        <w:rPr>
          <w:rFonts w:ascii="Times New Roman" w:cs="Times New Roman" w:eastAsia="Times New Roman" w:hAnsi="Times New Roman"/>
          <w:sz w:val="17"/>
          <w:szCs w:val="17"/>
          <w:color w:val="38383B"/>
        </w:rPr>
        <w:t>or</w:t>
      </w:r>
      <w:r>
        <w:rPr>
          <w:rFonts w:ascii="Times New Roman" w:cs="Times New Roman" w:eastAsia="Times New Roman" w:hAnsi="Times New Roman"/>
          <w:sz w:val="17"/>
          <w:szCs w:val="17"/>
          <w:color w:val="28282A"/>
        </w:rPr>
        <w:t xml:space="preserve"> less</w:t>
      </w:r>
      <w:r>
        <w:rPr>
          <w:rFonts w:ascii="Times New Roman" w:cs="Times New Roman" w:eastAsia="Times New Roman" w:hAnsi="Times New Roman"/>
          <w:sz w:val="17"/>
          <w:szCs w:val="17"/>
          <w:color w:val="4B4B4B"/>
        </w:rPr>
        <w:t>,</w:t>
      </w:r>
      <w:r>
        <w:rPr>
          <w:rFonts w:ascii="Times New Roman" w:cs="Times New Roman" w:eastAsia="Times New Roman" w:hAnsi="Times New Roman"/>
          <w:sz w:val="17"/>
          <w:szCs w:val="17"/>
          <w:color w:val="28282A"/>
        </w:rPr>
        <w:t xml:space="preserve"> the Restricted Period </w:t>
      </w:r>
      <w:r>
        <w:rPr>
          <w:rFonts w:ascii="Times New Roman" w:cs="Times New Roman" w:eastAsia="Times New Roman" w:hAnsi="Times New Roman"/>
          <w:sz w:val="17"/>
          <w:szCs w:val="17"/>
          <w:color w:val="38383B"/>
        </w:rPr>
        <w:t>shall</w:t>
      </w:r>
      <w:r>
        <w:rPr>
          <w:rFonts w:ascii="Times New Roman" w:cs="Times New Roman" w:eastAsia="Times New Roman" w:hAnsi="Times New Roman"/>
          <w:sz w:val="17"/>
          <w:szCs w:val="17"/>
          <w:color w:val="28282A"/>
        </w:rPr>
        <w:t xml:space="preserve"> be for a period of three (3) months; </w:t>
      </w:r>
      <w:r>
        <w:rPr>
          <w:rFonts w:ascii="Times New Roman" w:cs="Times New Roman" w:eastAsia="Times New Roman" w:hAnsi="Times New Roman"/>
          <w:sz w:val="17"/>
          <w:szCs w:val="17"/>
          <w:color w:val="38383B"/>
        </w:rPr>
        <w:t>(ii)</w:t>
      </w:r>
      <w:r>
        <w:rPr>
          <w:rFonts w:ascii="Times New Roman" w:cs="Times New Roman" w:eastAsia="Times New Roman" w:hAnsi="Times New Roman"/>
          <w:sz w:val="17"/>
          <w:szCs w:val="17"/>
          <w:color w:val="28282A"/>
        </w:rPr>
        <w:t xml:space="preserve"> if </w:t>
      </w:r>
      <w:r>
        <w:rPr>
          <w:rFonts w:ascii="Times New Roman" w:cs="Times New Roman" w:eastAsia="Times New Roman" w:hAnsi="Times New Roman"/>
          <w:sz w:val="17"/>
          <w:szCs w:val="17"/>
          <w:color w:val="38383B"/>
        </w:rPr>
        <w:t>you are</w:t>
      </w:r>
      <w:r>
        <w:rPr>
          <w:rFonts w:ascii="Times New Roman" w:cs="Times New Roman" w:eastAsia="Times New Roman" w:hAnsi="Times New Roman"/>
          <w:sz w:val="17"/>
          <w:szCs w:val="17"/>
          <w:color w:val="28282A"/>
        </w:rPr>
        <w:t xml:space="preserve"> employed by the </w:t>
      </w:r>
      <w:r>
        <w:rPr>
          <w:rFonts w:ascii="Times New Roman" w:cs="Times New Roman" w:eastAsia="Times New Roman" w:hAnsi="Times New Roman"/>
          <w:sz w:val="17"/>
          <w:szCs w:val="17"/>
          <w:color w:val="38383B"/>
        </w:rPr>
        <w:t>Employer</w:t>
      </w:r>
      <w:r>
        <w:rPr>
          <w:rFonts w:ascii="Times New Roman" w:cs="Times New Roman" w:eastAsia="Times New Roman" w:hAnsi="Times New Roman"/>
          <w:sz w:val="17"/>
          <w:szCs w:val="17"/>
          <w:color w:val="28282A"/>
        </w:rPr>
        <w:t xml:space="preserve"> for </w:t>
      </w:r>
      <w:r>
        <w:rPr>
          <w:rFonts w:ascii="Times New Roman" w:cs="Times New Roman" w:eastAsia="Times New Roman" w:hAnsi="Times New Roman"/>
          <w:sz w:val="17"/>
          <w:szCs w:val="17"/>
          <w:color w:val="38383B"/>
        </w:rPr>
        <w:t>a</w:t>
      </w:r>
      <w:r>
        <w:rPr>
          <w:rFonts w:ascii="Times New Roman" w:cs="Times New Roman" w:eastAsia="Times New Roman" w:hAnsi="Times New Roman"/>
          <w:sz w:val="17"/>
          <w:szCs w:val="17"/>
          <w:color w:val="28282A"/>
        </w:rPr>
        <w:t xml:space="preserve"> period of more than three (3) months but less than six (6) months</w:t>
      </w:r>
      <w:r>
        <w:rPr>
          <w:rFonts w:ascii="Times New Roman" w:cs="Times New Roman" w:eastAsia="Times New Roman" w:hAnsi="Times New Roman"/>
          <w:sz w:val="17"/>
          <w:szCs w:val="17"/>
          <w:color w:val="5D5D5D"/>
        </w:rPr>
        <w:t>,</w:t>
      </w:r>
      <w:r>
        <w:rPr>
          <w:rFonts w:ascii="Times New Roman" w:cs="Times New Roman" w:eastAsia="Times New Roman" w:hAnsi="Times New Roman"/>
          <w:sz w:val="17"/>
          <w:szCs w:val="17"/>
          <w:color w:val="28282A"/>
        </w:rPr>
        <w:t xml:space="preserve"> the Restricted Period shall be for </w:t>
      </w:r>
      <w:r>
        <w:rPr>
          <w:rFonts w:ascii="Times New Roman" w:cs="Times New Roman" w:eastAsia="Times New Roman" w:hAnsi="Times New Roman"/>
          <w:sz w:val="17"/>
          <w:szCs w:val="17"/>
          <w:color w:val="38383B"/>
        </w:rPr>
        <w:t>a</w:t>
      </w:r>
      <w:r>
        <w:rPr>
          <w:rFonts w:ascii="Times New Roman" w:cs="Times New Roman" w:eastAsia="Times New Roman" w:hAnsi="Times New Roman"/>
          <w:sz w:val="17"/>
          <w:szCs w:val="17"/>
          <w:color w:val="28282A"/>
        </w:rPr>
        <w:t xml:space="preserve"> period six (6) months; </w:t>
      </w:r>
      <w:r>
        <w:rPr>
          <w:rFonts w:ascii="Times New Roman" w:cs="Times New Roman" w:eastAsia="Times New Roman" w:hAnsi="Times New Roman"/>
          <w:sz w:val="17"/>
          <w:szCs w:val="17"/>
          <w:color w:val="38383B"/>
        </w:rPr>
        <w:t>(iii)</w:t>
      </w:r>
      <w:r>
        <w:rPr>
          <w:rFonts w:ascii="Times New Roman" w:cs="Times New Roman" w:eastAsia="Times New Roman" w:hAnsi="Times New Roman"/>
          <w:sz w:val="17"/>
          <w:szCs w:val="17"/>
          <w:color w:val="28282A"/>
        </w:rPr>
        <w:t xml:space="preserve"> if </w:t>
      </w:r>
      <w:r>
        <w:rPr>
          <w:rFonts w:ascii="Times New Roman" w:cs="Times New Roman" w:eastAsia="Times New Roman" w:hAnsi="Times New Roman"/>
          <w:sz w:val="17"/>
          <w:szCs w:val="17"/>
          <w:color w:val="38383B"/>
        </w:rPr>
        <w:t>you are</w:t>
      </w:r>
      <w:r>
        <w:rPr>
          <w:rFonts w:ascii="Times New Roman" w:cs="Times New Roman" w:eastAsia="Times New Roman" w:hAnsi="Times New Roman"/>
          <w:sz w:val="17"/>
          <w:szCs w:val="17"/>
          <w:color w:val="28282A"/>
        </w:rPr>
        <w:t xml:space="preserve"> employed by the </w:t>
      </w:r>
      <w:r>
        <w:rPr>
          <w:rFonts w:ascii="Times New Roman" w:cs="Times New Roman" w:eastAsia="Times New Roman" w:hAnsi="Times New Roman"/>
          <w:sz w:val="17"/>
          <w:szCs w:val="17"/>
          <w:color w:val="38383B"/>
        </w:rPr>
        <w:t>Employer</w:t>
      </w:r>
      <w:r>
        <w:rPr>
          <w:rFonts w:ascii="Times New Roman" w:cs="Times New Roman" w:eastAsia="Times New Roman" w:hAnsi="Times New Roman"/>
          <w:sz w:val="17"/>
          <w:szCs w:val="17"/>
          <w:color w:val="28282A"/>
        </w:rPr>
        <w:t xml:space="preserve"> for a period of more than six (6) months but less than twelve (12) months</w:t>
      </w:r>
      <w:r>
        <w:rPr>
          <w:rFonts w:ascii="Times New Roman" w:cs="Times New Roman" w:eastAsia="Times New Roman" w:hAnsi="Times New Roman"/>
          <w:sz w:val="17"/>
          <w:szCs w:val="17"/>
          <w:color w:val="4B4B4B"/>
        </w:rPr>
        <w:t>,</w:t>
      </w:r>
      <w:r>
        <w:rPr>
          <w:rFonts w:ascii="Times New Roman" w:cs="Times New Roman" w:eastAsia="Times New Roman" w:hAnsi="Times New Roman"/>
          <w:sz w:val="17"/>
          <w:szCs w:val="17"/>
          <w:color w:val="28282A"/>
        </w:rPr>
        <w:t xml:space="preserve"> the Restricted Period shall be for a period of twelve (12) months</w:t>
      </w:r>
      <w:r>
        <w:rPr>
          <w:rFonts w:ascii="Times New Roman" w:cs="Times New Roman" w:eastAsia="Times New Roman" w:hAnsi="Times New Roman"/>
          <w:sz w:val="17"/>
          <w:szCs w:val="17"/>
          <w:color w:val="4B4B4B"/>
        </w:rPr>
        <w:t>;</w:t>
      </w:r>
      <w:r>
        <w:rPr>
          <w:rFonts w:ascii="Times New Roman" w:cs="Times New Roman" w:eastAsia="Times New Roman" w:hAnsi="Times New Roman"/>
          <w:sz w:val="17"/>
          <w:szCs w:val="17"/>
          <w:color w:val="28282A"/>
        </w:rPr>
        <w:t xml:space="preserve"> (iv) if you are employed by the Employer for a period of twelve </w:t>
      </w:r>
      <w:r>
        <w:rPr>
          <w:rFonts w:ascii="Times New Roman" w:cs="Times New Roman" w:eastAsia="Times New Roman" w:hAnsi="Times New Roman"/>
          <w:sz w:val="17"/>
          <w:szCs w:val="17"/>
          <w:color w:val="38383B"/>
        </w:rPr>
        <w:t>(12)</w:t>
      </w:r>
      <w:r>
        <w:rPr>
          <w:rFonts w:ascii="Times New Roman" w:cs="Times New Roman" w:eastAsia="Times New Roman" w:hAnsi="Times New Roman"/>
          <w:sz w:val="17"/>
          <w:szCs w:val="17"/>
          <w:color w:val="28282A"/>
        </w:rPr>
        <w:t xml:space="preserve"> months or more, the Restricted Period shall be for </w:t>
      </w:r>
      <w:r>
        <w:rPr>
          <w:rFonts w:ascii="Times New Roman" w:cs="Times New Roman" w:eastAsia="Times New Roman" w:hAnsi="Times New Roman"/>
          <w:sz w:val="17"/>
          <w:szCs w:val="17"/>
          <w:color w:val="38383B"/>
        </w:rPr>
        <w:t>a</w:t>
      </w:r>
      <w:r>
        <w:rPr>
          <w:rFonts w:ascii="Times New Roman" w:cs="Times New Roman" w:eastAsia="Times New Roman" w:hAnsi="Times New Roman"/>
          <w:sz w:val="17"/>
          <w:szCs w:val="17"/>
          <w:color w:val="28282A"/>
        </w:rPr>
        <w:t xml:space="preserve"> period of twenty-four (24) months.</w:t>
      </w:r>
    </w:p>
    <w:p>
      <w:pPr>
        <w:spacing w:after="0" w:line="128" w:lineRule="exact"/>
        <w:rPr>
          <w:sz w:val="20"/>
          <w:szCs w:val="20"/>
          <w:color w:val="auto"/>
        </w:rPr>
      </w:pPr>
    </w:p>
    <w:p>
      <w:pPr>
        <w:jc w:val="both"/>
        <w:ind w:left="40" w:right="60" w:firstLine="719"/>
        <w:spacing w:after="0" w:line="256" w:lineRule="auto"/>
        <w:rPr>
          <w:sz w:val="20"/>
          <w:szCs w:val="20"/>
          <w:color w:val="auto"/>
        </w:rPr>
      </w:pPr>
      <w:r>
        <w:rPr>
          <w:rFonts w:ascii="Times New Roman" w:cs="Times New Roman" w:eastAsia="Times New Roman" w:hAnsi="Times New Roman"/>
          <w:sz w:val="18"/>
          <w:szCs w:val="18"/>
          <w:b w:val="1"/>
          <w:bCs w:val="1"/>
          <w:color w:val="28282A"/>
        </w:rPr>
        <w:t xml:space="preserve">4.3 Notification of Obligations to Subsequent Employers. </w:t>
      </w:r>
      <w:r>
        <w:rPr>
          <w:rFonts w:ascii="Times New Roman" w:cs="Times New Roman" w:eastAsia="Times New Roman" w:hAnsi="Times New Roman"/>
          <w:sz w:val="18"/>
          <w:szCs w:val="18"/>
          <w:color w:val="38383B"/>
        </w:rPr>
        <w:t>For</w:t>
      </w:r>
      <w:r>
        <w:rPr>
          <w:rFonts w:ascii="Times New Roman" w:cs="Times New Roman" w:eastAsia="Times New Roman" w:hAnsi="Times New Roman"/>
          <w:sz w:val="18"/>
          <w:szCs w:val="18"/>
          <w:b w:val="1"/>
          <w:bCs w:val="1"/>
          <w:color w:val="28282A"/>
        </w:rPr>
        <w:t xml:space="preserve"> </w:t>
      </w:r>
      <w:r>
        <w:rPr>
          <w:rFonts w:ascii="Times New Roman" w:cs="Times New Roman" w:eastAsia="Times New Roman" w:hAnsi="Times New Roman"/>
          <w:sz w:val="18"/>
          <w:szCs w:val="18"/>
          <w:color w:val="28282A"/>
        </w:rPr>
        <w:t>one</w:t>
      </w:r>
      <w:r>
        <w:rPr>
          <w:rFonts w:ascii="Times New Roman" w:cs="Times New Roman" w:eastAsia="Times New Roman" w:hAnsi="Times New Roman"/>
          <w:sz w:val="18"/>
          <w:szCs w:val="18"/>
          <w:b w:val="1"/>
          <w:bCs w:val="1"/>
          <w:color w:val="28282A"/>
        </w:rPr>
        <w:t xml:space="preserve"> </w:t>
      </w:r>
      <w:r>
        <w:rPr>
          <w:rFonts w:ascii="Times New Roman" w:cs="Times New Roman" w:eastAsia="Times New Roman" w:hAnsi="Times New Roman"/>
          <w:sz w:val="18"/>
          <w:szCs w:val="18"/>
          <w:color w:val="38383B"/>
        </w:rPr>
        <w:t>year after your</w:t>
      </w:r>
      <w:r>
        <w:rPr>
          <w:rFonts w:ascii="Times New Roman" w:cs="Times New Roman" w:eastAsia="Times New Roman" w:hAnsi="Times New Roman"/>
          <w:sz w:val="18"/>
          <w:szCs w:val="18"/>
          <w:b w:val="1"/>
          <w:bCs w:val="1"/>
          <w:color w:val="28282A"/>
        </w:rPr>
        <w:t xml:space="preserve"> </w:t>
      </w:r>
      <w:r>
        <w:rPr>
          <w:rFonts w:ascii="Times New Roman" w:cs="Times New Roman" w:eastAsia="Times New Roman" w:hAnsi="Times New Roman"/>
          <w:sz w:val="18"/>
          <w:szCs w:val="18"/>
          <w:color w:val="28282A"/>
        </w:rPr>
        <w:t>termination of employment with the</w:t>
      </w:r>
      <w:r>
        <w:rPr>
          <w:rFonts w:ascii="Times New Roman" w:cs="Times New Roman" w:eastAsia="Times New Roman" w:hAnsi="Times New Roman"/>
          <w:sz w:val="18"/>
          <w:szCs w:val="18"/>
          <w:b w:val="1"/>
          <w:bCs w:val="1"/>
          <w:color w:val="28282A"/>
        </w:rPr>
        <w:t xml:space="preserve"> </w:t>
      </w:r>
      <w:r>
        <w:rPr>
          <w:rFonts w:ascii="Times New Roman" w:cs="Times New Roman" w:eastAsia="Times New Roman" w:hAnsi="Times New Roman"/>
          <w:sz w:val="18"/>
          <w:szCs w:val="18"/>
          <w:color w:val="38383B"/>
        </w:rPr>
        <w:t>Employer,</w:t>
      </w:r>
      <w:r>
        <w:rPr>
          <w:rFonts w:ascii="Times New Roman" w:cs="Times New Roman" w:eastAsia="Times New Roman" w:hAnsi="Times New Roman"/>
          <w:sz w:val="18"/>
          <w:szCs w:val="18"/>
          <w:b w:val="1"/>
          <w:bCs w:val="1"/>
          <w:color w:val="28282A"/>
        </w:rPr>
        <w:t xml:space="preserve"> </w:t>
      </w:r>
      <w:r>
        <w:rPr>
          <w:rFonts w:ascii="Times New Roman" w:cs="Times New Roman" w:eastAsia="Times New Roman" w:hAnsi="Times New Roman"/>
          <w:sz w:val="18"/>
          <w:szCs w:val="18"/>
          <w:color w:val="28282A"/>
        </w:rPr>
        <w:t xml:space="preserve">you will provide </w:t>
      </w:r>
      <w:r>
        <w:rPr>
          <w:rFonts w:ascii="Times New Roman" w:cs="Times New Roman" w:eastAsia="Times New Roman" w:hAnsi="Times New Roman"/>
          <w:sz w:val="18"/>
          <w:szCs w:val="18"/>
          <w:color w:val="38383B"/>
        </w:rPr>
        <w:t>a</w:t>
      </w:r>
      <w:r>
        <w:rPr>
          <w:rFonts w:ascii="Times New Roman" w:cs="Times New Roman" w:eastAsia="Times New Roman" w:hAnsi="Times New Roman"/>
          <w:sz w:val="18"/>
          <w:szCs w:val="18"/>
          <w:color w:val="28282A"/>
        </w:rPr>
        <w:t xml:space="preserve"> copy of this Agreement to any person or entity that seeks o</w:t>
      </w:r>
      <w:r>
        <w:rPr>
          <w:rFonts w:ascii="Times New Roman" w:cs="Times New Roman" w:eastAsia="Times New Roman" w:hAnsi="Times New Roman"/>
          <w:sz w:val="18"/>
          <w:szCs w:val="18"/>
          <w:color w:val="232326"/>
        </w:rPr>
        <w:t>r proposes to</w:t>
      </w:r>
      <w:r>
        <w:rPr>
          <w:rFonts w:ascii="Times New Roman" w:cs="Times New Roman" w:eastAsia="Times New Roman" w:hAnsi="Times New Roman"/>
          <w:sz w:val="18"/>
          <w:szCs w:val="18"/>
          <w:color w:val="28282A"/>
        </w:rPr>
        <w:t xml:space="preserve"> </w:t>
      </w:r>
      <w:r>
        <w:rPr>
          <w:rFonts w:ascii="Times New Roman" w:cs="Times New Roman" w:eastAsia="Times New Roman" w:hAnsi="Times New Roman"/>
          <w:sz w:val="18"/>
          <w:szCs w:val="18"/>
          <w:color w:val="343436"/>
        </w:rPr>
        <w:t>enter</w:t>
      </w:r>
      <w:r>
        <w:rPr>
          <w:rFonts w:ascii="Times New Roman" w:cs="Times New Roman" w:eastAsia="Times New Roman" w:hAnsi="Times New Roman"/>
          <w:sz w:val="18"/>
          <w:szCs w:val="18"/>
          <w:color w:val="28282A"/>
        </w:rPr>
        <w:t xml:space="preserve"> </w:t>
      </w:r>
      <w:r>
        <w:rPr>
          <w:rFonts w:ascii="Times New Roman" w:cs="Times New Roman" w:eastAsia="Times New Roman" w:hAnsi="Times New Roman"/>
          <w:sz w:val="18"/>
          <w:szCs w:val="18"/>
          <w:color w:val="232326"/>
        </w:rPr>
        <w:t>into</w:t>
      </w:r>
      <w:r>
        <w:rPr>
          <w:rFonts w:ascii="Times New Roman" w:cs="Times New Roman" w:eastAsia="Times New Roman" w:hAnsi="Times New Roman"/>
          <w:sz w:val="18"/>
          <w:szCs w:val="18"/>
          <w:color w:val="28282A"/>
        </w:rPr>
        <w:t xml:space="preserve"> </w:t>
      </w:r>
      <w:r>
        <w:rPr>
          <w:rFonts w:ascii="Times New Roman" w:cs="Times New Roman" w:eastAsia="Times New Roman" w:hAnsi="Times New Roman"/>
          <w:sz w:val="18"/>
          <w:szCs w:val="18"/>
          <w:color w:val="343436"/>
        </w:rPr>
        <w:t>any</w:t>
      </w:r>
      <w:r>
        <w:rPr>
          <w:rFonts w:ascii="Times New Roman" w:cs="Times New Roman" w:eastAsia="Times New Roman" w:hAnsi="Times New Roman"/>
          <w:sz w:val="18"/>
          <w:szCs w:val="18"/>
          <w:color w:val="28282A"/>
        </w:rPr>
        <w:t xml:space="preserve"> </w:t>
      </w:r>
      <w:r>
        <w:rPr>
          <w:rFonts w:ascii="Times New Roman" w:cs="Times New Roman" w:eastAsia="Times New Roman" w:hAnsi="Times New Roman"/>
          <w:sz w:val="18"/>
          <w:szCs w:val="18"/>
          <w:color w:val="232326"/>
        </w:rPr>
        <w:t>relationship</w:t>
      </w:r>
      <w:r>
        <w:rPr>
          <w:rFonts w:ascii="Times New Roman" w:cs="Times New Roman" w:eastAsia="Times New Roman" w:hAnsi="Times New Roman"/>
          <w:sz w:val="18"/>
          <w:szCs w:val="18"/>
          <w:color w:val="28282A"/>
        </w:rPr>
        <w:t xml:space="preserve"> </w:t>
      </w:r>
      <w:r>
        <w:rPr>
          <w:rFonts w:ascii="Times New Roman" w:cs="Times New Roman" w:eastAsia="Times New Roman" w:hAnsi="Times New Roman"/>
          <w:sz w:val="18"/>
          <w:szCs w:val="18"/>
          <w:color w:val="343436"/>
        </w:rPr>
        <w:t>with you</w:t>
      </w:r>
      <w:r>
        <w:rPr>
          <w:rFonts w:ascii="Times New Roman" w:cs="Times New Roman" w:eastAsia="Times New Roman" w:hAnsi="Times New Roman"/>
          <w:sz w:val="18"/>
          <w:szCs w:val="18"/>
          <w:color w:val="28282A"/>
        </w:rPr>
        <w:t xml:space="preserve"> </w:t>
      </w:r>
      <w:r>
        <w:rPr>
          <w:rFonts w:ascii="Times New Roman" w:cs="Times New Roman" w:eastAsia="Times New Roman" w:hAnsi="Times New Roman"/>
          <w:sz w:val="18"/>
          <w:szCs w:val="18"/>
          <w:color w:val="232326"/>
        </w:rPr>
        <w:t>that might be affected</w:t>
      </w:r>
      <w:r>
        <w:rPr>
          <w:rFonts w:ascii="Times New Roman" w:cs="Times New Roman" w:eastAsia="Times New Roman" w:hAnsi="Times New Roman"/>
          <w:sz w:val="18"/>
          <w:szCs w:val="18"/>
          <w:color w:val="28282A"/>
        </w:rPr>
        <w:t xml:space="preserve"> </w:t>
      </w:r>
      <w:r>
        <w:rPr>
          <w:rFonts w:ascii="Times New Roman" w:cs="Times New Roman" w:eastAsia="Times New Roman" w:hAnsi="Times New Roman"/>
          <w:sz w:val="18"/>
          <w:szCs w:val="18"/>
          <w:color w:val="232326"/>
        </w:rPr>
        <w:t xml:space="preserve">or limited by </w:t>
      </w:r>
      <w:r>
        <w:rPr>
          <w:rFonts w:ascii="Times New Roman" w:cs="Times New Roman" w:eastAsia="Times New Roman" w:hAnsi="Times New Roman"/>
          <w:sz w:val="18"/>
          <w:szCs w:val="18"/>
          <w:color w:val="343436"/>
        </w:rPr>
        <w:t>any</w:t>
      </w:r>
      <w:r>
        <w:rPr>
          <w:rFonts w:ascii="Times New Roman" w:cs="Times New Roman" w:eastAsia="Times New Roman" w:hAnsi="Times New Roman"/>
          <w:sz w:val="18"/>
          <w:szCs w:val="18"/>
          <w:color w:val="232326"/>
        </w:rPr>
        <w:t xml:space="preserve"> of the provisions in those </w:t>
      </w:r>
      <w:r>
        <w:rPr>
          <w:rFonts w:ascii="Times New Roman" w:cs="Times New Roman" w:eastAsia="Times New Roman" w:hAnsi="Times New Roman"/>
          <w:sz w:val="18"/>
          <w:szCs w:val="18"/>
          <w:color w:val="343436"/>
        </w:rPr>
        <w:t>sections</w:t>
      </w:r>
      <w:r>
        <w:rPr>
          <w:rFonts w:ascii="Times New Roman" w:cs="Times New Roman" w:eastAsia="Times New Roman" w:hAnsi="Times New Roman"/>
          <w:sz w:val="18"/>
          <w:szCs w:val="18"/>
          <w:color w:val="4D4B4D"/>
        </w:rPr>
        <w:t>,</w:t>
      </w:r>
      <w:r>
        <w:rPr>
          <w:rFonts w:ascii="Times New Roman" w:cs="Times New Roman" w:eastAsia="Times New Roman" w:hAnsi="Times New Roman"/>
          <w:sz w:val="18"/>
          <w:szCs w:val="18"/>
          <w:color w:val="232326"/>
        </w:rPr>
        <w:t xml:space="preserve"> including but not limited to </w:t>
      </w:r>
      <w:r>
        <w:rPr>
          <w:rFonts w:ascii="Times New Roman" w:cs="Times New Roman" w:eastAsia="Times New Roman" w:hAnsi="Times New Roman"/>
          <w:sz w:val="18"/>
          <w:szCs w:val="18"/>
          <w:color w:val="343436"/>
        </w:rPr>
        <w:t>any</w:t>
      </w:r>
      <w:r>
        <w:rPr>
          <w:rFonts w:ascii="Times New Roman" w:cs="Times New Roman" w:eastAsia="Times New Roman" w:hAnsi="Times New Roman"/>
          <w:sz w:val="18"/>
          <w:szCs w:val="18"/>
          <w:color w:val="232326"/>
        </w:rPr>
        <w:t xml:space="preserve"> relationship in </w:t>
      </w:r>
      <w:r>
        <w:rPr>
          <w:rFonts w:ascii="Times New Roman" w:cs="Times New Roman" w:eastAsia="Times New Roman" w:hAnsi="Times New Roman"/>
          <w:sz w:val="18"/>
          <w:szCs w:val="18"/>
          <w:color w:val="343436"/>
        </w:rPr>
        <w:t>which you would</w:t>
      </w:r>
      <w:r>
        <w:rPr>
          <w:rFonts w:ascii="Times New Roman" w:cs="Times New Roman" w:eastAsia="Times New Roman" w:hAnsi="Times New Roman"/>
          <w:sz w:val="18"/>
          <w:szCs w:val="18"/>
          <w:color w:val="232326"/>
        </w:rPr>
        <w:t xml:space="preserve"> be </w:t>
      </w:r>
      <w:r>
        <w:rPr>
          <w:rFonts w:ascii="Times New Roman" w:cs="Times New Roman" w:eastAsia="Times New Roman" w:hAnsi="Times New Roman"/>
          <w:sz w:val="18"/>
          <w:szCs w:val="18"/>
          <w:color w:val="343436"/>
        </w:rPr>
        <w:t>an employee</w:t>
      </w:r>
      <w:r>
        <w:rPr>
          <w:rFonts w:ascii="Times New Roman" w:cs="Times New Roman" w:eastAsia="Times New Roman" w:hAnsi="Times New Roman"/>
          <w:sz w:val="18"/>
          <w:szCs w:val="18"/>
          <w:color w:val="4D4B4D"/>
        </w:rPr>
        <w:t>,</w:t>
      </w:r>
      <w:r>
        <w:rPr>
          <w:rFonts w:ascii="Times New Roman" w:cs="Times New Roman" w:eastAsia="Times New Roman" w:hAnsi="Times New Roman"/>
          <w:sz w:val="18"/>
          <w:szCs w:val="18"/>
          <w:color w:val="232326"/>
        </w:rPr>
        <w:t xml:space="preserve"> consultant</w:t>
      </w:r>
      <w:r>
        <w:rPr>
          <w:rFonts w:ascii="Times New Roman" w:cs="Times New Roman" w:eastAsia="Times New Roman" w:hAnsi="Times New Roman"/>
          <w:sz w:val="18"/>
          <w:szCs w:val="18"/>
          <w:color w:val="4D4B4D"/>
        </w:rPr>
        <w:t>,</w:t>
      </w:r>
      <w:r>
        <w:rPr>
          <w:rFonts w:ascii="Times New Roman" w:cs="Times New Roman" w:eastAsia="Times New Roman" w:hAnsi="Times New Roman"/>
          <w:sz w:val="18"/>
          <w:szCs w:val="18"/>
          <w:color w:val="232326"/>
        </w:rPr>
        <w:t xml:space="preserve"> independent </w:t>
      </w:r>
      <w:r>
        <w:rPr>
          <w:rFonts w:ascii="Times New Roman" w:cs="Times New Roman" w:eastAsia="Times New Roman" w:hAnsi="Times New Roman"/>
          <w:sz w:val="18"/>
          <w:szCs w:val="18"/>
          <w:color w:val="343436"/>
        </w:rPr>
        <w:t>contractor</w:t>
      </w:r>
      <w:r>
        <w:rPr>
          <w:rFonts w:ascii="Times New Roman" w:cs="Times New Roman" w:eastAsia="Times New Roman" w:hAnsi="Times New Roman"/>
          <w:sz w:val="18"/>
          <w:szCs w:val="18"/>
          <w:color w:val="5D5D5D"/>
        </w:rPr>
        <w:t>,</w:t>
      </w:r>
      <w:r>
        <w:rPr>
          <w:rFonts w:ascii="Times New Roman" w:cs="Times New Roman" w:eastAsia="Times New Roman" w:hAnsi="Times New Roman"/>
          <w:sz w:val="18"/>
          <w:szCs w:val="18"/>
          <w:color w:val="232326"/>
        </w:rPr>
        <w:t xml:space="preserve"> owner</w:t>
      </w:r>
      <w:r>
        <w:rPr>
          <w:rFonts w:ascii="Times New Roman" w:cs="Times New Roman" w:eastAsia="Times New Roman" w:hAnsi="Times New Roman"/>
          <w:sz w:val="18"/>
          <w:szCs w:val="18"/>
          <w:color w:val="4D4B4D"/>
        </w:rPr>
        <w:t>,</w:t>
      </w:r>
      <w:r>
        <w:rPr>
          <w:rFonts w:ascii="Times New Roman" w:cs="Times New Roman" w:eastAsia="Times New Roman" w:hAnsi="Times New Roman"/>
          <w:sz w:val="18"/>
          <w:szCs w:val="18"/>
          <w:color w:val="232326"/>
        </w:rPr>
        <w:t xml:space="preserve"> officer</w:t>
      </w:r>
      <w:r>
        <w:rPr>
          <w:rFonts w:ascii="Times New Roman" w:cs="Times New Roman" w:eastAsia="Times New Roman" w:hAnsi="Times New Roman"/>
          <w:sz w:val="18"/>
          <w:szCs w:val="18"/>
          <w:color w:val="4D4B4D"/>
        </w:rPr>
        <w:t>,</w:t>
      </w:r>
      <w:r>
        <w:rPr>
          <w:rFonts w:ascii="Times New Roman" w:cs="Times New Roman" w:eastAsia="Times New Roman" w:hAnsi="Times New Roman"/>
          <w:sz w:val="18"/>
          <w:szCs w:val="18"/>
          <w:color w:val="232326"/>
        </w:rPr>
        <w:t xml:space="preserve"> partner</w:t>
      </w:r>
      <w:r>
        <w:rPr>
          <w:rFonts w:ascii="Times New Roman" w:cs="Times New Roman" w:eastAsia="Times New Roman" w:hAnsi="Times New Roman"/>
          <w:sz w:val="18"/>
          <w:szCs w:val="18"/>
          <w:color w:val="4D4B4D"/>
        </w:rPr>
        <w:t>,</w:t>
      </w:r>
      <w:r>
        <w:rPr>
          <w:rFonts w:ascii="Times New Roman" w:cs="Times New Roman" w:eastAsia="Times New Roman" w:hAnsi="Times New Roman"/>
          <w:sz w:val="18"/>
          <w:szCs w:val="18"/>
          <w:color w:val="232326"/>
        </w:rPr>
        <w:t xml:space="preserve"> principal, joint venturer</w:t>
      </w:r>
      <w:r>
        <w:rPr>
          <w:rFonts w:ascii="Times New Roman" w:cs="Times New Roman" w:eastAsia="Times New Roman" w:hAnsi="Times New Roman"/>
          <w:sz w:val="18"/>
          <w:szCs w:val="18"/>
          <w:color w:val="4D4B4D"/>
        </w:rPr>
        <w:t>,</w:t>
      </w:r>
      <w:r>
        <w:rPr>
          <w:rFonts w:ascii="Times New Roman" w:cs="Times New Roman" w:eastAsia="Times New Roman" w:hAnsi="Times New Roman"/>
          <w:sz w:val="18"/>
          <w:szCs w:val="18"/>
          <w:color w:val="232326"/>
        </w:rPr>
        <w:t xml:space="preserve"> shareholder, director, member</w:t>
      </w:r>
      <w:r>
        <w:rPr>
          <w:rFonts w:ascii="Times New Roman" w:cs="Times New Roman" w:eastAsia="Times New Roman" w:hAnsi="Times New Roman"/>
          <w:sz w:val="18"/>
          <w:szCs w:val="18"/>
          <w:color w:val="4D4B4D"/>
        </w:rPr>
        <w:t>,</w:t>
      </w:r>
      <w:r>
        <w:rPr>
          <w:rFonts w:ascii="Times New Roman" w:cs="Times New Roman" w:eastAsia="Times New Roman" w:hAnsi="Times New Roman"/>
          <w:sz w:val="18"/>
          <w:szCs w:val="18"/>
          <w:color w:val="232326"/>
        </w:rPr>
        <w:t xml:space="preserve"> manager</w:t>
      </w:r>
      <w:r>
        <w:rPr>
          <w:rFonts w:ascii="Times New Roman" w:cs="Times New Roman" w:eastAsia="Times New Roman" w:hAnsi="Times New Roman"/>
          <w:sz w:val="18"/>
          <w:szCs w:val="18"/>
          <w:color w:val="5D5D5D"/>
        </w:rPr>
        <w:t>,</w:t>
      </w:r>
      <w:r>
        <w:rPr>
          <w:rFonts w:ascii="Times New Roman" w:cs="Times New Roman" w:eastAsia="Times New Roman" w:hAnsi="Times New Roman"/>
          <w:sz w:val="18"/>
          <w:szCs w:val="18"/>
          <w:color w:val="232326"/>
        </w:rPr>
        <w:t xml:space="preserve"> investor</w:t>
      </w:r>
      <w:r>
        <w:rPr>
          <w:rFonts w:ascii="Times New Roman" w:cs="Times New Roman" w:eastAsia="Times New Roman" w:hAnsi="Times New Roman"/>
          <w:sz w:val="18"/>
          <w:szCs w:val="18"/>
          <w:color w:val="5D5D5D"/>
        </w:rPr>
        <w:t>,</w:t>
      </w:r>
      <w:r>
        <w:rPr>
          <w:rFonts w:ascii="Times New Roman" w:cs="Times New Roman" w:eastAsia="Times New Roman" w:hAnsi="Times New Roman"/>
          <w:sz w:val="18"/>
          <w:szCs w:val="18"/>
          <w:color w:val="232326"/>
        </w:rPr>
        <w:t xml:space="preserve"> </w:t>
      </w:r>
      <w:r>
        <w:rPr>
          <w:rFonts w:ascii="Times New Roman" w:cs="Times New Roman" w:eastAsia="Times New Roman" w:hAnsi="Times New Roman"/>
          <w:sz w:val="18"/>
          <w:szCs w:val="18"/>
          <w:color w:val="343436"/>
        </w:rPr>
        <w:t>agent</w:t>
      </w:r>
      <w:r>
        <w:rPr>
          <w:rFonts w:ascii="Times New Roman" w:cs="Times New Roman" w:eastAsia="Times New Roman" w:hAnsi="Times New Roman"/>
          <w:sz w:val="18"/>
          <w:szCs w:val="18"/>
          <w:color w:val="232326"/>
        </w:rPr>
        <w:t xml:space="preserve"> of any </w:t>
      </w:r>
      <w:r>
        <w:rPr>
          <w:rFonts w:ascii="Times New Roman" w:cs="Times New Roman" w:eastAsia="Times New Roman" w:hAnsi="Times New Roman"/>
          <w:sz w:val="18"/>
          <w:szCs w:val="18"/>
          <w:color w:val="343436"/>
        </w:rPr>
        <w:t>such</w:t>
      </w:r>
      <w:r>
        <w:rPr>
          <w:rFonts w:ascii="Times New Roman" w:cs="Times New Roman" w:eastAsia="Times New Roman" w:hAnsi="Times New Roman"/>
          <w:sz w:val="18"/>
          <w:szCs w:val="18"/>
          <w:color w:val="232326"/>
        </w:rPr>
        <w:t xml:space="preserve"> person or </w:t>
      </w:r>
      <w:r>
        <w:rPr>
          <w:rFonts w:ascii="Times New Roman" w:cs="Times New Roman" w:eastAsia="Times New Roman" w:hAnsi="Times New Roman"/>
          <w:sz w:val="18"/>
          <w:szCs w:val="18"/>
          <w:color w:val="343436"/>
        </w:rPr>
        <w:t>entit</w:t>
      </w:r>
      <w:r>
        <w:rPr>
          <w:rFonts w:ascii="Times New Roman" w:cs="Times New Roman" w:eastAsia="Times New Roman" w:hAnsi="Times New Roman"/>
          <w:sz w:val="18"/>
          <w:szCs w:val="18"/>
          <w:color w:val="4D4B4D"/>
        </w:rPr>
        <w:t>y,</w:t>
      </w:r>
      <w:r>
        <w:rPr>
          <w:rFonts w:ascii="Times New Roman" w:cs="Times New Roman" w:eastAsia="Times New Roman" w:hAnsi="Times New Roman"/>
          <w:sz w:val="18"/>
          <w:szCs w:val="18"/>
          <w:color w:val="343436"/>
        </w:rPr>
        <w:t xml:space="preserve"> </w:t>
      </w:r>
      <w:r>
        <w:rPr>
          <w:rFonts w:ascii="Times New Roman" w:cs="Times New Roman" w:eastAsia="Times New Roman" w:hAnsi="Times New Roman"/>
          <w:sz w:val="18"/>
          <w:szCs w:val="18"/>
          <w:color w:val="232326"/>
        </w:rPr>
        <w:t>before</w:t>
      </w:r>
      <w:r>
        <w:rPr>
          <w:rFonts w:ascii="Times New Roman" w:cs="Times New Roman" w:eastAsia="Times New Roman" w:hAnsi="Times New Roman"/>
          <w:sz w:val="18"/>
          <w:szCs w:val="18"/>
          <w:color w:val="343436"/>
        </w:rPr>
        <w:t xml:space="preserve"> you agree, </w:t>
      </w:r>
      <w:r>
        <w:rPr>
          <w:rFonts w:ascii="Times New Roman" w:cs="Times New Roman" w:eastAsia="Times New Roman" w:hAnsi="Times New Roman"/>
          <w:sz w:val="18"/>
          <w:szCs w:val="18"/>
          <w:color w:val="232326"/>
        </w:rPr>
        <w:t>orally or in</w:t>
      </w:r>
      <w:r>
        <w:rPr>
          <w:rFonts w:ascii="Times New Roman" w:cs="Times New Roman" w:eastAsia="Times New Roman" w:hAnsi="Times New Roman"/>
          <w:sz w:val="18"/>
          <w:szCs w:val="18"/>
          <w:color w:val="343436"/>
        </w:rPr>
        <w:t xml:space="preserve"> writing</w:t>
      </w:r>
      <w:r>
        <w:rPr>
          <w:rFonts w:ascii="Times New Roman" w:cs="Times New Roman" w:eastAsia="Times New Roman" w:hAnsi="Times New Roman"/>
          <w:sz w:val="18"/>
          <w:szCs w:val="18"/>
          <w:color w:val="4D4B4D"/>
        </w:rPr>
        <w:t>,</w:t>
      </w:r>
      <w:r>
        <w:rPr>
          <w:rFonts w:ascii="Times New Roman" w:cs="Times New Roman" w:eastAsia="Times New Roman" w:hAnsi="Times New Roman"/>
          <w:sz w:val="18"/>
          <w:szCs w:val="18"/>
          <w:color w:val="343436"/>
        </w:rPr>
        <w:t xml:space="preserve"> </w:t>
      </w:r>
      <w:r>
        <w:rPr>
          <w:rFonts w:ascii="Times New Roman" w:cs="Times New Roman" w:eastAsia="Times New Roman" w:hAnsi="Times New Roman"/>
          <w:sz w:val="18"/>
          <w:szCs w:val="18"/>
          <w:color w:val="232326"/>
        </w:rPr>
        <w:t>to</w:t>
      </w:r>
      <w:r>
        <w:rPr>
          <w:rFonts w:ascii="Times New Roman" w:cs="Times New Roman" w:eastAsia="Times New Roman" w:hAnsi="Times New Roman"/>
          <w:sz w:val="18"/>
          <w:szCs w:val="18"/>
          <w:color w:val="343436"/>
        </w:rPr>
        <w:t xml:space="preserve"> enter </w:t>
      </w:r>
      <w:r>
        <w:rPr>
          <w:rFonts w:ascii="Times New Roman" w:cs="Times New Roman" w:eastAsia="Times New Roman" w:hAnsi="Times New Roman"/>
          <w:sz w:val="18"/>
          <w:szCs w:val="18"/>
          <w:color w:val="232326"/>
        </w:rPr>
        <w:t>into any</w:t>
      </w:r>
      <w:r>
        <w:rPr>
          <w:rFonts w:ascii="Times New Roman" w:cs="Times New Roman" w:eastAsia="Times New Roman" w:hAnsi="Times New Roman"/>
          <w:sz w:val="18"/>
          <w:szCs w:val="18"/>
          <w:color w:val="343436"/>
        </w:rPr>
        <w:t xml:space="preserve"> such relationship. </w:t>
      </w:r>
      <w:r>
        <w:rPr>
          <w:rFonts w:ascii="Times New Roman" w:cs="Times New Roman" w:eastAsia="Times New Roman" w:hAnsi="Times New Roman"/>
          <w:sz w:val="18"/>
          <w:szCs w:val="18"/>
          <w:color w:val="232326"/>
        </w:rPr>
        <w:t>You further</w:t>
      </w:r>
      <w:r>
        <w:rPr>
          <w:rFonts w:ascii="Times New Roman" w:cs="Times New Roman" w:eastAsia="Times New Roman" w:hAnsi="Times New Roman"/>
          <w:sz w:val="18"/>
          <w:szCs w:val="18"/>
          <w:color w:val="343436"/>
        </w:rPr>
        <w:t xml:space="preserve"> agree </w:t>
      </w:r>
      <w:r>
        <w:rPr>
          <w:rFonts w:ascii="Times New Roman" w:cs="Times New Roman" w:eastAsia="Times New Roman" w:hAnsi="Times New Roman"/>
          <w:sz w:val="18"/>
          <w:szCs w:val="18"/>
          <w:color w:val="232326"/>
        </w:rPr>
        <w:t>that if</w:t>
      </w:r>
      <w:r>
        <w:rPr>
          <w:rFonts w:ascii="Times New Roman" w:cs="Times New Roman" w:eastAsia="Times New Roman" w:hAnsi="Times New Roman"/>
          <w:sz w:val="18"/>
          <w:szCs w:val="18"/>
          <w:color w:val="343436"/>
        </w:rPr>
        <w:t xml:space="preserve"> you </w:t>
      </w:r>
      <w:r>
        <w:rPr>
          <w:rFonts w:ascii="Times New Roman" w:cs="Times New Roman" w:eastAsia="Times New Roman" w:hAnsi="Times New Roman"/>
          <w:sz w:val="18"/>
          <w:szCs w:val="18"/>
          <w:color w:val="232326"/>
        </w:rPr>
        <w:t>become</w:t>
      </w:r>
      <w:r>
        <w:rPr>
          <w:rFonts w:ascii="Times New Roman" w:cs="Times New Roman" w:eastAsia="Times New Roman" w:hAnsi="Times New Roman"/>
          <w:sz w:val="18"/>
          <w:szCs w:val="18"/>
          <w:color w:val="343436"/>
        </w:rPr>
        <w:t xml:space="preserve"> employed </w:t>
      </w:r>
      <w:r>
        <w:rPr>
          <w:rFonts w:ascii="Times New Roman" w:cs="Times New Roman" w:eastAsia="Times New Roman" w:hAnsi="Times New Roman"/>
          <w:sz w:val="18"/>
          <w:szCs w:val="18"/>
          <w:color w:val="232326"/>
        </w:rPr>
        <w:t>or otherwise</w:t>
      </w:r>
      <w:r>
        <w:rPr>
          <w:rFonts w:ascii="Times New Roman" w:cs="Times New Roman" w:eastAsia="Times New Roman" w:hAnsi="Times New Roman"/>
          <w:sz w:val="18"/>
          <w:szCs w:val="18"/>
          <w:color w:val="343436"/>
        </w:rPr>
        <w:t xml:space="preserve"> engaged </w:t>
      </w:r>
      <w:r>
        <w:rPr>
          <w:rFonts w:ascii="Times New Roman" w:cs="Times New Roman" w:eastAsia="Times New Roman" w:hAnsi="Times New Roman"/>
          <w:sz w:val="18"/>
          <w:szCs w:val="18"/>
          <w:color w:val="232326"/>
        </w:rPr>
        <w:t xml:space="preserve">by </w:t>
      </w:r>
      <w:r>
        <w:rPr>
          <w:rFonts w:ascii="Times New Roman" w:cs="Times New Roman" w:eastAsia="Times New Roman" w:hAnsi="Times New Roman"/>
          <w:sz w:val="18"/>
          <w:szCs w:val="18"/>
          <w:color w:val="343436"/>
        </w:rPr>
        <w:t>another</w:t>
      </w:r>
      <w:r>
        <w:rPr>
          <w:rFonts w:ascii="Times New Roman" w:cs="Times New Roman" w:eastAsia="Times New Roman" w:hAnsi="Times New Roman"/>
          <w:sz w:val="18"/>
          <w:szCs w:val="18"/>
          <w:color w:val="232326"/>
        </w:rPr>
        <w:t xml:space="preserve"> person or </w:t>
      </w:r>
      <w:r>
        <w:rPr>
          <w:rFonts w:ascii="Times New Roman" w:cs="Times New Roman" w:eastAsia="Times New Roman" w:hAnsi="Times New Roman"/>
          <w:sz w:val="18"/>
          <w:szCs w:val="18"/>
          <w:color w:val="343436"/>
        </w:rPr>
        <w:t>entity</w:t>
      </w:r>
      <w:r>
        <w:rPr>
          <w:rFonts w:ascii="Times New Roman" w:cs="Times New Roman" w:eastAsia="Times New Roman" w:hAnsi="Times New Roman"/>
          <w:sz w:val="18"/>
          <w:szCs w:val="18"/>
          <w:color w:val="232326"/>
        </w:rPr>
        <w:t xml:space="preserve"> during </w:t>
      </w:r>
      <w:r>
        <w:rPr>
          <w:rFonts w:ascii="Times New Roman" w:cs="Times New Roman" w:eastAsia="Times New Roman" w:hAnsi="Times New Roman"/>
          <w:sz w:val="18"/>
          <w:szCs w:val="18"/>
          <w:color w:val="343436"/>
        </w:rPr>
        <w:t>the one year</w:t>
      </w:r>
      <w:r>
        <w:rPr>
          <w:rFonts w:ascii="Times New Roman" w:cs="Times New Roman" w:eastAsia="Times New Roman" w:hAnsi="Times New Roman"/>
          <w:sz w:val="18"/>
          <w:szCs w:val="18"/>
          <w:color w:val="232326"/>
        </w:rPr>
        <w:t xml:space="preserve"> period following </w:t>
      </w:r>
      <w:r>
        <w:rPr>
          <w:rFonts w:ascii="Times New Roman" w:cs="Times New Roman" w:eastAsia="Times New Roman" w:hAnsi="Times New Roman"/>
          <w:sz w:val="18"/>
          <w:szCs w:val="18"/>
          <w:color w:val="343436"/>
        </w:rPr>
        <w:t>your employment with</w:t>
      </w:r>
      <w:r>
        <w:rPr>
          <w:rFonts w:ascii="Times New Roman" w:cs="Times New Roman" w:eastAsia="Times New Roman" w:hAnsi="Times New Roman"/>
          <w:sz w:val="18"/>
          <w:szCs w:val="18"/>
          <w:color w:val="232326"/>
        </w:rPr>
        <w:t xml:space="preserve"> the </w:t>
      </w:r>
      <w:r>
        <w:rPr>
          <w:rFonts w:ascii="Times New Roman" w:cs="Times New Roman" w:eastAsia="Times New Roman" w:hAnsi="Times New Roman"/>
          <w:sz w:val="18"/>
          <w:szCs w:val="18"/>
          <w:color w:val="343436"/>
        </w:rPr>
        <w:t>Employer</w:t>
      </w:r>
      <w:r>
        <w:rPr>
          <w:rFonts w:ascii="Times New Roman" w:cs="Times New Roman" w:eastAsia="Times New Roman" w:hAnsi="Times New Roman"/>
          <w:sz w:val="18"/>
          <w:szCs w:val="18"/>
          <w:color w:val="5D5D5D"/>
        </w:rPr>
        <w:t>,</w:t>
      </w:r>
      <w:r>
        <w:rPr>
          <w:rFonts w:ascii="Times New Roman" w:cs="Times New Roman" w:eastAsia="Times New Roman" w:hAnsi="Times New Roman"/>
          <w:sz w:val="18"/>
          <w:szCs w:val="18"/>
          <w:color w:val="232326"/>
        </w:rPr>
        <w:t xml:space="preserve"> </w:t>
      </w:r>
      <w:r>
        <w:rPr>
          <w:rFonts w:ascii="Times New Roman" w:cs="Times New Roman" w:eastAsia="Times New Roman" w:hAnsi="Times New Roman"/>
          <w:sz w:val="18"/>
          <w:szCs w:val="18"/>
          <w:color w:val="343436"/>
        </w:rPr>
        <w:t>you agree</w:t>
      </w:r>
      <w:r>
        <w:rPr>
          <w:rFonts w:ascii="Times New Roman" w:cs="Times New Roman" w:eastAsia="Times New Roman" w:hAnsi="Times New Roman"/>
          <w:sz w:val="18"/>
          <w:szCs w:val="18"/>
          <w:color w:val="232326"/>
        </w:rPr>
        <w:t xml:space="preserve"> that </w:t>
      </w:r>
      <w:r>
        <w:rPr>
          <w:rFonts w:ascii="Times New Roman" w:cs="Times New Roman" w:eastAsia="Times New Roman" w:hAnsi="Times New Roman"/>
          <w:sz w:val="18"/>
          <w:szCs w:val="18"/>
          <w:color w:val="343436"/>
        </w:rPr>
        <w:t>the Employer</w:t>
      </w:r>
      <w:r>
        <w:rPr>
          <w:rFonts w:ascii="Times New Roman" w:cs="Times New Roman" w:eastAsia="Times New Roman" w:hAnsi="Times New Roman"/>
          <w:sz w:val="18"/>
          <w:szCs w:val="18"/>
          <w:color w:val="232326"/>
        </w:rPr>
        <w:t xml:space="preserve"> may disclose the existence of this Agreement to </w:t>
      </w:r>
      <w:r>
        <w:rPr>
          <w:rFonts w:ascii="Times New Roman" w:cs="Times New Roman" w:eastAsia="Times New Roman" w:hAnsi="Times New Roman"/>
          <w:sz w:val="18"/>
          <w:szCs w:val="18"/>
          <w:color w:val="343436"/>
        </w:rPr>
        <w:t>such</w:t>
      </w:r>
      <w:r>
        <w:rPr>
          <w:rFonts w:ascii="Times New Roman" w:cs="Times New Roman" w:eastAsia="Times New Roman" w:hAnsi="Times New Roman"/>
          <w:sz w:val="18"/>
          <w:szCs w:val="18"/>
          <w:color w:val="232326"/>
        </w:rPr>
        <w:t xml:space="preserve"> person or entity.</w:t>
      </w:r>
    </w:p>
    <w:p>
      <w:pPr>
        <w:spacing w:after="0" w:line="142" w:lineRule="exact"/>
        <w:rPr>
          <w:sz w:val="20"/>
          <w:szCs w:val="20"/>
          <w:color w:val="auto"/>
        </w:rPr>
      </w:pPr>
    </w:p>
    <w:p>
      <w:pPr>
        <w:jc w:val="both"/>
        <w:ind w:left="120" w:firstLine="719"/>
        <w:spacing w:after="0" w:line="256" w:lineRule="auto"/>
        <w:rPr>
          <w:sz w:val="20"/>
          <w:szCs w:val="20"/>
          <w:color w:val="auto"/>
        </w:rPr>
      </w:pPr>
      <w:r>
        <w:rPr>
          <w:rFonts w:ascii="Times New Roman" w:cs="Times New Roman" w:eastAsia="Times New Roman" w:hAnsi="Times New Roman"/>
          <w:sz w:val="18"/>
          <w:szCs w:val="18"/>
          <w:b w:val="1"/>
          <w:bCs w:val="1"/>
          <w:color w:val="232326"/>
        </w:rPr>
        <w:t xml:space="preserve">4.4 Definitions Specific to </w:t>
      </w:r>
      <w:r>
        <w:rPr>
          <w:rFonts w:ascii="Times New Roman" w:cs="Times New Roman" w:eastAsia="Times New Roman" w:hAnsi="Times New Roman"/>
          <w:sz w:val="18"/>
          <w:szCs w:val="18"/>
          <w:b w:val="1"/>
          <w:bCs w:val="1"/>
          <w:color w:val="343436"/>
        </w:rPr>
        <w:t>Section</w:t>
      </w:r>
      <w:r>
        <w:rPr>
          <w:rFonts w:ascii="Times New Roman" w:cs="Times New Roman" w:eastAsia="Times New Roman" w:hAnsi="Times New Roman"/>
          <w:sz w:val="18"/>
          <w:szCs w:val="18"/>
          <w:b w:val="1"/>
          <w:bCs w:val="1"/>
          <w:color w:val="232326"/>
        </w:rPr>
        <w:t xml:space="preserve"> 4. </w:t>
      </w:r>
      <w:r>
        <w:rPr>
          <w:rFonts w:ascii="Times New Roman" w:cs="Times New Roman" w:eastAsia="Times New Roman" w:hAnsi="Times New Roman"/>
          <w:sz w:val="18"/>
          <w:szCs w:val="18"/>
          <w:color w:val="343436"/>
        </w:rPr>
        <w:t>For</w:t>
      </w:r>
      <w:r>
        <w:rPr>
          <w:rFonts w:ascii="Times New Roman" w:cs="Times New Roman" w:eastAsia="Times New Roman" w:hAnsi="Times New Roman"/>
          <w:sz w:val="18"/>
          <w:szCs w:val="18"/>
          <w:b w:val="1"/>
          <w:bCs w:val="1"/>
          <w:color w:val="232326"/>
        </w:rPr>
        <w:t xml:space="preserve"> </w:t>
      </w:r>
      <w:r>
        <w:rPr>
          <w:rFonts w:ascii="Times New Roman" w:cs="Times New Roman" w:eastAsia="Times New Roman" w:hAnsi="Times New Roman"/>
          <w:sz w:val="18"/>
          <w:szCs w:val="18"/>
          <w:color w:val="232326"/>
        </w:rPr>
        <w:t>purposes of this Agreement:</w:t>
      </w:r>
      <w:r>
        <w:rPr>
          <w:rFonts w:ascii="Times New Roman" w:cs="Times New Roman" w:eastAsia="Times New Roman" w:hAnsi="Times New Roman"/>
          <w:sz w:val="18"/>
          <w:szCs w:val="18"/>
          <w:b w:val="1"/>
          <w:bCs w:val="1"/>
          <w:color w:val="232326"/>
        </w:rPr>
        <w:t xml:space="preserve"> </w:t>
      </w:r>
      <w:r>
        <w:rPr>
          <w:rFonts w:ascii="Times New Roman" w:cs="Times New Roman" w:eastAsia="Times New Roman" w:hAnsi="Times New Roman"/>
          <w:sz w:val="18"/>
          <w:szCs w:val="18"/>
          <w:color w:val="343436"/>
        </w:rPr>
        <w:t>(i)</w:t>
      </w:r>
      <w:r>
        <w:rPr>
          <w:rFonts w:ascii="Times New Roman" w:cs="Times New Roman" w:eastAsia="Times New Roman" w:hAnsi="Times New Roman"/>
          <w:sz w:val="18"/>
          <w:szCs w:val="18"/>
          <w:b w:val="1"/>
          <w:bCs w:val="1"/>
          <w:color w:val="232326"/>
        </w:rPr>
        <w:t xml:space="preserve"> </w:t>
      </w:r>
      <w:r>
        <w:rPr>
          <w:rFonts w:ascii="Times New Roman" w:cs="Times New Roman" w:eastAsia="Times New Roman" w:hAnsi="Times New Roman"/>
          <w:sz w:val="18"/>
          <w:szCs w:val="18"/>
          <w:b w:val="1"/>
          <w:bCs w:val="1"/>
          <w:color w:val="4D4B4D"/>
        </w:rPr>
        <w:t>"</w:t>
      </w:r>
      <w:r>
        <w:rPr>
          <w:rFonts w:ascii="Times New Roman" w:cs="Times New Roman" w:eastAsia="Times New Roman" w:hAnsi="Times New Roman"/>
          <w:sz w:val="18"/>
          <w:szCs w:val="18"/>
          <w:b w:val="1"/>
          <w:bCs w:val="1"/>
          <w:color w:val="232326"/>
        </w:rPr>
        <w:t>customer</w:t>
      </w:r>
      <w:r>
        <w:rPr>
          <w:rFonts w:ascii="Times New Roman" w:cs="Times New Roman" w:eastAsia="Times New Roman" w:hAnsi="Times New Roman"/>
          <w:sz w:val="18"/>
          <w:szCs w:val="18"/>
          <w:b w:val="1"/>
          <w:bCs w:val="1"/>
          <w:color w:val="4D4B4D"/>
        </w:rPr>
        <w:t>"</w:t>
      </w:r>
      <w:r>
        <w:rPr>
          <w:rFonts w:ascii="Times New Roman" w:cs="Times New Roman" w:eastAsia="Times New Roman" w:hAnsi="Times New Roman"/>
          <w:sz w:val="18"/>
          <w:szCs w:val="18"/>
          <w:b w:val="1"/>
          <w:bCs w:val="1"/>
          <w:color w:val="232326"/>
        </w:rPr>
        <w:t xml:space="preserve"> </w:t>
      </w:r>
      <w:r>
        <w:rPr>
          <w:rFonts w:ascii="Times New Roman" w:cs="Times New Roman" w:eastAsia="Times New Roman" w:hAnsi="Times New Roman"/>
          <w:sz w:val="18"/>
          <w:szCs w:val="18"/>
          <w:color w:val="232326"/>
        </w:rPr>
        <w:t>means any per</w:t>
      </w:r>
      <w:r>
        <w:rPr>
          <w:rFonts w:ascii="Times New Roman" w:cs="Times New Roman" w:eastAsia="Times New Roman" w:hAnsi="Times New Roman"/>
          <w:sz w:val="18"/>
          <w:szCs w:val="18"/>
          <w:color w:val="4D4B4D"/>
        </w:rPr>
        <w:t>s</w:t>
      </w:r>
      <w:r>
        <w:rPr>
          <w:rFonts w:ascii="Times New Roman" w:cs="Times New Roman" w:eastAsia="Times New Roman" w:hAnsi="Times New Roman"/>
          <w:sz w:val="18"/>
          <w:szCs w:val="18"/>
          <w:color w:val="232326"/>
        </w:rPr>
        <w:t>on or</w:t>
      </w:r>
      <w:r>
        <w:rPr>
          <w:rFonts w:ascii="Times New Roman" w:cs="Times New Roman" w:eastAsia="Times New Roman" w:hAnsi="Times New Roman"/>
          <w:sz w:val="18"/>
          <w:szCs w:val="18"/>
          <w:b w:val="1"/>
          <w:bCs w:val="1"/>
          <w:color w:val="232326"/>
        </w:rPr>
        <w:t xml:space="preserve"> </w:t>
      </w:r>
      <w:r>
        <w:rPr>
          <w:rFonts w:ascii="Times New Roman" w:cs="Times New Roman" w:eastAsia="Times New Roman" w:hAnsi="Times New Roman"/>
          <w:sz w:val="18"/>
          <w:szCs w:val="18"/>
          <w:color w:val="343436"/>
        </w:rPr>
        <w:t>entity with</w:t>
      </w:r>
      <w:r>
        <w:rPr>
          <w:rFonts w:ascii="Times New Roman" w:cs="Times New Roman" w:eastAsia="Times New Roman" w:hAnsi="Times New Roman"/>
          <w:sz w:val="18"/>
          <w:szCs w:val="18"/>
          <w:b w:val="1"/>
          <w:bCs w:val="1"/>
          <w:color w:val="232326"/>
        </w:rPr>
        <w:t xml:space="preserve"> </w:t>
      </w:r>
      <w:r>
        <w:rPr>
          <w:rFonts w:ascii="Times New Roman" w:cs="Times New Roman" w:eastAsia="Times New Roman" w:hAnsi="Times New Roman"/>
          <w:sz w:val="18"/>
          <w:szCs w:val="18"/>
          <w:color w:val="232326"/>
        </w:rPr>
        <w:t>which</w:t>
      </w:r>
      <w:r>
        <w:rPr>
          <w:rFonts w:ascii="Times New Roman" w:cs="Times New Roman" w:eastAsia="Times New Roman" w:hAnsi="Times New Roman"/>
          <w:sz w:val="18"/>
          <w:szCs w:val="18"/>
          <w:b w:val="1"/>
          <w:bCs w:val="1"/>
          <w:color w:val="232326"/>
        </w:rPr>
        <w:t xml:space="preserve"> </w:t>
      </w:r>
      <w:r>
        <w:rPr>
          <w:rFonts w:ascii="Times New Roman" w:cs="Times New Roman" w:eastAsia="Times New Roman" w:hAnsi="Times New Roman"/>
          <w:sz w:val="18"/>
          <w:szCs w:val="18"/>
          <w:color w:val="343436"/>
        </w:rPr>
        <w:t>you</w:t>
      </w:r>
      <w:r>
        <w:rPr>
          <w:rFonts w:ascii="Times New Roman" w:cs="Times New Roman" w:eastAsia="Times New Roman" w:hAnsi="Times New Roman"/>
          <w:sz w:val="18"/>
          <w:szCs w:val="18"/>
          <w:b w:val="1"/>
          <w:bCs w:val="1"/>
          <w:color w:val="232326"/>
        </w:rPr>
        <w:t xml:space="preserve"> </w:t>
      </w:r>
      <w:r>
        <w:rPr>
          <w:rFonts w:ascii="Times New Roman" w:cs="Times New Roman" w:eastAsia="Times New Roman" w:hAnsi="Times New Roman"/>
          <w:sz w:val="18"/>
          <w:szCs w:val="18"/>
          <w:color w:val="343436"/>
        </w:rPr>
        <w:t xml:space="preserve">dealt </w:t>
      </w:r>
      <w:r>
        <w:rPr>
          <w:rFonts w:ascii="Times New Roman" w:cs="Times New Roman" w:eastAsia="Times New Roman" w:hAnsi="Times New Roman"/>
          <w:sz w:val="18"/>
          <w:szCs w:val="18"/>
          <w:color w:val="232326"/>
        </w:rPr>
        <w:t>on</w:t>
      </w:r>
      <w:r>
        <w:rPr>
          <w:rFonts w:ascii="Times New Roman" w:cs="Times New Roman" w:eastAsia="Times New Roman" w:hAnsi="Times New Roman"/>
          <w:sz w:val="18"/>
          <w:szCs w:val="18"/>
          <w:color w:val="343436"/>
        </w:rPr>
        <w:t xml:space="preserve"> the </w:t>
      </w:r>
      <w:r>
        <w:rPr>
          <w:rFonts w:ascii="Times New Roman" w:cs="Times New Roman" w:eastAsia="Times New Roman" w:hAnsi="Times New Roman"/>
          <w:sz w:val="18"/>
          <w:szCs w:val="18"/>
          <w:color w:val="232326"/>
        </w:rPr>
        <w:t>Company</w:t>
      </w:r>
      <w:r>
        <w:rPr>
          <w:rFonts w:ascii="Times New Roman" w:cs="Times New Roman" w:eastAsia="Times New Roman" w:hAnsi="Times New Roman"/>
          <w:sz w:val="18"/>
          <w:szCs w:val="18"/>
          <w:color w:val="4D4B4D"/>
        </w:rPr>
        <w:t>'</w:t>
      </w:r>
      <w:r>
        <w:rPr>
          <w:rFonts w:ascii="Times New Roman" w:cs="Times New Roman" w:eastAsia="Times New Roman" w:hAnsi="Times New Roman"/>
          <w:sz w:val="18"/>
          <w:szCs w:val="18"/>
          <w:color w:val="343436"/>
        </w:rPr>
        <w:t xml:space="preserve">s </w:t>
      </w:r>
      <w:r>
        <w:rPr>
          <w:rFonts w:ascii="Times New Roman" w:cs="Times New Roman" w:eastAsia="Times New Roman" w:hAnsi="Times New Roman"/>
          <w:sz w:val="18"/>
          <w:szCs w:val="18"/>
          <w:color w:val="232326"/>
        </w:rPr>
        <w:t>behalf</w:t>
      </w:r>
      <w:r>
        <w:rPr>
          <w:rFonts w:ascii="Times New Roman" w:cs="Times New Roman" w:eastAsia="Times New Roman" w:hAnsi="Times New Roman"/>
          <w:sz w:val="18"/>
          <w:szCs w:val="18"/>
          <w:color w:val="4D4B4D"/>
        </w:rPr>
        <w:t>,</w:t>
      </w:r>
      <w:r>
        <w:rPr>
          <w:rFonts w:ascii="Times New Roman" w:cs="Times New Roman" w:eastAsia="Times New Roman" w:hAnsi="Times New Roman"/>
          <w:sz w:val="18"/>
          <w:szCs w:val="18"/>
          <w:color w:val="343436"/>
        </w:rPr>
        <w:t xml:space="preserve"> </w:t>
      </w:r>
      <w:r>
        <w:rPr>
          <w:rFonts w:ascii="Times New Roman" w:cs="Times New Roman" w:eastAsia="Times New Roman" w:hAnsi="Times New Roman"/>
          <w:sz w:val="18"/>
          <w:szCs w:val="18"/>
          <w:color w:val="232326"/>
        </w:rPr>
        <w:t>directly or indirectly</w:t>
      </w:r>
      <w:r>
        <w:rPr>
          <w:rFonts w:ascii="Times New Roman" w:cs="Times New Roman" w:eastAsia="Times New Roman" w:hAnsi="Times New Roman"/>
          <w:sz w:val="18"/>
          <w:szCs w:val="18"/>
          <w:color w:val="4D4B4D"/>
        </w:rPr>
        <w:t>,</w:t>
      </w:r>
      <w:r>
        <w:rPr>
          <w:rFonts w:ascii="Times New Roman" w:cs="Times New Roman" w:eastAsia="Times New Roman" w:hAnsi="Times New Roman"/>
          <w:sz w:val="18"/>
          <w:szCs w:val="18"/>
          <w:color w:val="343436"/>
        </w:rPr>
        <w:t xml:space="preserve"> </w:t>
      </w:r>
      <w:r>
        <w:rPr>
          <w:rFonts w:ascii="Times New Roman" w:cs="Times New Roman" w:eastAsia="Times New Roman" w:hAnsi="Times New Roman"/>
          <w:sz w:val="18"/>
          <w:szCs w:val="18"/>
          <w:color w:val="232326"/>
        </w:rPr>
        <w:t>or for</w:t>
      </w:r>
      <w:r>
        <w:rPr>
          <w:rFonts w:ascii="Times New Roman" w:cs="Times New Roman" w:eastAsia="Times New Roman" w:hAnsi="Times New Roman"/>
          <w:sz w:val="18"/>
          <w:szCs w:val="18"/>
          <w:color w:val="343436"/>
        </w:rPr>
        <w:t xml:space="preserve"> which you </w:t>
      </w:r>
      <w:r>
        <w:rPr>
          <w:rFonts w:ascii="Times New Roman" w:cs="Times New Roman" w:eastAsia="Times New Roman" w:hAnsi="Times New Roman"/>
          <w:sz w:val="18"/>
          <w:szCs w:val="18"/>
          <w:color w:val="232326"/>
        </w:rPr>
        <w:t>had</w:t>
      </w:r>
      <w:r>
        <w:rPr>
          <w:rFonts w:ascii="Times New Roman" w:cs="Times New Roman" w:eastAsia="Times New Roman" w:hAnsi="Times New Roman"/>
          <w:sz w:val="18"/>
          <w:szCs w:val="18"/>
          <w:color w:val="343436"/>
        </w:rPr>
        <w:t xml:space="preserve"> access </w:t>
      </w:r>
      <w:r>
        <w:rPr>
          <w:rFonts w:ascii="Times New Roman" w:cs="Times New Roman" w:eastAsia="Times New Roman" w:hAnsi="Times New Roman"/>
          <w:sz w:val="18"/>
          <w:szCs w:val="18"/>
          <w:color w:val="232326"/>
        </w:rPr>
        <w:t>to</w:t>
      </w:r>
      <w:r>
        <w:rPr>
          <w:rFonts w:ascii="Times New Roman" w:cs="Times New Roman" w:eastAsia="Times New Roman" w:hAnsi="Times New Roman"/>
          <w:sz w:val="18"/>
          <w:szCs w:val="18"/>
          <w:color w:val="343436"/>
        </w:rPr>
        <w:t xml:space="preserve"> Confidential </w:t>
      </w:r>
      <w:r>
        <w:rPr>
          <w:rFonts w:ascii="Times New Roman" w:cs="Times New Roman" w:eastAsia="Times New Roman" w:hAnsi="Times New Roman"/>
          <w:sz w:val="18"/>
          <w:szCs w:val="18"/>
          <w:color w:val="232326"/>
        </w:rPr>
        <w:t>Information</w:t>
      </w:r>
      <w:r>
        <w:rPr>
          <w:rFonts w:ascii="Times New Roman" w:cs="Times New Roman" w:eastAsia="Times New Roman" w:hAnsi="Times New Roman"/>
          <w:sz w:val="18"/>
          <w:szCs w:val="18"/>
          <w:color w:val="4D4B4D"/>
        </w:rPr>
        <w:t>,</w:t>
      </w:r>
      <w:r>
        <w:rPr>
          <w:rFonts w:ascii="Times New Roman" w:cs="Times New Roman" w:eastAsia="Times New Roman" w:hAnsi="Times New Roman"/>
          <w:sz w:val="18"/>
          <w:szCs w:val="18"/>
          <w:color w:val="343436"/>
        </w:rPr>
        <w:t xml:space="preserve"> </w:t>
      </w:r>
      <w:r>
        <w:rPr>
          <w:rFonts w:ascii="Times New Roman" w:cs="Times New Roman" w:eastAsia="Times New Roman" w:hAnsi="Times New Roman"/>
          <w:sz w:val="18"/>
          <w:szCs w:val="18"/>
          <w:color w:val="232326"/>
        </w:rPr>
        <w:t>that purchased</w:t>
      </w:r>
      <w:r>
        <w:rPr>
          <w:rFonts w:ascii="Times New Roman" w:cs="Times New Roman" w:eastAsia="Times New Roman" w:hAnsi="Times New Roman"/>
          <w:sz w:val="18"/>
          <w:szCs w:val="18"/>
          <w:color w:val="343436"/>
        </w:rPr>
        <w:t xml:space="preserve"> or </w:t>
      </w:r>
      <w:r>
        <w:rPr>
          <w:rFonts w:ascii="Times New Roman" w:cs="Times New Roman" w:eastAsia="Times New Roman" w:hAnsi="Times New Roman"/>
          <w:sz w:val="18"/>
          <w:szCs w:val="18"/>
          <w:color w:val="232326"/>
        </w:rPr>
        <w:t>otherwise</w:t>
      </w:r>
      <w:r>
        <w:rPr>
          <w:rFonts w:ascii="Times New Roman" w:cs="Times New Roman" w:eastAsia="Times New Roman" w:hAnsi="Times New Roman"/>
          <w:sz w:val="18"/>
          <w:szCs w:val="18"/>
          <w:color w:val="343436"/>
        </w:rPr>
        <w:t xml:space="preserve"> acquired any </w:t>
      </w:r>
      <w:r>
        <w:rPr>
          <w:rFonts w:ascii="Times New Roman" w:cs="Times New Roman" w:eastAsia="Times New Roman" w:hAnsi="Times New Roman"/>
          <w:sz w:val="18"/>
          <w:szCs w:val="18"/>
          <w:color w:val="232326"/>
        </w:rPr>
        <w:t>type of product</w:t>
      </w:r>
      <w:r>
        <w:rPr>
          <w:rFonts w:ascii="Times New Roman" w:cs="Times New Roman" w:eastAsia="Times New Roman" w:hAnsi="Times New Roman"/>
          <w:sz w:val="18"/>
          <w:szCs w:val="18"/>
          <w:color w:val="343436"/>
        </w:rPr>
        <w:t xml:space="preserve"> and/or </w:t>
      </w:r>
      <w:r>
        <w:rPr>
          <w:rFonts w:ascii="Times New Roman" w:cs="Times New Roman" w:eastAsia="Times New Roman" w:hAnsi="Times New Roman"/>
          <w:sz w:val="18"/>
          <w:szCs w:val="18"/>
          <w:color w:val="232326"/>
        </w:rPr>
        <w:t>service from the Company or is or</w:t>
      </w:r>
      <w:r>
        <w:rPr>
          <w:rFonts w:ascii="Times New Roman" w:cs="Times New Roman" w:eastAsia="Times New Roman" w:hAnsi="Times New Roman"/>
          <w:sz w:val="18"/>
          <w:szCs w:val="18"/>
          <w:color w:val="343436"/>
        </w:rPr>
        <w:t xml:space="preserve"> was </w:t>
      </w:r>
      <w:r>
        <w:rPr>
          <w:rFonts w:ascii="Times New Roman" w:cs="Times New Roman" w:eastAsia="Times New Roman" w:hAnsi="Times New Roman"/>
          <w:sz w:val="18"/>
          <w:szCs w:val="18"/>
          <w:color w:val="232326"/>
        </w:rPr>
        <w:t>doing business</w:t>
      </w:r>
      <w:r>
        <w:rPr>
          <w:rFonts w:ascii="Times New Roman" w:cs="Times New Roman" w:eastAsia="Times New Roman" w:hAnsi="Times New Roman"/>
          <w:sz w:val="18"/>
          <w:szCs w:val="18"/>
          <w:color w:val="343436"/>
        </w:rPr>
        <w:t xml:space="preserve"> with </w:t>
      </w:r>
      <w:r>
        <w:rPr>
          <w:rFonts w:ascii="Times New Roman" w:cs="Times New Roman" w:eastAsia="Times New Roman" w:hAnsi="Times New Roman"/>
          <w:sz w:val="18"/>
          <w:szCs w:val="18"/>
          <w:color w:val="232326"/>
        </w:rPr>
        <w:t>the Company</w:t>
      </w:r>
      <w:r>
        <w:rPr>
          <w:rFonts w:ascii="Times New Roman" w:cs="Times New Roman" w:eastAsia="Times New Roman" w:hAnsi="Times New Roman"/>
          <w:sz w:val="18"/>
          <w:szCs w:val="18"/>
          <w:color w:val="343436"/>
        </w:rPr>
        <w:t xml:space="preserve"> or you </w:t>
      </w:r>
      <w:r>
        <w:rPr>
          <w:rFonts w:ascii="Times New Roman" w:cs="Times New Roman" w:eastAsia="Times New Roman" w:hAnsi="Times New Roman"/>
          <w:sz w:val="18"/>
          <w:szCs w:val="18"/>
          <w:color w:val="232326"/>
        </w:rPr>
        <w:t>within the twelve month period</w:t>
      </w:r>
      <w:r>
        <w:rPr>
          <w:rFonts w:ascii="Times New Roman" w:cs="Times New Roman" w:eastAsia="Times New Roman" w:hAnsi="Times New Roman"/>
          <w:sz w:val="18"/>
          <w:szCs w:val="18"/>
          <w:color w:val="343436"/>
        </w:rPr>
        <w:t xml:space="preserve"> </w:t>
      </w:r>
      <w:r>
        <w:rPr>
          <w:rFonts w:ascii="Times New Roman" w:cs="Times New Roman" w:eastAsia="Times New Roman" w:hAnsi="Times New Roman"/>
          <w:sz w:val="18"/>
          <w:szCs w:val="18"/>
          <w:color w:val="232326"/>
        </w:rPr>
        <w:t xml:space="preserve">immediately preceding the termination of </w:t>
      </w:r>
      <w:r>
        <w:rPr>
          <w:rFonts w:ascii="Times New Roman" w:cs="Times New Roman" w:eastAsia="Times New Roman" w:hAnsi="Times New Roman"/>
          <w:sz w:val="18"/>
          <w:szCs w:val="18"/>
          <w:color w:val="343436"/>
        </w:rPr>
        <w:t>your</w:t>
      </w:r>
      <w:r>
        <w:rPr>
          <w:rFonts w:ascii="Times New Roman" w:cs="Times New Roman" w:eastAsia="Times New Roman" w:hAnsi="Times New Roman"/>
          <w:sz w:val="18"/>
          <w:szCs w:val="18"/>
          <w:color w:val="232326"/>
        </w:rPr>
        <w:t xml:space="preserve"> employment; </w:t>
      </w:r>
      <w:r>
        <w:rPr>
          <w:rFonts w:ascii="Times New Roman" w:cs="Times New Roman" w:eastAsia="Times New Roman" w:hAnsi="Times New Roman"/>
          <w:sz w:val="18"/>
          <w:szCs w:val="18"/>
          <w:color w:val="343436"/>
        </w:rPr>
        <w:t>(ii)</w:t>
      </w:r>
      <w:r>
        <w:rPr>
          <w:rFonts w:ascii="Times New Roman" w:cs="Times New Roman" w:eastAsia="Times New Roman" w:hAnsi="Times New Roman"/>
          <w:sz w:val="18"/>
          <w:szCs w:val="18"/>
          <w:color w:val="232326"/>
        </w:rPr>
        <w:t xml:space="preserve"> </w:t>
      </w:r>
      <w:r>
        <w:rPr>
          <w:rFonts w:ascii="Times New Roman" w:cs="Times New Roman" w:eastAsia="Times New Roman" w:hAnsi="Times New Roman"/>
          <w:sz w:val="18"/>
          <w:szCs w:val="18"/>
          <w:b w:val="1"/>
          <w:bCs w:val="1"/>
          <w:color w:val="4D4B4D"/>
        </w:rPr>
        <w:t>"</w:t>
      </w:r>
      <w:r>
        <w:rPr>
          <w:rFonts w:ascii="Times New Roman" w:cs="Times New Roman" w:eastAsia="Times New Roman" w:hAnsi="Times New Roman"/>
          <w:sz w:val="18"/>
          <w:szCs w:val="18"/>
          <w:b w:val="1"/>
          <w:bCs w:val="1"/>
          <w:color w:val="232326"/>
        </w:rPr>
        <w:t>prospective customer"</w:t>
      </w:r>
      <w:r>
        <w:rPr>
          <w:rFonts w:ascii="Times New Roman" w:cs="Times New Roman" w:eastAsia="Times New Roman" w:hAnsi="Times New Roman"/>
          <w:sz w:val="18"/>
          <w:szCs w:val="18"/>
          <w:color w:val="232326"/>
        </w:rPr>
        <w:t xml:space="preserve"> means </w:t>
      </w:r>
      <w:r>
        <w:rPr>
          <w:rFonts w:ascii="Times New Roman" w:cs="Times New Roman" w:eastAsia="Times New Roman" w:hAnsi="Times New Roman"/>
          <w:sz w:val="18"/>
          <w:szCs w:val="18"/>
          <w:color w:val="343436"/>
        </w:rPr>
        <w:t>any</w:t>
      </w:r>
      <w:r>
        <w:rPr>
          <w:rFonts w:ascii="Times New Roman" w:cs="Times New Roman" w:eastAsia="Times New Roman" w:hAnsi="Times New Roman"/>
          <w:sz w:val="18"/>
          <w:szCs w:val="18"/>
          <w:color w:val="232326"/>
        </w:rPr>
        <w:t xml:space="preserve"> person or entity </w:t>
      </w:r>
      <w:r>
        <w:rPr>
          <w:rFonts w:ascii="Times New Roman" w:cs="Times New Roman" w:eastAsia="Times New Roman" w:hAnsi="Times New Roman"/>
          <w:sz w:val="18"/>
          <w:szCs w:val="18"/>
          <w:color w:val="343436"/>
        </w:rPr>
        <w:t>with which you</w:t>
      </w:r>
      <w:r>
        <w:rPr>
          <w:rFonts w:ascii="Times New Roman" w:cs="Times New Roman" w:eastAsia="Times New Roman" w:hAnsi="Times New Roman"/>
          <w:sz w:val="18"/>
          <w:szCs w:val="18"/>
          <w:color w:val="232326"/>
        </w:rPr>
        <w:t xml:space="preserve"> dealt on the Company's behalf</w:t>
      </w:r>
      <w:r>
        <w:rPr>
          <w:rFonts w:ascii="Times New Roman" w:cs="Times New Roman" w:eastAsia="Times New Roman" w:hAnsi="Times New Roman"/>
          <w:sz w:val="18"/>
          <w:szCs w:val="18"/>
          <w:color w:val="4D4B4D"/>
        </w:rPr>
        <w:t>,</w:t>
      </w:r>
      <w:r>
        <w:rPr>
          <w:rFonts w:ascii="Times New Roman" w:cs="Times New Roman" w:eastAsia="Times New Roman" w:hAnsi="Times New Roman"/>
          <w:sz w:val="18"/>
          <w:szCs w:val="18"/>
          <w:color w:val="232326"/>
        </w:rPr>
        <w:t xml:space="preserve"> directly or indirectly</w:t>
      </w:r>
      <w:r>
        <w:rPr>
          <w:rFonts w:ascii="Times New Roman" w:cs="Times New Roman" w:eastAsia="Times New Roman" w:hAnsi="Times New Roman"/>
          <w:sz w:val="18"/>
          <w:szCs w:val="18"/>
          <w:color w:val="5D5D5D"/>
        </w:rPr>
        <w:t>,</w:t>
      </w:r>
      <w:r>
        <w:rPr>
          <w:rFonts w:ascii="Times New Roman" w:cs="Times New Roman" w:eastAsia="Times New Roman" w:hAnsi="Times New Roman"/>
          <w:sz w:val="18"/>
          <w:szCs w:val="18"/>
          <w:color w:val="232326"/>
        </w:rPr>
        <w:t xml:space="preserve"> or for </w:t>
      </w:r>
      <w:r>
        <w:rPr>
          <w:rFonts w:ascii="Times New Roman" w:cs="Times New Roman" w:eastAsia="Times New Roman" w:hAnsi="Times New Roman"/>
          <w:sz w:val="18"/>
          <w:szCs w:val="18"/>
          <w:color w:val="343436"/>
        </w:rPr>
        <w:t>which you</w:t>
      </w:r>
      <w:r>
        <w:rPr>
          <w:rFonts w:ascii="Times New Roman" w:cs="Times New Roman" w:eastAsia="Times New Roman" w:hAnsi="Times New Roman"/>
          <w:sz w:val="18"/>
          <w:szCs w:val="18"/>
          <w:color w:val="232326"/>
        </w:rPr>
        <w:t xml:space="preserve"> had </w:t>
      </w:r>
      <w:r>
        <w:rPr>
          <w:rFonts w:ascii="Times New Roman" w:cs="Times New Roman" w:eastAsia="Times New Roman" w:hAnsi="Times New Roman"/>
          <w:sz w:val="18"/>
          <w:szCs w:val="18"/>
          <w:color w:val="343436"/>
        </w:rPr>
        <w:t>access</w:t>
      </w:r>
      <w:r>
        <w:rPr>
          <w:rFonts w:ascii="Times New Roman" w:cs="Times New Roman" w:eastAsia="Times New Roman" w:hAnsi="Times New Roman"/>
          <w:sz w:val="18"/>
          <w:szCs w:val="18"/>
          <w:color w:val="232326"/>
        </w:rPr>
        <w:t xml:space="preserve"> to </w:t>
      </w:r>
      <w:r>
        <w:rPr>
          <w:rFonts w:ascii="Times New Roman" w:cs="Times New Roman" w:eastAsia="Times New Roman" w:hAnsi="Times New Roman"/>
          <w:sz w:val="18"/>
          <w:szCs w:val="18"/>
          <w:color w:val="343436"/>
        </w:rPr>
        <w:t>Confidential</w:t>
      </w:r>
      <w:r>
        <w:rPr>
          <w:rFonts w:ascii="Times New Roman" w:cs="Times New Roman" w:eastAsia="Times New Roman" w:hAnsi="Times New Roman"/>
          <w:sz w:val="18"/>
          <w:szCs w:val="18"/>
          <w:color w:val="232326"/>
        </w:rPr>
        <w:t xml:space="preserve"> Information, that </w:t>
      </w:r>
      <w:r>
        <w:rPr>
          <w:rFonts w:ascii="Times New Roman" w:cs="Times New Roman" w:eastAsia="Times New Roman" w:hAnsi="Times New Roman"/>
          <w:sz w:val="18"/>
          <w:szCs w:val="18"/>
          <w:color w:val="343436"/>
        </w:rPr>
        <w:t>was</w:t>
      </w:r>
      <w:r>
        <w:rPr>
          <w:rFonts w:ascii="Times New Roman" w:cs="Times New Roman" w:eastAsia="Times New Roman" w:hAnsi="Times New Roman"/>
          <w:sz w:val="18"/>
          <w:szCs w:val="18"/>
          <w:color w:val="232326"/>
        </w:rPr>
        <w:t xml:space="preserve"> contacted or </w:t>
      </w:r>
      <w:r>
        <w:rPr>
          <w:rFonts w:ascii="Times New Roman" w:cs="Times New Roman" w:eastAsia="Times New Roman" w:hAnsi="Times New Roman"/>
          <w:sz w:val="18"/>
          <w:szCs w:val="18"/>
          <w:color w:val="343436"/>
        </w:rPr>
        <w:t>solicited</w:t>
      </w:r>
      <w:r>
        <w:rPr>
          <w:rFonts w:ascii="Times New Roman" w:cs="Times New Roman" w:eastAsia="Times New Roman" w:hAnsi="Times New Roman"/>
          <w:sz w:val="18"/>
          <w:szCs w:val="18"/>
          <w:color w:val="232326"/>
        </w:rPr>
        <w:t xml:space="preserve"> by the </w:t>
      </w:r>
      <w:r>
        <w:rPr>
          <w:rFonts w:ascii="Times New Roman" w:cs="Times New Roman" w:eastAsia="Times New Roman" w:hAnsi="Times New Roman"/>
          <w:sz w:val="18"/>
          <w:szCs w:val="18"/>
          <w:color w:val="343436"/>
        </w:rPr>
        <w:t>Company or</w:t>
      </w:r>
      <w:r>
        <w:rPr>
          <w:rFonts w:ascii="Times New Roman" w:cs="Times New Roman" w:eastAsia="Times New Roman" w:hAnsi="Times New Roman"/>
          <w:sz w:val="18"/>
          <w:szCs w:val="18"/>
          <w:color w:val="232326"/>
        </w:rPr>
        <w:t xml:space="preserve"> by </w:t>
      </w:r>
      <w:r>
        <w:rPr>
          <w:rFonts w:ascii="Times New Roman" w:cs="Times New Roman" w:eastAsia="Times New Roman" w:hAnsi="Times New Roman"/>
          <w:sz w:val="18"/>
          <w:szCs w:val="18"/>
          <w:color w:val="343436"/>
        </w:rPr>
        <w:t>you (whether</w:t>
      </w:r>
      <w:r>
        <w:rPr>
          <w:rFonts w:ascii="Times New Roman" w:cs="Times New Roman" w:eastAsia="Times New Roman" w:hAnsi="Times New Roman"/>
          <w:sz w:val="18"/>
          <w:szCs w:val="18"/>
          <w:color w:val="232326"/>
        </w:rPr>
        <w:t xml:space="preserve"> directly or indirectly) or </w:t>
      </w:r>
      <w:r>
        <w:rPr>
          <w:rFonts w:ascii="Times New Roman" w:cs="Times New Roman" w:eastAsia="Times New Roman" w:hAnsi="Times New Roman"/>
          <w:sz w:val="18"/>
          <w:szCs w:val="18"/>
          <w:color w:val="343436"/>
        </w:rPr>
        <w:t>who</w:t>
      </w:r>
      <w:r>
        <w:rPr>
          <w:rFonts w:ascii="Times New Roman" w:cs="Times New Roman" w:eastAsia="Times New Roman" w:hAnsi="Times New Roman"/>
          <w:sz w:val="18"/>
          <w:szCs w:val="18"/>
          <w:color w:val="232326"/>
        </w:rPr>
        <w:t xml:space="preserve"> contacted the Company </w:t>
      </w:r>
      <w:r>
        <w:rPr>
          <w:rFonts w:ascii="Times New Roman" w:cs="Times New Roman" w:eastAsia="Times New Roman" w:hAnsi="Times New Roman"/>
          <w:sz w:val="18"/>
          <w:szCs w:val="18"/>
          <w:color w:val="343436"/>
        </w:rPr>
        <w:t>or you (whether</w:t>
      </w:r>
      <w:r>
        <w:rPr>
          <w:rFonts w:ascii="Times New Roman" w:cs="Times New Roman" w:eastAsia="Times New Roman" w:hAnsi="Times New Roman"/>
          <w:sz w:val="18"/>
          <w:szCs w:val="18"/>
          <w:color w:val="232326"/>
        </w:rPr>
        <w:t xml:space="preserve"> directly or indirectly) </w:t>
      </w:r>
      <w:r>
        <w:rPr>
          <w:rFonts w:ascii="Times New Roman" w:cs="Times New Roman" w:eastAsia="Times New Roman" w:hAnsi="Times New Roman"/>
          <w:sz w:val="18"/>
          <w:szCs w:val="18"/>
          <w:color w:val="343436"/>
        </w:rPr>
        <w:t>within</w:t>
      </w:r>
      <w:r>
        <w:rPr>
          <w:rFonts w:ascii="Times New Roman" w:cs="Times New Roman" w:eastAsia="Times New Roman" w:hAnsi="Times New Roman"/>
          <w:sz w:val="18"/>
          <w:szCs w:val="18"/>
          <w:color w:val="232326"/>
        </w:rPr>
        <w:t xml:space="preserve"> the twelve month period immediately preceding termination of </w:t>
      </w:r>
      <w:r>
        <w:rPr>
          <w:rFonts w:ascii="Times New Roman" w:cs="Times New Roman" w:eastAsia="Times New Roman" w:hAnsi="Times New Roman"/>
          <w:sz w:val="18"/>
          <w:szCs w:val="18"/>
          <w:color w:val="343436"/>
        </w:rPr>
        <w:t>your employment</w:t>
      </w:r>
      <w:r>
        <w:rPr>
          <w:rFonts w:ascii="Times New Roman" w:cs="Times New Roman" w:eastAsia="Times New Roman" w:hAnsi="Times New Roman"/>
          <w:sz w:val="18"/>
          <w:szCs w:val="18"/>
          <w:color w:val="232326"/>
        </w:rPr>
        <w:t xml:space="preserve"> for </w:t>
      </w:r>
      <w:r>
        <w:rPr>
          <w:rFonts w:ascii="Times New Roman" w:cs="Times New Roman" w:eastAsia="Times New Roman" w:hAnsi="Times New Roman"/>
          <w:sz w:val="18"/>
          <w:szCs w:val="18"/>
          <w:color w:val="343436"/>
        </w:rPr>
        <w:t>the</w:t>
      </w:r>
      <w:r>
        <w:rPr>
          <w:rFonts w:ascii="Times New Roman" w:cs="Times New Roman" w:eastAsia="Times New Roman" w:hAnsi="Times New Roman"/>
          <w:sz w:val="18"/>
          <w:szCs w:val="18"/>
          <w:color w:val="232326"/>
        </w:rPr>
        <w:t xml:space="preserve"> purpose of becoming </w:t>
      </w:r>
      <w:r>
        <w:rPr>
          <w:rFonts w:ascii="Times New Roman" w:cs="Times New Roman" w:eastAsia="Times New Roman" w:hAnsi="Times New Roman"/>
          <w:sz w:val="18"/>
          <w:szCs w:val="18"/>
          <w:color w:val="343436"/>
        </w:rPr>
        <w:t>a customer.</w:t>
      </w:r>
    </w:p>
    <w:p>
      <w:pPr>
        <w:spacing w:after="0" w:line="156" w:lineRule="exact"/>
        <w:rPr>
          <w:sz w:val="20"/>
          <w:szCs w:val="20"/>
          <w:color w:val="auto"/>
        </w:rPr>
      </w:pPr>
    </w:p>
    <w:p>
      <w:pPr>
        <w:ind w:left="840"/>
        <w:spacing w:after="0"/>
        <w:tabs>
          <w:tab w:leader="none" w:pos="1540" w:val="left"/>
        </w:tabs>
        <w:rPr>
          <w:sz w:val="20"/>
          <w:szCs w:val="20"/>
          <w:color w:val="auto"/>
        </w:rPr>
      </w:pPr>
      <w:r>
        <w:rPr>
          <w:rFonts w:ascii="Times New Roman" w:cs="Times New Roman" w:eastAsia="Times New Roman" w:hAnsi="Times New Roman"/>
          <w:sz w:val="18"/>
          <w:szCs w:val="18"/>
          <w:b w:val="1"/>
          <w:bCs w:val="1"/>
          <w:color w:val="232326"/>
        </w:rPr>
        <w:t>4.5</w:t>
      </w:r>
      <w:r>
        <w:rPr>
          <w:sz w:val="20"/>
          <w:szCs w:val="20"/>
          <w:color w:val="auto"/>
        </w:rPr>
        <w:tab/>
      </w:r>
      <w:r>
        <w:rPr>
          <w:rFonts w:ascii="Times New Roman" w:cs="Times New Roman" w:eastAsia="Times New Roman" w:hAnsi="Times New Roman"/>
          <w:sz w:val="17"/>
          <w:szCs w:val="17"/>
          <w:b w:val="1"/>
          <w:bCs w:val="1"/>
          <w:color w:val="232326"/>
        </w:rPr>
        <w:t xml:space="preserve">Reasonableness </w:t>
      </w:r>
      <w:r>
        <w:rPr>
          <w:rFonts w:ascii="Times New Roman" w:cs="Times New Roman" w:eastAsia="Times New Roman" w:hAnsi="Times New Roman"/>
          <w:sz w:val="17"/>
          <w:szCs w:val="17"/>
          <w:b w:val="1"/>
          <w:bCs w:val="1"/>
          <w:color w:val="343436"/>
        </w:rPr>
        <w:t>of</w:t>
      </w:r>
      <w:r>
        <w:rPr>
          <w:rFonts w:ascii="Times New Roman" w:cs="Times New Roman" w:eastAsia="Times New Roman" w:hAnsi="Times New Roman"/>
          <w:sz w:val="17"/>
          <w:szCs w:val="17"/>
          <w:b w:val="1"/>
          <w:bCs w:val="1"/>
          <w:color w:val="232326"/>
        </w:rPr>
        <w:t xml:space="preserve"> Restrictions; </w:t>
      </w:r>
      <w:r>
        <w:rPr>
          <w:rFonts w:ascii="Times New Roman" w:cs="Times New Roman" w:eastAsia="Times New Roman" w:hAnsi="Times New Roman"/>
          <w:sz w:val="17"/>
          <w:szCs w:val="17"/>
          <w:b w:val="1"/>
          <w:bCs w:val="1"/>
          <w:color w:val="343436"/>
        </w:rPr>
        <w:t>Tolling</w:t>
      </w:r>
      <w:r>
        <w:rPr>
          <w:rFonts w:ascii="Times New Roman" w:cs="Times New Roman" w:eastAsia="Times New Roman" w:hAnsi="Times New Roman"/>
          <w:sz w:val="17"/>
          <w:szCs w:val="17"/>
          <w:b w:val="1"/>
          <w:bCs w:val="1"/>
          <w:color w:val="232326"/>
        </w:rPr>
        <w:t xml:space="preserve"> in Event of Breach</w:t>
      </w:r>
      <w:r>
        <w:rPr>
          <w:rFonts w:ascii="Times New Roman" w:cs="Times New Roman" w:eastAsia="Times New Roman" w:hAnsi="Times New Roman"/>
          <w:sz w:val="17"/>
          <w:szCs w:val="17"/>
          <w:b w:val="1"/>
          <w:bCs w:val="1"/>
          <w:color w:val="4D4B4D"/>
        </w:rPr>
        <w:t>.</w:t>
      </w:r>
      <w:r>
        <w:rPr>
          <w:rFonts w:ascii="Times New Roman" w:cs="Times New Roman" w:eastAsia="Times New Roman" w:hAnsi="Times New Roman"/>
          <w:sz w:val="17"/>
          <w:szCs w:val="17"/>
          <w:b w:val="1"/>
          <w:bCs w:val="1"/>
          <w:color w:val="232326"/>
        </w:rPr>
        <w:t xml:space="preserve"> </w:t>
      </w:r>
      <w:r>
        <w:rPr>
          <w:rFonts w:ascii="Times New Roman" w:cs="Times New Roman" w:eastAsia="Times New Roman" w:hAnsi="Times New Roman"/>
          <w:sz w:val="17"/>
          <w:szCs w:val="17"/>
          <w:color w:val="343436"/>
        </w:rPr>
        <w:t>You acknowledge and</w:t>
      </w:r>
      <w:r>
        <w:rPr>
          <w:rFonts w:ascii="Times New Roman" w:cs="Times New Roman" w:eastAsia="Times New Roman" w:hAnsi="Times New Roman"/>
          <w:sz w:val="17"/>
          <w:szCs w:val="17"/>
          <w:b w:val="1"/>
          <w:bCs w:val="1"/>
          <w:color w:val="232326"/>
        </w:rPr>
        <w:t xml:space="preserve"> </w:t>
      </w:r>
      <w:r>
        <w:rPr>
          <w:rFonts w:ascii="Times New Roman" w:cs="Times New Roman" w:eastAsia="Times New Roman" w:hAnsi="Times New Roman"/>
          <w:sz w:val="17"/>
          <w:szCs w:val="17"/>
          <w:color w:val="232326"/>
        </w:rPr>
        <w:t>agree that the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62628"/>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76200</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00" w:top="513" w:right="479" w:bottom="1440" w:gutter="0" w:footer="0" w:header="0"/>
        </w:sectPr>
      </w:pPr>
    </w:p>
    <w:bookmarkStart w:id="180" w:name="page181"/>
    <w:bookmarkEnd w:id="180"/>
    <w:p>
      <w:pPr>
        <w:jc w:val="both"/>
        <w:ind w:left="120"/>
        <w:spacing w:after="0" w:line="258" w:lineRule="auto"/>
        <w:rPr>
          <w:sz w:val="20"/>
          <w:szCs w:val="20"/>
          <w:color w:val="auto"/>
        </w:rPr>
      </w:pPr>
      <w:r>
        <w:rPr>
          <w:rFonts w:ascii="Times New Roman" w:cs="Times New Roman" w:eastAsia="Times New Roman" w:hAnsi="Times New Roman"/>
          <w:sz w:val="18"/>
          <w:szCs w:val="18"/>
          <w:color w:val="343436"/>
        </w:rPr>
        <w:t xml:space="preserve">Company </w:t>
      </w:r>
      <w:r>
        <w:rPr>
          <w:rFonts w:ascii="Times New Roman" w:cs="Times New Roman" w:eastAsia="Times New Roman" w:hAnsi="Times New Roman"/>
          <w:sz w:val="18"/>
          <w:szCs w:val="18"/>
          <w:color w:val="232326"/>
        </w:rPr>
        <w:t>has invested</w:t>
      </w:r>
      <w:r>
        <w:rPr>
          <w:rFonts w:ascii="Times New Roman" w:cs="Times New Roman" w:eastAsia="Times New Roman" w:hAnsi="Times New Roman"/>
          <w:sz w:val="18"/>
          <w:szCs w:val="18"/>
          <w:color w:val="343436"/>
        </w:rPr>
        <w:t xml:space="preserve"> and </w:t>
      </w:r>
      <w:r>
        <w:rPr>
          <w:rFonts w:ascii="Times New Roman" w:cs="Times New Roman" w:eastAsia="Times New Roman" w:hAnsi="Times New Roman"/>
          <w:sz w:val="18"/>
          <w:szCs w:val="18"/>
          <w:color w:val="232326"/>
        </w:rPr>
        <w:t>continues to invest a</w:t>
      </w:r>
      <w:r>
        <w:rPr>
          <w:rFonts w:ascii="Times New Roman" w:cs="Times New Roman" w:eastAsia="Times New Roman" w:hAnsi="Times New Roman"/>
          <w:sz w:val="18"/>
          <w:szCs w:val="18"/>
          <w:color w:val="343436"/>
        </w:rPr>
        <w:t xml:space="preserve"> substantial </w:t>
      </w:r>
      <w:r>
        <w:rPr>
          <w:rFonts w:ascii="Times New Roman" w:cs="Times New Roman" w:eastAsia="Times New Roman" w:hAnsi="Times New Roman"/>
          <w:sz w:val="18"/>
          <w:szCs w:val="18"/>
          <w:color w:val="232326"/>
        </w:rPr>
        <w:t>amount of time</w:t>
      </w:r>
      <w:r>
        <w:rPr>
          <w:rFonts w:ascii="Times New Roman" w:cs="Times New Roman" w:eastAsia="Times New Roman" w:hAnsi="Times New Roman"/>
          <w:sz w:val="18"/>
          <w:szCs w:val="18"/>
          <w:color w:val="343436"/>
        </w:rPr>
        <w:t xml:space="preserve"> and </w:t>
      </w:r>
      <w:r>
        <w:rPr>
          <w:rFonts w:ascii="Times New Roman" w:cs="Times New Roman" w:eastAsia="Times New Roman" w:hAnsi="Times New Roman"/>
          <w:sz w:val="18"/>
          <w:szCs w:val="18"/>
          <w:color w:val="232326"/>
        </w:rPr>
        <w:t>money in developing its</w:t>
      </w:r>
      <w:r>
        <w:rPr>
          <w:rFonts w:ascii="Times New Roman" w:cs="Times New Roman" w:eastAsia="Times New Roman" w:hAnsi="Times New Roman"/>
          <w:sz w:val="18"/>
          <w:szCs w:val="18"/>
          <w:color w:val="343436"/>
        </w:rPr>
        <w:t xml:space="preserve"> goodwill, its employee and customer </w:t>
      </w:r>
      <w:r>
        <w:rPr>
          <w:rFonts w:ascii="Times New Roman" w:cs="Times New Roman" w:eastAsia="Times New Roman" w:hAnsi="Times New Roman"/>
          <w:sz w:val="18"/>
          <w:szCs w:val="18"/>
          <w:color w:val="232326"/>
        </w:rPr>
        <w:t>relations</w:t>
      </w:r>
      <w:r>
        <w:rPr>
          <w:rFonts w:ascii="Times New Roman" w:cs="Times New Roman" w:eastAsia="Times New Roman" w:hAnsi="Times New Roman"/>
          <w:sz w:val="18"/>
          <w:szCs w:val="18"/>
          <w:color w:val="4D4B4D"/>
        </w:rPr>
        <w:t>,</w:t>
      </w:r>
      <w:r>
        <w:rPr>
          <w:rFonts w:ascii="Times New Roman" w:cs="Times New Roman" w:eastAsia="Times New Roman" w:hAnsi="Times New Roman"/>
          <w:sz w:val="18"/>
          <w:szCs w:val="18"/>
          <w:color w:val="343436"/>
        </w:rPr>
        <w:t xml:space="preserve"> and </w:t>
      </w:r>
      <w:r>
        <w:rPr>
          <w:rFonts w:ascii="Times New Roman" w:cs="Times New Roman" w:eastAsia="Times New Roman" w:hAnsi="Times New Roman"/>
          <w:sz w:val="18"/>
          <w:szCs w:val="18"/>
          <w:color w:val="232326"/>
        </w:rPr>
        <w:t>its Confidential Information</w:t>
      </w:r>
      <w:r>
        <w:rPr>
          <w:rFonts w:ascii="Times New Roman" w:cs="Times New Roman" w:eastAsia="Times New Roman" w:hAnsi="Times New Roman"/>
          <w:sz w:val="18"/>
          <w:szCs w:val="18"/>
          <w:color w:val="4D4B4D"/>
        </w:rPr>
        <w:t>,</w:t>
      </w:r>
      <w:r>
        <w:rPr>
          <w:rFonts w:ascii="Times New Roman" w:cs="Times New Roman" w:eastAsia="Times New Roman" w:hAnsi="Times New Roman"/>
          <w:sz w:val="18"/>
          <w:szCs w:val="18"/>
          <w:color w:val="343436"/>
        </w:rPr>
        <w:t xml:space="preserve"> and </w:t>
      </w:r>
      <w:r>
        <w:rPr>
          <w:rFonts w:ascii="Times New Roman" w:cs="Times New Roman" w:eastAsia="Times New Roman" w:hAnsi="Times New Roman"/>
          <w:sz w:val="18"/>
          <w:szCs w:val="18"/>
          <w:color w:val="232326"/>
        </w:rPr>
        <w:t>that the</w:t>
      </w:r>
      <w:r>
        <w:rPr>
          <w:rFonts w:ascii="Times New Roman" w:cs="Times New Roman" w:eastAsia="Times New Roman" w:hAnsi="Times New Roman"/>
          <w:sz w:val="18"/>
          <w:szCs w:val="18"/>
          <w:color w:val="343436"/>
        </w:rPr>
        <w:t xml:space="preserve"> scope </w:t>
      </w:r>
      <w:r>
        <w:rPr>
          <w:rFonts w:ascii="Times New Roman" w:cs="Times New Roman" w:eastAsia="Times New Roman" w:hAnsi="Times New Roman"/>
          <w:sz w:val="18"/>
          <w:szCs w:val="18"/>
          <w:color w:val="232326"/>
        </w:rPr>
        <w:t>described</w:t>
      </w:r>
      <w:r>
        <w:rPr>
          <w:rFonts w:ascii="Times New Roman" w:cs="Times New Roman" w:eastAsia="Times New Roman" w:hAnsi="Times New Roman"/>
          <w:sz w:val="18"/>
          <w:szCs w:val="18"/>
          <w:color w:val="343436"/>
        </w:rPr>
        <w:t xml:space="preserve"> above </w:t>
      </w:r>
      <w:r>
        <w:rPr>
          <w:rFonts w:ascii="Times New Roman" w:cs="Times New Roman" w:eastAsia="Times New Roman" w:hAnsi="Times New Roman"/>
          <w:sz w:val="18"/>
          <w:szCs w:val="18"/>
          <w:color w:val="232326"/>
        </w:rPr>
        <w:t>is necessary and reasonable in order to protect the Company in the conduct</w:t>
      </w:r>
      <w:r>
        <w:rPr>
          <w:rFonts w:ascii="Times New Roman" w:cs="Times New Roman" w:eastAsia="Times New Roman" w:hAnsi="Times New Roman"/>
          <w:sz w:val="18"/>
          <w:szCs w:val="18"/>
          <w:color w:val="343436"/>
        </w:rPr>
        <w:t xml:space="preserve"> of </w:t>
      </w:r>
      <w:r>
        <w:rPr>
          <w:rFonts w:ascii="Times New Roman" w:cs="Times New Roman" w:eastAsia="Times New Roman" w:hAnsi="Times New Roman"/>
          <w:sz w:val="18"/>
          <w:szCs w:val="18"/>
          <w:color w:val="232326"/>
        </w:rPr>
        <w:t>its</w:t>
      </w:r>
      <w:r>
        <w:rPr>
          <w:rFonts w:ascii="Times New Roman" w:cs="Times New Roman" w:eastAsia="Times New Roman" w:hAnsi="Times New Roman"/>
          <w:sz w:val="18"/>
          <w:szCs w:val="18"/>
          <w:color w:val="343436"/>
        </w:rPr>
        <w:t xml:space="preserve"> </w:t>
      </w:r>
      <w:r>
        <w:rPr>
          <w:rFonts w:ascii="Times New Roman" w:cs="Times New Roman" w:eastAsia="Times New Roman" w:hAnsi="Times New Roman"/>
          <w:sz w:val="18"/>
          <w:szCs w:val="18"/>
          <w:color w:val="232326"/>
        </w:rPr>
        <w:t>business</w:t>
      </w:r>
      <w:r>
        <w:rPr>
          <w:rFonts w:ascii="Times New Roman" w:cs="Times New Roman" w:eastAsia="Times New Roman" w:hAnsi="Times New Roman"/>
          <w:sz w:val="18"/>
          <w:szCs w:val="18"/>
          <w:color w:val="4D4B4D"/>
        </w:rPr>
        <w:t>,</w:t>
      </w:r>
      <w:r>
        <w:rPr>
          <w:rFonts w:ascii="Times New Roman" w:cs="Times New Roman" w:eastAsia="Times New Roman" w:hAnsi="Times New Roman"/>
          <w:sz w:val="18"/>
          <w:szCs w:val="18"/>
          <w:color w:val="232326"/>
        </w:rPr>
        <w:t xml:space="preserve"> </w:t>
      </w:r>
      <w:r>
        <w:rPr>
          <w:rFonts w:ascii="Times New Roman" w:cs="Times New Roman" w:eastAsia="Times New Roman" w:hAnsi="Times New Roman"/>
          <w:sz w:val="18"/>
          <w:szCs w:val="18"/>
          <w:color w:val="343436"/>
        </w:rPr>
        <w:t>and to</w:t>
      </w:r>
      <w:r>
        <w:rPr>
          <w:rFonts w:ascii="Times New Roman" w:cs="Times New Roman" w:eastAsia="Times New Roman" w:hAnsi="Times New Roman"/>
          <w:sz w:val="18"/>
          <w:szCs w:val="18"/>
          <w:color w:val="232326"/>
        </w:rPr>
        <w:t xml:space="preserve"> protect </w:t>
      </w:r>
      <w:r>
        <w:rPr>
          <w:rFonts w:ascii="Times New Roman" w:cs="Times New Roman" w:eastAsia="Times New Roman" w:hAnsi="Times New Roman"/>
          <w:sz w:val="18"/>
          <w:szCs w:val="18"/>
          <w:color w:val="343436"/>
        </w:rPr>
        <w:t>the</w:t>
      </w:r>
      <w:r>
        <w:rPr>
          <w:rFonts w:ascii="Times New Roman" w:cs="Times New Roman" w:eastAsia="Times New Roman" w:hAnsi="Times New Roman"/>
          <w:sz w:val="18"/>
          <w:szCs w:val="18"/>
          <w:color w:val="232326"/>
        </w:rPr>
        <w:t xml:space="preserve"> legitimate interests </w:t>
      </w:r>
      <w:r>
        <w:rPr>
          <w:rFonts w:ascii="Times New Roman" w:cs="Times New Roman" w:eastAsia="Times New Roman" w:hAnsi="Times New Roman"/>
          <w:sz w:val="18"/>
          <w:szCs w:val="18"/>
          <w:color w:val="343436"/>
        </w:rPr>
        <w:t>of the Company</w:t>
      </w:r>
      <w:r>
        <w:rPr>
          <w:rFonts w:ascii="Times New Roman" w:cs="Times New Roman" w:eastAsia="Times New Roman" w:hAnsi="Times New Roman"/>
          <w:sz w:val="18"/>
          <w:szCs w:val="18"/>
          <w:color w:val="232326"/>
        </w:rPr>
        <w:t xml:space="preserve"> in its </w:t>
      </w:r>
      <w:r>
        <w:rPr>
          <w:rFonts w:ascii="Times New Roman" w:cs="Times New Roman" w:eastAsia="Times New Roman" w:hAnsi="Times New Roman"/>
          <w:sz w:val="18"/>
          <w:szCs w:val="18"/>
          <w:color w:val="343436"/>
        </w:rPr>
        <w:t>Confidential</w:t>
      </w:r>
      <w:r>
        <w:rPr>
          <w:rFonts w:ascii="Times New Roman" w:cs="Times New Roman" w:eastAsia="Times New Roman" w:hAnsi="Times New Roman"/>
          <w:sz w:val="18"/>
          <w:szCs w:val="18"/>
          <w:color w:val="232326"/>
        </w:rPr>
        <w:t xml:space="preserve"> Information</w:t>
      </w:r>
      <w:r>
        <w:rPr>
          <w:rFonts w:ascii="Times New Roman" w:cs="Times New Roman" w:eastAsia="Times New Roman" w:hAnsi="Times New Roman"/>
          <w:sz w:val="18"/>
          <w:szCs w:val="18"/>
          <w:color w:val="4D4B4D"/>
        </w:rPr>
        <w:t>,</w:t>
      </w:r>
      <w:r>
        <w:rPr>
          <w:rFonts w:ascii="Times New Roman" w:cs="Times New Roman" w:eastAsia="Times New Roman" w:hAnsi="Times New Roman"/>
          <w:sz w:val="18"/>
          <w:szCs w:val="18"/>
          <w:color w:val="232326"/>
        </w:rPr>
        <w:t xml:space="preserve"> business </w:t>
      </w:r>
      <w:r>
        <w:rPr>
          <w:rFonts w:ascii="Times New Roman" w:cs="Times New Roman" w:eastAsia="Times New Roman" w:hAnsi="Times New Roman"/>
          <w:sz w:val="18"/>
          <w:szCs w:val="18"/>
          <w:color w:val="343436"/>
        </w:rPr>
        <w:t>goodwill</w:t>
      </w:r>
      <w:r>
        <w:rPr>
          <w:rFonts w:ascii="Times New Roman" w:cs="Times New Roman" w:eastAsia="Times New Roman" w:hAnsi="Times New Roman"/>
          <w:sz w:val="18"/>
          <w:szCs w:val="18"/>
          <w:color w:val="4D4B4D"/>
        </w:rPr>
        <w:t>,</w:t>
      </w:r>
      <w:r>
        <w:rPr>
          <w:rFonts w:ascii="Times New Roman" w:cs="Times New Roman" w:eastAsia="Times New Roman" w:hAnsi="Times New Roman"/>
          <w:sz w:val="18"/>
          <w:szCs w:val="18"/>
          <w:color w:val="232326"/>
        </w:rPr>
        <w:t xml:space="preserve"> customer </w:t>
      </w:r>
      <w:r>
        <w:rPr>
          <w:rFonts w:ascii="Times New Roman" w:cs="Times New Roman" w:eastAsia="Times New Roman" w:hAnsi="Times New Roman"/>
          <w:sz w:val="18"/>
          <w:szCs w:val="18"/>
          <w:color w:val="343436"/>
        </w:rPr>
        <w:t>relationships</w:t>
      </w:r>
      <w:r>
        <w:rPr>
          <w:rFonts w:ascii="Times New Roman" w:cs="Times New Roman" w:eastAsia="Times New Roman" w:hAnsi="Times New Roman"/>
          <w:sz w:val="18"/>
          <w:szCs w:val="18"/>
          <w:color w:val="5D5D5D"/>
        </w:rPr>
        <w:t>,</w:t>
      </w:r>
      <w:r>
        <w:rPr>
          <w:rFonts w:ascii="Times New Roman" w:cs="Times New Roman" w:eastAsia="Times New Roman" w:hAnsi="Times New Roman"/>
          <w:sz w:val="18"/>
          <w:szCs w:val="18"/>
          <w:color w:val="232326"/>
        </w:rPr>
        <w:t xml:space="preserve"> </w:t>
      </w:r>
      <w:r>
        <w:rPr>
          <w:rFonts w:ascii="Times New Roman" w:cs="Times New Roman" w:eastAsia="Times New Roman" w:hAnsi="Times New Roman"/>
          <w:sz w:val="18"/>
          <w:szCs w:val="18"/>
          <w:color w:val="343436"/>
        </w:rPr>
        <w:t>and</w:t>
      </w:r>
      <w:r>
        <w:rPr>
          <w:rFonts w:ascii="Times New Roman" w:cs="Times New Roman" w:eastAsia="Times New Roman" w:hAnsi="Times New Roman"/>
          <w:sz w:val="18"/>
          <w:szCs w:val="18"/>
          <w:color w:val="232326"/>
        </w:rPr>
        <w:t xml:space="preserve"> </w:t>
      </w:r>
      <w:r>
        <w:rPr>
          <w:rFonts w:ascii="Times New Roman" w:cs="Times New Roman" w:eastAsia="Times New Roman" w:hAnsi="Times New Roman"/>
          <w:sz w:val="18"/>
          <w:szCs w:val="18"/>
          <w:color w:val="343436"/>
        </w:rPr>
        <w:t xml:space="preserve">employee </w:t>
      </w:r>
      <w:r>
        <w:rPr>
          <w:rFonts w:ascii="Times New Roman" w:cs="Times New Roman" w:eastAsia="Times New Roman" w:hAnsi="Times New Roman"/>
          <w:sz w:val="18"/>
          <w:szCs w:val="18"/>
          <w:color w:val="232326"/>
        </w:rPr>
        <w:t>relationships. You further</w:t>
      </w:r>
      <w:r>
        <w:rPr>
          <w:rFonts w:ascii="Times New Roman" w:cs="Times New Roman" w:eastAsia="Times New Roman" w:hAnsi="Times New Roman"/>
          <w:sz w:val="18"/>
          <w:szCs w:val="18"/>
          <w:color w:val="343436"/>
        </w:rPr>
        <w:t xml:space="preserve"> agree </w:t>
      </w:r>
      <w:r>
        <w:rPr>
          <w:rFonts w:ascii="Times New Roman" w:cs="Times New Roman" w:eastAsia="Times New Roman" w:hAnsi="Times New Roman"/>
          <w:sz w:val="18"/>
          <w:szCs w:val="18"/>
          <w:color w:val="232326"/>
        </w:rPr>
        <w:t>that if</w:t>
      </w:r>
      <w:r>
        <w:rPr>
          <w:rFonts w:ascii="Times New Roman" w:cs="Times New Roman" w:eastAsia="Times New Roman" w:hAnsi="Times New Roman"/>
          <w:sz w:val="18"/>
          <w:szCs w:val="18"/>
          <w:color w:val="343436"/>
        </w:rPr>
        <w:t xml:space="preserve"> you </w:t>
      </w:r>
      <w:r>
        <w:rPr>
          <w:rFonts w:ascii="Times New Roman" w:cs="Times New Roman" w:eastAsia="Times New Roman" w:hAnsi="Times New Roman"/>
          <w:sz w:val="18"/>
          <w:szCs w:val="18"/>
          <w:color w:val="232326"/>
        </w:rPr>
        <w:t>breach</w:t>
      </w:r>
      <w:r>
        <w:rPr>
          <w:rFonts w:ascii="Times New Roman" w:cs="Times New Roman" w:eastAsia="Times New Roman" w:hAnsi="Times New Roman"/>
          <w:sz w:val="18"/>
          <w:szCs w:val="18"/>
          <w:color w:val="343436"/>
        </w:rPr>
        <w:t xml:space="preserve"> any of </w:t>
      </w:r>
      <w:r>
        <w:rPr>
          <w:rFonts w:ascii="Times New Roman" w:cs="Times New Roman" w:eastAsia="Times New Roman" w:hAnsi="Times New Roman"/>
          <w:sz w:val="18"/>
          <w:szCs w:val="18"/>
          <w:color w:val="232326"/>
        </w:rPr>
        <w:t>the requirements</w:t>
      </w:r>
      <w:r>
        <w:rPr>
          <w:rFonts w:ascii="Times New Roman" w:cs="Times New Roman" w:eastAsia="Times New Roman" w:hAnsi="Times New Roman"/>
          <w:sz w:val="18"/>
          <w:szCs w:val="18"/>
          <w:color w:val="343436"/>
        </w:rPr>
        <w:t xml:space="preserve"> of </w:t>
      </w:r>
      <w:r>
        <w:rPr>
          <w:rFonts w:ascii="Times New Roman" w:cs="Times New Roman" w:eastAsia="Times New Roman" w:hAnsi="Times New Roman"/>
          <w:sz w:val="18"/>
          <w:szCs w:val="18"/>
          <w:color w:val="232326"/>
        </w:rPr>
        <w:t>this</w:t>
      </w:r>
      <w:r>
        <w:rPr>
          <w:rFonts w:ascii="Times New Roman" w:cs="Times New Roman" w:eastAsia="Times New Roman" w:hAnsi="Times New Roman"/>
          <w:sz w:val="18"/>
          <w:szCs w:val="18"/>
          <w:color w:val="343436"/>
        </w:rPr>
        <w:t xml:space="preserve"> Agreement</w:t>
      </w:r>
      <w:r>
        <w:rPr>
          <w:rFonts w:ascii="Times New Roman" w:cs="Times New Roman" w:eastAsia="Times New Roman" w:hAnsi="Times New Roman"/>
          <w:sz w:val="18"/>
          <w:szCs w:val="18"/>
          <w:color w:val="5D5D5D"/>
        </w:rPr>
        <w:t>,</w:t>
      </w:r>
      <w:r>
        <w:rPr>
          <w:rFonts w:ascii="Times New Roman" w:cs="Times New Roman" w:eastAsia="Times New Roman" w:hAnsi="Times New Roman"/>
          <w:sz w:val="18"/>
          <w:szCs w:val="18"/>
          <w:color w:val="343436"/>
        </w:rPr>
        <w:t xml:space="preserve"> </w:t>
      </w:r>
      <w:r>
        <w:rPr>
          <w:rFonts w:ascii="Times New Roman" w:cs="Times New Roman" w:eastAsia="Times New Roman" w:hAnsi="Times New Roman"/>
          <w:sz w:val="18"/>
          <w:szCs w:val="18"/>
          <w:color w:val="232326"/>
        </w:rPr>
        <w:t>the</w:t>
      </w:r>
      <w:r>
        <w:rPr>
          <w:rFonts w:ascii="Times New Roman" w:cs="Times New Roman" w:eastAsia="Times New Roman" w:hAnsi="Times New Roman"/>
          <w:sz w:val="18"/>
          <w:szCs w:val="18"/>
          <w:color w:val="343436"/>
        </w:rPr>
        <w:t xml:space="preserve"> restricted </w:t>
      </w:r>
      <w:r>
        <w:rPr>
          <w:rFonts w:ascii="Times New Roman" w:cs="Times New Roman" w:eastAsia="Times New Roman" w:hAnsi="Times New Roman"/>
          <w:sz w:val="18"/>
          <w:szCs w:val="18"/>
          <w:color w:val="232326"/>
        </w:rPr>
        <w:t>periods</w:t>
      </w:r>
      <w:r>
        <w:rPr>
          <w:rFonts w:ascii="Times New Roman" w:cs="Times New Roman" w:eastAsia="Times New Roman" w:hAnsi="Times New Roman"/>
          <w:sz w:val="18"/>
          <w:szCs w:val="18"/>
          <w:color w:val="343436"/>
        </w:rPr>
        <w:t xml:space="preserve"> set forth </w:t>
      </w:r>
      <w:r>
        <w:rPr>
          <w:rFonts w:ascii="Times New Roman" w:cs="Times New Roman" w:eastAsia="Times New Roman" w:hAnsi="Times New Roman"/>
          <w:sz w:val="18"/>
          <w:szCs w:val="18"/>
          <w:color w:val="232326"/>
        </w:rPr>
        <w:t>herein shall be</w:t>
      </w:r>
      <w:r>
        <w:rPr>
          <w:rFonts w:ascii="Times New Roman" w:cs="Times New Roman" w:eastAsia="Times New Roman" w:hAnsi="Times New Roman"/>
          <w:sz w:val="18"/>
          <w:szCs w:val="18"/>
          <w:color w:val="343436"/>
        </w:rPr>
        <w:t xml:space="preserve"> extended one </w:t>
      </w:r>
      <w:r>
        <w:rPr>
          <w:rFonts w:ascii="Times New Roman" w:cs="Times New Roman" w:eastAsia="Times New Roman" w:hAnsi="Times New Roman"/>
          <w:sz w:val="18"/>
          <w:szCs w:val="18"/>
          <w:color w:val="232326"/>
        </w:rPr>
        <w:t>day</w:t>
      </w:r>
      <w:r>
        <w:rPr>
          <w:rFonts w:ascii="Times New Roman" w:cs="Times New Roman" w:eastAsia="Times New Roman" w:hAnsi="Times New Roman"/>
          <w:sz w:val="18"/>
          <w:szCs w:val="18"/>
          <w:color w:val="343436"/>
        </w:rPr>
        <w:t xml:space="preserve"> for each </w:t>
      </w:r>
      <w:r>
        <w:rPr>
          <w:rFonts w:ascii="Times New Roman" w:cs="Times New Roman" w:eastAsia="Times New Roman" w:hAnsi="Times New Roman"/>
          <w:sz w:val="18"/>
          <w:szCs w:val="18"/>
          <w:color w:val="232326"/>
        </w:rPr>
        <w:t>day</w:t>
      </w:r>
      <w:r>
        <w:rPr>
          <w:rFonts w:ascii="Times New Roman" w:cs="Times New Roman" w:eastAsia="Times New Roman" w:hAnsi="Times New Roman"/>
          <w:sz w:val="18"/>
          <w:szCs w:val="18"/>
          <w:color w:val="343436"/>
        </w:rPr>
        <w:t xml:space="preserve"> that you are </w:t>
      </w:r>
      <w:r>
        <w:rPr>
          <w:rFonts w:ascii="Times New Roman" w:cs="Times New Roman" w:eastAsia="Times New Roman" w:hAnsi="Times New Roman"/>
          <w:sz w:val="18"/>
          <w:szCs w:val="18"/>
          <w:color w:val="232326"/>
        </w:rPr>
        <w:t>in breach of the restrictions contained in</w:t>
      </w:r>
      <w:r>
        <w:rPr>
          <w:rFonts w:ascii="Times New Roman" w:cs="Times New Roman" w:eastAsia="Times New Roman" w:hAnsi="Times New Roman"/>
          <w:sz w:val="18"/>
          <w:szCs w:val="18"/>
          <w:color w:val="343436"/>
        </w:rPr>
        <w:t xml:space="preserve"> Sections 4.1 and 4</w:t>
      </w:r>
      <w:r>
        <w:rPr>
          <w:rFonts w:ascii="Times New Roman" w:cs="Times New Roman" w:eastAsia="Times New Roman" w:hAnsi="Times New Roman"/>
          <w:sz w:val="18"/>
          <w:szCs w:val="18"/>
          <w:color w:val="4D4B4D"/>
        </w:rPr>
        <w:t>.</w:t>
      </w:r>
      <w:r>
        <w:rPr>
          <w:rFonts w:ascii="Times New Roman" w:cs="Times New Roman" w:eastAsia="Times New Roman" w:hAnsi="Times New Roman"/>
          <w:sz w:val="18"/>
          <w:szCs w:val="18"/>
          <w:color w:val="343436"/>
        </w:rPr>
        <w:t>2</w:t>
      </w:r>
      <w:r>
        <w:rPr>
          <w:rFonts w:ascii="Times New Roman" w:cs="Times New Roman" w:eastAsia="Times New Roman" w:hAnsi="Times New Roman"/>
          <w:sz w:val="18"/>
          <w:szCs w:val="18"/>
          <w:color w:val="4D4B4D"/>
        </w:rPr>
        <w:t>.</w:t>
      </w:r>
    </w:p>
    <w:p>
      <w:pPr>
        <w:spacing w:after="0" w:line="152" w:lineRule="exact"/>
        <w:rPr>
          <w:sz w:val="20"/>
          <w:szCs w:val="20"/>
          <w:color w:val="auto"/>
        </w:rPr>
      </w:pPr>
    </w:p>
    <w:p>
      <w:pPr>
        <w:ind w:left="680" w:hanging="647"/>
        <w:spacing w:after="0"/>
        <w:tabs>
          <w:tab w:leader="none" w:pos="680" w:val="left"/>
        </w:tabs>
        <w:numPr>
          <w:ilvl w:val="0"/>
          <w:numId w:val="238"/>
        </w:numPr>
        <w:rPr>
          <w:rFonts w:ascii="Times New Roman" w:cs="Times New Roman" w:eastAsia="Times New Roman" w:hAnsi="Times New Roman"/>
          <w:sz w:val="18"/>
          <w:szCs w:val="18"/>
          <w:b w:val="1"/>
          <w:bCs w:val="1"/>
          <w:color w:val="232326"/>
        </w:rPr>
      </w:pPr>
      <w:r>
        <w:rPr>
          <w:rFonts w:ascii="Times New Roman" w:cs="Times New Roman" w:eastAsia="Times New Roman" w:hAnsi="Times New Roman"/>
          <w:sz w:val="18"/>
          <w:szCs w:val="18"/>
          <w:b w:val="1"/>
          <w:bCs w:val="1"/>
          <w:color w:val="232326"/>
        </w:rPr>
        <w:t>Damages</w:t>
      </w:r>
    </w:p>
    <w:p>
      <w:pPr>
        <w:spacing w:after="0" w:line="189" w:lineRule="exact"/>
        <w:rPr>
          <w:sz w:val="20"/>
          <w:szCs w:val="20"/>
          <w:color w:val="auto"/>
        </w:rPr>
      </w:pPr>
    </w:p>
    <w:p>
      <w:pPr>
        <w:jc w:val="both"/>
        <w:ind w:left="120" w:right="20" w:firstLine="719"/>
        <w:spacing w:after="0" w:line="258" w:lineRule="auto"/>
        <w:rPr>
          <w:sz w:val="20"/>
          <w:szCs w:val="20"/>
          <w:color w:val="auto"/>
        </w:rPr>
      </w:pPr>
      <w:r>
        <w:rPr>
          <w:rFonts w:ascii="Times New Roman" w:cs="Times New Roman" w:eastAsia="Times New Roman" w:hAnsi="Times New Roman"/>
          <w:sz w:val="18"/>
          <w:szCs w:val="18"/>
          <w:color w:val="232326"/>
        </w:rPr>
        <w:t xml:space="preserve">5.1 It is </w:t>
      </w:r>
      <w:r>
        <w:rPr>
          <w:rFonts w:ascii="Times New Roman" w:cs="Times New Roman" w:eastAsia="Times New Roman" w:hAnsi="Times New Roman"/>
          <w:sz w:val="18"/>
          <w:szCs w:val="18"/>
          <w:color w:val="343436"/>
        </w:rPr>
        <w:t>agreed</w:t>
      </w:r>
      <w:r>
        <w:rPr>
          <w:rFonts w:ascii="Times New Roman" w:cs="Times New Roman" w:eastAsia="Times New Roman" w:hAnsi="Times New Roman"/>
          <w:sz w:val="18"/>
          <w:szCs w:val="18"/>
          <w:color w:val="232326"/>
        </w:rPr>
        <w:t xml:space="preserve"> that </w:t>
      </w:r>
      <w:r>
        <w:rPr>
          <w:rFonts w:ascii="Times New Roman" w:cs="Times New Roman" w:eastAsia="Times New Roman" w:hAnsi="Times New Roman"/>
          <w:sz w:val="18"/>
          <w:szCs w:val="18"/>
          <w:color w:val="343436"/>
        </w:rPr>
        <w:t>any</w:t>
      </w:r>
      <w:r>
        <w:rPr>
          <w:rFonts w:ascii="Times New Roman" w:cs="Times New Roman" w:eastAsia="Times New Roman" w:hAnsi="Times New Roman"/>
          <w:sz w:val="18"/>
          <w:szCs w:val="18"/>
          <w:color w:val="232326"/>
        </w:rPr>
        <w:t xml:space="preserve"> breach </w:t>
      </w:r>
      <w:r>
        <w:rPr>
          <w:rFonts w:ascii="Times New Roman" w:cs="Times New Roman" w:eastAsia="Times New Roman" w:hAnsi="Times New Roman"/>
          <w:sz w:val="18"/>
          <w:szCs w:val="18"/>
          <w:color w:val="343436"/>
        </w:rPr>
        <w:t>of any of the covenants contained in this Agreement will</w:t>
      </w:r>
      <w:r>
        <w:rPr>
          <w:rFonts w:ascii="Times New Roman" w:cs="Times New Roman" w:eastAsia="Times New Roman" w:hAnsi="Times New Roman"/>
          <w:sz w:val="18"/>
          <w:szCs w:val="18"/>
          <w:color w:val="232326"/>
        </w:rPr>
        <w:t xml:space="preserve"> result in irreparable harm and continuing damages </w:t>
      </w:r>
      <w:r>
        <w:rPr>
          <w:rFonts w:ascii="Times New Roman" w:cs="Times New Roman" w:eastAsia="Times New Roman" w:hAnsi="Times New Roman"/>
          <w:sz w:val="18"/>
          <w:szCs w:val="18"/>
          <w:color w:val="343436"/>
        </w:rPr>
        <w:t>to</w:t>
      </w:r>
      <w:r>
        <w:rPr>
          <w:rFonts w:ascii="Times New Roman" w:cs="Times New Roman" w:eastAsia="Times New Roman" w:hAnsi="Times New Roman"/>
          <w:sz w:val="18"/>
          <w:szCs w:val="18"/>
          <w:color w:val="232326"/>
        </w:rPr>
        <w:t xml:space="preserve"> the </w:t>
      </w:r>
      <w:r>
        <w:rPr>
          <w:rFonts w:ascii="Times New Roman" w:cs="Times New Roman" w:eastAsia="Times New Roman" w:hAnsi="Times New Roman"/>
          <w:sz w:val="18"/>
          <w:szCs w:val="18"/>
          <w:color w:val="343436"/>
        </w:rPr>
        <w:t>Company and</w:t>
      </w:r>
      <w:r>
        <w:rPr>
          <w:rFonts w:ascii="Times New Roman" w:cs="Times New Roman" w:eastAsia="Times New Roman" w:hAnsi="Times New Roman"/>
          <w:sz w:val="18"/>
          <w:szCs w:val="18"/>
          <w:color w:val="232326"/>
        </w:rPr>
        <w:t xml:space="preserve"> its business</w:t>
      </w:r>
      <w:r>
        <w:rPr>
          <w:rFonts w:ascii="Times New Roman" w:cs="Times New Roman" w:eastAsia="Times New Roman" w:hAnsi="Times New Roman"/>
          <w:sz w:val="18"/>
          <w:szCs w:val="18"/>
          <w:color w:val="5D5D5D"/>
        </w:rPr>
        <w:t>,</w:t>
      </w:r>
      <w:r>
        <w:rPr>
          <w:rFonts w:ascii="Times New Roman" w:cs="Times New Roman" w:eastAsia="Times New Roman" w:hAnsi="Times New Roman"/>
          <w:sz w:val="18"/>
          <w:szCs w:val="18"/>
          <w:color w:val="232326"/>
        </w:rPr>
        <w:t xml:space="preserve"> </w:t>
      </w:r>
      <w:r>
        <w:rPr>
          <w:rFonts w:ascii="Times New Roman" w:cs="Times New Roman" w:eastAsia="Times New Roman" w:hAnsi="Times New Roman"/>
          <w:sz w:val="18"/>
          <w:szCs w:val="18"/>
          <w:color w:val="343436"/>
        </w:rPr>
        <w:t>and</w:t>
      </w:r>
      <w:r>
        <w:rPr>
          <w:rFonts w:ascii="Times New Roman" w:cs="Times New Roman" w:eastAsia="Times New Roman" w:hAnsi="Times New Roman"/>
          <w:sz w:val="18"/>
          <w:szCs w:val="18"/>
          <w:color w:val="232326"/>
        </w:rPr>
        <w:t xml:space="preserve"> that the </w:t>
      </w:r>
      <w:r>
        <w:rPr>
          <w:rFonts w:ascii="Times New Roman" w:cs="Times New Roman" w:eastAsia="Times New Roman" w:hAnsi="Times New Roman"/>
          <w:sz w:val="18"/>
          <w:szCs w:val="18"/>
          <w:color w:val="343436"/>
        </w:rPr>
        <w:t>Employer</w:t>
      </w:r>
      <w:r>
        <w:rPr>
          <w:rFonts w:ascii="Times New Roman" w:cs="Times New Roman" w:eastAsia="Times New Roman" w:hAnsi="Times New Roman"/>
          <w:sz w:val="18"/>
          <w:szCs w:val="18"/>
          <w:color w:val="4D4B4D"/>
        </w:rPr>
        <w:t>'</w:t>
      </w:r>
      <w:r>
        <w:rPr>
          <w:rFonts w:ascii="Times New Roman" w:cs="Times New Roman" w:eastAsia="Times New Roman" w:hAnsi="Times New Roman"/>
          <w:sz w:val="18"/>
          <w:szCs w:val="18"/>
          <w:color w:val="343436"/>
        </w:rPr>
        <w:t>s</w:t>
      </w:r>
      <w:r>
        <w:rPr>
          <w:rFonts w:ascii="Times New Roman" w:cs="Times New Roman" w:eastAsia="Times New Roman" w:hAnsi="Times New Roman"/>
          <w:sz w:val="18"/>
          <w:szCs w:val="18"/>
          <w:color w:val="232326"/>
        </w:rPr>
        <w:t xml:space="preserve"> or the Company</w:t>
      </w:r>
      <w:r>
        <w:rPr>
          <w:rFonts w:ascii="Times New Roman" w:cs="Times New Roman" w:eastAsia="Times New Roman" w:hAnsi="Times New Roman"/>
          <w:sz w:val="18"/>
          <w:szCs w:val="18"/>
          <w:color w:val="4D4B4D"/>
        </w:rPr>
        <w:t>'</w:t>
      </w:r>
      <w:r>
        <w:rPr>
          <w:rFonts w:ascii="Times New Roman" w:cs="Times New Roman" w:eastAsia="Times New Roman" w:hAnsi="Times New Roman"/>
          <w:sz w:val="18"/>
          <w:szCs w:val="18"/>
          <w:color w:val="343436"/>
        </w:rPr>
        <w:t>s</w:t>
      </w:r>
      <w:r>
        <w:rPr>
          <w:rFonts w:ascii="Times New Roman" w:cs="Times New Roman" w:eastAsia="Times New Roman" w:hAnsi="Times New Roman"/>
          <w:sz w:val="18"/>
          <w:szCs w:val="18"/>
          <w:color w:val="232326"/>
        </w:rPr>
        <w:t xml:space="preserve"> remedy </w:t>
      </w:r>
      <w:r>
        <w:rPr>
          <w:rFonts w:ascii="Times New Roman" w:cs="Times New Roman" w:eastAsia="Times New Roman" w:hAnsi="Times New Roman"/>
          <w:sz w:val="18"/>
          <w:szCs w:val="18"/>
          <w:color w:val="343436"/>
        </w:rPr>
        <w:t>at</w:t>
      </w:r>
      <w:r>
        <w:rPr>
          <w:rFonts w:ascii="Times New Roman" w:cs="Times New Roman" w:eastAsia="Times New Roman" w:hAnsi="Times New Roman"/>
          <w:sz w:val="18"/>
          <w:szCs w:val="18"/>
          <w:color w:val="232326"/>
        </w:rPr>
        <w:t xml:space="preserve"> law for </w:t>
      </w:r>
      <w:r>
        <w:rPr>
          <w:rFonts w:ascii="Times New Roman" w:cs="Times New Roman" w:eastAsia="Times New Roman" w:hAnsi="Times New Roman"/>
          <w:sz w:val="18"/>
          <w:szCs w:val="18"/>
          <w:color w:val="343436"/>
        </w:rPr>
        <w:t>any such</w:t>
      </w:r>
      <w:r>
        <w:rPr>
          <w:rFonts w:ascii="Times New Roman" w:cs="Times New Roman" w:eastAsia="Times New Roman" w:hAnsi="Times New Roman"/>
          <w:sz w:val="18"/>
          <w:szCs w:val="18"/>
          <w:color w:val="232326"/>
        </w:rPr>
        <w:t xml:space="preserve"> breach </w:t>
      </w:r>
      <w:r>
        <w:rPr>
          <w:rFonts w:ascii="Times New Roman" w:cs="Times New Roman" w:eastAsia="Times New Roman" w:hAnsi="Times New Roman"/>
          <w:sz w:val="18"/>
          <w:szCs w:val="18"/>
          <w:color w:val="343436"/>
        </w:rPr>
        <w:t>will</w:t>
      </w:r>
      <w:r>
        <w:rPr>
          <w:rFonts w:ascii="Times New Roman" w:cs="Times New Roman" w:eastAsia="Times New Roman" w:hAnsi="Times New Roman"/>
          <w:sz w:val="18"/>
          <w:szCs w:val="18"/>
          <w:color w:val="232326"/>
        </w:rPr>
        <w:t xml:space="preserve"> be inadequate. </w:t>
      </w:r>
      <w:r>
        <w:rPr>
          <w:rFonts w:ascii="Times New Roman" w:cs="Times New Roman" w:eastAsia="Times New Roman" w:hAnsi="Times New Roman"/>
          <w:sz w:val="18"/>
          <w:szCs w:val="18"/>
          <w:color w:val="343436"/>
        </w:rPr>
        <w:t>Accordingly</w:t>
      </w:r>
      <w:r>
        <w:rPr>
          <w:rFonts w:ascii="Times New Roman" w:cs="Times New Roman" w:eastAsia="Times New Roman" w:hAnsi="Times New Roman"/>
          <w:sz w:val="18"/>
          <w:szCs w:val="18"/>
          <w:color w:val="4D4B4D"/>
        </w:rPr>
        <w:t>,</w:t>
      </w:r>
      <w:r>
        <w:rPr>
          <w:rFonts w:ascii="Times New Roman" w:cs="Times New Roman" w:eastAsia="Times New Roman" w:hAnsi="Times New Roman"/>
          <w:sz w:val="18"/>
          <w:szCs w:val="18"/>
          <w:color w:val="343436"/>
        </w:rPr>
        <w:t xml:space="preserve"> </w:t>
      </w:r>
      <w:r>
        <w:rPr>
          <w:rFonts w:ascii="Times New Roman" w:cs="Times New Roman" w:eastAsia="Times New Roman" w:hAnsi="Times New Roman"/>
          <w:sz w:val="18"/>
          <w:szCs w:val="18"/>
          <w:color w:val="232326"/>
        </w:rPr>
        <w:t>in addition</w:t>
      </w:r>
      <w:r>
        <w:rPr>
          <w:rFonts w:ascii="Times New Roman" w:cs="Times New Roman" w:eastAsia="Times New Roman" w:hAnsi="Times New Roman"/>
          <w:sz w:val="18"/>
          <w:szCs w:val="18"/>
          <w:color w:val="343436"/>
        </w:rPr>
        <w:t xml:space="preserve"> to </w:t>
      </w:r>
      <w:r>
        <w:rPr>
          <w:rFonts w:ascii="Times New Roman" w:cs="Times New Roman" w:eastAsia="Times New Roman" w:hAnsi="Times New Roman"/>
          <w:sz w:val="18"/>
          <w:szCs w:val="18"/>
          <w:color w:val="232326"/>
        </w:rPr>
        <w:t>any</w:t>
      </w:r>
      <w:r>
        <w:rPr>
          <w:rFonts w:ascii="Times New Roman" w:cs="Times New Roman" w:eastAsia="Times New Roman" w:hAnsi="Times New Roman"/>
          <w:sz w:val="18"/>
          <w:szCs w:val="18"/>
          <w:color w:val="343436"/>
        </w:rPr>
        <w:t xml:space="preserve"> and all </w:t>
      </w:r>
      <w:r>
        <w:rPr>
          <w:rFonts w:ascii="Times New Roman" w:cs="Times New Roman" w:eastAsia="Times New Roman" w:hAnsi="Times New Roman"/>
          <w:sz w:val="18"/>
          <w:szCs w:val="18"/>
          <w:color w:val="232326"/>
        </w:rPr>
        <w:t>other remedies that may be</w:t>
      </w:r>
      <w:r>
        <w:rPr>
          <w:rFonts w:ascii="Times New Roman" w:cs="Times New Roman" w:eastAsia="Times New Roman" w:hAnsi="Times New Roman"/>
          <w:sz w:val="18"/>
          <w:szCs w:val="18"/>
          <w:color w:val="343436"/>
        </w:rPr>
        <w:t xml:space="preserve"> available </w:t>
      </w:r>
      <w:r>
        <w:rPr>
          <w:rFonts w:ascii="Times New Roman" w:cs="Times New Roman" w:eastAsia="Times New Roman" w:hAnsi="Times New Roman"/>
          <w:sz w:val="18"/>
          <w:szCs w:val="18"/>
          <w:color w:val="232326"/>
        </w:rPr>
        <w:t>to the</w:t>
      </w:r>
      <w:r>
        <w:rPr>
          <w:rFonts w:ascii="Times New Roman" w:cs="Times New Roman" w:eastAsia="Times New Roman" w:hAnsi="Times New Roman"/>
          <w:sz w:val="18"/>
          <w:szCs w:val="18"/>
          <w:color w:val="343436"/>
        </w:rPr>
        <w:t xml:space="preserve"> Employer </w:t>
      </w:r>
      <w:r>
        <w:rPr>
          <w:rFonts w:ascii="Times New Roman" w:cs="Times New Roman" w:eastAsia="Times New Roman" w:hAnsi="Times New Roman"/>
          <w:sz w:val="18"/>
          <w:szCs w:val="18"/>
          <w:color w:val="232326"/>
        </w:rPr>
        <w:t>and/or the</w:t>
      </w:r>
      <w:r>
        <w:rPr>
          <w:rFonts w:ascii="Times New Roman" w:cs="Times New Roman" w:eastAsia="Times New Roman" w:hAnsi="Times New Roman"/>
          <w:sz w:val="18"/>
          <w:szCs w:val="18"/>
          <w:color w:val="343436"/>
        </w:rPr>
        <w:t xml:space="preserve"> Company</w:t>
      </w:r>
      <w:r>
        <w:rPr>
          <w:rFonts w:ascii="Times New Roman" w:cs="Times New Roman" w:eastAsia="Times New Roman" w:hAnsi="Times New Roman"/>
          <w:sz w:val="18"/>
          <w:szCs w:val="18"/>
          <w:color w:val="4D4B4D"/>
        </w:rPr>
        <w:t>,</w:t>
      </w:r>
      <w:r>
        <w:rPr>
          <w:rFonts w:ascii="Times New Roman" w:cs="Times New Roman" w:eastAsia="Times New Roman" w:hAnsi="Times New Roman"/>
          <w:sz w:val="18"/>
          <w:szCs w:val="18"/>
          <w:color w:val="343436"/>
        </w:rPr>
        <w:t xml:space="preserve"> any court </w:t>
      </w:r>
      <w:r>
        <w:rPr>
          <w:rFonts w:ascii="Times New Roman" w:cs="Times New Roman" w:eastAsia="Times New Roman" w:hAnsi="Times New Roman"/>
          <w:sz w:val="18"/>
          <w:szCs w:val="18"/>
          <w:color w:val="232326"/>
        </w:rPr>
        <w:t>of</w:t>
      </w:r>
      <w:r>
        <w:rPr>
          <w:rFonts w:ascii="Times New Roman" w:cs="Times New Roman" w:eastAsia="Times New Roman" w:hAnsi="Times New Roman"/>
          <w:sz w:val="18"/>
          <w:szCs w:val="18"/>
          <w:color w:val="343436"/>
        </w:rPr>
        <w:t xml:space="preserve"> competent </w:t>
      </w:r>
      <w:r>
        <w:rPr>
          <w:rFonts w:ascii="Times New Roman" w:cs="Times New Roman" w:eastAsia="Times New Roman" w:hAnsi="Times New Roman"/>
          <w:sz w:val="18"/>
          <w:szCs w:val="18"/>
          <w:color w:val="232326"/>
        </w:rPr>
        <w:t>jurisdiction</w:t>
      </w:r>
      <w:r>
        <w:rPr>
          <w:rFonts w:ascii="Times New Roman" w:cs="Times New Roman" w:eastAsia="Times New Roman" w:hAnsi="Times New Roman"/>
          <w:sz w:val="18"/>
          <w:szCs w:val="18"/>
          <w:color w:val="343436"/>
        </w:rPr>
        <w:t xml:space="preserve"> may </w:t>
      </w:r>
      <w:r>
        <w:rPr>
          <w:rFonts w:ascii="Times New Roman" w:cs="Times New Roman" w:eastAsia="Times New Roman" w:hAnsi="Times New Roman"/>
          <w:sz w:val="18"/>
          <w:szCs w:val="18"/>
          <w:color w:val="232326"/>
        </w:rPr>
        <w:t>issue</w:t>
      </w:r>
      <w:r>
        <w:rPr>
          <w:rFonts w:ascii="Times New Roman" w:cs="Times New Roman" w:eastAsia="Times New Roman" w:hAnsi="Times New Roman"/>
          <w:sz w:val="18"/>
          <w:szCs w:val="18"/>
          <w:color w:val="343436"/>
        </w:rPr>
        <w:t xml:space="preserve"> a </w:t>
      </w:r>
      <w:r>
        <w:rPr>
          <w:rFonts w:ascii="Times New Roman" w:cs="Times New Roman" w:eastAsia="Times New Roman" w:hAnsi="Times New Roman"/>
          <w:sz w:val="18"/>
          <w:szCs w:val="18"/>
          <w:color w:val="232326"/>
        </w:rPr>
        <w:t>decree</w:t>
      </w:r>
      <w:r>
        <w:rPr>
          <w:rFonts w:ascii="Times New Roman" w:cs="Times New Roman" w:eastAsia="Times New Roman" w:hAnsi="Times New Roman"/>
          <w:sz w:val="18"/>
          <w:szCs w:val="18"/>
          <w:color w:val="343436"/>
        </w:rPr>
        <w:t xml:space="preserve"> of specific </w:t>
      </w:r>
      <w:r>
        <w:rPr>
          <w:rFonts w:ascii="Times New Roman" w:cs="Times New Roman" w:eastAsia="Times New Roman" w:hAnsi="Times New Roman"/>
          <w:sz w:val="18"/>
          <w:szCs w:val="18"/>
          <w:color w:val="232326"/>
        </w:rPr>
        <w:t>performance or issu</w:t>
      </w:r>
      <w:r>
        <w:rPr>
          <w:rFonts w:ascii="Times New Roman" w:cs="Times New Roman" w:eastAsia="Times New Roman" w:hAnsi="Times New Roman"/>
          <w:sz w:val="18"/>
          <w:szCs w:val="18"/>
          <w:color w:val="4D4B4D"/>
        </w:rPr>
        <w:t>e</w:t>
      </w:r>
      <w:r>
        <w:rPr>
          <w:rFonts w:ascii="Times New Roman" w:cs="Times New Roman" w:eastAsia="Times New Roman" w:hAnsi="Times New Roman"/>
          <w:sz w:val="18"/>
          <w:szCs w:val="18"/>
          <w:color w:val="343436"/>
        </w:rPr>
        <w:t xml:space="preserve"> a </w:t>
      </w:r>
      <w:r>
        <w:rPr>
          <w:rFonts w:ascii="Times New Roman" w:cs="Times New Roman" w:eastAsia="Times New Roman" w:hAnsi="Times New Roman"/>
          <w:sz w:val="18"/>
          <w:szCs w:val="18"/>
          <w:color w:val="232326"/>
        </w:rPr>
        <w:t>temporary</w:t>
      </w:r>
      <w:r>
        <w:rPr>
          <w:rFonts w:ascii="Times New Roman" w:cs="Times New Roman" w:eastAsia="Times New Roman" w:hAnsi="Times New Roman"/>
          <w:sz w:val="18"/>
          <w:szCs w:val="18"/>
          <w:color w:val="343436"/>
        </w:rPr>
        <w:t xml:space="preserve"> and </w:t>
      </w:r>
      <w:r>
        <w:rPr>
          <w:rFonts w:ascii="Times New Roman" w:cs="Times New Roman" w:eastAsia="Times New Roman" w:hAnsi="Times New Roman"/>
          <w:sz w:val="18"/>
          <w:szCs w:val="18"/>
          <w:color w:val="232326"/>
        </w:rPr>
        <w:t>permanent</w:t>
      </w:r>
      <w:r>
        <w:rPr>
          <w:rFonts w:ascii="Times New Roman" w:cs="Times New Roman" w:eastAsia="Times New Roman" w:hAnsi="Times New Roman"/>
          <w:sz w:val="18"/>
          <w:szCs w:val="18"/>
          <w:color w:val="343436"/>
        </w:rPr>
        <w:t xml:space="preserve"> injunction</w:t>
      </w:r>
      <w:r>
        <w:rPr>
          <w:rFonts w:ascii="Times New Roman" w:cs="Times New Roman" w:eastAsia="Times New Roman" w:hAnsi="Times New Roman"/>
          <w:sz w:val="18"/>
          <w:szCs w:val="18"/>
          <w:color w:val="4D4B4D"/>
        </w:rPr>
        <w:t>,</w:t>
      </w:r>
      <w:r>
        <w:rPr>
          <w:rFonts w:ascii="Times New Roman" w:cs="Times New Roman" w:eastAsia="Times New Roman" w:hAnsi="Times New Roman"/>
          <w:sz w:val="18"/>
          <w:szCs w:val="18"/>
          <w:color w:val="343436"/>
        </w:rPr>
        <w:t xml:space="preserve"> without </w:t>
      </w:r>
      <w:r>
        <w:rPr>
          <w:rFonts w:ascii="Times New Roman" w:cs="Times New Roman" w:eastAsia="Times New Roman" w:hAnsi="Times New Roman"/>
          <w:sz w:val="18"/>
          <w:szCs w:val="18"/>
          <w:color w:val="232326"/>
        </w:rPr>
        <w:t>the necessity of the</w:t>
      </w:r>
      <w:r>
        <w:rPr>
          <w:rFonts w:ascii="Times New Roman" w:cs="Times New Roman" w:eastAsia="Times New Roman" w:hAnsi="Times New Roman"/>
          <w:sz w:val="18"/>
          <w:szCs w:val="18"/>
          <w:color w:val="343436"/>
        </w:rPr>
        <w:t xml:space="preserve"> Employer </w:t>
      </w:r>
      <w:r>
        <w:rPr>
          <w:rFonts w:ascii="Times New Roman" w:cs="Times New Roman" w:eastAsia="Times New Roman" w:hAnsi="Times New Roman"/>
          <w:sz w:val="18"/>
          <w:szCs w:val="18"/>
          <w:color w:val="232326"/>
        </w:rPr>
        <w:t>or the Company</w:t>
      </w:r>
      <w:r>
        <w:rPr>
          <w:rFonts w:ascii="Times New Roman" w:cs="Times New Roman" w:eastAsia="Times New Roman" w:hAnsi="Times New Roman"/>
          <w:sz w:val="18"/>
          <w:szCs w:val="18"/>
          <w:color w:val="343436"/>
        </w:rPr>
        <w:t xml:space="preserve"> </w:t>
      </w:r>
      <w:r>
        <w:rPr>
          <w:rFonts w:ascii="Times New Roman" w:cs="Times New Roman" w:eastAsia="Times New Roman" w:hAnsi="Times New Roman"/>
          <w:sz w:val="18"/>
          <w:szCs w:val="18"/>
          <w:color w:val="232326"/>
        </w:rPr>
        <w:t xml:space="preserve">posting bond or furnishing other </w:t>
      </w:r>
      <w:r>
        <w:rPr>
          <w:rFonts w:ascii="Times New Roman" w:cs="Times New Roman" w:eastAsia="Times New Roman" w:hAnsi="Times New Roman"/>
          <w:sz w:val="18"/>
          <w:szCs w:val="18"/>
          <w:color w:val="343436"/>
        </w:rPr>
        <w:t>security</w:t>
      </w:r>
      <w:r>
        <w:rPr>
          <w:rFonts w:ascii="Times New Roman" w:cs="Times New Roman" w:eastAsia="Times New Roman" w:hAnsi="Times New Roman"/>
          <w:sz w:val="18"/>
          <w:szCs w:val="18"/>
          <w:color w:val="232326"/>
        </w:rPr>
        <w:t xml:space="preserve"> and </w:t>
      </w:r>
      <w:r>
        <w:rPr>
          <w:rFonts w:ascii="Times New Roman" w:cs="Times New Roman" w:eastAsia="Times New Roman" w:hAnsi="Times New Roman"/>
          <w:sz w:val="18"/>
          <w:szCs w:val="18"/>
          <w:color w:val="343436"/>
        </w:rPr>
        <w:t>without</w:t>
      </w:r>
      <w:r>
        <w:rPr>
          <w:rFonts w:ascii="Times New Roman" w:cs="Times New Roman" w:eastAsia="Times New Roman" w:hAnsi="Times New Roman"/>
          <w:sz w:val="18"/>
          <w:szCs w:val="18"/>
          <w:color w:val="232326"/>
        </w:rPr>
        <w:t xml:space="preserve"> proving </w:t>
      </w:r>
      <w:r>
        <w:rPr>
          <w:rFonts w:ascii="Times New Roman" w:cs="Times New Roman" w:eastAsia="Times New Roman" w:hAnsi="Times New Roman"/>
          <w:sz w:val="18"/>
          <w:szCs w:val="18"/>
          <w:color w:val="343436"/>
        </w:rPr>
        <w:t>special</w:t>
      </w:r>
      <w:r>
        <w:rPr>
          <w:rFonts w:ascii="Times New Roman" w:cs="Times New Roman" w:eastAsia="Times New Roman" w:hAnsi="Times New Roman"/>
          <w:sz w:val="18"/>
          <w:szCs w:val="18"/>
          <w:color w:val="232326"/>
        </w:rPr>
        <w:t xml:space="preserve"> damage</w:t>
      </w:r>
      <w:r>
        <w:rPr>
          <w:rFonts w:ascii="Times New Roman" w:cs="Times New Roman" w:eastAsia="Times New Roman" w:hAnsi="Times New Roman"/>
          <w:sz w:val="18"/>
          <w:szCs w:val="18"/>
          <w:color w:val="4D4B4D"/>
        </w:rPr>
        <w:t>s</w:t>
      </w:r>
      <w:r>
        <w:rPr>
          <w:rFonts w:ascii="Times New Roman" w:cs="Times New Roman" w:eastAsia="Times New Roman" w:hAnsi="Times New Roman"/>
          <w:sz w:val="18"/>
          <w:szCs w:val="18"/>
          <w:color w:val="232326"/>
        </w:rPr>
        <w:t xml:space="preserve"> </w:t>
      </w:r>
      <w:r>
        <w:rPr>
          <w:rFonts w:ascii="Times New Roman" w:cs="Times New Roman" w:eastAsia="Times New Roman" w:hAnsi="Times New Roman"/>
          <w:sz w:val="18"/>
          <w:szCs w:val="18"/>
          <w:color w:val="343436"/>
        </w:rPr>
        <w:t>or irreparable</w:t>
      </w:r>
      <w:r>
        <w:rPr>
          <w:rFonts w:ascii="Times New Roman" w:cs="Times New Roman" w:eastAsia="Times New Roman" w:hAnsi="Times New Roman"/>
          <w:sz w:val="18"/>
          <w:szCs w:val="18"/>
          <w:color w:val="232326"/>
        </w:rPr>
        <w:t xml:space="preserve"> injury</w:t>
      </w:r>
      <w:r>
        <w:rPr>
          <w:rFonts w:ascii="Times New Roman" w:cs="Times New Roman" w:eastAsia="Times New Roman" w:hAnsi="Times New Roman"/>
          <w:sz w:val="18"/>
          <w:szCs w:val="18"/>
          <w:color w:val="4D4B4D"/>
        </w:rPr>
        <w:t>.</w:t>
      </w:r>
    </w:p>
    <w:p>
      <w:pPr>
        <w:spacing w:after="0" w:line="139" w:lineRule="exact"/>
        <w:rPr>
          <w:sz w:val="20"/>
          <w:szCs w:val="20"/>
          <w:color w:val="auto"/>
        </w:rPr>
      </w:pPr>
    </w:p>
    <w:p>
      <w:pPr>
        <w:ind w:left="680" w:hanging="647"/>
        <w:spacing w:after="0"/>
        <w:tabs>
          <w:tab w:leader="none" w:pos="680" w:val="left"/>
        </w:tabs>
        <w:numPr>
          <w:ilvl w:val="0"/>
          <w:numId w:val="239"/>
        </w:numPr>
        <w:rPr>
          <w:rFonts w:ascii="Times New Roman" w:cs="Times New Roman" w:eastAsia="Times New Roman" w:hAnsi="Times New Roman"/>
          <w:sz w:val="18"/>
          <w:szCs w:val="18"/>
          <w:b w:val="1"/>
          <w:bCs w:val="1"/>
          <w:color w:val="343436"/>
        </w:rPr>
      </w:pPr>
      <w:r>
        <w:rPr>
          <w:rFonts w:ascii="Times New Roman" w:cs="Times New Roman" w:eastAsia="Times New Roman" w:hAnsi="Times New Roman"/>
          <w:sz w:val="18"/>
          <w:szCs w:val="18"/>
          <w:b w:val="1"/>
          <w:bCs w:val="1"/>
          <w:color w:val="343436"/>
        </w:rPr>
        <w:t>Choice-of-Law and Venue.</w:t>
      </w:r>
    </w:p>
    <w:p>
      <w:pPr>
        <w:spacing w:after="0" w:line="202" w:lineRule="exact"/>
        <w:rPr>
          <w:sz w:val="20"/>
          <w:szCs w:val="20"/>
          <w:color w:val="auto"/>
        </w:rPr>
      </w:pPr>
    </w:p>
    <w:p>
      <w:pPr>
        <w:jc w:val="both"/>
        <w:ind w:left="100" w:firstLine="749"/>
        <w:spacing w:after="0" w:line="254" w:lineRule="auto"/>
        <w:rPr>
          <w:sz w:val="20"/>
          <w:szCs w:val="20"/>
          <w:color w:val="auto"/>
        </w:rPr>
      </w:pPr>
      <w:r>
        <w:rPr>
          <w:rFonts w:ascii="Times New Roman" w:cs="Times New Roman" w:eastAsia="Times New Roman" w:hAnsi="Times New Roman"/>
          <w:sz w:val="18"/>
          <w:szCs w:val="18"/>
          <w:color w:val="343436"/>
        </w:rPr>
        <w:t>6.1 The validity</w:t>
      </w:r>
      <w:r>
        <w:rPr>
          <w:rFonts w:ascii="Times New Roman" w:cs="Times New Roman" w:eastAsia="Times New Roman" w:hAnsi="Times New Roman"/>
          <w:sz w:val="18"/>
          <w:szCs w:val="18"/>
          <w:color w:val="4D4B4D"/>
        </w:rPr>
        <w:t>,</w:t>
      </w:r>
      <w:r>
        <w:rPr>
          <w:rFonts w:ascii="Times New Roman" w:cs="Times New Roman" w:eastAsia="Times New Roman" w:hAnsi="Times New Roman"/>
          <w:sz w:val="18"/>
          <w:szCs w:val="18"/>
          <w:color w:val="343436"/>
        </w:rPr>
        <w:t xml:space="preserve"> </w:t>
      </w:r>
      <w:r>
        <w:rPr>
          <w:rFonts w:ascii="Times New Roman" w:cs="Times New Roman" w:eastAsia="Times New Roman" w:hAnsi="Times New Roman"/>
          <w:sz w:val="18"/>
          <w:szCs w:val="18"/>
          <w:color w:val="232326"/>
        </w:rPr>
        <w:t>construction</w:t>
      </w:r>
      <w:r>
        <w:rPr>
          <w:rFonts w:ascii="Times New Roman" w:cs="Times New Roman" w:eastAsia="Times New Roman" w:hAnsi="Times New Roman"/>
          <w:sz w:val="18"/>
          <w:szCs w:val="18"/>
          <w:color w:val="4D4B4D"/>
        </w:rPr>
        <w:t>,</w:t>
      </w:r>
      <w:r>
        <w:rPr>
          <w:rFonts w:ascii="Times New Roman" w:cs="Times New Roman" w:eastAsia="Times New Roman" w:hAnsi="Times New Roman"/>
          <w:sz w:val="18"/>
          <w:szCs w:val="18"/>
          <w:color w:val="343436"/>
        </w:rPr>
        <w:t xml:space="preserve"> and </w:t>
      </w:r>
      <w:r>
        <w:rPr>
          <w:rFonts w:ascii="Times New Roman" w:cs="Times New Roman" w:eastAsia="Times New Roman" w:hAnsi="Times New Roman"/>
          <w:sz w:val="18"/>
          <w:szCs w:val="18"/>
          <w:color w:val="232326"/>
        </w:rPr>
        <w:t>interpretation of this</w:t>
      </w:r>
      <w:r>
        <w:rPr>
          <w:rFonts w:ascii="Times New Roman" w:cs="Times New Roman" w:eastAsia="Times New Roman" w:hAnsi="Times New Roman"/>
          <w:sz w:val="18"/>
          <w:szCs w:val="18"/>
          <w:color w:val="343436"/>
        </w:rPr>
        <w:t xml:space="preserve"> Agreement and </w:t>
      </w:r>
      <w:r>
        <w:rPr>
          <w:rFonts w:ascii="Times New Roman" w:cs="Times New Roman" w:eastAsia="Times New Roman" w:hAnsi="Times New Roman"/>
          <w:sz w:val="18"/>
          <w:szCs w:val="18"/>
          <w:color w:val="232326"/>
        </w:rPr>
        <w:t>the rights</w:t>
      </w:r>
      <w:r>
        <w:rPr>
          <w:rFonts w:ascii="Times New Roman" w:cs="Times New Roman" w:eastAsia="Times New Roman" w:hAnsi="Times New Roman"/>
          <w:sz w:val="18"/>
          <w:szCs w:val="18"/>
          <w:color w:val="343436"/>
        </w:rPr>
        <w:t xml:space="preserve"> and </w:t>
      </w:r>
      <w:r>
        <w:rPr>
          <w:rFonts w:ascii="Times New Roman" w:cs="Times New Roman" w:eastAsia="Times New Roman" w:hAnsi="Times New Roman"/>
          <w:sz w:val="18"/>
          <w:szCs w:val="18"/>
          <w:color w:val="232326"/>
        </w:rPr>
        <w:t>duties</w:t>
      </w:r>
      <w:r>
        <w:rPr>
          <w:rFonts w:ascii="Times New Roman" w:cs="Times New Roman" w:eastAsia="Times New Roman" w:hAnsi="Times New Roman"/>
          <w:sz w:val="18"/>
          <w:szCs w:val="18"/>
          <w:color w:val="343436"/>
        </w:rPr>
        <w:t xml:space="preserve"> of </w:t>
      </w:r>
      <w:r>
        <w:rPr>
          <w:rFonts w:ascii="Times New Roman" w:cs="Times New Roman" w:eastAsia="Times New Roman" w:hAnsi="Times New Roman"/>
          <w:sz w:val="18"/>
          <w:szCs w:val="18"/>
          <w:color w:val="232326"/>
        </w:rPr>
        <w:t>the parties to it</w:t>
      </w:r>
      <w:r>
        <w:rPr>
          <w:rFonts w:ascii="Times New Roman" w:cs="Times New Roman" w:eastAsia="Times New Roman" w:hAnsi="Times New Roman"/>
          <w:sz w:val="18"/>
          <w:szCs w:val="18"/>
          <w:color w:val="343436"/>
        </w:rPr>
        <w:t xml:space="preserve"> shall </w:t>
      </w:r>
      <w:r>
        <w:rPr>
          <w:rFonts w:ascii="Times New Roman" w:cs="Times New Roman" w:eastAsia="Times New Roman" w:hAnsi="Times New Roman"/>
          <w:sz w:val="18"/>
          <w:szCs w:val="18"/>
          <w:color w:val="232326"/>
        </w:rPr>
        <w:t>be</w:t>
      </w:r>
      <w:r>
        <w:rPr>
          <w:rFonts w:ascii="Times New Roman" w:cs="Times New Roman" w:eastAsia="Times New Roman" w:hAnsi="Times New Roman"/>
          <w:sz w:val="18"/>
          <w:szCs w:val="18"/>
          <w:color w:val="343436"/>
        </w:rPr>
        <w:t xml:space="preserve"> governed </w:t>
      </w:r>
      <w:r>
        <w:rPr>
          <w:rFonts w:ascii="Times New Roman" w:cs="Times New Roman" w:eastAsia="Times New Roman" w:hAnsi="Times New Roman"/>
          <w:sz w:val="18"/>
          <w:szCs w:val="18"/>
          <w:color w:val="232326"/>
        </w:rPr>
        <w:t>by</w:t>
      </w:r>
      <w:r>
        <w:rPr>
          <w:rFonts w:ascii="Times New Roman" w:cs="Times New Roman" w:eastAsia="Times New Roman" w:hAnsi="Times New Roman"/>
          <w:sz w:val="18"/>
          <w:szCs w:val="18"/>
          <w:color w:val="343436"/>
        </w:rPr>
        <w:t xml:space="preserve"> </w:t>
      </w:r>
      <w:r>
        <w:rPr>
          <w:rFonts w:ascii="Times New Roman" w:cs="Times New Roman" w:eastAsia="Times New Roman" w:hAnsi="Times New Roman"/>
          <w:sz w:val="18"/>
          <w:szCs w:val="18"/>
          <w:color w:val="232326"/>
        </w:rPr>
        <w:t xml:space="preserve">the laws </w:t>
      </w:r>
      <w:r>
        <w:rPr>
          <w:rFonts w:ascii="Times New Roman" w:cs="Times New Roman" w:eastAsia="Times New Roman" w:hAnsi="Times New Roman"/>
          <w:sz w:val="18"/>
          <w:szCs w:val="18"/>
          <w:color w:val="343436"/>
        </w:rPr>
        <w:t>of</w:t>
      </w:r>
      <w:r>
        <w:rPr>
          <w:rFonts w:ascii="Times New Roman" w:cs="Times New Roman" w:eastAsia="Times New Roman" w:hAnsi="Times New Roman"/>
          <w:sz w:val="18"/>
          <w:szCs w:val="18"/>
          <w:color w:val="232326"/>
        </w:rPr>
        <w:t xml:space="preserve"> Illinois. To the extent </w:t>
      </w:r>
      <w:r>
        <w:rPr>
          <w:rFonts w:ascii="Times New Roman" w:cs="Times New Roman" w:eastAsia="Times New Roman" w:hAnsi="Times New Roman"/>
          <w:sz w:val="18"/>
          <w:szCs w:val="18"/>
          <w:color w:val="343436"/>
        </w:rPr>
        <w:t>an</w:t>
      </w:r>
      <w:r>
        <w:rPr>
          <w:rFonts w:ascii="Times New Roman" w:cs="Times New Roman" w:eastAsia="Times New Roman" w:hAnsi="Times New Roman"/>
          <w:sz w:val="18"/>
          <w:szCs w:val="18"/>
          <w:color w:val="232326"/>
        </w:rPr>
        <w:t xml:space="preserve"> injunction is necessary to prevent or respond to breach </w:t>
      </w:r>
      <w:r>
        <w:rPr>
          <w:rFonts w:ascii="Times New Roman" w:cs="Times New Roman" w:eastAsia="Times New Roman" w:hAnsi="Times New Roman"/>
          <w:sz w:val="18"/>
          <w:szCs w:val="18"/>
          <w:color w:val="343436"/>
        </w:rPr>
        <w:t>of</w:t>
      </w:r>
      <w:r>
        <w:rPr>
          <w:rFonts w:ascii="Times New Roman" w:cs="Times New Roman" w:eastAsia="Times New Roman" w:hAnsi="Times New Roman"/>
          <w:sz w:val="18"/>
          <w:szCs w:val="18"/>
          <w:color w:val="232326"/>
        </w:rPr>
        <w:t xml:space="preserve"> this </w:t>
      </w:r>
      <w:r>
        <w:rPr>
          <w:rFonts w:ascii="Times New Roman" w:cs="Times New Roman" w:eastAsia="Times New Roman" w:hAnsi="Times New Roman"/>
          <w:sz w:val="18"/>
          <w:szCs w:val="18"/>
          <w:color w:val="343436"/>
        </w:rPr>
        <w:t>Agreement or any</w:t>
      </w:r>
      <w:r>
        <w:rPr>
          <w:rFonts w:ascii="Times New Roman" w:cs="Times New Roman" w:eastAsia="Times New Roman" w:hAnsi="Times New Roman"/>
          <w:sz w:val="18"/>
          <w:szCs w:val="18"/>
          <w:color w:val="232326"/>
        </w:rPr>
        <w:t xml:space="preserve"> other </w:t>
      </w:r>
      <w:r>
        <w:rPr>
          <w:rFonts w:ascii="Times New Roman" w:cs="Times New Roman" w:eastAsia="Times New Roman" w:hAnsi="Times New Roman"/>
          <w:sz w:val="18"/>
          <w:szCs w:val="18"/>
          <w:color w:val="343436"/>
        </w:rPr>
        <w:t>agreement</w:t>
      </w:r>
      <w:r>
        <w:rPr>
          <w:rFonts w:ascii="Times New Roman" w:cs="Times New Roman" w:eastAsia="Times New Roman" w:hAnsi="Times New Roman"/>
          <w:sz w:val="18"/>
          <w:szCs w:val="18"/>
          <w:color w:val="232326"/>
        </w:rPr>
        <w:t xml:space="preserve"> between </w:t>
      </w:r>
      <w:r>
        <w:rPr>
          <w:rFonts w:ascii="Times New Roman" w:cs="Times New Roman" w:eastAsia="Times New Roman" w:hAnsi="Times New Roman"/>
          <w:sz w:val="18"/>
          <w:szCs w:val="18"/>
          <w:color w:val="343436"/>
        </w:rPr>
        <w:t>you and</w:t>
      </w:r>
      <w:r>
        <w:rPr>
          <w:rFonts w:ascii="Times New Roman" w:cs="Times New Roman" w:eastAsia="Times New Roman" w:hAnsi="Times New Roman"/>
          <w:sz w:val="18"/>
          <w:szCs w:val="18"/>
          <w:color w:val="232326"/>
        </w:rPr>
        <w:t xml:space="preserve"> the </w:t>
      </w:r>
      <w:r>
        <w:rPr>
          <w:rFonts w:ascii="Times New Roman" w:cs="Times New Roman" w:eastAsia="Times New Roman" w:hAnsi="Times New Roman"/>
          <w:sz w:val="18"/>
          <w:szCs w:val="18"/>
          <w:color w:val="343436"/>
        </w:rPr>
        <w:t>Employer</w:t>
      </w:r>
      <w:r>
        <w:rPr>
          <w:rFonts w:ascii="Times New Roman" w:cs="Times New Roman" w:eastAsia="Times New Roman" w:hAnsi="Times New Roman"/>
          <w:sz w:val="18"/>
          <w:szCs w:val="18"/>
          <w:color w:val="5D5D5D"/>
        </w:rPr>
        <w:t>,</w:t>
      </w:r>
      <w:r>
        <w:rPr>
          <w:rFonts w:ascii="Times New Roman" w:cs="Times New Roman" w:eastAsia="Times New Roman" w:hAnsi="Times New Roman"/>
          <w:sz w:val="18"/>
          <w:szCs w:val="18"/>
          <w:color w:val="232326"/>
        </w:rPr>
        <w:t xml:space="preserve"> </w:t>
      </w:r>
      <w:r>
        <w:rPr>
          <w:rFonts w:ascii="Times New Roman" w:cs="Times New Roman" w:eastAsia="Times New Roman" w:hAnsi="Times New Roman"/>
          <w:sz w:val="18"/>
          <w:szCs w:val="18"/>
          <w:color w:val="343436"/>
        </w:rPr>
        <w:t>said equitable suit</w:t>
      </w:r>
      <w:r>
        <w:rPr>
          <w:rFonts w:ascii="Times New Roman" w:cs="Times New Roman" w:eastAsia="Times New Roman" w:hAnsi="Times New Roman"/>
          <w:sz w:val="18"/>
          <w:szCs w:val="18"/>
          <w:color w:val="5D5D5D"/>
        </w:rPr>
        <w:t>,</w:t>
      </w:r>
      <w:r>
        <w:rPr>
          <w:rFonts w:ascii="Times New Roman" w:cs="Times New Roman" w:eastAsia="Times New Roman" w:hAnsi="Times New Roman"/>
          <w:sz w:val="18"/>
          <w:szCs w:val="18"/>
          <w:color w:val="232326"/>
        </w:rPr>
        <w:t xml:space="preserve"> </w:t>
      </w:r>
      <w:r>
        <w:rPr>
          <w:rFonts w:ascii="Times New Roman" w:cs="Times New Roman" w:eastAsia="Times New Roman" w:hAnsi="Times New Roman"/>
          <w:sz w:val="18"/>
          <w:szCs w:val="18"/>
          <w:color w:val="343436"/>
        </w:rPr>
        <w:t>shall</w:t>
      </w:r>
      <w:r>
        <w:rPr>
          <w:rFonts w:ascii="Times New Roman" w:cs="Times New Roman" w:eastAsia="Times New Roman" w:hAnsi="Times New Roman"/>
          <w:sz w:val="18"/>
          <w:szCs w:val="18"/>
          <w:color w:val="232326"/>
        </w:rPr>
        <w:t xml:space="preserve"> be brought </w:t>
      </w:r>
      <w:r>
        <w:rPr>
          <w:rFonts w:ascii="Times New Roman" w:cs="Times New Roman" w:eastAsia="Times New Roman" w:hAnsi="Times New Roman"/>
          <w:sz w:val="18"/>
          <w:szCs w:val="18"/>
          <w:color w:val="343436"/>
        </w:rPr>
        <w:t>and tried</w:t>
      </w:r>
      <w:r>
        <w:rPr>
          <w:rFonts w:ascii="Times New Roman" w:cs="Times New Roman" w:eastAsia="Times New Roman" w:hAnsi="Times New Roman"/>
          <w:sz w:val="18"/>
          <w:szCs w:val="18"/>
          <w:color w:val="232326"/>
        </w:rPr>
        <w:t xml:space="preserve"> only in </w:t>
      </w:r>
      <w:r>
        <w:rPr>
          <w:rFonts w:ascii="Times New Roman" w:cs="Times New Roman" w:eastAsia="Times New Roman" w:hAnsi="Times New Roman"/>
          <w:sz w:val="18"/>
          <w:szCs w:val="18"/>
          <w:color w:val="343436"/>
        </w:rPr>
        <w:t>an</w:t>
      </w:r>
      <w:r>
        <w:rPr>
          <w:rFonts w:ascii="Times New Roman" w:cs="Times New Roman" w:eastAsia="Times New Roman" w:hAnsi="Times New Roman"/>
          <w:sz w:val="18"/>
          <w:szCs w:val="18"/>
          <w:color w:val="232326"/>
        </w:rPr>
        <w:t xml:space="preserve"> Illinois </w:t>
      </w:r>
      <w:r>
        <w:rPr>
          <w:rFonts w:ascii="Times New Roman" w:cs="Times New Roman" w:eastAsia="Times New Roman" w:hAnsi="Times New Roman"/>
          <w:sz w:val="18"/>
          <w:szCs w:val="18"/>
          <w:color w:val="343436"/>
        </w:rPr>
        <w:t>state court</w:t>
      </w:r>
      <w:r>
        <w:rPr>
          <w:rFonts w:ascii="Times New Roman" w:cs="Times New Roman" w:eastAsia="Times New Roman" w:hAnsi="Times New Roman"/>
          <w:sz w:val="18"/>
          <w:szCs w:val="18"/>
          <w:color w:val="232326"/>
        </w:rPr>
        <w:t xml:space="preserve"> or the United States District Court for the Northern District of Illinois </w:t>
      </w:r>
      <w:r>
        <w:rPr>
          <w:rFonts w:ascii="Times New Roman" w:cs="Times New Roman" w:eastAsia="Times New Roman" w:hAnsi="Times New Roman"/>
          <w:sz w:val="18"/>
          <w:szCs w:val="18"/>
          <w:color w:val="343436"/>
        </w:rPr>
        <w:t>(if</w:t>
      </w:r>
      <w:r>
        <w:rPr>
          <w:rFonts w:ascii="Times New Roman" w:cs="Times New Roman" w:eastAsia="Times New Roman" w:hAnsi="Times New Roman"/>
          <w:sz w:val="18"/>
          <w:szCs w:val="18"/>
          <w:color w:val="232326"/>
        </w:rPr>
        <w:t xml:space="preserve"> diversity </w:t>
      </w:r>
      <w:r>
        <w:rPr>
          <w:rFonts w:ascii="Times New Roman" w:cs="Times New Roman" w:eastAsia="Times New Roman" w:hAnsi="Times New Roman"/>
          <w:sz w:val="18"/>
          <w:szCs w:val="18"/>
          <w:color w:val="343436"/>
        </w:rPr>
        <w:t>or federal</w:t>
      </w:r>
      <w:r>
        <w:rPr>
          <w:rFonts w:ascii="Times New Roman" w:cs="Times New Roman" w:eastAsia="Times New Roman" w:hAnsi="Times New Roman"/>
          <w:sz w:val="18"/>
          <w:szCs w:val="18"/>
          <w:color w:val="232326"/>
        </w:rPr>
        <w:t xml:space="preserve"> question jurisdiction </w:t>
      </w:r>
      <w:r>
        <w:rPr>
          <w:rFonts w:ascii="Times New Roman" w:cs="Times New Roman" w:eastAsia="Times New Roman" w:hAnsi="Times New Roman"/>
          <w:sz w:val="18"/>
          <w:szCs w:val="18"/>
          <w:color w:val="343436"/>
        </w:rPr>
        <w:t>exists) except</w:t>
      </w:r>
      <w:r>
        <w:rPr>
          <w:rFonts w:ascii="Times New Roman" w:cs="Times New Roman" w:eastAsia="Times New Roman" w:hAnsi="Times New Roman"/>
          <w:sz w:val="18"/>
          <w:szCs w:val="18"/>
          <w:color w:val="232326"/>
        </w:rPr>
        <w:t xml:space="preserve"> that the </w:t>
      </w:r>
      <w:r>
        <w:rPr>
          <w:rFonts w:ascii="Times New Roman" w:cs="Times New Roman" w:eastAsia="Times New Roman" w:hAnsi="Times New Roman"/>
          <w:sz w:val="18"/>
          <w:szCs w:val="18"/>
          <w:color w:val="343436"/>
        </w:rPr>
        <w:t>Employer</w:t>
      </w:r>
      <w:r>
        <w:rPr>
          <w:rFonts w:ascii="Times New Roman" w:cs="Times New Roman" w:eastAsia="Times New Roman" w:hAnsi="Times New Roman"/>
          <w:sz w:val="18"/>
          <w:szCs w:val="18"/>
          <w:color w:val="232326"/>
        </w:rPr>
        <w:t xml:space="preserve"> or the Company</w:t>
      </w:r>
      <w:r>
        <w:rPr>
          <w:rFonts w:ascii="Times New Roman" w:cs="Times New Roman" w:eastAsia="Times New Roman" w:hAnsi="Times New Roman"/>
          <w:sz w:val="18"/>
          <w:szCs w:val="18"/>
          <w:color w:val="4D4B4D"/>
        </w:rPr>
        <w:t>,</w:t>
      </w:r>
      <w:r>
        <w:rPr>
          <w:rFonts w:ascii="Times New Roman" w:cs="Times New Roman" w:eastAsia="Times New Roman" w:hAnsi="Times New Roman"/>
          <w:sz w:val="18"/>
          <w:szCs w:val="18"/>
          <w:color w:val="232326"/>
        </w:rPr>
        <w:t xml:space="preserve"> in its </w:t>
      </w:r>
      <w:r>
        <w:rPr>
          <w:rFonts w:ascii="Times New Roman" w:cs="Times New Roman" w:eastAsia="Times New Roman" w:hAnsi="Times New Roman"/>
          <w:sz w:val="18"/>
          <w:szCs w:val="18"/>
          <w:color w:val="343436"/>
        </w:rPr>
        <w:t>sol</w:t>
      </w:r>
      <w:r>
        <w:rPr>
          <w:rFonts w:ascii="Times New Roman" w:cs="Times New Roman" w:eastAsia="Times New Roman" w:hAnsi="Times New Roman"/>
          <w:sz w:val="18"/>
          <w:szCs w:val="18"/>
          <w:color w:val="4D4B4D"/>
        </w:rPr>
        <w:t>e</w:t>
      </w:r>
      <w:r>
        <w:rPr>
          <w:rFonts w:ascii="Times New Roman" w:cs="Times New Roman" w:eastAsia="Times New Roman" w:hAnsi="Times New Roman"/>
          <w:sz w:val="18"/>
          <w:szCs w:val="18"/>
          <w:color w:val="232326"/>
        </w:rPr>
        <w:t xml:space="preserve"> </w:t>
      </w:r>
      <w:r>
        <w:rPr>
          <w:rFonts w:ascii="Times New Roman" w:cs="Times New Roman" w:eastAsia="Times New Roman" w:hAnsi="Times New Roman"/>
          <w:sz w:val="18"/>
          <w:szCs w:val="18"/>
          <w:color w:val="343436"/>
        </w:rPr>
        <w:t>election and</w:t>
      </w:r>
      <w:r>
        <w:rPr>
          <w:rFonts w:ascii="Times New Roman" w:cs="Times New Roman" w:eastAsia="Times New Roman" w:hAnsi="Times New Roman"/>
          <w:sz w:val="18"/>
          <w:szCs w:val="18"/>
          <w:color w:val="232326"/>
        </w:rPr>
        <w:t xml:space="preserve"> discretion</w:t>
      </w:r>
      <w:r>
        <w:rPr>
          <w:rFonts w:ascii="Times New Roman" w:cs="Times New Roman" w:eastAsia="Times New Roman" w:hAnsi="Times New Roman"/>
          <w:sz w:val="18"/>
          <w:szCs w:val="18"/>
          <w:color w:val="4D4B4D"/>
        </w:rPr>
        <w:t>,</w:t>
      </w:r>
      <w:r>
        <w:rPr>
          <w:rFonts w:ascii="Times New Roman" w:cs="Times New Roman" w:eastAsia="Times New Roman" w:hAnsi="Times New Roman"/>
          <w:sz w:val="18"/>
          <w:szCs w:val="18"/>
          <w:color w:val="232326"/>
        </w:rPr>
        <w:t xml:space="preserve"> can bring </w:t>
      </w:r>
      <w:r>
        <w:rPr>
          <w:rFonts w:ascii="Times New Roman" w:cs="Times New Roman" w:eastAsia="Times New Roman" w:hAnsi="Times New Roman"/>
          <w:sz w:val="18"/>
          <w:szCs w:val="18"/>
          <w:color w:val="343436"/>
        </w:rPr>
        <w:t>suit</w:t>
      </w:r>
      <w:r>
        <w:rPr>
          <w:rFonts w:ascii="Times New Roman" w:cs="Times New Roman" w:eastAsia="Times New Roman" w:hAnsi="Times New Roman"/>
          <w:sz w:val="18"/>
          <w:szCs w:val="18"/>
          <w:color w:val="232326"/>
        </w:rPr>
        <w:t xml:space="preserve"> in </w:t>
      </w:r>
      <w:r>
        <w:rPr>
          <w:rFonts w:ascii="Times New Roman" w:cs="Times New Roman" w:eastAsia="Times New Roman" w:hAnsi="Times New Roman"/>
          <w:sz w:val="18"/>
          <w:szCs w:val="18"/>
          <w:color w:val="343436"/>
        </w:rPr>
        <w:t>any</w:t>
      </w:r>
      <w:r>
        <w:rPr>
          <w:rFonts w:ascii="Times New Roman" w:cs="Times New Roman" w:eastAsia="Times New Roman" w:hAnsi="Times New Roman"/>
          <w:sz w:val="18"/>
          <w:szCs w:val="18"/>
          <w:color w:val="232326"/>
        </w:rPr>
        <w:t xml:space="preserve"> jurisdiction in </w:t>
      </w:r>
      <w:r>
        <w:rPr>
          <w:rFonts w:ascii="Times New Roman" w:cs="Times New Roman" w:eastAsia="Times New Roman" w:hAnsi="Times New Roman"/>
          <w:sz w:val="18"/>
          <w:szCs w:val="18"/>
          <w:color w:val="343436"/>
        </w:rPr>
        <w:t>which you</w:t>
      </w:r>
      <w:r>
        <w:rPr>
          <w:rFonts w:ascii="Times New Roman" w:cs="Times New Roman" w:eastAsia="Times New Roman" w:hAnsi="Times New Roman"/>
          <w:sz w:val="18"/>
          <w:szCs w:val="18"/>
          <w:color w:val="232326"/>
        </w:rPr>
        <w:t xml:space="preserve"> may be in </w:t>
      </w:r>
      <w:r>
        <w:rPr>
          <w:rFonts w:ascii="Times New Roman" w:cs="Times New Roman" w:eastAsia="Times New Roman" w:hAnsi="Times New Roman"/>
          <w:sz w:val="18"/>
          <w:szCs w:val="18"/>
          <w:color w:val="343436"/>
        </w:rPr>
        <w:t>violation</w:t>
      </w:r>
      <w:r>
        <w:rPr>
          <w:rFonts w:ascii="Times New Roman" w:cs="Times New Roman" w:eastAsia="Times New Roman" w:hAnsi="Times New Roman"/>
          <w:sz w:val="18"/>
          <w:szCs w:val="18"/>
          <w:color w:val="232326"/>
        </w:rPr>
        <w:t xml:space="preserve"> of the Agreement. </w:t>
      </w:r>
      <w:r>
        <w:rPr>
          <w:rFonts w:ascii="Times New Roman" w:cs="Times New Roman" w:eastAsia="Times New Roman" w:hAnsi="Times New Roman"/>
          <w:sz w:val="18"/>
          <w:szCs w:val="18"/>
          <w:color w:val="343436"/>
        </w:rPr>
        <w:t>You consent</w:t>
      </w:r>
      <w:r>
        <w:rPr>
          <w:rFonts w:ascii="Times New Roman" w:cs="Times New Roman" w:eastAsia="Times New Roman" w:hAnsi="Times New Roman"/>
          <w:sz w:val="18"/>
          <w:szCs w:val="18"/>
          <w:color w:val="232326"/>
        </w:rPr>
        <w:t xml:space="preserve"> to the personal jurisdiction </w:t>
      </w:r>
      <w:r>
        <w:rPr>
          <w:rFonts w:ascii="Times New Roman" w:cs="Times New Roman" w:eastAsia="Times New Roman" w:hAnsi="Times New Roman"/>
          <w:sz w:val="18"/>
          <w:szCs w:val="18"/>
          <w:color w:val="343436"/>
        </w:rPr>
        <w:t>of</w:t>
      </w:r>
      <w:r>
        <w:rPr>
          <w:rFonts w:ascii="Times New Roman" w:cs="Times New Roman" w:eastAsia="Times New Roman" w:hAnsi="Times New Roman"/>
          <w:sz w:val="18"/>
          <w:szCs w:val="18"/>
          <w:color w:val="232326"/>
        </w:rPr>
        <w:t xml:space="preserve"> the </w:t>
      </w:r>
      <w:r>
        <w:rPr>
          <w:rFonts w:ascii="Times New Roman" w:cs="Times New Roman" w:eastAsia="Times New Roman" w:hAnsi="Times New Roman"/>
          <w:sz w:val="18"/>
          <w:szCs w:val="18"/>
          <w:color w:val="343436"/>
        </w:rPr>
        <w:t>state courts of</w:t>
      </w:r>
      <w:r>
        <w:rPr>
          <w:rFonts w:ascii="Times New Roman" w:cs="Times New Roman" w:eastAsia="Times New Roman" w:hAnsi="Times New Roman"/>
          <w:sz w:val="18"/>
          <w:szCs w:val="18"/>
          <w:color w:val="232326"/>
        </w:rPr>
        <w:t xml:space="preserve"> Illinois</w:t>
      </w:r>
      <w:r>
        <w:rPr>
          <w:rFonts w:ascii="Times New Roman" w:cs="Times New Roman" w:eastAsia="Times New Roman" w:hAnsi="Times New Roman"/>
          <w:sz w:val="18"/>
          <w:szCs w:val="18"/>
          <w:color w:val="4D4B4D"/>
        </w:rPr>
        <w:t>,</w:t>
      </w:r>
      <w:r>
        <w:rPr>
          <w:rFonts w:ascii="Times New Roman" w:cs="Times New Roman" w:eastAsia="Times New Roman" w:hAnsi="Times New Roman"/>
          <w:sz w:val="18"/>
          <w:szCs w:val="18"/>
          <w:color w:val="232326"/>
        </w:rPr>
        <w:t xml:space="preserve"> the United </w:t>
      </w:r>
      <w:r>
        <w:rPr>
          <w:rFonts w:ascii="Times New Roman" w:cs="Times New Roman" w:eastAsia="Times New Roman" w:hAnsi="Times New Roman"/>
          <w:sz w:val="18"/>
          <w:szCs w:val="18"/>
          <w:color w:val="343436"/>
        </w:rPr>
        <w:t xml:space="preserve">States </w:t>
      </w:r>
      <w:r>
        <w:rPr>
          <w:rFonts w:ascii="Times New Roman" w:cs="Times New Roman" w:eastAsia="Times New Roman" w:hAnsi="Times New Roman"/>
          <w:sz w:val="18"/>
          <w:szCs w:val="18"/>
          <w:color w:val="232326"/>
        </w:rPr>
        <w:t>District Court</w:t>
      </w:r>
      <w:r>
        <w:rPr>
          <w:rFonts w:ascii="Times New Roman" w:cs="Times New Roman" w:eastAsia="Times New Roman" w:hAnsi="Times New Roman"/>
          <w:sz w:val="18"/>
          <w:szCs w:val="18"/>
          <w:color w:val="343436"/>
        </w:rPr>
        <w:t xml:space="preserve"> for the </w:t>
      </w:r>
      <w:r>
        <w:rPr>
          <w:rFonts w:ascii="Times New Roman" w:cs="Times New Roman" w:eastAsia="Times New Roman" w:hAnsi="Times New Roman"/>
          <w:sz w:val="18"/>
          <w:szCs w:val="18"/>
          <w:color w:val="232326"/>
        </w:rPr>
        <w:t>Northern District</w:t>
      </w:r>
      <w:r>
        <w:rPr>
          <w:rFonts w:ascii="Times New Roman" w:cs="Times New Roman" w:eastAsia="Times New Roman" w:hAnsi="Times New Roman"/>
          <w:sz w:val="18"/>
          <w:szCs w:val="18"/>
          <w:color w:val="343436"/>
        </w:rPr>
        <w:t xml:space="preserve"> of </w:t>
      </w:r>
      <w:r>
        <w:rPr>
          <w:rFonts w:ascii="Times New Roman" w:cs="Times New Roman" w:eastAsia="Times New Roman" w:hAnsi="Times New Roman"/>
          <w:sz w:val="18"/>
          <w:szCs w:val="18"/>
          <w:color w:val="232326"/>
        </w:rPr>
        <w:t>Illinois</w:t>
      </w:r>
      <w:r>
        <w:rPr>
          <w:rFonts w:ascii="Times New Roman" w:cs="Times New Roman" w:eastAsia="Times New Roman" w:hAnsi="Times New Roman"/>
          <w:sz w:val="18"/>
          <w:szCs w:val="18"/>
          <w:color w:val="4D4B4D"/>
        </w:rPr>
        <w:t>,</w:t>
      </w:r>
      <w:r>
        <w:rPr>
          <w:rFonts w:ascii="Times New Roman" w:cs="Times New Roman" w:eastAsia="Times New Roman" w:hAnsi="Times New Roman"/>
          <w:sz w:val="18"/>
          <w:szCs w:val="18"/>
          <w:color w:val="343436"/>
        </w:rPr>
        <w:t xml:space="preserve"> or any other </w:t>
      </w:r>
      <w:r>
        <w:rPr>
          <w:rFonts w:ascii="Times New Roman" w:cs="Times New Roman" w:eastAsia="Times New Roman" w:hAnsi="Times New Roman"/>
          <w:sz w:val="18"/>
          <w:szCs w:val="18"/>
          <w:color w:val="232326"/>
        </w:rPr>
        <w:t>jurisdiction</w:t>
      </w:r>
      <w:r>
        <w:rPr>
          <w:rFonts w:ascii="Times New Roman" w:cs="Times New Roman" w:eastAsia="Times New Roman" w:hAnsi="Times New Roman"/>
          <w:sz w:val="18"/>
          <w:szCs w:val="18"/>
          <w:color w:val="343436"/>
        </w:rPr>
        <w:t xml:space="preserve"> in which </w:t>
      </w:r>
      <w:r>
        <w:rPr>
          <w:rFonts w:ascii="Times New Roman" w:cs="Times New Roman" w:eastAsia="Times New Roman" w:hAnsi="Times New Roman"/>
          <w:sz w:val="18"/>
          <w:szCs w:val="18"/>
          <w:color w:val="232326"/>
        </w:rPr>
        <w:t>the</w:t>
      </w:r>
      <w:r>
        <w:rPr>
          <w:rFonts w:ascii="Times New Roman" w:cs="Times New Roman" w:eastAsia="Times New Roman" w:hAnsi="Times New Roman"/>
          <w:sz w:val="18"/>
          <w:szCs w:val="18"/>
          <w:color w:val="343436"/>
        </w:rPr>
        <w:t xml:space="preserve"> Employer or </w:t>
      </w:r>
      <w:r>
        <w:rPr>
          <w:rFonts w:ascii="Times New Roman" w:cs="Times New Roman" w:eastAsia="Times New Roman" w:hAnsi="Times New Roman"/>
          <w:sz w:val="18"/>
          <w:szCs w:val="18"/>
          <w:color w:val="232326"/>
        </w:rPr>
        <w:t>the</w:t>
      </w:r>
      <w:r>
        <w:rPr>
          <w:rFonts w:ascii="Times New Roman" w:cs="Times New Roman" w:eastAsia="Times New Roman" w:hAnsi="Times New Roman"/>
          <w:sz w:val="18"/>
          <w:szCs w:val="18"/>
          <w:color w:val="343436"/>
        </w:rPr>
        <w:t xml:space="preserve"> Company </w:t>
      </w:r>
      <w:r>
        <w:rPr>
          <w:rFonts w:ascii="Times New Roman" w:cs="Times New Roman" w:eastAsia="Times New Roman" w:hAnsi="Times New Roman"/>
          <w:sz w:val="18"/>
          <w:szCs w:val="18"/>
          <w:color w:val="232326"/>
        </w:rPr>
        <w:t>has the right to bring</w:t>
      </w:r>
      <w:r>
        <w:rPr>
          <w:rFonts w:ascii="Times New Roman" w:cs="Times New Roman" w:eastAsia="Times New Roman" w:hAnsi="Times New Roman"/>
          <w:sz w:val="18"/>
          <w:szCs w:val="18"/>
          <w:color w:val="343436"/>
        </w:rPr>
        <w:t xml:space="preserve"> suit and </w:t>
      </w:r>
      <w:r>
        <w:rPr>
          <w:rFonts w:ascii="Times New Roman" w:cs="Times New Roman" w:eastAsia="Times New Roman" w:hAnsi="Times New Roman"/>
          <w:sz w:val="18"/>
          <w:szCs w:val="18"/>
          <w:color w:val="232326"/>
        </w:rPr>
        <w:t xml:space="preserve">expressly </w:t>
      </w:r>
      <w:r>
        <w:rPr>
          <w:rFonts w:ascii="Times New Roman" w:cs="Times New Roman" w:eastAsia="Times New Roman" w:hAnsi="Times New Roman"/>
          <w:sz w:val="18"/>
          <w:szCs w:val="18"/>
          <w:color w:val="343436"/>
        </w:rPr>
        <w:t>waives any right</w:t>
      </w:r>
      <w:r>
        <w:rPr>
          <w:rFonts w:ascii="Times New Roman" w:cs="Times New Roman" w:eastAsia="Times New Roman" w:hAnsi="Times New Roman"/>
          <w:sz w:val="18"/>
          <w:szCs w:val="18"/>
          <w:color w:val="232326"/>
        </w:rPr>
        <w:t xml:space="preserve"> to cause any </w:t>
      </w:r>
      <w:r>
        <w:rPr>
          <w:rFonts w:ascii="Times New Roman" w:cs="Times New Roman" w:eastAsia="Times New Roman" w:hAnsi="Times New Roman"/>
          <w:sz w:val="18"/>
          <w:szCs w:val="18"/>
          <w:color w:val="343436"/>
        </w:rPr>
        <w:t>such actions</w:t>
      </w:r>
      <w:r>
        <w:rPr>
          <w:rFonts w:ascii="Times New Roman" w:cs="Times New Roman" w:eastAsia="Times New Roman" w:hAnsi="Times New Roman"/>
          <w:sz w:val="18"/>
          <w:szCs w:val="18"/>
          <w:color w:val="232326"/>
        </w:rPr>
        <w:t xml:space="preserve"> or proceedings to be brought or </w:t>
      </w:r>
      <w:r>
        <w:rPr>
          <w:rFonts w:ascii="Times New Roman" w:cs="Times New Roman" w:eastAsia="Times New Roman" w:hAnsi="Times New Roman"/>
          <w:sz w:val="18"/>
          <w:szCs w:val="18"/>
          <w:color w:val="343436"/>
        </w:rPr>
        <w:t>tried elsewhere.</w:t>
      </w:r>
      <w:r>
        <w:rPr>
          <w:rFonts w:ascii="Times New Roman" w:cs="Times New Roman" w:eastAsia="Times New Roman" w:hAnsi="Times New Roman"/>
          <w:sz w:val="18"/>
          <w:szCs w:val="18"/>
          <w:color w:val="232326"/>
        </w:rPr>
        <w:t xml:space="preserve"> </w:t>
      </w:r>
      <w:r>
        <w:rPr>
          <w:rFonts w:ascii="Times New Roman" w:cs="Times New Roman" w:eastAsia="Times New Roman" w:hAnsi="Times New Roman"/>
          <w:sz w:val="18"/>
          <w:szCs w:val="18"/>
          <w:b w:val="1"/>
          <w:bCs w:val="1"/>
          <w:color w:val="343436"/>
        </w:rPr>
        <w:t>You</w:t>
      </w:r>
      <w:r>
        <w:rPr>
          <w:rFonts w:ascii="Times New Roman" w:cs="Times New Roman" w:eastAsia="Times New Roman" w:hAnsi="Times New Roman"/>
          <w:sz w:val="18"/>
          <w:szCs w:val="18"/>
          <w:color w:val="232326"/>
        </w:rPr>
        <w:t xml:space="preserve"> </w:t>
      </w:r>
      <w:r>
        <w:rPr>
          <w:rFonts w:ascii="Times New Roman" w:cs="Times New Roman" w:eastAsia="Times New Roman" w:hAnsi="Times New Roman"/>
          <w:sz w:val="18"/>
          <w:szCs w:val="18"/>
          <w:b w:val="1"/>
          <w:bCs w:val="1"/>
          <w:color w:val="232326"/>
        </w:rPr>
        <w:t>further agree to</w:t>
      </w:r>
      <w:r>
        <w:rPr>
          <w:rFonts w:ascii="Times New Roman" w:cs="Times New Roman" w:eastAsia="Times New Roman" w:hAnsi="Times New Roman"/>
          <w:sz w:val="18"/>
          <w:szCs w:val="18"/>
          <w:color w:val="232326"/>
        </w:rPr>
        <w:t xml:space="preserve"> </w:t>
      </w:r>
      <w:r>
        <w:rPr>
          <w:rFonts w:ascii="Times New Roman" w:cs="Times New Roman" w:eastAsia="Times New Roman" w:hAnsi="Times New Roman"/>
          <w:sz w:val="18"/>
          <w:szCs w:val="18"/>
          <w:b w:val="1"/>
          <w:bCs w:val="1"/>
          <w:color w:val="343436"/>
        </w:rPr>
        <w:t>waive any</w:t>
      </w:r>
      <w:r>
        <w:rPr>
          <w:rFonts w:ascii="Times New Roman" w:cs="Times New Roman" w:eastAsia="Times New Roman" w:hAnsi="Times New Roman"/>
          <w:sz w:val="18"/>
          <w:szCs w:val="18"/>
          <w:color w:val="232326"/>
        </w:rPr>
        <w:t xml:space="preserve"> </w:t>
      </w:r>
      <w:r>
        <w:rPr>
          <w:rFonts w:ascii="Times New Roman" w:cs="Times New Roman" w:eastAsia="Times New Roman" w:hAnsi="Times New Roman"/>
          <w:sz w:val="18"/>
          <w:szCs w:val="18"/>
          <w:b w:val="1"/>
          <w:bCs w:val="1"/>
          <w:color w:val="232326"/>
        </w:rPr>
        <w:t>right</w:t>
      </w:r>
      <w:r>
        <w:rPr>
          <w:rFonts w:ascii="Times New Roman" w:cs="Times New Roman" w:eastAsia="Times New Roman" w:hAnsi="Times New Roman"/>
          <w:sz w:val="18"/>
          <w:szCs w:val="18"/>
          <w:color w:val="232326"/>
        </w:rPr>
        <w:t xml:space="preserve"> </w:t>
      </w:r>
      <w:r>
        <w:rPr>
          <w:rFonts w:ascii="Times New Roman" w:cs="Times New Roman" w:eastAsia="Times New Roman" w:hAnsi="Times New Roman"/>
          <w:sz w:val="18"/>
          <w:szCs w:val="18"/>
          <w:b w:val="1"/>
          <w:bCs w:val="1"/>
          <w:color w:val="343436"/>
        </w:rPr>
        <w:t>you</w:t>
      </w:r>
      <w:r>
        <w:rPr>
          <w:rFonts w:ascii="Times New Roman" w:cs="Times New Roman" w:eastAsia="Times New Roman" w:hAnsi="Times New Roman"/>
          <w:sz w:val="18"/>
          <w:szCs w:val="18"/>
          <w:color w:val="232326"/>
        </w:rPr>
        <w:t xml:space="preserve"> </w:t>
      </w:r>
      <w:r>
        <w:rPr>
          <w:rFonts w:ascii="Times New Roman" w:cs="Times New Roman" w:eastAsia="Times New Roman" w:hAnsi="Times New Roman"/>
          <w:sz w:val="18"/>
          <w:szCs w:val="18"/>
          <w:b w:val="1"/>
          <w:bCs w:val="1"/>
          <w:color w:val="232326"/>
        </w:rPr>
        <w:t>otherwise may have to a trial by jury in any action to enforce the terms of this Agreement.</w:t>
      </w:r>
    </w:p>
    <w:p>
      <w:pPr>
        <w:spacing w:after="0" w:line="147" w:lineRule="exact"/>
        <w:rPr>
          <w:sz w:val="20"/>
          <w:szCs w:val="20"/>
          <w:color w:val="auto"/>
        </w:rPr>
      </w:pPr>
    </w:p>
    <w:p>
      <w:pPr>
        <w:ind w:left="680" w:hanging="647"/>
        <w:spacing w:after="0"/>
        <w:tabs>
          <w:tab w:leader="none" w:pos="680" w:val="left"/>
        </w:tabs>
        <w:numPr>
          <w:ilvl w:val="0"/>
          <w:numId w:val="240"/>
        </w:numPr>
        <w:rPr>
          <w:rFonts w:ascii="Times New Roman" w:cs="Times New Roman" w:eastAsia="Times New Roman" w:hAnsi="Times New Roman"/>
          <w:sz w:val="18"/>
          <w:szCs w:val="18"/>
          <w:b w:val="1"/>
          <w:bCs w:val="1"/>
          <w:color w:val="232326"/>
        </w:rPr>
      </w:pPr>
      <w:r>
        <w:rPr>
          <w:rFonts w:ascii="Times New Roman" w:cs="Times New Roman" w:eastAsia="Times New Roman" w:hAnsi="Times New Roman"/>
          <w:sz w:val="18"/>
          <w:szCs w:val="18"/>
          <w:b w:val="1"/>
          <w:bCs w:val="1"/>
          <w:color w:val="232326"/>
        </w:rPr>
        <w:t>State-Specific Modifications</w:t>
      </w:r>
    </w:p>
    <w:p>
      <w:pPr>
        <w:spacing w:after="0" w:line="189" w:lineRule="exact"/>
        <w:rPr>
          <w:sz w:val="20"/>
          <w:szCs w:val="20"/>
          <w:color w:val="auto"/>
        </w:rPr>
      </w:pPr>
    </w:p>
    <w:p>
      <w:pPr>
        <w:ind w:left="120" w:right="20" w:firstLine="719"/>
        <w:spacing w:after="0" w:line="282" w:lineRule="auto"/>
        <w:rPr>
          <w:sz w:val="20"/>
          <w:szCs w:val="20"/>
          <w:color w:val="auto"/>
        </w:rPr>
      </w:pPr>
      <w:r>
        <w:rPr>
          <w:rFonts w:ascii="Times New Roman" w:cs="Times New Roman" w:eastAsia="Times New Roman" w:hAnsi="Times New Roman"/>
          <w:sz w:val="18"/>
          <w:szCs w:val="18"/>
          <w:color w:val="2B2A2D"/>
        </w:rPr>
        <w:t xml:space="preserve">7.1 The following modifications to Section 6.1 shall apply in the specific circumstances set forth below. The provisions </w:t>
      </w:r>
      <w:r>
        <w:rPr>
          <w:rFonts w:ascii="Times New Roman" w:cs="Times New Roman" w:eastAsia="Times New Roman" w:hAnsi="Times New Roman"/>
          <w:sz w:val="18"/>
          <w:szCs w:val="18"/>
          <w:color w:val="1A1A1C"/>
        </w:rPr>
        <w:t>below</w:t>
      </w:r>
      <w:r>
        <w:rPr>
          <w:rFonts w:ascii="Times New Roman" w:cs="Times New Roman" w:eastAsia="Times New Roman" w:hAnsi="Times New Roman"/>
          <w:sz w:val="18"/>
          <w:szCs w:val="18"/>
          <w:color w:val="4F4D4F"/>
        </w:rPr>
        <w:t>,</w:t>
      </w:r>
      <w:r>
        <w:rPr>
          <w:rFonts w:ascii="Times New Roman" w:cs="Times New Roman" w:eastAsia="Times New Roman" w:hAnsi="Times New Roman"/>
          <w:sz w:val="18"/>
          <w:szCs w:val="18"/>
          <w:color w:val="2B2A2D"/>
        </w:rPr>
        <w:t xml:space="preserve"> </w:t>
      </w:r>
      <w:r>
        <w:rPr>
          <w:rFonts w:ascii="Times New Roman" w:cs="Times New Roman" w:eastAsia="Times New Roman" w:hAnsi="Times New Roman"/>
          <w:sz w:val="18"/>
          <w:szCs w:val="18"/>
          <w:color w:val="1A1A1C"/>
        </w:rPr>
        <w:t>if</w:t>
      </w:r>
      <w:r>
        <w:rPr>
          <w:rFonts w:ascii="Times New Roman" w:cs="Times New Roman" w:eastAsia="Times New Roman" w:hAnsi="Times New Roman"/>
          <w:sz w:val="18"/>
          <w:szCs w:val="18"/>
          <w:color w:val="2B2A2D"/>
        </w:rPr>
        <w:t xml:space="preserve"> applicable</w:t>
      </w:r>
      <w:r>
        <w:rPr>
          <w:rFonts w:ascii="Times New Roman" w:cs="Times New Roman" w:eastAsia="Times New Roman" w:hAnsi="Times New Roman"/>
          <w:sz w:val="18"/>
          <w:szCs w:val="18"/>
          <w:color w:val="4F4D4F"/>
        </w:rPr>
        <w:t>,</w:t>
      </w:r>
      <w:r>
        <w:rPr>
          <w:rFonts w:ascii="Times New Roman" w:cs="Times New Roman" w:eastAsia="Times New Roman" w:hAnsi="Times New Roman"/>
          <w:sz w:val="18"/>
          <w:szCs w:val="18"/>
          <w:color w:val="2B2A2D"/>
        </w:rPr>
        <w:t xml:space="preserve"> do not modify this Agreement in any respect other than as expressly stated.</w:t>
      </w:r>
    </w:p>
    <w:p>
      <w:pPr>
        <w:spacing w:after="0" w:line="131" w:lineRule="exact"/>
        <w:rPr>
          <w:sz w:val="20"/>
          <w:szCs w:val="20"/>
          <w:color w:val="auto"/>
        </w:rPr>
      </w:pPr>
    </w:p>
    <w:p>
      <w:pPr>
        <w:jc w:val="both"/>
        <w:ind w:left="820" w:right="20" w:firstLine="755"/>
        <w:spacing w:after="0" w:line="262" w:lineRule="auto"/>
        <w:tabs>
          <w:tab w:leader="none" w:pos="2293" w:val="left"/>
        </w:tabs>
        <w:numPr>
          <w:ilvl w:val="1"/>
          <w:numId w:val="241"/>
        </w:numPr>
        <w:rPr>
          <w:rFonts w:ascii="Times New Roman" w:cs="Times New Roman" w:eastAsia="Times New Roman" w:hAnsi="Times New Roman"/>
          <w:sz w:val="17"/>
          <w:szCs w:val="17"/>
          <w:color w:val="38383B"/>
        </w:rPr>
      </w:pPr>
      <w:r>
        <w:rPr>
          <w:rFonts w:ascii="Times New Roman" w:cs="Times New Roman" w:eastAsia="Times New Roman" w:hAnsi="Times New Roman"/>
          <w:sz w:val="18"/>
          <w:szCs w:val="18"/>
          <w:b w:val="1"/>
          <w:bCs w:val="1"/>
          <w:u w:val="single" w:color="auto"/>
          <w:color w:val="2B2A2D"/>
        </w:rPr>
        <w:t>California.</w:t>
      </w:r>
      <w:r>
        <w:rPr>
          <w:rFonts w:ascii="Times New Roman" w:cs="Times New Roman" w:eastAsia="Times New Roman" w:hAnsi="Times New Roman"/>
          <w:sz w:val="18"/>
          <w:szCs w:val="18"/>
          <w:b w:val="1"/>
          <w:bCs w:val="1"/>
          <w:color w:val="2B2A2D"/>
        </w:rPr>
        <w:t xml:space="preserve"> </w:t>
      </w:r>
      <w:r>
        <w:rPr>
          <w:rFonts w:ascii="Times New Roman" w:cs="Times New Roman" w:eastAsia="Times New Roman" w:hAnsi="Times New Roman"/>
          <w:sz w:val="18"/>
          <w:szCs w:val="18"/>
          <w:color w:val="1A1A1C"/>
        </w:rPr>
        <w:t>During</w:t>
      </w:r>
      <w:r>
        <w:rPr>
          <w:rFonts w:ascii="Times New Roman" w:cs="Times New Roman" w:eastAsia="Times New Roman" w:hAnsi="Times New Roman"/>
          <w:sz w:val="18"/>
          <w:szCs w:val="18"/>
          <w:b w:val="1"/>
          <w:bCs w:val="1"/>
          <w:color w:val="2B2A2D"/>
        </w:rPr>
        <w:t xml:space="preserve"> </w:t>
      </w:r>
      <w:r>
        <w:rPr>
          <w:rFonts w:ascii="Times New Roman" w:cs="Times New Roman" w:eastAsia="Times New Roman" w:hAnsi="Times New Roman"/>
          <w:sz w:val="18"/>
          <w:szCs w:val="18"/>
          <w:color w:val="2B2A2D"/>
        </w:rPr>
        <w:t>any</w:t>
      </w:r>
      <w:r>
        <w:rPr>
          <w:rFonts w:ascii="Times New Roman" w:cs="Times New Roman" w:eastAsia="Times New Roman" w:hAnsi="Times New Roman"/>
          <w:sz w:val="18"/>
          <w:szCs w:val="18"/>
          <w:b w:val="1"/>
          <w:bCs w:val="1"/>
          <w:color w:val="2B2A2D"/>
        </w:rPr>
        <w:t xml:space="preserve"> </w:t>
      </w:r>
      <w:r>
        <w:rPr>
          <w:rFonts w:ascii="Times New Roman" w:cs="Times New Roman" w:eastAsia="Times New Roman" w:hAnsi="Times New Roman"/>
          <w:sz w:val="18"/>
          <w:szCs w:val="18"/>
          <w:color w:val="1A1A1C"/>
        </w:rPr>
        <w:t>period</w:t>
      </w:r>
      <w:r>
        <w:rPr>
          <w:rFonts w:ascii="Times New Roman" w:cs="Times New Roman" w:eastAsia="Times New Roman" w:hAnsi="Times New Roman"/>
          <w:sz w:val="18"/>
          <w:szCs w:val="18"/>
          <w:b w:val="1"/>
          <w:bCs w:val="1"/>
          <w:color w:val="2B2A2D"/>
        </w:rPr>
        <w:t xml:space="preserve"> </w:t>
      </w:r>
      <w:r>
        <w:rPr>
          <w:rFonts w:ascii="Times New Roman" w:cs="Times New Roman" w:eastAsia="Times New Roman" w:hAnsi="Times New Roman"/>
          <w:sz w:val="18"/>
          <w:szCs w:val="18"/>
          <w:color w:val="2B2A2D"/>
        </w:rPr>
        <w:t>that you are a</w:t>
      </w:r>
      <w:r>
        <w:rPr>
          <w:rFonts w:ascii="Times New Roman" w:cs="Times New Roman" w:eastAsia="Times New Roman" w:hAnsi="Times New Roman"/>
          <w:sz w:val="18"/>
          <w:szCs w:val="18"/>
          <w:b w:val="1"/>
          <w:bCs w:val="1"/>
          <w:color w:val="2B2A2D"/>
        </w:rPr>
        <w:t xml:space="preserve"> </w:t>
      </w:r>
      <w:r>
        <w:rPr>
          <w:rFonts w:ascii="Times New Roman" w:cs="Times New Roman" w:eastAsia="Times New Roman" w:hAnsi="Times New Roman"/>
          <w:sz w:val="18"/>
          <w:szCs w:val="18"/>
          <w:color w:val="1A1A1C"/>
        </w:rPr>
        <w:t>resident</w:t>
      </w:r>
      <w:r>
        <w:rPr>
          <w:rFonts w:ascii="Times New Roman" w:cs="Times New Roman" w:eastAsia="Times New Roman" w:hAnsi="Times New Roman"/>
          <w:sz w:val="18"/>
          <w:szCs w:val="18"/>
          <w:b w:val="1"/>
          <w:bCs w:val="1"/>
          <w:color w:val="2B2A2D"/>
        </w:rPr>
        <w:t xml:space="preserve"> </w:t>
      </w:r>
      <w:r>
        <w:rPr>
          <w:rFonts w:ascii="Times New Roman" w:cs="Times New Roman" w:eastAsia="Times New Roman" w:hAnsi="Times New Roman"/>
          <w:sz w:val="18"/>
          <w:szCs w:val="18"/>
          <w:color w:val="2B2A2D"/>
        </w:rPr>
        <w:t>of California and subject</w:t>
      </w:r>
      <w:r>
        <w:rPr>
          <w:rFonts w:ascii="Times New Roman" w:cs="Times New Roman" w:eastAsia="Times New Roman" w:hAnsi="Times New Roman"/>
          <w:sz w:val="18"/>
          <w:szCs w:val="18"/>
          <w:b w:val="1"/>
          <w:bCs w:val="1"/>
          <w:color w:val="2B2A2D"/>
        </w:rPr>
        <w:t xml:space="preserve"> </w:t>
      </w:r>
      <w:r>
        <w:rPr>
          <w:rFonts w:ascii="Times New Roman" w:cs="Times New Roman" w:eastAsia="Times New Roman" w:hAnsi="Times New Roman"/>
          <w:sz w:val="18"/>
          <w:szCs w:val="18"/>
          <w:color w:val="1A1A1C"/>
        </w:rPr>
        <w:t>to</w:t>
      </w:r>
      <w:r>
        <w:rPr>
          <w:rFonts w:ascii="Times New Roman" w:cs="Times New Roman" w:eastAsia="Times New Roman" w:hAnsi="Times New Roman"/>
          <w:sz w:val="18"/>
          <w:szCs w:val="18"/>
          <w:b w:val="1"/>
          <w:bCs w:val="1"/>
          <w:color w:val="2B2A2D"/>
        </w:rPr>
        <w:t xml:space="preserve"> </w:t>
      </w:r>
      <w:r>
        <w:rPr>
          <w:rFonts w:ascii="Times New Roman" w:cs="Times New Roman" w:eastAsia="Times New Roman" w:hAnsi="Times New Roman"/>
          <w:sz w:val="18"/>
          <w:szCs w:val="18"/>
          <w:color w:val="2B2A2D"/>
        </w:rPr>
        <w:t>its</w:t>
      </w:r>
      <w:r>
        <w:rPr>
          <w:rFonts w:ascii="Times New Roman" w:cs="Times New Roman" w:eastAsia="Times New Roman" w:hAnsi="Times New Roman"/>
          <w:sz w:val="18"/>
          <w:szCs w:val="18"/>
          <w:b w:val="1"/>
          <w:bCs w:val="1"/>
          <w:color w:val="2B2A2D"/>
        </w:rPr>
        <w:t xml:space="preserve"> </w:t>
      </w:r>
      <w:r>
        <w:rPr>
          <w:rFonts w:ascii="Times New Roman" w:cs="Times New Roman" w:eastAsia="Times New Roman" w:hAnsi="Times New Roman"/>
          <w:sz w:val="18"/>
          <w:szCs w:val="18"/>
          <w:color w:val="1A1A1C"/>
        </w:rPr>
        <w:t>laws,</w:t>
      </w:r>
      <w:r>
        <w:rPr>
          <w:rFonts w:ascii="Times New Roman" w:cs="Times New Roman" w:eastAsia="Times New Roman" w:hAnsi="Times New Roman"/>
          <w:sz w:val="18"/>
          <w:szCs w:val="18"/>
          <w:b w:val="1"/>
          <w:bCs w:val="1"/>
          <w:color w:val="2B2A2D"/>
        </w:rPr>
        <w:t xml:space="preserve"> </w:t>
      </w:r>
      <w:r>
        <w:rPr>
          <w:rFonts w:ascii="Times New Roman" w:cs="Times New Roman" w:eastAsia="Times New Roman" w:hAnsi="Times New Roman"/>
          <w:sz w:val="18"/>
          <w:szCs w:val="18"/>
          <w:color w:val="2B2A2D"/>
        </w:rPr>
        <w:t>the Choice of Law for this</w:t>
      </w:r>
      <w:r>
        <w:rPr>
          <w:rFonts w:ascii="Times New Roman" w:cs="Times New Roman" w:eastAsia="Times New Roman" w:hAnsi="Times New Roman"/>
          <w:sz w:val="18"/>
          <w:szCs w:val="18"/>
          <w:b w:val="1"/>
          <w:bCs w:val="1"/>
          <w:color w:val="2B2A2D"/>
        </w:rPr>
        <w:t xml:space="preserve"> </w:t>
      </w:r>
      <w:r>
        <w:rPr>
          <w:rFonts w:ascii="Times New Roman" w:cs="Times New Roman" w:eastAsia="Times New Roman" w:hAnsi="Times New Roman"/>
          <w:sz w:val="18"/>
          <w:szCs w:val="18"/>
          <w:color w:val="2B2A2D"/>
        </w:rPr>
        <w:t xml:space="preserve">Agreement shall be California </w:t>
      </w:r>
      <w:r>
        <w:rPr>
          <w:rFonts w:ascii="Times New Roman" w:cs="Times New Roman" w:eastAsia="Times New Roman" w:hAnsi="Times New Roman"/>
          <w:sz w:val="18"/>
          <w:szCs w:val="18"/>
          <w:color w:val="1A1A1C"/>
        </w:rPr>
        <w:t>law</w:t>
      </w:r>
      <w:r>
        <w:rPr>
          <w:rFonts w:ascii="Times New Roman" w:cs="Times New Roman" w:eastAsia="Times New Roman" w:hAnsi="Times New Roman"/>
          <w:sz w:val="18"/>
          <w:szCs w:val="18"/>
          <w:color w:val="4F4D4F"/>
        </w:rPr>
        <w:t>,</w:t>
      </w:r>
      <w:r>
        <w:rPr>
          <w:rFonts w:ascii="Times New Roman" w:cs="Times New Roman" w:eastAsia="Times New Roman" w:hAnsi="Times New Roman"/>
          <w:sz w:val="18"/>
          <w:szCs w:val="18"/>
          <w:color w:val="2B2A2D"/>
        </w:rPr>
        <w:t xml:space="preserve"> and the venue </w:t>
      </w:r>
      <w:r>
        <w:rPr>
          <w:rFonts w:ascii="Times New Roman" w:cs="Times New Roman" w:eastAsia="Times New Roman" w:hAnsi="Times New Roman"/>
          <w:sz w:val="18"/>
          <w:szCs w:val="18"/>
          <w:color w:val="1A1A1C"/>
        </w:rPr>
        <w:t>in</w:t>
      </w:r>
      <w:r>
        <w:rPr>
          <w:rFonts w:ascii="Times New Roman" w:cs="Times New Roman" w:eastAsia="Times New Roman" w:hAnsi="Times New Roman"/>
          <w:sz w:val="18"/>
          <w:szCs w:val="18"/>
          <w:color w:val="2B2A2D"/>
        </w:rPr>
        <w:t xml:space="preserve"> which any </w:t>
      </w:r>
      <w:r>
        <w:rPr>
          <w:rFonts w:ascii="Times New Roman" w:cs="Times New Roman" w:eastAsia="Times New Roman" w:hAnsi="Times New Roman"/>
          <w:sz w:val="18"/>
          <w:szCs w:val="18"/>
          <w:color w:val="1A1A1C"/>
        </w:rPr>
        <w:t>litigation</w:t>
      </w:r>
      <w:r>
        <w:rPr>
          <w:rFonts w:ascii="Times New Roman" w:cs="Times New Roman" w:eastAsia="Times New Roman" w:hAnsi="Times New Roman"/>
          <w:sz w:val="18"/>
          <w:szCs w:val="18"/>
          <w:color w:val="2B2A2D"/>
        </w:rPr>
        <w:t xml:space="preserve"> shall proceed shall </w:t>
      </w:r>
      <w:r>
        <w:rPr>
          <w:rFonts w:ascii="Times New Roman" w:cs="Times New Roman" w:eastAsia="Times New Roman" w:hAnsi="Times New Roman"/>
          <w:sz w:val="18"/>
          <w:szCs w:val="18"/>
          <w:color w:val="1A1A1C"/>
        </w:rPr>
        <w:t>be the</w:t>
      </w:r>
      <w:r>
        <w:rPr>
          <w:rFonts w:ascii="Times New Roman" w:cs="Times New Roman" w:eastAsia="Times New Roman" w:hAnsi="Times New Roman"/>
          <w:sz w:val="18"/>
          <w:szCs w:val="18"/>
          <w:color w:val="2B2A2D"/>
        </w:rPr>
        <w:t xml:space="preserve"> state court in the county in which you reside or the United States District Court (if diversity or federal question jurisdiction exists) in the federal </w:t>
      </w:r>
      <w:r>
        <w:rPr>
          <w:rFonts w:ascii="Times New Roman" w:cs="Times New Roman" w:eastAsia="Times New Roman" w:hAnsi="Times New Roman"/>
          <w:sz w:val="18"/>
          <w:szCs w:val="18"/>
          <w:color w:val="1A1A1C"/>
        </w:rPr>
        <w:t>judicial</w:t>
      </w:r>
      <w:r>
        <w:rPr>
          <w:rFonts w:ascii="Times New Roman" w:cs="Times New Roman" w:eastAsia="Times New Roman" w:hAnsi="Times New Roman"/>
          <w:sz w:val="18"/>
          <w:szCs w:val="18"/>
          <w:color w:val="2B2A2D"/>
        </w:rPr>
        <w:t xml:space="preserve"> district </w:t>
      </w:r>
      <w:r>
        <w:rPr>
          <w:rFonts w:ascii="Times New Roman" w:cs="Times New Roman" w:eastAsia="Times New Roman" w:hAnsi="Times New Roman"/>
          <w:sz w:val="18"/>
          <w:szCs w:val="18"/>
          <w:color w:val="1A1A1C"/>
        </w:rPr>
        <w:t>in</w:t>
      </w:r>
      <w:r>
        <w:rPr>
          <w:rFonts w:ascii="Times New Roman" w:cs="Times New Roman" w:eastAsia="Times New Roman" w:hAnsi="Times New Roman"/>
          <w:sz w:val="18"/>
          <w:szCs w:val="18"/>
          <w:color w:val="2B2A2D"/>
        </w:rPr>
        <w:t xml:space="preserve"> which you reside.</w:t>
      </w:r>
    </w:p>
    <w:p>
      <w:pPr>
        <w:spacing w:after="0" w:line="135" w:lineRule="exact"/>
        <w:rPr>
          <w:rFonts w:ascii="Times New Roman" w:cs="Times New Roman" w:eastAsia="Times New Roman" w:hAnsi="Times New Roman"/>
          <w:sz w:val="17"/>
          <w:szCs w:val="17"/>
          <w:color w:val="38383B"/>
        </w:rPr>
      </w:pPr>
    </w:p>
    <w:p>
      <w:pPr>
        <w:jc w:val="both"/>
        <w:ind w:left="820" w:right="20" w:firstLine="740"/>
        <w:spacing w:after="0" w:line="268" w:lineRule="auto"/>
        <w:tabs>
          <w:tab w:leader="none" w:pos="2277" w:val="left"/>
        </w:tabs>
        <w:numPr>
          <w:ilvl w:val="1"/>
          <w:numId w:val="241"/>
        </w:numPr>
        <w:rPr>
          <w:rFonts w:ascii="Times New Roman" w:cs="Times New Roman" w:eastAsia="Times New Roman" w:hAnsi="Times New Roman"/>
          <w:sz w:val="17"/>
          <w:szCs w:val="17"/>
          <w:color w:val="38383B"/>
        </w:rPr>
      </w:pPr>
      <w:r>
        <w:rPr>
          <w:rFonts w:ascii="Times New Roman" w:cs="Times New Roman" w:eastAsia="Times New Roman" w:hAnsi="Times New Roman"/>
          <w:sz w:val="18"/>
          <w:szCs w:val="18"/>
          <w:b w:val="1"/>
          <w:bCs w:val="1"/>
          <w:u w:val="single" w:color="auto"/>
          <w:color w:val="2B2A2D"/>
        </w:rPr>
        <w:t>Massachusetts</w:t>
      </w:r>
      <w:r>
        <w:rPr>
          <w:rFonts w:ascii="Times New Roman" w:cs="Times New Roman" w:eastAsia="Times New Roman" w:hAnsi="Times New Roman"/>
          <w:sz w:val="18"/>
          <w:szCs w:val="18"/>
          <w:b w:val="1"/>
          <w:bCs w:val="1"/>
          <w:color w:val="4F4D4F"/>
        </w:rPr>
        <w:t>.</w:t>
      </w:r>
      <w:r>
        <w:rPr>
          <w:rFonts w:ascii="Times New Roman" w:cs="Times New Roman" w:eastAsia="Times New Roman" w:hAnsi="Times New Roman"/>
          <w:sz w:val="18"/>
          <w:szCs w:val="18"/>
          <w:b w:val="1"/>
          <w:bCs w:val="1"/>
          <w:color w:val="2B2A2D"/>
        </w:rPr>
        <w:t xml:space="preserve"> </w:t>
      </w:r>
      <w:r>
        <w:rPr>
          <w:rFonts w:ascii="Times New Roman" w:cs="Times New Roman" w:eastAsia="Times New Roman" w:hAnsi="Times New Roman"/>
          <w:sz w:val="18"/>
          <w:szCs w:val="18"/>
          <w:color w:val="2B2A2D"/>
        </w:rPr>
        <w:t>If you reside</w:t>
      </w:r>
      <w:r>
        <w:rPr>
          <w:rFonts w:ascii="Times New Roman" w:cs="Times New Roman" w:eastAsia="Times New Roman" w:hAnsi="Times New Roman"/>
          <w:sz w:val="18"/>
          <w:szCs w:val="18"/>
          <w:b w:val="1"/>
          <w:bCs w:val="1"/>
          <w:color w:val="2B2A2D"/>
        </w:rPr>
        <w:t xml:space="preserve"> </w:t>
      </w:r>
      <w:r>
        <w:rPr>
          <w:rFonts w:ascii="Times New Roman" w:cs="Times New Roman" w:eastAsia="Times New Roman" w:hAnsi="Times New Roman"/>
          <w:sz w:val="18"/>
          <w:szCs w:val="18"/>
          <w:color w:val="1A1A1C"/>
        </w:rPr>
        <w:t>in</w:t>
      </w:r>
      <w:r>
        <w:rPr>
          <w:rFonts w:ascii="Times New Roman" w:cs="Times New Roman" w:eastAsia="Times New Roman" w:hAnsi="Times New Roman"/>
          <w:sz w:val="18"/>
          <w:szCs w:val="18"/>
          <w:b w:val="1"/>
          <w:bCs w:val="1"/>
          <w:color w:val="2B2A2D"/>
        </w:rPr>
        <w:t xml:space="preserve"> </w:t>
      </w:r>
      <w:r>
        <w:rPr>
          <w:rFonts w:ascii="Times New Roman" w:cs="Times New Roman" w:eastAsia="Times New Roman" w:hAnsi="Times New Roman"/>
          <w:sz w:val="18"/>
          <w:szCs w:val="18"/>
          <w:color w:val="2B2A2D"/>
        </w:rPr>
        <w:t>Massachusetts at any time during the</w:t>
      </w:r>
      <w:r>
        <w:rPr>
          <w:rFonts w:ascii="Times New Roman" w:cs="Times New Roman" w:eastAsia="Times New Roman" w:hAnsi="Times New Roman"/>
          <w:sz w:val="18"/>
          <w:szCs w:val="18"/>
          <w:b w:val="1"/>
          <w:bCs w:val="1"/>
          <w:color w:val="2B2A2D"/>
        </w:rPr>
        <w:t xml:space="preserve"> </w:t>
      </w:r>
      <w:r>
        <w:rPr>
          <w:rFonts w:ascii="Times New Roman" w:cs="Times New Roman" w:eastAsia="Times New Roman" w:hAnsi="Times New Roman"/>
          <w:sz w:val="18"/>
          <w:szCs w:val="18"/>
          <w:color w:val="1A1A1C"/>
        </w:rPr>
        <w:t>last</w:t>
      </w:r>
      <w:r>
        <w:rPr>
          <w:rFonts w:ascii="Times New Roman" w:cs="Times New Roman" w:eastAsia="Times New Roman" w:hAnsi="Times New Roman"/>
          <w:sz w:val="18"/>
          <w:szCs w:val="18"/>
          <w:b w:val="1"/>
          <w:bCs w:val="1"/>
          <w:color w:val="2B2A2D"/>
        </w:rPr>
        <w:t xml:space="preserve"> </w:t>
      </w:r>
      <w:r>
        <w:rPr>
          <w:rFonts w:ascii="Times New Roman" w:cs="Times New Roman" w:eastAsia="Times New Roman" w:hAnsi="Times New Roman"/>
          <w:sz w:val="18"/>
          <w:szCs w:val="18"/>
          <w:color w:val="2B2A2D"/>
        </w:rPr>
        <w:t>30</w:t>
      </w:r>
      <w:r>
        <w:rPr>
          <w:rFonts w:ascii="Times New Roman" w:cs="Times New Roman" w:eastAsia="Times New Roman" w:hAnsi="Times New Roman"/>
          <w:sz w:val="18"/>
          <w:szCs w:val="18"/>
          <w:b w:val="1"/>
          <w:bCs w:val="1"/>
          <w:color w:val="2B2A2D"/>
        </w:rPr>
        <w:t xml:space="preserve"> </w:t>
      </w:r>
      <w:r>
        <w:rPr>
          <w:rFonts w:ascii="Times New Roman" w:cs="Times New Roman" w:eastAsia="Times New Roman" w:hAnsi="Times New Roman"/>
          <w:sz w:val="18"/>
          <w:szCs w:val="18"/>
          <w:color w:val="1A1A1C"/>
        </w:rPr>
        <w:t>days</w:t>
      </w:r>
      <w:r>
        <w:rPr>
          <w:rFonts w:ascii="Times New Roman" w:cs="Times New Roman" w:eastAsia="Times New Roman" w:hAnsi="Times New Roman"/>
          <w:sz w:val="18"/>
          <w:szCs w:val="18"/>
          <w:b w:val="1"/>
          <w:bCs w:val="1"/>
          <w:color w:val="2B2A2D"/>
        </w:rPr>
        <w:t xml:space="preserve"> </w:t>
      </w:r>
      <w:r>
        <w:rPr>
          <w:rFonts w:ascii="Times New Roman" w:cs="Times New Roman" w:eastAsia="Times New Roman" w:hAnsi="Times New Roman"/>
          <w:sz w:val="18"/>
          <w:szCs w:val="18"/>
          <w:color w:val="2B2A2D"/>
        </w:rPr>
        <w:t>of your employment with the</w:t>
      </w:r>
      <w:r>
        <w:rPr>
          <w:rFonts w:ascii="Times New Roman" w:cs="Times New Roman" w:eastAsia="Times New Roman" w:hAnsi="Times New Roman"/>
          <w:sz w:val="18"/>
          <w:szCs w:val="18"/>
          <w:b w:val="1"/>
          <w:bCs w:val="1"/>
          <w:color w:val="2B2A2D"/>
        </w:rPr>
        <w:t xml:space="preserve"> </w:t>
      </w:r>
      <w:r>
        <w:rPr>
          <w:rFonts w:ascii="Times New Roman" w:cs="Times New Roman" w:eastAsia="Times New Roman" w:hAnsi="Times New Roman"/>
          <w:sz w:val="18"/>
          <w:szCs w:val="18"/>
          <w:color w:val="2B2A2D"/>
        </w:rPr>
        <w:t>Employer</w:t>
      </w:r>
      <w:r>
        <w:rPr>
          <w:rFonts w:ascii="Times New Roman" w:cs="Times New Roman" w:eastAsia="Times New Roman" w:hAnsi="Times New Roman"/>
          <w:sz w:val="18"/>
          <w:szCs w:val="18"/>
          <w:color w:val="4F4D4F"/>
        </w:rPr>
        <w:t>,</w:t>
      </w:r>
      <w:r>
        <w:rPr>
          <w:rFonts w:ascii="Times New Roman" w:cs="Times New Roman" w:eastAsia="Times New Roman" w:hAnsi="Times New Roman"/>
          <w:sz w:val="18"/>
          <w:szCs w:val="18"/>
          <w:color w:val="2B2A2D"/>
        </w:rPr>
        <w:t xml:space="preserve"> then the Choice of Law for this Agreement shall </w:t>
      </w:r>
      <w:r>
        <w:rPr>
          <w:rFonts w:ascii="Times New Roman" w:cs="Times New Roman" w:eastAsia="Times New Roman" w:hAnsi="Times New Roman"/>
          <w:sz w:val="18"/>
          <w:szCs w:val="18"/>
          <w:color w:val="1A1A1C"/>
        </w:rPr>
        <w:t>be</w:t>
      </w:r>
      <w:r>
        <w:rPr>
          <w:rFonts w:ascii="Times New Roman" w:cs="Times New Roman" w:eastAsia="Times New Roman" w:hAnsi="Times New Roman"/>
          <w:sz w:val="18"/>
          <w:szCs w:val="18"/>
          <w:color w:val="2B2A2D"/>
        </w:rPr>
        <w:t xml:space="preserve"> Massachusetts </w:t>
      </w:r>
      <w:r>
        <w:rPr>
          <w:rFonts w:ascii="Times New Roman" w:cs="Times New Roman" w:eastAsia="Times New Roman" w:hAnsi="Times New Roman"/>
          <w:sz w:val="18"/>
          <w:szCs w:val="18"/>
          <w:color w:val="1A1A1C"/>
        </w:rPr>
        <w:t>law</w:t>
      </w:r>
      <w:r>
        <w:rPr>
          <w:rFonts w:ascii="Times New Roman" w:cs="Times New Roman" w:eastAsia="Times New Roman" w:hAnsi="Times New Roman"/>
          <w:sz w:val="18"/>
          <w:szCs w:val="18"/>
          <w:color w:val="4F4D4F"/>
        </w:rPr>
        <w:t>,</w:t>
      </w:r>
      <w:r>
        <w:rPr>
          <w:rFonts w:ascii="Times New Roman" w:cs="Times New Roman" w:eastAsia="Times New Roman" w:hAnsi="Times New Roman"/>
          <w:sz w:val="18"/>
          <w:szCs w:val="18"/>
          <w:color w:val="2B2A2D"/>
        </w:rPr>
        <w:t xml:space="preserve"> and the venue </w:t>
      </w:r>
      <w:r>
        <w:rPr>
          <w:rFonts w:ascii="Times New Roman" w:cs="Times New Roman" w:eastAsia="Times New Roman" w:hAnsi="Times New Roman"/>
          <w:sz w:val="18"/>
          <w:szCs w:val="18"/>
          <w:color w:val="1A1A1C"/>
        </w:rPr>
        <w:t>in</w:t>
      </w:r>
      <w:r>
        <w:rPr>
          <w:rFonts w:ascii="Times New Roman" w:cs="Times New Roman" w:eastAsia="Times New Roman" w:hAnsi="Times New Roman"/>
          <w:sz w:val="18"/>
          <w:szCs w:val="18"/>
          <w:color w:val="2B2A2D"/>
        </w:rPr>
        <w:t xml:space="preserve"> which any litigation shall proceed shall be the state or federal courts (if </w:t>
      </w:r>
      <w:r>
        <w:rPr>
          <w:rFonts w:ascii="Times New Roman" w:cs="Times New Roman" w:eastAsia="Times New Roman" w:hAnsi="Times New Roman"/>
          <w:sz w:val="18"/>
          <w:szCs w:val="18"/>
          <w:color w:val="1A1A1C"/>
        </w:rPr>
        <w:t>diversity</w:t>
      </w:r>
      <w:r>
        <w:rPr>
          <w:rFonts w:ascii="Times New Roman" w:cs="Times New Roman" w:eastAsia="Times New Roman" w:hAnsi="Times New Roman"/>
          <w:sz w:val="18"/>
          <w:szCs w:val="18"/>
          <w:color w:val="2B2A2D"/>
        </w:rPr>
        <w:t xml:space="preserve"> or federal </w:t>
      </w:r>
      <w:r>
        <w:rPr>
          <w:rFonts w:ascii="Times New Roman" w:cs="Times New Roman" w:eastAsia="Times New Roman" w:hAnsi="Times New Roman"/>
          <w:sz w:val="18"/>
          <w:szCs w:val="18"/>
          <w:color w:val="1A1A1C"/>
        </w:rPr>
        <w:t>question</w:t>
      </w:r>
      <w:r>
        <w:rPr>
          <w:rFonts w:ascii="Times New Roman" w:cs="Times New Roman" w:eastAsia="Times New Roman" w:hAnsi="Times New Roman"/>
          <w:sz w:val="18"/>
          <w:szCs w:val="18"/>
          <w:color w:val="2B2A2D"/>
        </w:rPr>
        <w:t xml:space="preserve"> jurisdiction exists) in Suffolk County</w:t>
      </w:r>
      <w:r>
        <w:rPr>
          <w:rFonts w:ascii="Times New Roman" w:cs="Times New Roman" w:eastAsia="Times New Roman" w:hAnsi="Times New Roman"/>
          <w:sz w:val="18"/>
          <w:szCs w:val="18"/>
          <w:color w:val="4F4D4F"/>
        </w:rPr>
        <w:t>,</w:t>
      </w:r>
      <w:r>
        <w:rPr>
          <w:rFonts w:ascii="Times New Roman" w:cs="Times New Roman" w:eastAsia="Times New Roman" w:hAnsi="Times New Roman"/>
          <w:sz w:val="18"/>
          <w:szCs w:val="18"/>
          <w:color w:val="2B2A2D"/>
        </w:rPr>
        <w:t xml:space="preserve"> Massachusetts</w:t>
      </w:r>
      <w:r>
        <w:rPr>
          <w:rFonts w:ascii="Times New Roman" w:cs="Times New Roman" w:eastAsia="Times New Roman" w:hAnsi="Times New Roman"/>
          <w:sz w:val="18"/>
          <w:szCs w:val="18"/>
          <w:color w:val="4F4D4F"/>
        </w:rPr>
        <w:t>.</w:t>
      </w:r>
    </w:p>
    <w:p>
      <w:pPr>
        <w:spacing w:after="0" w:line="130" w:lineRule="exact"/>
        <w:rPr>
          <w:rFonts w:ascii="Times New Roman" w:cs="Times New Roman" w:eastAsia="Times New Roman" w:hAnsi="Times New Roman"/>
          <w:sz w:val="17"/>
          <w:szCs w:val="17"/>
          <w:color w:val="38383B"/>
        </w:rPr>
      </w:pPr>
    </w:p>
    <w:p>
      <w:pPr>
        <w:ind w:left="680" w:hanging="647"/>
        <w:spacing w:after="0"/>
        <w:tabs>
          <w:tab w:leader="none" w:pos="680" w:val="left"/>
        </w:tabs>
        <w:numPr>
          <w:ilvl w:val="0"/>
          <w:numId w:val="242"/>
        </w:numPr>
        <w:rPr>
          <w:rFonts w:ascii="Times New Roman" w:cs="Times New Roman" w:eastAsia="Times New Roman" w:hAnsi="Times New Roman"/>
          <w:sz w:val="18"/>
          <w:szCs w:val="18"/>
          <w:b w:val="1"/>
          <w:bCs w:val="1"/>
          <w:color w:val="2B2A2D"/>
        </w:rPr>
      </w:pPr>
      <w:r>
        <w:rPr>
          <w:rFonts w:ascii="Times New Roman" w:cs="Times New Roman" w:eastAsia="Times New Roman" w:hAnsi="Times New Roman"/>
          <w:sz w:val="18"/>
          <w:szCs w:val="18"/>
          <w:b w:val="1"/>
          <w:bCs w:val="1"/>
          <w:color w:val="2B2A2D"/>
        </w:rPr>
        <w:t>Miscellaneous</w:t>
      </w:r>
    </w:p>
    <w:p>
      <w:pPr>
        <w:spacing w:after="0" w:line="202" w:lineRule="exact"/>
        <w:rPr>
          <w:sz w:val="20"/>
          <w:szCs w:val="20"/>
          <w:color w:val="auto"/>
        </w:rPr>
      </w:pPr>
    </w:p>
    <w:p>
      <w:pPr>
        <w:jc w:val="both"/>
        <w:ind w:left="100" w:right="40" w:firstLine="719"/>
        <w:spacing w:after="0" w:line="266" w:lineRule="auto"/>
        <w:rPr>
          <w:sz w:val="20"/>
          <w:szCs w:val="20"/>
          <w:color w:val="auto"/>
        </w:rPr>
      </w:pPr>
      <w:r>
        <w:rPr>
          <w:rFonts w:ascii="Times New Roman" w:cs="Times New Roman" w:eastAsia="Times New Roman" w:hAnsi="Times New Roman"/>
          <w:sz w:val="18"/>
          <w:szCs w:val="18"/>
          <w:color w:val="2B2A2D"/>
        </w:rPr>
        <w:t>8.1 Nothing contained in this Agreement creates any right of employment</w:t>
      </w:r>
      <w:r>
        <w:rPr>
          <w:rFonts w:ascii="Times New Roman" w:cs="Times New Roman" w:eastAsia="Times New Roman" w:hAnsi="Times New Roman"/>
          <w:sz w:val="18"/>
          <w:szCs w:val="18"/>
          <w:color w:val="4F4D4F"/>
        </w:rPr>
        <w:t>,</w:t>
      </w:r>
      <w:r>
        <w:rPr>
          <w:rFonts w:ascii="Times New Roman" w:cs="Times New Roman" w:eastAsia="Times New Roman" w:hAnsi="Times New Roman"/>
          <w:sz w:val="18"/>
          <w:szCs w:val="18"/>
          <w:color w:val="2B2A2D"/>
        </w:rPr>
        <w:t xml:space="preserve"> guarantees any duration of employment</w:t>
      </w:r>
      <w:r>
        <w:rPr>
          <w:rFonts w:ascii="Times New Roman" w:cs="Times New Roman" w:eastAsia="Times New Roman" w:hAnsi="Times New Roman"/>
          <w:sz w:val="18"/>
          <w:szCs w:val="18"/>
          <w:color w:val="4F4D4F"/>
        </w:rPr>
        <w:t>,</w:t>
      </w:r>
      <w:r>
        <w:rPr>
          <w:rFonts w:ascii="Times New Roman" w:cs="Times New Roman" w:eastAsia="Times New Roman" w:hAnsi="Times New Roman"/>
          <w:sz w:val="18"/>
          <w:szCs w:val="18"/>
          <w:color w:val="2B2A2D"/>
        </w:rPr>
        <w:t xml:space="preserve"> or modifies your or the Employer</w:t>
      </w:r>
      <w:r>
        <w:rPr>
          <w:rFonts w:ascii="Times New Roman" w:cs="Times New Roman" w:eastAsia="Times New Roman" w:hAnsi="Times New Roman"/>
          <w:sz w:val="18"/>
          <w:szCs w:val="18"/>
          <w:color w:val="4F4D4F"/>
        </w:rPr>
        <w:t>'</w:t>
      </w:r>
      <w:r>
        <w:rPr>
          <w:rFonts w:ascii="Times New Roman" w:cs="Times New Roman" w:eastAsia="Times New Roman" w:hAnsi="Times New Roman"/>
          <w:sz w:val="18"/>
          <w:szCs w:val="18"/>
          <w:color w:val="2B2A2D"/>
        </w:rPr>
        <w:t xml:space="preserve">s right to terminate your employment consistent with </w:t>
      </w:r>
      <w:r>
        <w:rPr>
          <w:rFonts w:ascii="Times New Roman" w:cs="Times New Roman" w:eastAsia="Times New Roman" w:hAnsi="Times New Roman"/>
          <w:sz w:val="18"/>
          <w:szCs w:val="18"/>
          <w:color w:val="1A1A1C"/>
        </w:rPr>
        <w:t>the</w:t>
      </w:r>
      <w:r>
        <w:rPr>
          <w:rFonts w:ascii="Times New Roman" w:cs="Times New Roman" w:eastAsia="Times New Roman" w:hAnsi="Times New Roman"/>
          <w:sz w:val="18"/>
          <w:szCs w:val="18"/>
          <w:color w:val="2B2A2D"/>
        </w:rPr>
        <w:t xml:space="preserve"> terms of your employment relationship with the Employer. If you are employed at-will</w:t>
      </w:r>
      <w:r>
        <w:rPr>
          <w:rFonts w:ascii="Times New Roman" w:cs="Times New Roman" w:eastAsia="Times New Roman" w:hAnsi="Times New Roman"/>
          <w:sz w:val="18"/>
          <w:szCs w:val="18"/>
          <w:color w:val="4F4D4F"/>
        </w:rPr>
        <w:t>,</w:t>
      </w:r>
      <w:r>
        <w:rPr>
          <w:rFonts w:ascii="Times New Roman" w:cs="Times New Roman" w:eastAsia="Times New Roman" w:hAnsi="Times New Roman"/>
          <w:sz w:val="18"/>
          <w:szCs w:val="18"/>
          <w:color w:val="2B2A2D"/>
        </w:rPr>
        <w:t xml:space="preserve"> </w:t>
      </w:r>
      <w:r>
        <w:rPr>
          <w:rFonts w:ascii="Times New Roman" w:cs="Times New Roman" w:eastAsia="Times New Roman" w:hAnsi="Times New Roman"/>
          <w:sz w:val="18"/>
          <w:szCs w:val="18"/>
          <w:color w:val="1A1A1C"/>
        </w:rPr>
        <w:t>nothing in</w:t>
      </w:r>
      <w:r>
        <w:rPr>
          <w:rFonts w:ascii="Times New Roman" w:cs="Times New Roman" w:eastAsia="Times New Roman" w:hAnsi="Times New Roman"/>
          <w:sz w:val="18"/>
          <w:szCs w:val="18"/>
          <w:color w:val="2B2A2D"/>
        </w:rPr>
        <w:t xml:space="preserve"> this Agreement should be </w:t>
      </w:r>
      <w:r>
        <w:rPr>
          <w:rFonts w:ascii="Times New Roman" w:cs="Times New Roman" w:eastAsia="Times New Roman" w:hAnsi="Times New Roman"/>
          <w:sz w:val="18"/>
          <w:szCs w:val="18"/>
          <w:color w:val="1A1A1C"/>
        </w:rPr>
        <w:t>or</w:t>
      </w:r>
      <w:r>
        <w:rPr>
          <w:rFonts w:ascii="Times New Roman" w:cs="Times New Roman" w:eastAsia="Times New Roman" w:hAnsi="Times New Roman"/>
          <w:sz w:val="18"/>
          <w:szCs w:val="18"/>
          <w:color w:val="2B2A2D"/>
        </w:rPr>
        <w:t xml:space="preserve"> is to be construed as changing </w:t>
      </w:r>
      <w:r>
        <w:rPr>
          <w:rFonts w:ascii="Times New Roman" w:cs="Times New Roman" w:eastAsia="Times New Roman" w:hAnsi="Times New Roman"/>
          <w:sz w:val="18"/>
          <w:szCs w:val="18"/>
          <w:color w:val="1A1A1C"/>
        </w:rPr>
        <w:t>the</w:t>
      </w:r>
      <w:r>
        <w:rPr>
          <w:rFonts w:ascii="Times New Roman" w:cs="Times New Roman" w:eastAsia="Times New Roman" w:hAnsi="Times New Roman"/>
          <w:sz w:val="18"/>
          <w:szCs w:val="18"/>
          <w:color w:val="2B2A2D"/>
        </w:rPr>
        <w:t xml:space="preserve"> at-will </w:t>
      </w:r>
      <w:r>
        <w:rPr>
          <w:rFonts w:ascii="Times New Roman" w:cs="Times New Roman" w:eastAsia="Times New Roman" w:hAnsi="Times New Roman"/>
          <w:sz w:val="18"/>
          <w:szCs w:val="18"/>
          <w:color w:val="1A1A1C"/>
        </w:rPr>
        <w:t>nature</w:t>
      </w:r>
      <w:r>
        <w:rPr>
          <w:rFonts w:ascii="Times New Roman" w:cs="Times New Roman" w:eastAsia="Times New Roman" w:hAnsi="Times New Roman"/>
          <w:sz w:val="18"/>
          <w:szCs w:val="18"/>
          <w:color w:val="2B2A2D"/>
        </w:rPr>
        <w:t xml:space="preserve"> of your employment.</w:t>
      </w:r>
    </w:p>
    <w:p>
      <w:pPr>
        <w:spacing w:after="0" w:line="135" w:lineRule="exact"/>
        <w:rPr>
          <w:sz w:val="20"/>
          <w:szCs w:val="20"/>
          <w:color w:val="auto"/>
        </w:rPr>
      </w:pPr>
    </w:p>
    <w:p>
      <w:pPr>
        <w:ind w:left="820"/>
        <w:spacing w:after="0"/>
        <w:tabs>
          <w:tab w:leader="none" w:pos="1540" w:val="left"/>
        </w:tabs>
        <w:rPr>
          <w:sz w:val="20"/>
          <w:szCs w:val="20"/>
          <w:color w:val="auto"/>
        </w:rPr>
      </w:pPr>
      <w:r>
        <w:rPr>
          <w:rFonts w:ascii="Times New Roman" w:cs="Times New Roman" w:eastAsia="Times New Roman" w:hAnsi="Times New Roman"/>
          <w:sz w:val="18"/>
          <w:szCs w:val="18"/>
          <w:color w:val="2B2A2D"/>
        </w:rPr>
        <w:t>8.2</w:t>
      </w:r>
      <w:r>
        <w:rPr>
          <w:sz w:val="20"/>
          <w:szCs w:val="20"/>
          <w:color w:val="auto"/>
        </w:rPr>
        <w:tab/>
      </w:r>
      <w:r>
        <w:rPr>
          <w:rFonts w:ascii="Times New Roman" w:cs="Times New Roman" w:eastAsia="Times New Roman" w:hAnsi="Times New Roman"/>
          <w:sz w:val="17"/>
          <w:szCs w:val="17"/>
          <w:color w:val="2B2A2D"/>
        </w:rPr>
        <w:t xml:space="preserve">The Company </w:t>
      </w:r>
      <w:r>
        <w:rPr>
          <w:rFonts w:ascii="Times New Roman" w:cs="Times New Roman" w:eastAsia="Times New Roman" w:hAnsi="Times New Roman"/>
          <w:sz w:val="17"/>
          <w:szCs w:val="17"/>
          <w:color w:val="1A1A1C"/>
        </w:rPr>
        <w:t>is</w:t>
      </w:r>
      <w:r>
        <w:rPr>
          <w:rFonts w:ascii="Times New Roman" w:cs="Times New Roman" w:eastAsia="Times New Roman" w:hAnsi="Times New Roman"/>
          <w:sz w:val="17"/>
          <w:szCs w:val="17"/>
          <w:color w:val="2B2A2D"/>
        </w:rPr>
        <w:t xml:space="preserve"> an express and intended third </w:t>
      </w:r>
      <w:r>
        <w:rPr>
          <w:rFonts w:ascii="Times New Roman" w:cs="Times New Roman" w:eastAsia="Times New Roman" w:hAnsi="Times New Roman"/>
          <w:sz w:val="17"/>
          <w:szCs w:val="17"/>
          <w:color w:val="1A1A1C"/>
        </w:rPr>
        <w:t>party beneficiary</w:t>
      </w:r>
      <w:r>
        <w:rPr>
          <w:rFonts w:ascii="Times New Roman" w:cs="Times New Roman" w:eastAsia="Times New Roman" w:hAnsi="Times New Roman"/>
          <w:sz w:val="17"/>
          <w:szCs w:val="17"/>
          <w:color w:val="2B2A2D"/>
        </w:rPr>
        <w:t xml:space="preserve"> of this Agreement.</w:t>
      </w:r>
    </w:p>
    <w:p>
      <w:pPr>
        <w:spacing w:after="0" w:line="185" w:lineRule="exact"/>
        <w:rPr>
          <w:sz w:val="20"/>
          <w:szCs w:val="20"/>
          <w:color w:val="auto"/>
        </w:rPr>
      </w:pPr>
    </w:p>
    <w:p>
      <w:pPr>
        <w:jc w:val="both"/>
        <w:ind w:left="100" w:right="20" w:firstLine="719"/>
        <w:spacing w:after="0" w:line="266" w:lineRule="auto"/>
        <w:rPr>
          <w:sz w:val="20"/>
          <w:szCs w:val="20"/>
          <w:color w:val="auto"/>
        </w:rPr>
      </w:pPr>
      <w:r>
        <w:rPr>
          <w:rFonts w:ascii="Times New Roman" w:cs="Times New Roman" w:eastAsia="Times New Roman" w:hAnsi="Times New Roman"/>
          <w:sz w:val="18"/>
          <w:szCs w:val="18"/>
          <w:color w:val="2B2A2D"/>
        </w:rPr>
        <w:t xml:space="preserve">8.3 You also acknowledge and agree that you </w:t>
      </w:r>
      <w:r>
        <w:rPr>
          <w:rFonts w:ascii="Times New Roman" w:cs="Times New Roman" w:eastAsia="Times New Roman" w:hAnsi="Times New Roman"/>
          <w:sz w:val="18"/>
          <w:szCs w:val="18"/>
          <w:color w:val="1A1A1C"/>
        </w:rPr>
        <w:t>have no</w:t>
      </w:r>
      <w:r>
        <w:rPr>
          <w:rFonts w:ascii="Times New Roman" w:cs="Times New Roman" w:eastAsia="Times New Roman" w:hAnsi="Times New Roman"/>
          <w:sz w:val="18"/>
          <w:szCs w:val="18"/>
          <w:color w:val="2B2A2D"/>
        </w:rPr>
        <w:t xml:space="preserve"> expectation of privacy with respect </w:t>
      </w:r>
      <w:r>
        <w:rPr>
          <w:rFonts w:ascii="Times New Roman" w:cs="Times New Roman" w:eastAsia="Times New Roman" w:hAnsi="Times New Roman"/>
          <w:sz w:val="18"/>
          <w:szCs w:val="18"/>
          <w:color w:val="1A1A1C"/>
        </w:rPr>
        <w:t>to the</w:t>
      </w:r>
      <w:r>
        <w:rPr>
          <w:rFonts w:ascii="Times New Roman" w:cs="Times New Roman" w:eastAsia="Times New Roman" w:hAnsi="Times New Roman"/>
          <w:sz w:val="18"/>
          <w:szCs w:val="18"/>
          <w:color w:val="2B2A2D"/>
        </w:rPr>
        <w:t xml:space="preserve"> Company's telecommunications</w:t>
      </w:r>
      <w:r>
        <w:rPr>
          <w:rFonts w:ascii="Times New Roman" w:cs="Times New Roman" w:eastAsia="Times New Roman" w:hAnsi="Times New Roman"/>
          <w:sz w:val="18"/>
          <w:szCs w:val="18"/>
          <w:color w:val="5E5E60"/>
        </w:rPr>
        <w:t>,</w:t>
      </w:r>
      <w:r>
        <w:rPr>
          <w:rFonts w:ascii="Times New Roman" w:cs="Times New Roman" w:eastAsia="Times New Roman" w:hAnsi="Times New Roman"/>
          <w:sz w:val="18"/>
          <w:szCs w:val="18"/>
          <w:color w:val="2B2A2D"/>
        </w:rPr>
        <w:t xml:space="preserve"> networking or information processing systems (including</w:t>
      </w:r>
      <w:r>
        <w:rPr>
          <w:rFonts w:ascii="Times New Roman" w:cs="Times New Roman" w:eastAsia="Times New Roman" w:hAnsi="Times New Roman"/>
          <w:sz w:val="18"/>
          <w:szCs w:val="18"/>
          <w:color w:val="4F4D4F"/>
        </w:rPr>
        <w:t>,</w:t>
      </w:r>
      <w:r>
        <w:rPr>
          <w:rFonts w:ascii="Times New Roman" w:cs="Times New Roman" w:eastAsia="Times New Roman" w:hAnsi="Times New Roman"/>
          <w:sz w:val="18"/>
          <w:szCs w:val="18"/>
          <w:color w:val="2B2A2D"/>
        </w:rPr>
        <w:t xml:space="preserve"> without </w:t>
      </w:r>
      <w:r>
        <w:rPr>
          <w:rFonts w:ascii="Times New Roman" w:cs="Times New Roman" w:eastAsia="Times New Roman" w:hAnsi="Times New Roman"/>
          <w:sz w:val="18"/>
          <w:szCs w:val="18"/>
          <w:color w:val="1A1A1C"/>
        </w:rPr>
        <w:t>limitation</w:t>
      </w:r>
      <w:r>
        <w:rPr>
          <w:rFonts w:ascii="Times New Roman" w:cs="Times New Roman" w:eastAsia="Times New Roman" w:hAnsi="Times New Roman"/>
          <w:sz w:val="18"/>
          <w:szCs w:val="18"/>
          <w:color w:val="4F4D4F"/>
        </w:rPr>
        <w:t>,</w:t>
      </w:r>
      <w:r>
        <w:rPr>
          <w:rFonts w:ascii="Times New Roman" w:cs="Times New Roman" w:eastAsia="Times New Roman" w:hAnsi="Times New Roman"/>
          <w:sz w:val="18"/>
          <w:szCs w:val="18"/>
          <w:color w:val="2B2A2D"/>
        </w:rPr>
        <w:t xml:space="preserve"> stored computer files, email messages and voice messages) and that your activity and any files or messages on or using 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62628"/>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76200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513" w:right="459" w:bottom="1440" w:gutter="0" w:footer="0" w:header="0"/>
        </w:sectPr>
      </w:pPr>
    </w:p>
    <w:bookmarkStart w:id="181" w:name="page182"/>
    <w:bookmarkEnd w:id="181"/>
    <w:p>
      <w:pPr>
        <w:ind w:left="100"/>
        <w:spacing w:after="0"/>
        <w:rPr>
          <w:sz w:val="20"/>
          <w:szCs w:val="20"/>
          <w:color w:val="auto"/>
        </w:rPr>
      </w:pPr>
      <w:r>
        <w:rPr>
          <w:rFonts w:ascii="Times New Roman" w:cs="Times New Roman" w:eastAsia="Times New Roman" w:hAnsi="Times New Roman"/>
          <w:sz w:val="18"/>
          <w:szCs w:val="18"/>
          <w:color w:val="2B2A2D"/>
        </w:rPr>
        <w:t>of those systems may be monitored at any time without notice.</w:t>
      </w:r>
    </w:p>
    <w:p>
      <w:pPr>
        <w:spacing w:after="0" w:line="198" w:lineRule="exact"/>
        <w:rPr>
          <w:sz w:val="20"/>
          <w:szCs w:val="20"/>
          <w:color w:val="auto"/>
        </w:rPr>
      </w:pPr>
    </w:p>
    <w:p>
      <w:pPr>
        <w:jc w:val="both"/>
        <w:ind w:left="120" w:right="20" w:firstLine="719"/>
        <w:spacing w:after="0" w:line="256" w:lineRule="auto"/>
        <w:rPr>
          <w:sz w:val="20"/>
          <w:szCs w:val="20"/>
          <w:color w:val="auto"/>
        </w:rPr>
      </w:pPr>
      <w:r>
        <w:rPr>
          <w:rFonts w:ascii="Times New Roman" w:cs="Times New Roman" w:eastAsia="Times New Roman" w:hAnsi="Times New Roman"/>
          <w:sz w:val="18"/>
          <w:szCs w:val="18"/>
          <w:color w:val="2B2A2D"/>
        </w:rPr>
        <w:t xml:space="preserve">8.4 You and the Employer agree that all provisions of this Agreement shall be enforced to the fullest extent permitted by </w:t>
      </w:r>
      <w:r>
        <w:rPr>
          <w:rFonts w:ascii="Times New Roman" w:cs="Times New Roman" w:eastAsia="Times New Roman" w:hAnsi="Times New Roman"/>
          <w:sz w:val="18"/>
          <w:szCs w:val="18"/>
          <w:color w:val="1A1A1C"/>
        </w:rPr>
        <w:t>law. If</w:t>
      </w:r>
      <w:r>
        <w:rPr>
          <w:rFonts w:ascii="Times New Roman" w:cs="Times New Roman" w:eastAsia="Times New Roman" w:hAnsi="Times New Roman"/>
          <w:sz w:val="18"/>
          <w:szCs w:val="18"/>
          <w:color w:val="2B2A2D"/>
        </w:rPr>
        <w:t xml:space="preserve"> any provision of this Agreement shall be found invalid or </w:t>
      </w:r>
      <w:r>
        <w:rPr>
          <w:rFonts w:ascii="Times New Roman" w:cs="Times New Roman" w:eastAsia="Times New Roman" w:hAnsi="Times New Roman"/>
          <w:sz w:val="18"/>
          <w:szCs w:val="18"/>
          <w:color w:val="1A1A1C"/>
        </w:rPr>
        <w:t>unenforceable</w:t>
      </w:r>
      <w:r>
        <w:rPr>
          <w:rFonts w:ascii="Times New Roman" w:cs="Times New Roman" w:eastAsia="Times New Roman" w:hAnsi="Times New Roman"/>
          <w:sz w:val="18"/>
          <w:szCs w:val="18"/>
          <w:color w:val="2B2A2D"/>
        </w:rPr>
        <w:t xml:space="preserve"> for any reason</w:t>
      </w:r>
      <w:r>
        <w:rPr>
          <w:rFonts w:ascii="Times New Roman" w:cs="Times New Roman" w:eastAsia="Times New Roman" w:hAnsi="Times New Roman"/>
          <w:sz w:val="18"/>
          <w:szCs w:val="18"/>
          <w:color w:val="5E5E60"/>
        </w:rPr>
        <w:t>,</w:t>
      </w:r>
      <w:r>
        <w:rPr>
          <w:rFonts w:ascii="Times New Roman" w:cs="Times New Roman" w:eastAsia="Times New Roman" w:hAnsi="Times New Roman"/>
          <w:sz w:val="18"/>
          <w:szCs w:val="18"/>
          <w:color w:val="2B2A2D"/>
        </w:rPr>
        <w:t xml:space="preserve"> in whole or in part</w:t>
      </w:r>
      <w:r>
        <w:rPr>
          <w:rFonts w:ascii="Times New Roman" w:cs="Times New Roman" w:eastAsia="Times New Roman" w:hAnsi="Times New Roman"/>
          <w:sz w:val="18"/>
          <w:szCs w:val="18"/>
          <w:color w:val="4F4D4F"/>
        </w:rPr>
        <w:t>,</w:t>
      </w:r>
      <w:r>
        <w:rPr>
          <w:rFonts w:ascii="Times New Roman" w:cs="Times New Roman" w:eastAsia="Times New Roman" w:hAnsi="Times New Roman"/>
          <w:sz w:val="18"/>
          <w:szCs w:val="18"/>
          <w:color w:val="2B2A2D"/>
        </w:rPr>
        <w:t xml:space="preserve"> then such provision shall be deemed </w:t>
      </w:r>
      <w:r>
        <w:rPr>
          <w:rFonts w:ascii="Times New Roman" w:cs="Times New Roman" w:eastAsia="Times New Roman" w:hAnsi="Times New Roman"/>
          <w:sz w:val="18"/>
          <w:szCs w:val="18"/>
          <w:color w:val="1A1A1C"/>
        </w:rPr>
        <w:t>modified,</w:t>
      </w:r>
      <w:r>
        <w:rPr>
          <w:rFonts w:ascii="Times New Roman" w:cs="Times New Roman" w:eastAsia="Times New Roman" w:hAnsi="Times New Roman"/>
          <w:sz w:val="18"/>
          <w:szCs w:val="18"/>
          <w:color w:val="2B2A2D"/>
        </w:rPr>
        <w:t xml:space="preserve"> restricted</w:t>
      </w:r>
      <w:r>
        <w:rPr>
          <w:rFonts w:ascii="Times New Roman" w:cs="Times New Roman" w:eastAsia="Times New Roman" w:hAnsi="Times New Roman"/>
          <w:sz w:val="18"/>
          <w:szCs w:val="18"/>
          <w:color w:val="4F4D4F"/>
        </w:rPr>
        <w:t>,</w:t>
      </w:r>
      <w:r>
        <w:rPr>
          <w:rFonts w:ascii="Times New Roman" w:cs="Times New Roman" w:eastAsia="Times New Roman" w:hAnsi="Times New Roman"/>
          <w:sz w:val="18"/>
          <w:szCs w:val="18"/>
          <w:color w:val="2B2A2D"/>
        </w:rPr>
        <w:t xml:space="preserve"> or reformulated to the extent and </w:t>
      </w:r>
      <w:r>
        <w:rPr>
          <w:rFonts w:ascii="Times New Roman" w:cs="Times New Roman" w:eastAsia="Times New Roman" w:hAnsi="Times New Roman"/>
          <w:sz w:val="18"/>
          <w:szCs w:val="18"/>
          <w:color w:val="1A1A1C"/>
        </w:rPr>
        <w:t>in</w:t>
      </w:r>
      <w:r>
        <w:rPr>
          <w:rFonts w:ascii="Times New Roman" w:cs="Times New Roman" w:eastAsia="Times New Roman" w:hAnsi="Times New Roman"/>
          <w:sz w:val="18"/>
          <w:szCs w:val="18"/>
          <w:color w:val="2B2A2D"/>
        </w:rPr>
        <w:t xml:space="preserve"> the manner necessary to render the language valid and enforceable</w:t>
      </w:r>
      <w:r>
        <w:rPr>
          <w:rFonts w:ascii="Times New Roman" w:cs="Times New Roman" w:eastAsia="Times New Roman" w:hAnsi="Times New Roman"/>
          <w:sz w:val="18"/>
          <w:szCs w:val="18"/>
          <w:color w:val="4F4D4F"/>
        </w:rPr>
        <w:t>,</w:t>
      </w:r>
      <w:r>
        <w:rPr>
          <w:rFonts w:ascii="Times New Roman" w:cs="Times New Roman" w:eastAsia="Times New Roman" w:hAnsi="Times New Roman"/>
          <w:sz w:val="18"/>
          <w:szCs w:val="18"/>
          <w:color w:val="2B2A2D"/>
        </w:rPr>
        <w:t xml:space="preserve"> or shall be deemed excised from this Agreement</w:t>
      </w:r>
      <w:r>
        <w:rPr>
          <w:rFonts w:ascii="Times New Roman" w:cs="Times New Roman" w:eastAsia="Times New Roman" w:hAnsi="Times New Roman"/>
          <w:sz w:val="18"/>
          <w:szCs w:val="18"/>
          <w:color w:val="4F4D4F"/>
        </w:rPr>
        <w:t>,</w:t>
      </w:r>
      <w:r>
        <w:rPr>
          <w:rFonts w:ascii="Times New Roman" w:cs="Times New Roman" w:eastAsia="Times New Roman" w:hAnsi="Times New Roman"/>
          <w:sz w:val="18"/>
          <w:szCs w:val="18"/>
          <w:color w:val="2B2A2D"/>
        </w:rPr>
        <w:t xml:space="preserve"> as the case </w:t>
      </w:r>
      <w:r>
        <w:rPr>
          <w:rFonts w:ascii="Times New Roman" w:cs="Times New Roman" w:eastAsia="Times New Roman" w:hAnsi="Times New Roman"/>
          <w:sz w:val="18"/>
          <w:szCs w:val="18"/>
          <w:color w:val="1A1A1C"/>
        </w:rPr>
        <w:t>may require</w:t>
      </w:r>
      <w:r>
        <w:rPr>
          <w:rFonts w:ascii="Times New Roman" w:cs="Times New Roman" w:eastAsia="Times New Roman" w:hAnsi="Times New Roman"/>
          <w:sz w:val="18"/>
          <w:szCs w:val="18"/>
          <w:color w:val="4F4D4F"/>
        </w:rPr>
        <w:t>.</w:t>
      </w:r>
      <w:r>
        <w:rPr>
          <w:rFonts w:ascii="Times New Roman" w:cs="Times New Roman" w:eastAsia="Times New Roman" w:hAnsi="Times New Roman"/>
          <w:sz w:val="18"/>
          <w:szCs w:val="18"/>
          <w:color w:val="2B2A2D"/>
        </w:rPr>
        <w:t xml:space="preserve"> </w:t>
      </w:r>
      <w:r>
        <w:rPr>
          <w:rFonts w:ascii="Times New Roman" w:cs="Times New Roman" w:eastAsia="Times New Roman" w:hAnsi="Times New Roman"/>
          <w:sz w:val="18"/>
          <w:szCs w:val="18"/>
          <w:color w:val="1A1A1C"/>
        </w:rPr>
        <w:t>If</w:t>
      </w:r>
      <w:r>
        <w:rPr>
          <w:rFonts w:ascii="Times New Roman" w:cs="Times New Roman" w:eastAsia="Times New Roman" w:hAnsi="Times New Roman"/>
          <w:sz w:val="18"/>
          <w:szCs w:val="18"/>
          <w:color w:val="2B2A2D"/>
        </w:rPr>
        <w:t xml:space="preserve"> any of </w:t>
      </w:r>
      <w:r>
        <w:rPr>
          <w:rFonts w:ascii="Times New Roman" w:cs="Times New Roman" w:eastAsia="Times New Roman" w:hAnsi="Times New Roman"/>
          <w:sz w:val="18"/>
          <w:szCs w:val="18"/>
          <w:color w:val="1A1A1C"/>
        </w:rPr>
        <w:t>the</w:t>
      </w:r>
      <w:r>
        <w:rPr>
          <w:rFonts w:ascii="Times New Roman" w:cs="Times New Roman" w:eastAsia="Times New Roman" w:hAnsi="Times New Roman"/>
          <w:sz w:val="18"/>
          <w:szCs w:val="18"/>
          <w:color w:val="2B2A2D"/>
        </w:rPr>
        <w:t xml:space="preserve"> provisions of</w:t>
      </w:r>
      <w:r>
        <w:rPr>
          <w:rFonts w:ascii="Times New Roman" w:cs="Times New Roman" w:eastAsia="Times New Roman" w:hAnsi="Times New Roman"/>
          <w:sz w:val="18"/>
          <w:szCs w:val="18"/>
          <w:color w:val="5E5E60"/>
        </w:rPr>
        <w:t>,</w:t>
      </w:r>
      <w:r>
        <w:rPr>
          <w:rFonts w:ascii="Times New Roman" w:cs="Times New Roman" w:eastAsia="Times New Roman" w:hAnsi="Times New Roman"/>
          <w:sz w:val="18"/>
          <w:szCs w:val="18"/>
          <w:color w:val="2B2A2D"/>
        </w:rPr>
        <w:t xml:space="preserve"> or covenants contained </w:t>
      </w:r>
      <w:r>
        <w:rPr>
          <w:rFonts w:ascii="Times New Roman" w:cs="Times New Roman" w:eastAsia="Times New Roman" w:hAnsi="Times New Roman"/>
          <w:sz w:val="18"/>
          <w:szCs w:val="18"/>
          <w:color w:val="1A1A1C"/>
        </w:rPr>
        <w:t>in</w:t>
      </w:r>
      <w:r>
        <w:rPr>
          <w:rFonts w:ascii="Times New Roman" w:cs="Times New Roman" w:eastAsia="Times New Roman" w:hAnsi="Times New Roman"/>
          <w:sz w:val="18"/>
          <w:szCs w:val="18"/>
          <w:color w:val="2B2A2D"/>
        </w:rPr>
        <w:t xml:space="preserve"> this Agreement are hereafter construed to be invalid or </w:t>
      </w:r>
      <w:r>
        <w:rPr>
          <w:rFonts w:ascii="Times New Roman" w:cs="Times New Roman" w:eastAsia="Times New Roman" w:hAnsi="Times New Roman"/>
          <w:sz w:val="18"/>
          <w:szCs w:val="18"/>
          <w:color w:val="1A1A1C"/>
        </w:rPr>
        <w:t xml:space="preserve">unenforceable </w:t>
      </w:r>
      <w:r>
        <w:rPr>
          <w:rFonts w:ascii="Times New Roman" w:cs="Times New Roman" w:eastAsia="Times New Roman" w:hAnsi="Times New Roman"/>
          <w:sz w:val="18"/>
          <w:szCs w:val="18"/>
          <w:color w:val="2B2A2D"/>
        </w:rPr>
        <w:t>in any jurisdiction</w:t>
      </w:r>
      <w:r>
        <w:rPr>
          <w:rFonts w:ascii="Times New Roman" w:cs="Times New Roman" w:eastAsia="Times New Roman" w:hAnsi="Times New Roman"/>
          <w:sz w:val="18"/>
          <w:szCs w:val="18"/>
          <w:color w:val="4F4D4F"/>
        </w:rPr>
        <w:t>,</w:t>
      </w:r>
      <w:r>
        <w:rPr>
          <w:rFonts w:ascii="Times New Roman" w:cs="Times New Roman" w:eastAsia="Times New Roman" w:hAnsi="Times New Roman"/>
          <w:sz w:val="18"/>
          <w:szCs w:val="18"/>
          <w:color w:val="1A1A1C"/>
        </w:rPr>
        <w:t xml:space="preserve"> </w:t>
      </w:r>
      <w:r>
        <w:rPr>
          <w:rFonts w:ascii="Times New Roman" w:cs="Times New Roman" w:eastAsia="Times New Roman" w:hAnsi="Times New Roman"/>
          <w:sz w:val="18"/>
          <w:szCs w:val="18"/>
          <w:color w:val="2B2A2D"/>
        </w:rPr>
        <w:t>the same shall</w:t>
      </w:r>
      <w:r>
        <w:rPr>
          <w:rFonts w:ascii="Times New Roman" w:cs="Times New Roman" w:eastAsia="Times New Roman" w:hAnsi="Times New Roman"/>
          <w:sz w:val="18"/>
          <w:szCs w:val="18"/>
          <w:color w:val="1A1A1C"/>
        </w:rPr>
        <w:t xml:space="preserve"> not </w:t>
      </w:r>
      <w:r>
        <w:rPr>
          <w:rFonts w:ascii="Times New Roman" w:cs="Times New Roman" w:eastAsia="Times New Roman" w:hAnsi="Times New Roman"/>
          <w:sz w:val="18"/>
          <w:szCs w:val="18"/>
          <w:color w:val="2B2A2D"/>
        </w:rPr>
        <w:t>affect the remainder of the provisions or the enforceability thereof</w:t>
      </w:r>
      <w:r>
        <w:rPr>
          <w:rFonts w:ascii="Times New Roman" w:cs="Times New Roman" w:eastAsia="Times New Roman" w:hAnsi="Times New Roman"/>
          <w:sz w:val="18"/>
          <w:szCs w:val="18"/>
          <w:color w:val="1A1A1C"/>
        </w:rPr>
        <w:t xml:space="preserve"> in </w:t>
      </w:r>
      <w:r>
        <w:rPr>
          <w:rFonts w:ascii="Times New Roman" w:cs="Times New Roman" w:eastAsia="Times New Roman" w:hAnsi="Times New Roman"/>
          <w:sz w:val="18"/>
          <w:szCs w:val="18"/>
          <w:color w:val="2B2A2D"/>
        </w:rPr>
        <w:t>any other jurisdiction</w:t>
      </w:r>
      <w:r>
        <w:rPr>
          <w:rFonts w:ascii="Times New Roman" w:cs="Times New Roman" w:eastAsia="Times New Roman" w:hAnsi="Times New Roman"/>
          <w:sz w:val="18"/>
          <w:szCs w:val="18"/>
          <w:color w:val="4F4D4F"/>
        </w:rPr>
        <w:t>,</w:t>
      </w:r>
      <w:r>
        <w:rPr>
          <w:rFonts w:ascii="Times New Roman" w:cs="Times New Roman" w:eastAsia="Times New Roman" w:hAnsi="Times New Roman"/>
          <w:sz w:val="18"/>
          <w:szCs w:val="18"/>
          <w:color w:val="1A1A1C"/>
        </w:rPr>
        <w:t xml:space="preserve"> </w:t>
      </w:r>
      <w:r>
        <w:rPr>
          <w:rFonts w:ascii="Times New Roman" w:cs="Times New Roman" w:eastAsia="Times New Roman" w:hAnsi="Times New Roman"/>
          <w:sz w:val="18"/>
          <w:szCs w:val="18"/>
          <w:color w:val="2B2A2D"/>
        </w:rPr>
        <w:t>which</w:t>
      </w:r>
      <w:r>
        <w:rPr>
          <w:rFonts w:ascii="Times New Roman" w:cs="Times New Roman" w:eastAsia="Times New Roman" w:hAnsi="Times New Roman"/>
          <w:sz w:val="18"/>
          <w:szCs w:val="18"/>
          <w:color w:val="1A1A1C"/>
        </w:rPr>
        <w:t xml:space="preserve"> </w:t>
      </w:r>
      <w:r>
        <w:rPr>
          <w:rFonts w:ascii="Times New Roman" w:cs="Times New Roman" w:eastAsia="Times New Roman" w:hAnsi="Times New Roman"/>
          <w:sz w:val="18"/>
          <w:szCs w:val="18"/>
          <w:color w:val="2B2A2D"/>
        </w:rPr>
        <w:t>shall be given full effect</w:t>
      </w:r>
      <w:r>
        <w:rPr>
          <w:rFonts w:ascii="Times New Roman" w:cs="Times New Roman" w:eastAsia="Times New Roman" w:hAnsi="Times New Roman"/>
          <w:sz w:val="18"/>
          <w:szCs w:val="18"/>
          <w:color w:val="4F4D4F"/>
        </w:rPr>
        <w:t>,</w:t>
      </w:r>
      <w:r>
        <w:rPr>
          <w:rFonts w:ascii="Times New Roman" w:cs="Times New Roman" w:eastAsia="Times New Roman" w:hAnsi="Times New Roman"/>
          <w:sz w:val="18"/>
          <w:szCs w:val="18"/>
          <w:color w:val="2B2A2D"/>
        </w:rPr>
        <w:t xml:space="preserve"> without regard to the invalidity or unenforceability </w:t>
      </w:r>
      <w:r>
        <w:rPr>
          <w:rFonts w:ascii="Times New Roman" w:cs="Times New Roman" w:eastAsia="Times New Roman" w:hAnsi="Times New Roman"/>
          <w:sz w:val="18"/>
          <w:szCs w:val="18"/>
          <w:color w:val="1A1A1C"/>
        </w:rPr>
        <w:t>in</w:t>
      </w:r>
      <w:r>
        <w:rPr>
          <w:rFonts w:ascii="Times New Roman" w:cs="Times New Roman" w:eastAsia="Times New Roman" w:hAnsi="Times New Roman"/>
          <w:sz w:val="18"/>
          <w:szCs w:val="18"/>
          <w:color w:val="2B2A2D"/>
        </w:rPr>
        <w:t xml:space="preserve"> such other jurisdiction</w:t>
      </w:r>
      <w:r>
        <w:rPr>
          <w:rFonts w:ascii="Times New Roman" w:cs="Times New Roman" w:eastAsia="Times New Roman" w:hAnsi="Times New Roman"/>
          <w:sz w:val="18"/>
          <w:szCs w:val="18"/>
          <w:color w:val="4F4D4F"/>
        </w:rPr>
        <w:t>.</w:t>
      </w:r>
    </w:p>
    <w:p>
      <w:pPr>
        <w:spacing w:after="0" w:line="147" w:lineRule="exact"/>
        <w:rPr>
          <w:sz w:val="20"/>
          <w:szCs w:val="20"/>
          <w:color w:val="auto"/>
        </w:rPr>
      </w:pPr>
    </w:p>
    <w:p>
      <w:pPr>
        <w:jc w:val="both"/>
        <w:ind w:left="120" w:right="20" w:firstLine="719"/>
        <w:spacing w:after="0" w:line="261" w:lineRule="auto"/>
        <w:rPr>
          <w:sz w:val="20"/>
          <w:szCs w:val="20"/>
          <w:color w:val="auto"/>
        </w:rPr>
      </w:pPr>
      <w:r>
        <w:rPr>
          <w:rFonts w:ascii="Times New Roman" w:cs="Times New Roman" w:eastAsia="Times New Roman" w:hAnsi="Times New Roman"/>
          <w:sz w:val="18"/>
          <w:szCs w:val="18"/>
          <w:color w:val="2B2A2D"/>
        </w:rPr>
        <w:t xml:space="preserve">8.5 This Agreement contains the entire </w:t>
      </w:r>
      <w:r>
        <w:rPr>
          <w:rFonts w:ascii="Times New Roman" w:cs="Times New Roman" w:eastAsia="Times New Roman" w:hAnsi="Times New Roman"/>
          <w:sz w:val="18"/>
          <w:szCs w:val="18"/>
          <w:color w:val="1A1A1C"/>
        </w:rPr>
        <w:t>understanding</w:t>
      </w:r>
      <w:r>
        <w:rPr>
          <w:rFonts w:ascii="Times New Roman" w:cs="Times New Roman" w:eastAsia="Times New Roman" w:hAnsi="Times New Roman"/>
          <w:sz w:val="18"/>
          <w:szCs w:val="18"/>
          <w:color w:val="2B2A2D"/>
        </w:rPr>
        <w:t xml:space="preserve"> and agreement between you and the Employer with respect to this subject matter</w:t>
      </w:r>
      <w:r>
        <w:rPr>
          <w:rFonts w:ascii="Times New Roman" w:cs="Times New Roman" w:eastAsia="Times New Roman" w:hAnsi="Times New Roman"/>
          <w:sz w:val="18"/>
          <w:szCs w:val="18"/>
          <w:color w:val="5E5E60"/>
        </w:rPr>
        <w:t>,</w:t>
      </w:r>
      <w:r>
        <w:rPr>
          <w:rFonts w:ascii="Times New Roman" w:cs="Times New Roman" w:eastAsia="Times New Roman" w:hAnsi="Times New Roman"/>
          <w:sz w:val="18"/>
          <w:szCs w:val="18"/>
          <w:color w:val="2B2A2D"/>
        </w:rPr>
        <w:t xml:space="preserve"> and supersedes all prior oral and written agreements</w:t>
      </w:r>
      <w:r>
        <w:rPr>
          <w:rFonts w:ascii="Times New Roman" w:cs="Times New Roman" w:eastAsia="Times New Roman" w:hAnsi="Times New Roman"/>
          <w:sz w:val="18"/>
          <w:szCs w:val="18"/>
          <w:color w:val="4F4D4F"/>
        </w:rPr>
        <w:t>,</w:t>
      </w:r>
      <w:r>
        <w:rPr>
          <w:rFonts w:ascii="Times New Roman" w:cs="Times New Roman" w:eastAsia="Times New Roman" w:hAnsi="Times New Roman"/>
          <w:sz w:val="18"/>
          <w:szCs w:val="18"/>
          <w:color w:val="2B2A2D"/>
        </w:rPr>
        <w:t xml:space="preserve"> if any, between you and the Employer with respect to that subject </w:t>
      </w:r>
      <w:r>
        <w:rPr>
          <w:rFonts w:ascii="Times New Roman" w:cs="Times New Roman" w:eastAsia="Times New Roman" w:hAnsi="Times New Roman"/>
          <w:sz w:val="18"/>
          <w:szCs w:val="18"/>
          <w:color w:val="1A1A1C"/>
        </w:rPr>
        <w:t>matter</w:t>
      </w:r>
      <w:r>
        <w:rPr>
          <w:rFonts w:ascii="Times New Roman" w:cs="Times New Roman" w:eastAsia="Times New Roman" w:hAnsi="Times New Roman"/>
          <w:sz w:val="18"/>
          <w:szCs w:val="18"/>
          <w:color w:val="4F4D4F"/>
        </w:rPr>
        <w:t>.</w:t>
      </w:r>
      <w:r>
        <w:rPr>
          <w:rFonts w:ascii="Times New Roman" w:cs="Times New Roman" w:eastAsia="Times New Roman" w:hAnsi="Times New Roman"/>
          <w:sz w:val="18"/>
          <w:szCs w:val="18"/>
          <w:color w:val="2B2A2D"/>
        </w:rPr>
        <w:t xml:space="preserve"> You </w:t>
      </w:r>
      <w:r>
        <w:rPr>
          <w:rFonts w:ascii="Times New Roman" w:cs="Times New Roman" w:eastAsia="Times New Roman" w:hAnsi="Times New Roman"/>
          <w:sz w:val="18"/>
          <w:szCs w:val="18"/>
          <w:color w:val="1A1A1C"/>
        </w:rPr>
        <w:t>understand</w:t>
      </w:r>
      <w:r>
        <w:rPr>
          <w:rFonts w:ascii="Times New Roman" w:cs="Times New Roman" w:eastAsia="Times New Roman" w:hAnsi="Times New Roman"/>
          <w:sz w:val="18"/>
          <w:szCs w:val="18"/>
          <w:color w:val="2B2A2D"/>
        </w:rPr>
        <w:t xml:space="preserve"> and acknowledge that the Employer</w:t>
      </w:r>
      <w:r>
        <w:rPr>
          <w:rFonts w:ascii="Times New Roman" w:cs="Times New Roman" w:eastAsia="Times New Roman" w:hAnsi="Times New Roman"/>
          <w:sz w:val="18"/>
          <w:szCs w:val="18"/>
          <w:color w:val="4F4D4F"/>
        </w:rPr>
        <w:t>'</w:t>
      </w:r>
      <w:r>
        <w:rPr>
          <w:rFonts w:ascii="Times New Roman" w:cs="Times New Roman" w:eastAsia="Times New Roman" w:hAnsi="Times New Roman"/>
          <w:sz w:val="18"/>
          <w:szCs w:val="18"/>
          <w:color w:val="2B2A2D"/>
        </w:rPr>
        <w:t xml:space="preserve">s and the Company's rights </w:t>
      </w:r>
      <w:r>
        <w:rPr>
          <w:rFonts w:ascii="Times New Roman" w:cs="Times New Roman" w:eastAsia="Times New Roman" w:hAnsi="Times New Roman"/>
          <w:sz w:val="18"/>
          <w:szCs w:val="18"/>
          <w:color w:val="1A1A1C"/>
        </w:rPr>
        <w:t>under</w:t>
      </w:r>
      <w:r>
        <w:rPr>
          <w:rFonts w:ascii="Times New Roman" w:cs="Times New Roman" w:eastAsia="Times New Roman" w:hAnsi="Times New Roman"/>
          <w:sz w:val="18"/>
          <w:szCs w:val="18"/>
          <w:color w:val="2B2A2D"/>
        </w:rPr>
        <w:t xml:space="preserve"> this Agreement shall inure to the benefit of any of its successors and/or assigns</w:t>
      </w:r>
      <w:r>
        <w:rPr>
          <w:rFonts w:ascii="Times New Roman" w:cs="Times New Roman" w:eastAsia="Times New Roman" w:hAnsi="Times New Roman"/>
          <w:sz w:val="18"/>
          <w:szCs w:val="18"/>
          <w:color w:val="4F4D4F"/>
        </w:rPr>
        <w:t>,</w:t>
      </w:r>
      <w:r>
        <w:rPr>
          <w:rFonts w:ascii="Times New Roman" w:cs="Times New Roman" w:eastAsia="Times New Roman" w:hAnsi="Times New Roman"/>
          <w:sz w:val="18"/>
          <w:szCs w:val="18"/>
          <w:color w:val="2B2A2D"/>
        </w:rPr>
        <w:t xml:space="preserve"> and you shall continue to </w:t>
      </w:r>
      <w:r>
        <w:rPr>
          <w:rFonts w:ascii="Times New Roman" w:cs="Times New Roman" w:eastAsia="Times New Roman" w:hAnsi="Times New Roman"/>
          <w:sz w:val="18"/>
          <w:szCs w:val="18"/>
          <w:color w:val="1A1A1C"/>
        </w:rPr>
        <w:t>be</w:t>
      </w:r>
      <w:r>
        <w:rPr>
          <w:rFonts w:ascii="Times New Roman" w:cs="Times New Roman" w:eastAsia="Times New Roman" w:hAnsi="Times New Roman"/>
          <w:sz w:val="18"/>
          <w:szCs w:val="18"/>
          <w:color w:val="2B2A2D"/>
        </w:rPr>
        <w:t xml:space="preserve"> bound by the </w:t>
      </w:r>
      <w:r>
        <w:rPr>
          <w:rFonts w:ascii="Times New Roman" w:cs="Times New Roman" w:eastAsia="Times New Roman" w:hAnsi="Times New Roman"/>
          <w:sz w:val="18"/>
          <w:szCs w:val="18"/>
          <w:color w:val="1A1A1C"/>
        </w:rPr>
        <w:t>terms hereof</w:t>
      </w:r>
      <w:r>
        <w:rPr>
          <w:rFonts w:ascii="Times New Roman" w:cs="Times New Roman" w:eastAsia="Times New Roman" w:hAnsi="Times New Roman"/>
          <w:sz w:val="18"/>
          <w:szCs w:val="18"/>
          <w:color w:val="2B2A2D"/>
        </w:rPr>
        <w:t xml:space="preserve"> with any of the Employer's or </w:t>
      </w:r>
      <w:r>
        <w:rPr>
          <w:rFonts w:ascii="Times New Roman" w:cs="Times New Roman" w:eastAsia="Times New Roman" w:hAnsi="Times New Roman"/>
          <w:sz w:val="18"/>
          <w:szCs w:val="18"/>
          <w:color w:val="1A1A1C"/>
        </w:rPr>
        <w:t>the</w:t>
      </w:r>
      <w:r>
        <w:rPr>
          <w:rFonts w:ascii="Times New Roman" w:cs="Times New Roman" w:eastAsia="Times New Roman" w:hAnsi="Times New Roman"/>
          <w:sz w:val="18"/>
          <w:szCs w:val="18"/>
          <w:color w:val="2B2A2D"/>
        </w:rPr>
        <w:t xml:space="preserve"> Company</w:t>
      </w:r>
      <w:r>
        <w:rPr>
          <w:rFonts w:ascii="Times New Roman" w:cs="Times New Roman" w:eastAsia="Times New Roman" w:hAnsi="Times New Roman"/>
          <w:sz w:val="18"/>
          <w:szCs w:val="18"/>
          <w:color w:val="4F4D4F"/>
        </w:rPr>
        <w:t>'</w:t>
      </w:r>
      <w:r>
        <w:rPr>
          <w:rFonts w:ascii="Times New Roman" w:cs="Times New Roman" w:eastAsia="Times New Roman" w:hAnsi="Times New Roman"/>
          <w:sz w:val="18"/>
          <w:szCs w:val="18"/>
          <w:color w:val="2B2A2D"/>
        </w:rPr>
        <w:t>s successors and/or assigns.</w:t>
      </w:r>
    </w:p>
    <w:p>
      <w:pPr>
        <w:spacing w:after="0" w:line="139" w:lineRule="exact"/>
        <w:rPr>
          <w:sz w:val="20"/>
          <w:szCs w:val="20"/>
          <w:color w:val="auto"/>
        </w:rPr>
      </w:pPr>
    </w:p>
    <w:p>
      <w:pPr>
        <w:jc w:val="both"/>
        <w:ind w:left="80" w:right="40" w:firstLine="739"/>
        <w:spacing w:after="0" w:line="258" w:lineRule="auto"/>
        <w:rPr>
          <w:sz w:val="20"/>
          <w:szCs w:val="20"/>
          <w:color w:val="auto"/>
        </w:rPr>
      </w:pPr>
      <w:r>
        <w:rPr>
          <w:rFonts w:ascii="Times New Roman" w:cs="Times New Roman" w:eastAsia="Times New Roman" w:hAnsi="Times New Roman"/>
          <w:sz w:val="18"/>
          <w:szCs w:val="18"/>
          <w:color w:val="2B2A2D"/>
        </w:rPr>
        <w:t>8.6 Any failure by the Employer or the Company to enforce any part of this Agreement at any time shall in no way affect the Employer</w:t>
      </w:r>
      <w:r>
        <w:rPr>
          <w:rFonts w:ascii="Times New Roman" w:cs="Times New Roman" w:eastAsia="Times New Roman" w:hAnsi="Times New Roman"/>
          <w:sz w:val="18"/>
          <w:szCs w:val="18"/>
          <w:color w:val="4F4D4F"/>
        </w:rPr>
        <w:t>'</w:t>
      </w:r>
      <w:r>
        <w:rPr>
          <w:rFonts w:ascii="Times New Roman" w:cs="Times New Roman" w:eastAsia="Times New Roman" w:hAnsi="Times New Roman"/>
          <w:sz w:val="18"/>
          <w:szCs w:val="18"/>
          <w:color w:val="2B2A2D"/>
        </w:rPr>
        <w:t xml:space="preserve">s or the Company's right to enforce the same at a later time. No waiver by the Employer or the Company of any provision in this Agreement, or of any </w:t>
      </w:r>
      <w:r>
        <w:rPr>
          <w:rFonts w:ascii="Times New Roman" w:cs="Times New Roman" w:eastAsia="Times New Roman" w:hAnsi="Times New Roman"/>
          <w:sz w:val="18"/>
          <w:szCs w:val="18"/>
          <w:color w:val="1A1A1C"/>
        </w:rPr>
        <w:t>breach</w:t>
      </w:r>
      <w:r>
        <w:rPr>
          <w:rFonts w:ascii="Times New Roman" w:cs="Times New Roman" w:eastAsia="Times New Roman" w:hAnsi="Times New Roman"/>
          <w:sz w:val="18"/>
          <w:szCs w:val="18"/>
          <w:color w:val="2B2A2D"/>
        </w:rPr>
        <w:t xml:space="preserve"> of any such provision</w:t>
      </w:r>
      <w:r>
        <w:rPr>
          <w:rFonts w:ascii="Times New Roman" w:cs="Times New Roman" w:eastAsia="Times New Roman" w:hAnsi="Times New Roman"/>
          <w:sz w:val="18"/>
          <w:szCs w:val="18"/>
          <w:color w:val="5E5E60"/>
        </w:rPr>
        <w:t>,</w:t>
      </w:r>
      <w:r>
        <w:rPr>
          <w:rFonts w:ascii="Times New Roman" w:cs="Times New Roman" w:eastAsia="Times New Roman" w:hAnsi="Times New Roman"/>
          <w:sz w:val="18"/>
          <w:szCs w:val="18"/>
          <w:color w:val="2B2A2D"/>
        </w:rPr>
        <w:t xml:space="preserve"> shall be effective unless in writing and signed by an officer of the Employer</w:t>
      </w:r>
      <w:r>
        <w:rPr>
          <w:rFonts w:ascii="Times New Roman" w:cs="Times New Roman" w:eastAsia="Times New Roman" w:hAnsi="Times New Roman"/>
          <w:sz w:val="18"/>
          <w:szCs w:val="18"/>
          <w:color w:val="5E5E60"/>
        </w:rPr>
        <w:t>,</w:t>
      </w:r>
      <w:r>
        <w:rPr>
          <w:rFonts w:ascii="Times New Roman" w:cs="Times New Roman" w:eastAsia="Times New Roman" w:hAnsi="Times New Roman"/>
          <w:sz w:val="18"/>
          <w:szCs w:val="18"/>
          <w:color w:val="2B2A2D"/>
        </w:rPr>
        <w:t xml:space="preserve"> and </w:t>
      </w:r>
      <w:r>
        <w:rPr>
          <w:rFonts w:ascii="Times New Roman" w:cs="Times New Roman" w:eastAsia="Times New Roman" w:hAnsi="Times New Roman"/>
          <w:sz w:val="18"/>
          <w:szCs w:val="18"/>
          <w:color w:val="1A1A1C"/>
        </w:rPr>
        <w:t>no</w:t>
      </w:r>
      <w:r>
        <w:rPr>
          <w:rFonts w:ascii="Times New Roman" w:cs="Times New Roman" w:eastAsia="Times New Roman" w:hAnsi="Times New Roman"/>
          <w:sz w:val="18"/>
          <w:szCs w:val="18"/>
          <w:color w:val="2B2A2D"/>
        </w:rPr>
        <w:t xml:space="preserve"> waiver </w:t>
      </w:r>
      <w:r>
        <w:rPr>
          <w:rFonts w:ascii="Times New Roman" w:cs="Times New Roman" w:eastAsia="Times New Roman" w:hAnsi="Times New Roman"/>
          <w:sz w:val="18"/>
          <w:szCs w:val="18"/>
          <w:color w:val="1A1A1C"/>
        </w:rPr>
        <w:t>in</w:t>
      </w:r>
      <w:r>
        <w:rPr>
          <w:rFonts w:ascii="Times New Roman" w:cs="Times New Roman" w:eastAsia="Times New Roman" w:hAnsi="Times New Roman"/>
          <w:sz w:val="18"/>
          <w:szCs w:val="18"/>
          <w:color w:val="2B2A2D"/>
        </w:rPr>
        <w:t xml:space="preserve"> any one or more instances shall be </w:t>
      </w:r>
      <w:r>
        <w:rPr>
          <w:rFonts w:ascii="Times New Roman" w:cs="Times New Roman" w:eastAsia="Times New Roman" w:hAnsi="Times New Roman"/>
          <w:sz w:val="18"/>
          <w:szCs w:val="18"/>
          <w:color w:val="1A1A1C"/>
        </w:rPr>
        <w:t>deemed</w:t>
      </w:r>
      <w:r>
        <w:rPr>
          <w:rFonts w:ascii="Times New Roman" w:cs="Times New Roman" w:eastAsia="Times New Roman" w:hAnsi="Times New Roman"/>
          <w:sz w:val="18"/>
          <w:szCs w:val="18"/>
          <w:color w:val="2B2A2D"/>
        </w:rPr>
        <w:t xml:space="preserve"> to be a further or continuing waiver of any such provision or </w:t>
      </w:r>
      <w:r>
        <w:rPr>
          <w:rFonts w:ascii="Times New Roman" w:cs="Times New Roman" w:eastAsia="Times New Roman" w:hAnsi="Times New Roman"/>
          <w:sz w:val="18"/>
          <w:szCs w:val="18"/>
          <w:color w:val="1A1A1C"/>
        </w:rPr>
        <w:t>breach in</w:t>
      </w:r>
      <w:r>
        <w:rPr>
          <w:rFonts w:ascii="Times New Roman" w:cs="Times New Roman" w:eastAsia="Times New Roman" w:hAnsi="Times New Roman"/>
          <w:sz w:val="18"/>
          <w:szCs w:val="18"/>
          <w:color w:val="2B2A2D"/>
        </w:rPr>
        <w:t xml:space="preserve"> other </w:t>
      </w:r>
      <w:r>
        <w:rPr>
          <w:rFonts w:ascii="Times New Roman" w:cs="Times New Roman" w:eastAsia="Times New Roman" w:hAnsi="Times New Roman"/>
          <w:sz w:val="18"/>
          <w:szCs w:val="18"/>
          <w:color w:val="1A1A1C"/>
        </w:rPr>
        <w:t>instances</w:t>
      </w:r>
      <w:r>
        <w:rPr>
          <w:rFonts w:ascii="Times New Roman" w:cs="Times New Roman" w:eastAsia="Times New Roman" w:hAnsi="Times New Roman"/>
          <w:sz w:val="18"/>
          <w:szCs w:val="18"/>
          <w:color w:val="2B2A2D"/>
        </w:rPr>
        <w:t xml:space="preserve"> or a waiver of any other provision or breach of any other provision or covenant.</w:t>
      </w:r>
    </w:p>
    <w:p>
      <w:pPr>
        <w:spacing w:after="0" w:line="156" w:lineRule="exact"/>
        <w:rPr>
          <w:sz w:val="20"/>
          <w:szCs w:val="20"/>
          <w:color w:val="auto"/>
        </w:rPr>
      </w:pPr>
    </w:p>
    <w:p>
      <w:pPr>
        <w:jc w:val="both"/>
        <w:ind w:left="60" w:right="80" w:firstLine="719"/>
        <w:spacing w:after="0" w:line="258" w:lineRule="auto"/>
        <w:rPr>
          <w:sz w:val="20"/>
          <w:szCs w:val="20"/>
          <w:color w:val="auto"/>
        </w:rPr>
      </w:pPr>
      <w:r>
        <w:rPr>
          <w:rFonts w:ascii="Times New Roman" w:cs="Times New Roman" w:eastAsia="Times New Roman" w:hAnsi="Times New Roman"/>
          <w:sz w:val="18"/>
          <w:szCs w:val="18"/>
          <w:color w:val="2B2A2D"/>
        </w:rPr>
        <w:t>8.7 Following any termination of your employment with the Employer</w:t>
      </w:r>
      <w:r>
        <w:rPr>
          <w:rFonts w:ascii="Times New Roman" w:cs="Times New Roman" w:eastAsia="Times New Roman" w:hAnsi="Times New Roman"/>
          <w:sz w:val="18"/>
          <w:szCs w:val="18"/>
          <w:color w:val="4F4D4F"/>
        </w:rPr>
        <w:t>,</w:t>
      </w:r>
      <w:r>
        <w:rPr>
          <w:rFonts w:ascii="Times New Roman" w:cs="Times New Roman" w:eastAsia="Times New Roman" w:hAnsi="Times New Roman"/>
          <w:sz w:val="18"/>
          <w:szCs w:val="18"/>
          <w:color w:val="2B2A2D"/>
        </w:rPr>
        <w:t xml:space="preserve"> you shall fully cooperate with the Employer </w:t>
      </w:r>
      <w:r>
        <w:rPr>
          <w:rFonts w:ascii="Times New Roman" w:cs="Times New Roman" w:eastAsia="Times New Roman" w:hAnsi="Times New Roman"/>
          <w:sz w:val="18"/>
          <w:szCs w:val="18"/>
          <w:color w:val="1A1A1C"/>
        </w:rPr>
        <w:t>in</w:t>
      </w:r>
      <w:r>
        <w:rPr>
          <w:rFonts w:ascii="Times New Roman" w:cs="Times New Roman" w:eastAsia="Times New Roman" w:hAnsi="Times New Roman"/>
          <w:sz w:val="18"/>
          <w:szCs w:val="18"/>
          <w:color w:val="2B2A2D"/>
        </w:rPr>
        <w:t xml:space="preserve"> all </w:t>
      </w:r>
      <w:r>
        <w:rPr>
          <w:rFonts w:ascii="Times New Roman" w:cs="Times New Roman" w:eastAsia="Times New Roman" w:hAnsi="Times New Roman"/>
          <w:sz w:val="18"/>
          <w:szCs w:val="18"/>
          <w:color w:val="1A1A1C"/>
        </w:rPr>
        <w:t>matters</w:t>
      </w:r>
      <w:r>
        <w:rPr>
          <w:rFonts w:ascii="Times New Roman" w:cs="Times New Roman" w:eastAsia="Times New Roman" w:hAnsi="Times New Roman"/>
          <w:sz w:val="18"/>
          <w:szCs w:val="18"/>
          <w:color w:val="2B2A2D"/>
        </w:rPr>
        <w:t xml:space="preserve"> relating </w:t>
      </w:r>
      <w:r>
        <w:rPr>
          <w:rFonts w:ascii="Times New Roman" w:cs="Times New Roman" w:eastAsia="Times New Roman" w:hAnsi="Times New Roman"/>
          <w:sz w:val="18"/>
          <w:szCs w:val="18"/>
          <w:color w:val="1A1A1C"/>
        </w:rPr>
        <w:t>to</w:t>
      </w:r>
      <w:r>
        <w:rPr>
          <w:rFonts w:ascii="Times New Roman" w:cs="Times New Roman" w:eastAsia="Times New Roman" w:hAnsi="Times New Roman"/>
          <w:sz w:val="18"/>
          <w:szCs w:val="18"/>
          <w:color w:val="2B2A2D"/>
        </w:rPr>
        <w:t xml:space="preserve"> the winding </w:t>
      </w:r>
      <w:r>
        <w:rPr>
          <w:rFonts w:ascii="Times New Roman" w:cs="Times New Roman" w:eastAsia="Times New Roman" w:hAnsi="Times New Roman"/>
          <w:sz w:val="18"/>
          <w:szCs w:val="18"/>
          <w:color w:val="1A1A1C"/>
        </w:rPr>
        <w:t>up</w:t>
      </w:r>
      <w:r>
        <w:rPr>
          <w:rFonts w:ascii="Times New Roman" w:cs="Times New Roman" w:eastAsia="Times New Roman" w:hAnsi="Times New Roman"/>
          <w:sz w:val="18"/>
          <w:szCs w:val="18"/>
          <w:color w:val="2B2A2D"/>
        </w:rPr>
        <w:t xml:space="preserve"> of your pending work on behalf of the Employer and/or any of the Employer</w:t>
      </w:r>
      <w:r>
        <w:rPr>
          <w:rFonts w:ascii="Times New Roman" w:cs="Times New Roman" w:eastAsia="Times New Roman" w:hAnsi="Times New Roman"/>
          <w:sz w:val="18"/>
          <w:szCs w:val="18"/>
          <w:color w:val="4F4D4F"/>
        </w:rPr>
        <w:t>'</w:t>
      </w:r>
      <w:r>
        <w:rPr>
          <w:rFonts w:ascii="Times New Roman" w:cs="Times New Roman" w:eastAsia="Times New Roman" w:hAnsi="Times New Roman"/>
          <w:sz w:val="18"/>
          <w:szCs w:val="18"/>
          <w:color w:val="2B2A2D"/>
        </w:rPr>
        <w:t xml:space="preserve">s customers, </w:t>
      </w:r>
      <w:r>
        <w:rPr>
          <w:rFonts w:ascii="Times New Roman" w:cs="Times New Roman" w:eastAsia="Times New Roman" w:hAnsi="Times New Roman"/>
          <w:sz w:val="18"/>
          <w:szCs w:val="18"/>
          <w:color w:val="1A1A1C"/>
        </w:rPr>
        <w:t>prospective</w:t>
      </w:r>
      <w:r>
        <w:rPr>
          <w:rFonts w:ascii="Times New Roman" w:cs="Times New Roman" w:eastAsia="Times New Roman" w:hAnsi="Times New Roman"/>
          <w:sz w:val="18"/>
          <w:szCs w:val="18"/>
          <w:color w:val="2B2A2D"/>
        </w:rPr>
        <w:t xml:space="preserve"> customers</w:t>
      </w:r>
      <w:r>
        <w:rPr>
          <w:rFonts w:ascii="Times New Roman" w:cs="Times New Roman" w:eastAsia="Times New Roman" w:hAnsi="Times New Roman"/>
          <w:sz w:val="18"/>
          <w:szCs w:val="18"/>
          <w:color w:val="4F4D4F"/>
        </w:rPr>
        <w:t>,</w:t>
      </w:r>
      <w:r>
        <w:rPr>
          <w:rFonts w:ascii="Times New Roman" w:cs="Times New Roman" w:eastAsia="Times New Roman" w:hAnsi="Times New Roman"/>
          <w:sz w:val="18"/>
          <w:szCs w:val="18"/>
          <w:color w:val="2B2A2D"/>
        </w:rPr>
        <w:t xml:space="preserve"> investors, and </w:t>
      </w:r>
      <w:r>
        <w:rPr>
          <w:rFonts w:ascii="Times New Roman" w:cs="Times New Roman" w:eastAsia="Times New Roman" w:hAnsi="Times New Roman"/>
          <w:sz w:val="18"/>
          <w:szCs w:val="18"/>
          <w:color w:val="1A1A1C"/>
        </w:rPr>
        <w:t>prospective investors</w:t>
      </w:r>
      <w:r>
        <w:rPr>
          <w:rFonts w:ascii="Times New Roman" w:cs="Times New Roman" w:eastAsia="Times New Roman" w:hAnsi="Times New Roman"/>
          <w:sz w:val="18"/>
          <w:szCs w:val="18"/>
          <w:color w:val="2B2A2D"/>
        </w:rPr>
        <w:t xml:space="preserve"> and </w:t>
      </w:r>
      <w:r>
        <w:rPr>
          <w:rFonts w:ascii="Times New Roman" w:cs="Times New Roman" w:eastAsia="Times New Roman" w:hAnsi="Times New Roman"/>
          <w:sz w:val="18"/>
          <w:szCs w:val="18"/>
          <w:color w:val="1A1A1C"/>
        </w:rPr>
        <w:t>the</w:t>
      </w:r>
      <w:r>
        <w:rPr>
          <w:rFonts w:ascii="Times New Roman" w:cs="Times New Roman" w:eastAsia="Times New Roman" w:hAnsi="Times New Roman"/>
          <w:sz w:val="18"/>
          <w:szCs w:val="18"/>
          <w:color w:val="2B2A2D"/>
        </w:rPr>
        <w:t xml:space="preserve"> </w:t>
      </w:r>
      <w:r>
        <w:rPr>
          <w:rFonts w:ascii="Times New Roman" w:cs="Times New Roman" w:eastAsia="Times New Roman" w:hAnsi="Times New Roman"/>
          <w:sz w:val="18"/>
          <w:szCs w:val="18"/>
          <w:color w:val="2F2D2F"/>
        </w:rPr>
        <w:t>orderly</w:t>
      </w:r>
      <w:r>
        <w:rPr>
          <w:rFonts w:ascii="Times New Roman" w:cs="Times New Roman" w:eastAsia="Times New Roman" w:hAnsi="Times New Roman"/>
          <w:sz w:val="18"/>
          <w:szCs w:val="18"/>
          <w:color w:val="2B2A2D"/>
        </w:rPr>
        <w:t xml:space="preserve"> </w:t>
      </w:r>
      <w:r>
        <w:rPr>
          <w:rFonts w:ascii="Times New Roman" w:cs="Times New Roman" w:eastAsia="Times New Roman" w:hAnsi="Times New Roman"/>
          <w:sz w:val="18"/>
          <w:szCs w:val="18"/>
          <w:color w:val="1F1D1F"/>
        </w:rPr>
        <w:t>transfer</w:t>
      </w:r>
      <w:r>
        <w:rPr>
          <w:rFonts w:ascii="Times New Roman" w:cs="Times New Roman" w:eastAsia="Times New Roman" w:hAnsi="Times New Roman"/>
          <w:sz w:val="18"/>
          <w:szCs w:val="18"/>
          <w:color w:val="2B2A2D"/>
        </w:rPr>
        <w:t xml:space="preserve"> </w:t>
      </w:r>
      <w:r>
        <w:rPr>
          <w:rFonts w:ascii="Times New Roman" w:cs="Times New Roman" w:eastAsia="Times New Roman" w:hAnsi="Times New Roman"/>
          <w:sz w:val="18"/>
          <w:szCs w:val="18"/>
          <w:color w:val="2F2D2F"/>
        </w:rPr>
        <w:t>of any such</w:t>
      </w:r>
      <w:r>
        <w:rPr>
          <w:rFonts w:ascii="Times New Roman" w:cs="Times New Roman" w:eastAsia="Times New Roman" w:hAnsi="Times New Roman"/>
          <w:sz w:val="18"/>
          <w:szCs w:val="18"/>
          <w:color w:val="2B2A2D"/>
        </w:rPr>
        <w:t xml:space="preserve"> </w:t>
      </w:r>
      <w:r>
        <w:rPr>
          <w:rFonts w:ascii="Times New Roman" w:cs="Times New Roman" w:eastAsia="Times New Roman" w:hAnsi="Times New Roman"/>
          <w:sz w:val="18"/>
          <w:szCs w:val="18"/>
          <w:color w:val="1F1D1F"/>
        </w:rPr>
        <w:t>pending</w:t>
      </w:r>
      <w:r>
        <w:rPr>
          <w:rFonts w:ascii="Times New Roman" w:cs="Times New Roman" w:eastAsia="Times New Roman" w:hAnsi="Times New Roman"/>
          <w:sz w:val="18"/>
          <w:szCs w:val="18"/>
          <w:color w:val="2B2A2D"/>
        </w:rPr>
        <w:t xml:space="preserve"> </w:t>
      </w:r>
      <w:r>
        <w:rPr>
          <w:rFonts w:ascii="Times New Roman" w:cs="Times New Roman" w:eastAsia="Times New Roman" w:hAnsi="Times New Roman"/>
          <w:sz w:val="18"/>
          <w:szCs w:val="18"/>
          <w:color w:val="2F2D2F"/>
        </w:rPr>
        <w:t>work to</w:t>
      </w:r>
      <w:r>
        <w:rPr>
          <w:rFonts w:ascii="Times New Roman" w:cs="Times New Roman" w:eastAsia="Times New Roman" w:hAnsi="Times New Roman"/>
          <w:sz w:val="18"/>
          <w:szCs w:val="18"/>
          <w:color w:val="2B2A2D"/>
        </w:rPr>
        <w:t xml:space="preserve"> </w:t>
      </w:r>
      <w:r>
        <w:rPr>
          <w:rFonts w:ascii="Times New Roman" w:cs="Times New Roman" w:eastAsia="Times New Roman" w:hAnsi="Times New Roman"/>
          <w:sz w:val="18"/>
          <w:szCs w:val="18"/>
          <w:color w:val="1F1D1F"/>
        </w:rPr>
        <w:t>other</w:t>
      </w:r>
      <w:r>
        <w:rPr>
          <w:rFonts w:ascii="Times New Roman" w:cs="Times New Roman" w:eastAsia="Times New Roman" w:hAnsi="Times New Roman"/>
          <w:sz w:val="18"/>
          <w:szCs w:val="18"/>
          <w:color w:val="2B2A2D"/>
        </w:rPr>
        <w:t xml:space="preserve"> </w:t>
      </w:r>
      <w:r>
        <w:rPr>
          <w:rFonts w:ascii="Times New Roman" w:cs="Times New Roman" w:eastAsia="Times New Roman" w:hAnsi="Times New Roman"/>
          <w:sz w:val="18"/>
          <w:szCs w:val="18"/>
          <w:color w:val="2F2D2F"/>
        </w:rPr>
        <w:t>employees or agents of</w:t>
      </w:r>
      <w:r>
        <w:rPr>
          <w:rFonts w:ascii="Times New Roman" w:cs="Times New Roman" w:eastAsia="Times New Roman" w:hAnsi="Times New Roman"/>
          <w:sz w:val="18"/>
          <w:szCs w:val="18"/>
          <w:color w:val="2B2A2D"/>
        </w:rPr>
        <w:t xml:space="preserve"> </w:t>
      </w:r>
      <w:r>
        <w:rPr>
          <w:rFonts w:ascii="Times New Roman" w:cs="Times New Roman" w:eastAsia="Times New Roman" w:hAnsi="Times New Roman"/>
          <w:sz w:val="18"/>
          <w:szCs w:val="18"/>
          <w:color w:val="1F1D1F"/>
        </w:rPr>
        <w:t>the</w:t>
      </w:r>
      <w:r>
        <w:rPr>
          <w:rFonts w:ascii="Times New Roman" w:cs="Times New Roman" w:eastAsia="Times New Roman" w:hAnsi="Times New Roman"/>
          <w:sz w:val="18"/>
          <w:szCs w:val="18"/>
          <w:color w:val="2B2A2D"/>
        </w:rPr>
        <w:t xml:space="preserve"> </w:t>
      </w:r>
      <w:r>
        <w:rPr>
          <w:rFonts w:ascii="Times New Roman" w:cs="Times New Roman" w:eastAsia="Times New Roman" w:hAnsi="Times New Roman"/>
          <w:sz w:val="18"/>
          <w:szCs w:val="18"/>
          <w:color w:val="2F2D2F"/>
        </w:rPr>
        <w:t>Employer as</w:t>
      </w:r>
      <w:r>
        <w:rPr>
          <w:rFonts w:ascii="Times New Roman" w:cs="Times New Roman" w:eastAsia="Times New Roman" w:hAnsi="Times New Roman"/>
          <w:sz w:val="18"/>
          <w:szCs w:val="18"/>
          <w:color w:val="2B2A2D"/>
        </w:rPr>
        <w:t xml:space="preserve"> </w:t>
      </w:r>
      <w:r>
        <w:rPr>
          <w:rFonts w:ascii="Times New Roman" w:cs="Times New Roman" w:eastAsia="Times New Roman" w:hAnsi="Times New Roman"/>
          <w:sz w:val="18"/>
          <w:szCs w:val="18"/>
          <w:color w:val="1F1D1F"/>
        </w:rPr>
        <w:t>may be designated. If</w:t>
      </w:r>
      <w:r>
        <w:rPr>
          <w:rFonts w:ascii="Times New Roman" w:cs="Times New Roman" w:eastAsia="Times New Roman" w:hAnsi="Times New Roman"/>
          <w:sz w:val="18"/>
          <w:szCs w:val="18"/>
          <w:color w:val="2B2A2D"/>
        </w:rPr>
        <w:t xml:space="preserve"> </w:t>
      </w:r>
      <w:r>
        <w:rPr>
          <w:rFonts w:ascii="Times New Roman" w:cs="Times New Roman" w:eastAsia="Times New Roman" w:hAnsi="Times New Roman"/>
          <w:sz w:val="18"/>
          <w:szCs w:val="18"/>
          <w:color w:val="1F1D1F"/>
        </w:rPr>
        <w:t xml:space="preserve">requested by the </w:t>
      </w:r>
      <w:r>
        <w:rPr>
          <w:rFonts w:ascii="Times New Roman" w:cs="Times New Roman" w:eastAsia="Times New Roman" w:hAnsi="Times New Roman"/>
          <w:sz w:val="18"/>
          <w:szCs w:val="18"/>
          <w:color w:val="2F2D2F"/>
        </w:rPr>
        <w:t>Employer</w:t>
      </w:r>
      <w:r>
        <w:rPr>
          <w:rFonts w:ascii="Times New Roman" w:cs="Times New Roman" w:eastAsia="Times New Roman" w:hAnsi="Times New Roman"/>
          <w:sz w:val="18"/>
          <w:szCs w:val="18"/>
          <w:color w:val="49494B"/>
        </w:rPr>
        <w:t>,</w:t>
      </w:r>
      <w:r>
        <w:rPr>
          <w:rFonts w:ascii="Times New Roman" w:cs="Times New Roman" w:eastAsia="Times New Roman" w:hAnsi="Times New Roman"/>
          <w:sz w:val="18"/>
          <w:szCs w:val="18"/>
          <w:color w:val="1F1D1F"/>
        </w:rPr>
        <w:t xml:space="preserve"> </w:t>
      </w:r>
      <w:r>
        <w:rPr>
          <w:rFonts w:ascii="Times New Roman" w:cs="Times New Roman" w:eastAsia="Times New Roman" w:hAnsi="Times New Roman"/>
          <w:sz w:val="18"/>
          <w:szCs w:val="18"/>
          <w:color w:val="2F2D2F"/>
        </w:rPr>
        <w:t>you shall</w:t>
      </w:r>
      <w:r>
        <w:rPr>
          <w:rFonts w:ascii="Times New Roman" w:cs="Times New Roman" w:eastAsia="Times New Roman" w:hAnsi="Times New Roman"/>
          <w:sz w:val="18"/>
          <w:szCs w:val="18"/>
          <w:color w:val="1F1D1F"/>
        </w:rPr>
        <w:t xml:space="preserve"> participate </w:t>
      </w:r>
      <w:r>
        <w:rPr>
          <w:rFonts w:ascii="Times New Roman" w:cs="Times New Roman" w:eastAsia="Times New Roman" w:hAnsi="Times New Roman"/>
          <w:sz w:val="18"/>
          <w:szCs w:val="18"/>
          <w:color w:val="2F2D2F"/>
        </w:rPr>
        <w:t>in a termination</w:t>
      </w:r>
      <w:r>
        <w:rPr>
          <w:rFonts w:ascii="Times New Roman" w:cs="Times New Roman" w:eastAsia="Times New Roman" w:hAnsi="Times New Roman"/>
          <w:sz w:val="18"/>
          <w:szCs w:val="18"/>
          <w:color w:val="1F1D1F"/>
        </w:rPr>
        <w:t xml:space="preserve"> interview </w:t>
      </w:r>
      <w:r>
        <w:rPr>
          <w:rFonts w:ascii="Times New Roman" w:cs="Times New Roman" w:eastAsia="Times New Roman" w:hAnsi="Times New Roman"/>
          <w:sz w:val="18"/>
          <w:szCs w:val="18"/>
          <w:color w:val="2F2D2F"/>
        </w:rPr>
        <w:t>for the purpose of</w:t>
      </w:r>
      <w:r>
        <w:rPr>
          <w:rFonts w:ascii="Times New Roman" w:cs="Times New Roman" w:eastAsia="Times New Roman" w:hAnsi="Times New Roman"/>
          <w:sz w:val="18"/>
          <w:szCs w:val="18"/>
          <w:color w:val="1F1D1F"/>
        </w:rPr>
        <w:t xml:space="preserve"> discussing the </w:t>
      </w:r>
      <w:r>
        <w:rPr>
          <w:rFonts w:ascii="Times New Roman" w:cs="Times New Roman" w:eastAsia="Times New Roman" w:hAnsi="Times New Roman"/>
          <w:sz w:val="18"/>
          <w:szCs w:val="18"/>
          <w:color w:val="2F2D2F"/>
        </w:rPr>
        <w:t>various rights and</w:t>
      </w:r>
      <w:r>
        <w:rPr>
          <w:rFonts w:ascii="Times New Roman" w:cs="Times New Roman" w:eastAsia="Times New Roman" w:hAnsi="Times New Roman"/>
          <w:sz w:val="18"/>
          <w:szCs w:val="18"/>
          <w:color w:val="1F1D1F"/>
        </w:rPr>
        <w:t xml:space="preserve"> responsibilities </w:t>
      </w:r>
      <w:r>
        <w:rPr>
          <w:rFonts w:ascii="Times New Roman" w:cs="Times New Roman" w:eastAsia="Times New Roman" w:hAnsi="Times New Roman"/>
          <w:sz w:val="18"/>
          <w:szCs w:val="18"/>
          <w:color w:val="2F2D2F"/>
        </w:rPr>
        <w:t>of</w:t>
      </w:r>
      <w:r>
        <w:rPr>
          <w:rFonts w:ascii="Times New Roman" w:cs="Times New Roman" w:eastAsia="Times New Roman" w:hAnsi="Times New Roman"/>
          <w:sz w:val="18"/>
          <w:szCs w:val="18"/>
          <w:color w:val="1F1D1F"/>
        </w:rPr>
        <w:t xml:space="preserve"> the </w:t>
      </w:r>
      <w:r>
        <w:rPr>
          <w:rFonts w:ascii="Times New Roman" w:cs="Times New Roman" w:eastAsia="Times New Roman" w:hAnsi="Times New Roman"/>
          <w:sz w:val="18"/>
          <w:szCs w:val="18"/>
          <w:color w:val="2F2D2F"/>
        </w:rPr>
        <w:t>Employer and</w:t>
      </w:r>
      <w:r>
        <w:rPr>
          <w:rFonts w:ascii="Times New Roman" w:cs="Times New Roman" w:eastAsia="Times New Roman" w:hAnsi="Times New Roman"/>
          <w:sz w:val="18"/>
          <w:szCs w:val="18"/>
          <w:color w:val="49494B"/>
        </w:rPr>
        <w:t>/</w:t>
      </w:r>
      <w:r>
        <w:rPr>
          <w:rFonts w:ascii="Times New Roman" w:cs="Times New Roman" w:eastAsia="Times New Roman" w:hAnsi="Times New Roman"/>
          <w:sz w:val="18"/>
          <w:szCs w:val="18"/>
          <w:color w:val="2F2D2F"/>
        </w:rPr>
        <w:t xml:space="preserve">or any of </w:t>
      </w:r>
      <w:r>
        <w:rPr>
          <w:rFonts w:ascii="Times New Roman" w:cs="Times New Roman" w:eastAsia="Times New Roman" w:hAnsi="Times New Roman"/>
          <w:sz w:val="18"/>
          <w:szCs w:val="18"/>
          <w:color w:val="1F1D1F"/>
        </w:rPr>
        <w:t>the</w:t>
      </w:r>
      <w:r>
        <w:rPr>
          <w:rFonts w:ascii="Times New Roman" w:cs="Times New Roman" w:eastAsia="Times New Roman" w:hAnsi="Times New Roman"/>
          <w:sz w:val="18"/>
          <w:szCs w:val="18"/>
          <w:color w:val="2F2D2F"/>
        </w:rPr>
        <w:t xml:space="preserve"> Employer's customers or </w:t>
      </w:r>
      <w:r>
        <w:rPr>
          <w:rFonts w:ascii="Times New Roman" w:cs="Times New Roman" w:eastAsia="Times New Roman" w:hAnsi="Times New Roman"/>
          <w:sz w:val="18"/>
          <w:szCs w:val="18"/>
          <w:color w:val="1F1D1F"/>
        </w:rPr>
        <w:t>investors</w:t>
      </w:r>
      <w:r>
        <w:rPr>
          <w:rFonts w:ascii="Times New Roman" w:cs="Times New Roman" w:eastAsia="Times New Roman" w:hAnsi="Times New Roman"/>
          <w:sz w:val="18"/>
          <w:szCs w:val="18"/>
          <w:color w:val="2F2D2F"/>
        </w:rPr>
        <w:t xml:space="preserve"> subsequent to </w:t>
      </w:r>
      <w:r>
        <w:rPr>
          <w:rFonts w:ascii="Times New Roman" w:cs="Times New Roman" w:eastAsia="Times New Roman" w:hAnsi="Times New Roman"/>
          <w:sz w:val="18"/>
          <w:szCs w:val="18"/>
          <w:color w:val="49494B"/>
        </w:rPr>
        <w:t>y</w:t>
      </w:r>
      <w:r>
        <w:rPr>
          <w:rFonts w:ascii="Times New Roman" w:cs="Times New Roman" w:eastAsia="Times New Roman" w:hAnsi="Times New Roman"/>
          <w:sz w:val="18"/>
          <w:szCs w:val="18"/>
          <w:color w:val="2F2D2F"/>
        </w:rPr>
        <w:t>our separation from employment with the Employer.</w:t>
      </w:r>
    </w:p>
    <w:p>
      <w:pPr>
        <w:spacing w:after="0" w:line="143" w:lineRule="exact"/>
        <w:rPr>
          <w:sz w:val="20"/>
          <w:szCs w:val="20"/>
          <w:color w:val="auto"/>
        </w:rPr>
      </w:pPr>
    </w:p>
    <w:p>
      <w:pPr>
        <w:ind w:left="840"/>
        <w:spacing w:after="0"/>
        <w:tabs>
          <w:tab w:leader="none" w:pos="1540" w:val="left"/>
        </w:tabs>
        <w:rPr>
          <w:sz w:val="20"/>
          <w:szCs w:val="20"/>
          <w:color w:val="auto"/>
        </w:rPr>
      </w:pPr>
      <w:r>
        <w:rPr>
          <w:rFonts w:ascii="Times New Roman" w:cs="Times New Roman" w:eastAsia="Times New Roman" w:hAnsi="Times New Roman"/>
          <w:sz w:val="18"/>
          <w:szCs w:val="18"/>
          <w:color w:val="2F2D2F"/>
        </w:rPr>
        <w:t>8.8</w:t>
      </w:r>
      <w:r>
        <w:rPr>
          <w:sz w:val="20"/>
          <w:szCs w:val="20"/>
          <w:color w:val="auto"/>
        </w:rPr>
        <w:tab/>
      </w:r>
      <w:r>
        <w:rPr>
          <w:rFonts w:ascii="Times New Roman" w:cs="Times New Roman" w:eastAsia="Times New Roman" w:hAnsi="Times New Roman"/>
          <w:sz w:val="17"/>
          <w:szCs w:val="17"/>
          <w:color w:val="2F2D2F"/>
        </w:rPr>
        <w:t>Your and the Employer</w:t>
      </w:r>
      <w:r>
        <w:rPr>
          <w:rFonts w:ascii="Times New Roman" w:cs="Times New Roman" w:eastAsia="Times New Roman" w:hAnsi="Times New Roman"/>
          <w:sz w:val="17"/>
          <w:szCs w:val="17"/>
          <w:color w:val="49494B"/>
        </w:rPr>
        <w:t>'</w:t>
      </w:r>
      <w:r>
        <w:rPr>
          <w:rFonts w:ascii="Times New Roman" w:cs="Times New Roman" w:eastAsia="Times New Roman" w:hAnsi="Times New Roman"/>
          <w:sz w:val="17"/>
          <w:szCs w:val="17"/>
          <w:color w:val="2F2D2F"/>
        </w:rPr>
        <w:t xml:space="preserve">s rights and obligations under Sections </w:t>
      </w:r>
      <w:r>
        <w:rPr>
          <w:rFonts w:ascii="Times New Roman" w:cs="Times New Roman" w:eastAsia="Times New Roman" w:hAnsi="Times New Roman"/>
          <w:sz w:val="17"/>
          <w:szCs w:val="17"/>
          <w:color w:val="1F1D1F"/>
        </w:rPr>
        <w:t>I,</w:t>
      </w:r>
      <w:r>
        <w:rPr>
          <w:rFonts w:ascii="Times New Roman" w:cs="Times New Roman" w:eastAsia="Times New Roman" w:hAnsi="Times New Roman"/>
          <w:sz w:val="17"/>
          <w:szCs w:val="17"/>
          <w:color w:val="2F2D2F"/>
        </w:rPr>
        <w:t xml:space="preserve"> 2</w:t>
      </w:r>
      <w:r>
        <w:rPr>
          <w:rFonts w:ascii="Times New Roman" w:cs="Times New Roman" w:eastAsia="Times New Roman" w:hAnsi="Times New Roman"/>
          <w:sz w:val="17"/>
          <w:szCs w:val="17"/>
          <w:color w:val="49494B"/>
        </w:rPr>
        <w:t>,</w:t>
      </w:r>
      <w:r>
        <w:rPr>
          <w:rFonts w:ascii="Times New Roman" w:cs="Times New Roman" w:eastAsia="Times New Roman" w:hAnsi="Times New Roman"/>
          <w:sz w:val="17"/>
          <w:szCs w:val="17"/>
          <w:color w:val="2F2D2F"/>
        </w:rPr>
        <w:t xml:space="preserve"> 3</w:t>
      </w:r>
      <w:r>
        <w:rPr>
          <w:rFonts w:ascii="Times New Roman" w:cs="Times New Roman" w:eastAsia="Times New Roman" w:hAnsi="Times New Roman"/>
          <w:sz w:val="17"/>
          <w:szCs w:val="17"/>
          <w:color w:val="49494B"/>
        </w:rPr>
        <w:t>,</w:t>
      </w:r>
      <w:r>
        <w:rPr>
          <w:rFonts w:ascii="Times New Roman" w:cs="Times New Roman" w:eastAsia="Times New Roman" w:hAnsi="Times New Roman"/>
          <w:sz w:val="17"/>
          <w:szCs w:val="17"/>
          <w:color w:val="2F2D2F"/>
        </w:rPr>
        <w:t xml:space="preserve"> and 4 shall survive the termination </w:t>
      </w:r>
      <w:r>
        <w:rPr>
          <w:rFonts w:ascii="Times New Roman" w:cs="Times New Roman" w:eastAsia="Times New Roman" w:hAnsi="Times New Roman"/>
          <w:sz w:val="17"/>
          <w:szCs w:val="17"/>
          <w:color w:val="1F1D1F"/>
        </w:rPr>
        <w:t>of</w:t>
      </w:r>
      <w:r>
        <w:rPr>
          <w:rFonts w:ascii="Times New Roman" w:cs="Times New Roman" w:eastAsia="Times New Roman" w:hAnsi="Times New Roman"/>
          <w:sz w:val="17"/>
          <w:szCs w:val="17"/>
          <w:color w:val="2F2D2F"/>
        </w:rPr>
        <w:t xml:space="preserve"> this Agreement.</w:t>
      </w:r>
    </w:p>
    <w:p>
      <w:pPr>
        <w:spacing w:after="0" w:line="185" w:lineRule="exact"/>
        <w:rPr>
          <w:sz w:val="20"/>
          <w:szCs w:val="20"/>
          <w:color w:val="auto"/>
        </w:rPr>
      </w:pPr>
    </w:p>
    <w:p>
      <w:pPr>
        <w:jc w:val="both"/>
        <w:ind w:left="120" w:right="20" w:firstLine="719"/>
        <w:spacing w:after="0" w:line="259" w:lineRule="auto"/>
        <w:rPr>
          <w:sz w:val="20"/>
          <w:szCs w:val="20"/>
          <w:color w:val="auto"/>
        </w:rPr>
      </w:pPr>
      <w:r>
        <w:rPr>
          <w:rFonts w:ascii="Times New Roman" w:cs="Times New Roman" w:eastAsia="Times New Roman" w:hAnsi="Times New Roman"/>
          <w:sz w:val="18"/>
          <w:szCs w:val="18"/>
          <w:color w:val="2F2D2F"/>
        </w:rPr>
        <w:t xml:space="preserve">8.9 You </w:t>
      </w:r>
      <w:r>
        <w:rPr>
          <w:rFonts w:ascii="Times New Roman" w:cs="Times New Roman" w:eastAsia="Times New Roman" w:hAnsi="Times New Roman"/>
          <w:sz w:val="18"/>
          <w:szCs w:val="18"/>
          <w:color w:val="1F1D1F"/>
        </w:rPr>
        <w:t>have</w:t>
      </w:r>
      <w:r>
        <w:rPr>
          <w:rFonts w:ascii="Times New Roman" w:cs="Times New Roman" w:eastAsia="Times New Roman" w:hAnsi="Times New Roman"/>
          <w:sz w:val="18"/>
          <w:szCs w:val="18"/>
          <w:color w:val="2F2D2F"/>
        </w:rPr>
        <w:t xml:space="preserve"> voluntarily signed this Agreement after </w:t>
      </w:r>
      <w:r>
        <w:rPr>
          <w:rFonts w:ascii="Times New Roman" w:cs="Times New Roman" w:eastAsia="Times New Roman" w:hAnsi="Times New Roman"/>
          <w:sz w:val="18"/>
          <w:szCs w:val="18"/>
          <w:color w:val="1F1D1F"/>
        </w:rPr>
        <w:t>determining</w:t>
      </w:r>
      <w:r>
        <w:rPr>
          <w:rFonts w:ascii="Times New Roman" w:cs="Times New Roman" w:eastAsia="Times New Roman" w:hAnsi="Times New Roman"/>
          <w:sz w:val="18"/>
          <w:szCs w:val="18"/>
          <w:color w:val="2F2D2F"/>
        </w:rPr>
        <w:t xml:space="preserve"> that </w:t>
      </w:r>
      <w:r>
        <w:rPr>
          <w:rFonts w:ascii="Times New Roman" w:cs="Times New Roman" w:eastAsia="Times New Roman" w:hAnsi="Times New Roman"/>
          <w:sz w:val="18"/>
          <w:szCs w:val="18"/>
          <w:color w:val="1F1D1F"/>
        </w:rPr>
        <w:t>the provisions</w:t>
      </w:r>
      <w:r>
        <w:rPr>
          <w:rFonts w:ascii="Times New Roman" w:cs="Times New Roman" w:eastAsia="Times New Roman" w:hAnsi="Times New Roman"/>
          <w:sz w:val="18"/>
          <w:szCs w:val="18"/>
          <w:color w:val="2F2D2F"/>
        </w:rPr>
        <w:t xml:space="preserve"> contained </w:t>
      </w:r>
      <w:r>
        <w:rPr>
          <w:rFonts w:ascii="Times New Roman" w:cs="Times New Roman" w:eastAsia="Times New Roman" w:hAnsi="Times New Roman"/>
          <w:sz w:val="18"/>
          <w:szCs w:val="18"/>
          <w:color w:val="1F1D1F"/>
        </w:rPr>
        <w:t>in this</w:t>
      </w:r>
      <w:r>
        <w:rPr>
          <w:rFonts w:ascii="Times New Roman" w:cs="Times New Roman" w:eastAsia="Times New Roman" w:hAnsi="Times New Roman"/>
          <w:sz w:val="18"/>
          <w:szCs w:val="18"/>
          <w:color w:val="2F2D2F"/>
        </w:rPr>
        <w:t xml:space="preserve"> Agreement are of a material </w:t>
      </w:r>
      <w:r>
        <w:rPr>
          <w:rFonts w:ascii="Times New Roman" w:cs="Times New Roman" w:eastAsia="Times New Roman" w:hAnsi="Times New Roman"/>
          <w:sz w:val="18"/>
          <w:szCs w:val="18"/>
          <w:color w:val="1F1D1F"/>
        </w:rPr>
        <w:t xml:space="preserve">benefit </w:t>
      </w:r>
      <w:r>
        <w:rPr>
          <w:rFonts w:ascii="Times New Roman" w:cs="Times New Roman" w:eastAsia="Times New Roman" w:hAnsi="Times New Roman"/>
          <w:sz w:val="18"/>
          <w:szCs w:val="18"/>
          <w:color w:val="2F2D2F"/>
        </w:rPr>
        <w:t>to you</w:t>
      </w:r>
      <w:r>
        <w:rPr>
          <w:rFonts w:ascii="Times New Roman" w:cs="Times New Roman" w:eastAsia="Times New Roman" w:hAnsi="Times New Roman"/>
          <w:sz w:val="18"/>
          <w:szCs w:val="18"/>
          <w:color w:val="49494B"/>
        </w:rPr>
        <w:t>,</w:t>
      </w:r>
      <w:r>
        <w:rPr>
          <w:rFonts w:ascii="Times New Roman" w:cs="Times New Roman" w:eastAsia="Times New Roman" w:hAnsi="Times New Roman"/>
          <w:sz w:val="18"/>
          <w:szCs w:val="18"/>
          <w:color w:val="1F1D1F"/>
        </w:rPr>
        <w:t xml:space="preserve"> </w:t>
      </w:r>
      <w:r>
        <w:rPr>
          <w:rFonts w:ascii="Times New Roman" w:cs="Times New Roman" w:eastAsia="Times New Roman" w:hAnsi="Times New Roman"/>
          <w:sz w:val="18"/>
          <w:szCs w:val="18"/>
          <w:color w:val="2F2D2F"/>
        </w:rPr>
        <w:t>and that</w:t>
      </w:r>
      <w:r>
        <w:rPr>
          <w:rFonts w:ascii="Times New Roman" w:cs="Times New Roman" w:eastAsia="Times New Roman" w:hAnsi="Times New Roman"/>
          <w:sz w:val="18"/>
          <w:szCs w:val="18"/>
          <w:color w:val="1F1D1F"/>
        </w:rPr>
        <w:t xml:space="preserve"> the duties </w:t>
      </w:r>
      <w:r>
        <w:rPr>
          <w:rFonts w:ascii="Times New Roman" w:cs="Times New Roman" w:eastAsia="Times New Roman" w:hAnsi="Times New Roman"/>
          <w:sz w:val="18"/>
          <w:szCs w:val="18"/>
          <w:color w:val="2F2D2F"/>
        </w:rPr>
        <w:t>and</w:t>
      </w:r>
      <w:r>
        <w:rPr>
          <w:rFonts w:ascii="Times New Roman" w:cs="Times New Roman" w:eastAsia="Times New Roman" w:hAnsi="Times New Roman"/>
          <w:sz w:val="18"/>
          <w:szCs w:val="18"/>
          <w:color w:val="1F1D1F"/>
        </w:rPr>
        <w:t xml:space="preserve"> obligations imposed on </w:t>
      </w:r>
      <w:r>
        <w:rPr>
          <w:rFonts w:ascii="Times New Roman" w:cs="Times New Roman" w:eastAsia="Times New Roman" w:hAnsi="Times New Roman"/>
          <w:sz w:val="18"/>
          <w:szCs w:val="18"/>
          <w:color w:val="2F2D2F"/>
        </w:rPr>
        <w:t>you are fair and reasonable and will</w:t>
      </w:r>
      <w:r>
        <w:rPr>
          <w:rFonts w:ascii="Times New Roman" w:cs="Times New Roman" w:eastAsia="Times New Roman" w:hAnsi="Times New Roman"/>
          <w:sz w:val="18"/>
          <w:szCs w:val="18"/>
          <w:color w:val="1F1D1F"/>
        </w:rPr>
        <w:t xml:space="preserve"> not prevent </w:t>
      </w:r>
      <w:r>
        <w:rPr>
          <w:rFonts w:ascii="Times New Roman" w:cs="Times New Roman" w:eastAsia="Times New Roman" w:hAnsi="Times New Roman"/>
          <w:sz w:val="18"/>
          <w:szCs w:val="18"/>
          <w:color w:val="2F2D2F"/>
        </w:rPr>
        <w:t>you from earning a</w:t>
      </w:r>
      <w:r>
        <w:rPr>
          <w:rFonts w:ascii="Times New Roman" w:cs="Times New Roman" w:eastAsia="Times New Roman" w:hAnsi="Times New Roman"/>
          <w:sz w:val="18"/>
          <w:szCs w:val="18"/>
          <w:color w:val="1F1D1F"/>
        </w:rPr>
        <w:t xml:space="preserve"> comparable livelihood </w:t>
      </w:r>
      <w:r>
        <w:rPr>
          <w:rFonts w:ascii="Times New Roman" w:cs="Times New Roman" w:eastAsia="Times New Roman" w:hAnsi="Times New Roman"/>
          <w:sz w:val="18"/>
          <w:szCs w:val="18"/>
          <w:color w:val="2F2D2F"/>
        </w:rPr>
        <w:t>following the termination of your employment with the Employer. You</w:t>
      </w:r>
      <w:r>
        <w:rPr>
          <w:rFonts w:ascii="Times New Roman" w:cs="Times New Roman" w:eastAsia="Times New Roman" w:hAnsi="Times New Roman"/>
          <w:sz w:val="18"/>
          <w:szCs w:val="18"/>
          <w:color w:val="1F1D1F"/>
        </w:rPr>
        <w:t xml:space="preserve"> have </w:t>
      </w:r>
      <w:r>
        <w:rPr>
          <w:rFonts w:ascii="Times New Roman" w:cs="Times New Roman" w:eastAsia="Times New Roman" w:hAnsi="Times New Roman"/>
          <w:sz w:val="18"/>
          <w:szCs w:val="18"/>
          <w:color w:val="2F2D2F"/>
        </w:rPr>
        <w:t>carefully</w:t>
      </w:r>
      <w:r>
        <w:rPr>
          <w:rFonts w:ascii="Times New Roman" w:cs="Times New Roman" w:eastAsia="Times New Roman" w:hAnsi="Times New Roman"/>
          <w:sz w:val="18"/>
          <w:szCs w:val="18"/>
          <w:color w:val="1F1D1F"/>
        </w:rPr>
        <w:t xml:space="preserve"> reviewed </w:t>
      </w:r>
      <w:r>
        <w:rPr>
          <w:rFonts w:ascii="Times New Roman" w:cs="Times New Roman" w:eastAsia="Times New Roman" w:hAnsi="Times New Roman"/>
          <w:sz w:val="18"/>
          <w:szCs w:val="18"/>
          <w:color w:val="2F2D2F"/>
        </w:rPr>
        <w:t>and fully</w:t>
      </w:r>
      <w:r>
        <w:rPr>
          <w:rFonts w:ascii="Times New Roman" w:cs="Times New Roman" w:eastAsia="Times New Roman" w:hAnsi="Times New Roman"/>
          <w:sz w:val="18"/>
          <w:szCs w:val="18"/>
          <w:color w:val="1F1D1F"/>
        </w:rPr>
        <w:t xml:space="preserve"> understand </w:t>
      </w:r>
      <w:r>
        <w:rPr>
          <w:rFonts w:ascii="Times New Roman" w:cs="Times New Roman" w:eastAsia="Times New Roman" w:hAnsi="Times New Roman"/>
          <w:sz w:val="18"/>
          <w:szCs w:val="18"/>
          <w:color w:val="2F2D2F"/>
        </w:rPr>
        <w:t>the</w:t>
      </w:r>
      <w:r>
        <w:rPr>
          <w:rFonts w:ascii="Times New Roman" w:cs="Times New Roman" w:eastAsia="Times New Roman" w:hAnsi="Times New Roman"/>
          <w:sz w:val="18"/>
          <w:szCs w:val="18"/>
          <w:color w:val="1F1D1F"/>
        </w:rPr>
        <w:t xml:space="preserve"> terms of this </w:t>
      </w:r>
      <w:r>
        <w:rPr>
          <w:rFonts w:ascii="Times New Roman" w:cs="Times New Roman" w:eastAsia="Times New Roman" w:hAnsi="Times New Roman"/>
          <w:sz w:val="18"/>
          <w:szCs w:val="18"/>
          <w:color w:val="2F2D2F"/>
        </w:rPr>
        <w:t xml:space="preserve">Agreement and </w:t>
      </w:r>
      <w:r>
        <w:rPr>
          <w:rFonts w:ascii="Times New Roman" w:cs="Times New Roman" w:eastAsia="Times New Roman" w:hAnsi="Times New Roman"/>
          <w:sz w:val="18"/>
          <w:szCs w:val="18"/>
          <w:color w:val="1F1D1F"/>
        </w:rPr>
        <w:t>have</w:t>
      </w:r>
      <w:r>
        <w:rPr>
          <w:rFonts w:ascii="Times New Roman" w:cs="Times New Roman" w:eastAsia="Times New Roman" w:hAnsi="Times New Roman"/>
          <w:sz w:val="18"/>
          <w:szCs w:val="18"/>
          <w:color w:val="2F2D2F"/>
        </w:rPr>
        <w:t xml:space="preserve"> considered </w:t>
      </w:r>
      <w:r>
        <w:rPr>
          <w:rFonts w:ascii="Times New Roman" w:cs="Times New Roman" w:eastAsia="Times New Roman" w:hAnsi="Times New Roman"/>
          <w:sz w:val="18"/>
          <w:szCs w:val="18"/>
          <w:color w:val="1F1D1F"/>
        </w:rPr>
        <w:t>its benefits</w:t>
      </w:r>
      <w:r>
        <w:rPr>
          <w:rFonts w:ascii="Times New Roman" w:cs="Times New Roman" w:eastAsia="Times New Roman" w:hAnsi="Times New Roman"/>
          <w:sz w:val="18"/>
          <w:szCs w:val="18"/>
          <w:color w:val="2F2D2F"/>
        </w:rPr>
        <w:t xml:space="preserve"> and consequences. You </w:t>
      </w:r>
      <w:r>
        <w:rPr>
          <w:rFonts w:ascii="Times New Roman" w:cs="Times New Roman" w:eastAsia="Times New Roman" w:hAnsi="Times New Roman"/>
          <w:sz w:val="18"/>
          <w:szCs w:val="18"/>
          <w:color w:val="1F1D1F"/>
        </w:rPr>
        <w:t>have</w:t>
      </w:r>
      <w:r>
        <w:rPr>
          <w:rFonts w:ascii="Times New Roman" w:cs="Times New Roman" w:eastAsia="Times New Roman" w:hAnsi="Times New Roman"/>
          <w:sz w:val="18"/>
          <w:szCs w:val="18"/>
          <w:color w:val="2F2D2F"/>
        </w:rPr>
        <w:t xml:space="preserve"> also </w:t>
      </w:r>
      <w:r>
        <w:rPr>
          <w:rFonts w:ascii="Times New Roman" w:cs="Times New Roman" w:eastAsia="Times New Roman" w:hAnsi="Times New Roman"/>
          <w:sz w:val="18"/>
          <w:szCs w:val="18"/>
          <w:color w:val="1F1D1F"/>
        </w:rPr>
        <w:t>had</w:t>
      </w:r>
      <w:r>
        <w:rPr>
          <w:rFonts w:ascii="Times New Roman" w:cs="Times New Roman" w:eastAsia="Times New Roman" w:hAnsi="Times New Roman"/>
          <w:sz w:val="18"/>
          <w:szCs w:val="18"/>
          <w:color w:val="2F2D2F"/>
        </w:rPr>
        <w:t xml:space="preserve"> adequate opportunity to review this Agreement with an attorney </w:t>
      </w:r>
      <w:r>
        <w:rPr>
          <w:rFonts w:ascii="Times New Roman" w:cs="Times New Roman" w:eastAsia="Times New Roman" w:hAnsi="Times New Roman"/>
          <w:sz w:val="18"/>
          <w:szCs w:val="18"/>
          <w:color w:val="1F1D1F"/>
        </w:rPr>
        <w:t>of</w:t>
      </w:r>
      <w:r>
        <w:rPr>
          <w:rFonts w:ascii="Times New Roman" w:cs="Times New Roman" w:eastAsia="Times New Roman" w:hAnsi="Times New Roman"/>
          <w:sz w:val="18"/>
          <w:szCs w:val="18"/>
          <w:color w:val="2F2D2F"/>
        </w:rPr>
        <w:t xml:space="preserve"> your choice.</w:t>
      </w:r>
    </w:p>
    <w:p>
      <w:pPr>
        <w:spacing w:after="0" w:line="376" w:lineRule="exact"/>
        <w:rPr>
          <w:sz w:val="20"/>
          <w:szCs w:val="20"/>
          <w:color w:val="auto"/>
        </w:rPr>
      </w:pPr>
    </w:p>
    <w:p>
      <w:pPr>
        <w:jc w:val="both"/>
        <w:ind w:left="140" w:firstLine="719"/>
        <w:spacing w:after="0" w:line="266" w:lineRule="auto"/>
        <w:rPr>
          <w:sz w:val="20"/>
          <w:szCs w:val="20"/>
          <w:color w:val="auto"/>
        </w:rPr>
      </w:pPr>
      <w:r>
        <w:rPr>
          <w:rFonts w:ascii="Times New Roman" w:cs="Times New Roman" w:eastAsia="Times New Roman" w:hAnsi="Times New Roman"/>
          <w:sz w:val="18"/>
          <w:szCs w:val="18"/>
          <w:color w:val="2F2D2F"/>
        </w:rPr>
        <w:t xml:space="preserve">8.10 This Agreement </w:t>
      </w:r>
      <w:r>
        <w:rPr>
          <w:rFonts w:ascii="Times New Roman" w:cs="Times New Roman" w:eastAsia="Times New Roman" w:hAnsi="Times New Roman"/>
          <w:sz w:val="18"/>
          <w:szCs w:val="18"/>
          <w:color w:val="1F1D1F"/>
        </w:rPr>
        <w:t>may</w:t>
      </w:r>
      <w:r>
        <w:rPr>
          <w:rFonts w:ascii="Times New Roman" w:cs="Times New Roman" w:eastAsia="Times New Roman" w:hAnsi="Times New Roman"/>
          <w:sz w:val="18"/>
          <w:szCs w:val="18"/>
          <w:color w:val="2F2D2F"/>
        </w:rPr>
        <w:t xml:space="preserve"> be executed </w:t>
      </w:r>
      <w:r>
        <w:rPr>
          <w:rFonts w:ascii="Times New Roman" w:cs="Times New Roman" w:eastAsia="Times New Roman" w:hAnsi="Times New Roman"/>
          <w:sz w:val="18"/>
          <w:szCs w:val="18"/>
          <w:color w:val="1F1D1F"/>
        </w:rPr>
        <w:t>in</w:t>
      </w:r>
      <w:r>
        <w:rPr>
          <w:rFonts w:ascii="Times New Roman" w:cs="Times New Roman" w:eastAsia="Times New Roman" w:hAnsi="Times New Roman"/>
          <w:sz w:val="18"/>
          <w:szCs w:val="18"/>
          <w:color w:val="2F2D2F"/>
        </w:rPr>
        <w:t xml:space="preserve"> one or more counterparts</w:t>
      </w:r>
      <w:r>
        <w:rPr>
          <w:rFonts w:ascii="Times New Roman" w:cs="Times New Roman" w:eastAsia="Times New Roman" w:hAnsi="Times New Roman"/>
          <w:sz w:val="18"/>
          <w:szCs w:val="18"/>
          <w:color w:val="49494B"/>
        </w:rPr>
        <w:t>,</w:t>
      </w:r>
      <w:r>
        <w:rPr>
          <w:rFonts w:ascii="Times New Roman" w:cs="Times New Roman" w:eastAsia="Times New Roman" w:hAnsi="Times New Roman"/>
          <w:sz w:val="18"/>
          <w:szCs w:val="18"/>
          <w:color w:val="2F2D2F"/>
        </w:rPr>
        <w:t xml:space="preserve"> each of which shall </w:t>
      </w:r>
      <w:r>
        <w:rPr>
          <w:rFonts w:ascii="Times New Roman" w:cs="Times New Roman" w:eastAsia="Times New Roman" w:hAnsi="Times New Roman"/>
          <w:sz w:val="18"/>
          <w:szCs w:val="18"/>
          <w:color w:val="1F1D1F"/>
        </w:rPr>
        <w:t>be</w:t>
      </w:r>
      <w:r>
        <w:rPr>
          <w:rFonts w:ascii="Times New Roman" w:cs="Times New Roman" w:eastAsia="Times New Roman" w:hAnsi="Times New Roman"/>
          <w:sz w:val="18"/>
          <w:szCs w:val="18"/>
          <w:color w:val="2F2D2F"/>
        </w:rPr>
        <w:t xml:space="preserve"> deemed an original</w:t>
      </w:r>
      <w:r>
        <w:rPr>
          <w:rFonts w:ascii="Times New Roman" w:cs="Times New Roman" w:eastAsia="Times New Roman" w:hAnsi="Times New Roman"/>
          <w:sz w:val="18"/>
          <w:szCs w:val="18"/>
          <w:color w:val="49494B"/>
        </w:rPr>
        <w:t>,</w:t>
      </w:r>
      <w:r>
        <w:rPr>
          <w:rFonts w:ascii="Times New Roman" w:cs="Times New Roman" w:eastAsia="Times New Roman" w:hAnsi="Times New Roman"/>
          <w:sz w:val="18"/>
          <w:szCs w:val="18"/>
          <w:color w:val="2F2D2F"/>
        </w:rPr>
        <w:t xml:space="preserve"> </w:t>
      </w:r>
      <w:r>
        <w:rPr>
          <w:rFonts w:ascii="Times New Roman" w:cs="Times New Roman" w:eastAsia="Times New Roman" w:hAnsi="Times New Roman"/>
          <w:sz w:val="18"/>
          <w:szCs w:val="18"/>
          <w:color w:val="1F1D1F"/>
        </w:rPr>
        <w:t>but</w:t>
      </w:r>
      <w:r>
        <w:rPr>
          <w:rFonts w:ascii="Times New Roman" w:cs="Times New Roman" w:eastAsia="Times New Roman" w:hAnsi="Times New Roman"/>
          <w:sz w:val="18"/>
          <w:szCs w:val="18"/>
          <w:color w:val="2F2D2F"/>
        </w:rPr>
        <w:t xml:space="preserve"> all </w:t>
      </w:r>
      <w:r>
        <w:rPr>
          <w:rFonts w:ascii="Times New Roman" w:cs="Times New Roman" w:eastAsia="Times New Roman" w:hAnsi="Times New Roman"/>
          <w:sz w:val="18"/>
          <w:szCs w:val="18"/>
          <w:color w:val="1F1D1F"/>
        </w:rPr>
        <w:t>of</w:t>
      </w:r>
      <w:r>
        <w:rPr>
          <w:rFonts w:ascii="Times New Roman" w:cs="Times New Roman" w:eastAsia="Times New Roman" w:hAnsi="Times New Roman"/>
          <w:sz w:val="18"/>
          <w:szCs w:val="18"/>
          <w:color w:val="2F2D2F"/>
        </w:rPr>
        <w:t xml:space="preserve"> which </w:t>
      </w:r>
      <w:r>
        <w:rPr>
          <w:rFonts w:ascii="Times New Roman" w:cs="Times New Roman" w:eastAsia="Times New Roman" w:hAnsi="Times New Roman"/>
          <w:sz w:val="18"/>
          <w:szCs w:val="18"/>
          <w:color w:val="1F1D1F"/>
        </w:rPr>
        <w:t>together</w:t>
      </w:r>
      <w:r>
        <w:rPr>
          <w:rFonts w:ascii="Times New Roman" w:cs="Times New Roman" w:eastAsia="Times New Roman" w:hAnsi="Times New Roman"/>
          <w:sz w:val="18"/>
          <w:szCs w:val="18"/>
          <w:color w:val="2F2D2F"/>
        </w:rPr>
        <w:t xml:space="preserve"> shall constitute one and the same Agreement. </w:t>
      </w:r>
      <w:r>
        <w:rPr>
          <w:rFonts w:ascii="Times New Roman" w:cs="Times New Roman" w:eastAsia="Times New Roman" w:hAnsi="Times New Roman"/>
          <w:sz w:val="18"/>
          <w:szCs w:val="18"/>
          <w:color w:val="1F1D1F"/>
        </w:rPr>
        <w:t>It is the</w:t>
      </w:r>
      <w:r>
        <w:rPr>
          <w:rFonts w:ascii="Times New Roman" w:cs="Times New Roman" w:eastAsia="Times New Roman" w:hAnsi="Times New Roman"/>
          <w:sz w:val="18"/>
          <w:szCs w:val="18"/>
          <w:color w:val="2F2D2F"/>
        </w:rPr>
        <w:t xml:space="preserve"> express </w:t>
      </w:r>
      <w:r>
        <w:rPr>
          <w:rFonts w:ascii="Times New Roman" w:cs="Times New Roman" w:eastAsia="Times New Roman" w:hAnsi="Times New Roman"/>
          <w:sz w:val="18"/>
          <w:szCs w:val="18"/>
          <w:color w:val="1F1D1F"/>
        </w:rPr>
        <w:t>intent of</w:t>
      </w:r>
      <w:r>
        <w:rPr>
          <w:rFonts w:ascii="Times New Roman" w:cs="Times New Roman" w:eastAsia="Times New Roman" w:hAnsi="Times New Roman"/>
          <w:sz w:val="18"/>
          <w:szCs w:val="18"/>
          <w:color w:val="2F2D2F"/>
        </w:rPr>
        <w:t xml:space="preserve"> the parties </w:t>
      </w:r>
      <w:r>
        <w:rPr>
          <w:rFonts w:ascii="Times New Roman" w:cs="Times New Roman" w:eastAsia="Times New Roman" w:hAnsi="Times New Roman"/>
          <w:sz w:val="18"/>
          <w:szCs w:val="18"/>
          <w:color w:val="1F1D1F"/>
        </w:rPr>
        <w:t>hereto</w:t>
      </w:r>
      <w:r>
        <w:rPr>
          <w:rFonts w:ascii="Times New Roman" w:cs="Times New Roman" w:eastAsia="Times New Roman" w:hAnsi="Times New Roman"/>
          <w:sz w:val="18"/>
          <w:szCs w:val="18"/>
          <w:color w:val="2F2D2F"/>
        </w:rPr>
        <w:t xml:space="preserve"> to be </w:t>
      </w:r>
      <w:r>
        <w:rPr>
          <w:rFonts w:ascii="Times New Roman" w:cs="Times New Roman" w:eastAsia="Times New Roman" w:hAnsi="Times New Roman"/>
          <w:sz w:val="18"/>
          <w:szCs w:val="18"/>
          <w:color w:val="1F1D1F"/>
        </w:rPr>
        <w:t>bound by</w:t>
      </w:r>
      <w:r>
        <w:rPr>
          <w:rFonts w:ascii="Times New Roman" w:cs="Times New Roman" w:eastAsia="Times New Roman" w:hAnsi="Times New Roman"/>
          <w:sz w:val="18"/>
          <w:szCs w:val="18"/>
          <w:color w:val="2F2D2F"/>
        </w:rPr>
        <w:t xml:space="preserve"> the exchange of si</w:t>
      </w:r>
      <w:r>
        <w:rPr>
          <w:rFonts w:ascii="Times New Roman" w:cs="Times New Roman" w:eastAsia="Times New Roman" w:hAnsi="Times New Roman"/>
          <w:sz w:val="18"/>
          <w:szCs w:val="18"/>
          <w:color w:val="49494B"/>
        </w:rPr>
        <w:t>g</w:t>
      </w:r>
      <w:r>
        <w:rPr>
          <w:rFonts w:ascii="Times New Roman" w:cs="Times New Roman" w:eastAsia="Times New Roman" w:hAnsi="Times New Roman"/>
          <w:sz w:val="18"/>
          <w:szCs w:val="18"/>
          <w:color w:val="1F1D1F"/>
        </w:rPr>
        <w:t>natures</w:t>
      </w:r>
      <w:r>
        <w:rPr>
          <w:rFonts w:ascii="Times New Roman" w:cs="Times New Roman" w:eastAsia="Times New Roman" w:hAnsi="Times New Roman"/>
          <w:sz w:val="18"/>
          <w:szCs w:val="18"/>
          <w:color w:val="2F2D2F"/>
        </w:rPr>
        <w:t xml:space="preserve"> on this Agreement via facsimile or electronic </w:t>
      </w:r>
      <w:r>
        <w:rPr>
          <w:rFonts w:ascii="Times New Roman" w:cs="Times New Roman" w:eastAsia="Times New Roman" w:hAnsi="Times New Roman"/>
          <w:sz w:val="18"/>
          <w:szCs w:val="18"/>
          <w:color w:val="1F1D1F"/>
        </w:rPr>
        <w:t>mail</w:t>
      </w:r>
      <w:r>
        <w:rPr>
          <w:rFonts w:ascii="Times New Roman" w:cs="Times New Roman" w:eastAsia="Times New Roman" w:hAnsi="Times New Roman"/>
          <w:sz w:val="18"/>
          <w:szCs w:val="18"/>
          <w:color w:val="2F2D2F"/>
        </w:rPr>
        <w:t xml:space="preserve"> via the portable document format (PDF).</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62628"/>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76200</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513" w:right="459" w:bottom="1440" w:gutter="0" w:footer="0" w:header="0"/>
        </w:sectPr>
      </w:pPr>
    </w:p>
    <w:bookmarkStart w:id="182" w:name="page183"/>
    <w:bookmarkEnd w:id="182"/>
    <w:p>
      <w:pPr>
        <w:jc w:val="center"/>
        <w:ind w:right="-219"/>
        <w:spacing w:after="0"/>
        <w:rPr>
          <w:sz w:val="20"/>
          <w:szCs w:val="20"/>
          <w:color w:val="auto"/>
        </w:rPr>
      </w:pPr>
      <w:r>
        <w:rPr>
          <w:rFonts w:ascii="Times New Roman" w:cs="Times New Roman" w:eastAsia="Times New Roman" w:hAnsi="Times New Roman"/>
          <w:sz w:val="18"/>
          <w:szCs w:val="18"/>
          <w:b w:val="1"/>
          <w:bCs w:val="1"/>
          <w:color w:val="2A2A2D"/>
        </w:rPr>
        <w:t>MUTUAL EXECUTIVE ARBITRATION AGREEMENT</w:t>
      </w:r>
    </w:p>
    <w:p>
      <w:pPr>
        <w:spacing w:after="0" w:line="200" w:lineRule="exact"/>
        <w:rPr>
          <w:sz w:val="20"/>
          <w:szCs w:val="20"/>
          <w:color w:val="auto"/>
        </w:rPr>
      </w:pPr>
    </w:p>
    <w:p>
      <w:pPr>
        <w:spacing w:after="0" w:line="313" w:lineRule="exact"/>
        <w:rPr>
          <w:sz w:val="20"/>
          <w:szCs w:val="20"/>
          <w:color w:val="auto"/>
        </w:rPr>
      </w:pPr>
    </w:p>
    <w:p>
      <w:pPr>
        <w:jc w:val="both"/>
        <w:ind w:left="220" w:right="20" w:firstLine="8"/>
        <w:spacing w:after="0" w:line="261" w:lineRule="auto"/>
        <w:tabs>
          <w:tab w:leader="none" w:pos="748" w:val="left"/>
        </w:tabs>
        <w:numPr>
          <w:ilvl w:val="0"/>
          <w:numId w:val="243"/>
        </w:numPr>
        <w:rPr>
          <w:rFonts w:ascii="Times New Roman" w:cs="Times New Roman" w:eastAsia="Times New Roman" w:hAnsi="Times New Roman"/>
          <w:sz w:val="18"/>
          <w:szCs w:val="18"/>
          <w:color w:val="2A2A2D"/>
        </w:rPr>
      </w:pPr>
      <w:r>
        <w:rPr>
          <w:rFonts w:ascii="Times New Roman" w:cs="Times New Roman" w:eastAsia="Times New Roman" w:hAnsi="Times New Roman"/>
          <w:sz w:val="18"/>
          <w:szCs w:val="18"/>
          <w:u w:val="single" w:color="auto"/>
          <w:color w:val="2A2A2D"/>
        </w:rPr>
        <w:t>Agreement to Arbitrate.</w:t>
      </w:r>
      <w:r>
        <w:rPr>
          <w:rFonts w:ascii="Times New Roman" w:cs="Times New Roman" w:eastAsia="Times New Roman" w:hAnsi="Times New Roman"/>
          <w:sz w:val="18"/>
          <w:szCs w:val="18"/>
          <w:color w:val="2A2A2D"/>
        </w:rPr>
        <w:t xml:space="preserve"> You </w:t>
      </w:r>
      <w:r>
        <w:rPr>
          <w:rFonts w:ascii="Times New Roman" w:cs="Times New Roman" w:eastAsia="Times New Roman" w:hAnsi="Times New Roman"/>
          <w:sz w:val="18"/>
          <w:szCs w:val="18"/>
          <w:color w:val="3B3B3D"/>
        </w:rPr>
        <w:t>and</w:t>
      </w:r>
      <w:r>
        <w:rPr>
          <w:rFonts w:ascii="Times New Roman" w:cs="Times New Roman" w:eastAsia="Times New Roman" w:hAnsi="Times New Roman"/>
          <w:sz w:val="18"/>
          <w:szCs w:val="18"/>
          <w:color w:val="2A2A2D"/>
        </w:rPr>
        <w:t xml:space="preserve"> Vision Management Services</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2A2A2D"/>
        </w:rPr>
        <w:t xml:space="preserve"> LLC </w:t>
      </w:r>
      <w:r>
        <w:rPr>
          <w:rFonts w:ascii="Times New Roman" w:cs="Times New Roman" w:eastAsia="Times New Roman" w:hAnsi="Times New Roman"/>
          <w:sz w:val="18"/>
          <w:szCs w:val="18"/>
          <w:color w:val="3B3B3D"/>
        </w:rPr>
        <w:t>(the "Employer</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3B3B3D"/>
        </w:rPr>
        <w:t>)</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2A2A2D"/>
        </w:rPr>
        <w:t xml:space="preserve"> </w:t>
      </w:r>
      <w:r>
        <w:rPr>
          <w:rFonts w:ascii="Times New Roman" w:cs="Times New Roman" w:eastAsia="Times New Roman" w:hAnsi="Times New Roman"/>
          <w:sz w:val="18"/>
          <w:szCs w:val="18"/>
          <w:color w:val="3B3B3D"/>
        </w:rPr>
        <w:t>a subsidiary</w:t>
      </w:r>
      <w:r>
        <w:rPr>
          <w:rFonts w:ascii="Times New Roman" w:cs="Times New Roman" w:eastAsia="Times New Roman" w:hAnsi="Times New Roman"/>
          <w:sz w:val="18"/>
          <w:szCs w:val="18"/>
          <w:color w:val="2A2A2D"/>
        </w:rPr>
        <w:t xml:space="preserve"> of Green Thumb Industries Inc</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2A2A2D"/>
        </w:rPr>
        <w:t xml:space="preserve"> </w:t>
      </w:r>
      <w:r>
        <w:rPr>
          <w:rFonts w:ascii="Times New Roman" w:cs="Times New Roman" w:eastAsia="Times New Roman" w:hAnsi="Times New Roman"/>
          <w:sz w:val="18"/>
          <w:szCs w:val="18"/>
          <w:color w:val="3B3B3D"/>
        </w:rPr>
        <w:t>(together</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3B3B3D"/>
        </w:rPr>
        <w:t xml:space="preserve"> </w:t>
      </w:r>
      <w:r>
        <w:rPr>
          <w:rFonts w:ascii="Times New Roman" w:cs="Times New Roman" w:eastAsia="Times New Roman" w:hAnsi="Times New Roman"/>
          <w:sz w:val="18"/>
          <w:szCs w:val="18"/>
          <w:color w:val="2A2A2D"/>
        </w:rPr>
        <w:t>along with their subsidiaries</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3B3B3D"/>
        </w:rPr>
        <w:t xml:space="preserve"> </w:t>
      </w:r>
      <w:r>
        <w:rPr>
          <w:rFonts w:ascii="Times New Roman" w:cs="Times New Roman" w:eastAsia="Times New Roman" w:hAnsi="Times New Roman"/>
          <w:sz w:val="18"/>
          <w:szCs w:val="18"/>
          <w:color w:val="2A2A2D"/>
        </w:rPr>
        <w:t>affiliates</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3B3B3D"/>
        </w:rPr>
        <w:t xml:space="preserve"> successors and </w:t>
      </w:r>
      <w:r>
        <w:rPr>
          <w:rFonts w:ascii="Times New Roman" w:cs="Times New Roman" w:eastAsia="Times New Roman" w:hAnsi="Times New Roman"/>
          <w:sz w:val="18"/>
          <w:szCs w:val="18"/>
          <w:color w:val="2A2A2D"/>
        </w:rPr>
        <w:t>assigns</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3B3B3D"/>
        </w:rPr>
        <w:t xml:space="preserve"> </w:t>
      </w:r>
      <w:r>
        <w:rPr>
          <w:rFonts w:ascii="Times New Roman" w:cs="Times New Roman" w:eastAsia="Times New Roman" w:hAnsi="Times New Roman"/>
          <w:sz w:val="18"/>
          <w:szCs w:val="18"/>
          <w:color w:val="2A2A2D"/>
        </w:rPr>
        <w:t>referred to herein</w:t>
      </w:r>
      <w:r>
        <w:rPr>
          <w:rFonts w:ascii="Times New Roman" w:cs="Times New Roman" w:eastAsia="Times New Roman" w:hAnsi="Times New Roman"/>
          <w:sz w:val="18"/>
          <w:szCs w:val="18"/>
          <w:color w:val="3B3B3D"/>
        </w:rPr>
        <w:t xml:space="preserve"> as </w:t>
      </w:r>
      <w:r>
        <w:rPr>
          <w:rFonts w:ascii="Times New Roman" w:cs="Times New Roman" w:eastAsia="Times New Roman" w:hAnsi="Times New Roman"/>
          <w:sz w:val="18"/>
          <w:szCs w:val="18"/>
          <w:color w:val="2A2A2D"/>
        </w:rPr>
        <w:t>the</w:t>
      </w:r>
      <w:r>
        <w:rPr>
          <w:rFonts w:ascii="Times New Roman" w:cs="Times New Roman" w:eastAsia="Times New Roman" w:hAnsi="Times New Roman"/>
          <w:sz w:val="18"/>
          <w:szCs w:val="18"/>
          <w:color w:val="3B3B3D"/>
        </w:rPr>
        <w:t xml:space="preserve"> </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2A2A2D"/>
        </w:rPr>
        <w:t>Company</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3B3B3D"/>
        </w:rPr>
        <w:t>)</w:t>
      </w:r>
      <w:r>
        <w:rPr>
          <w:rFonts w:ascii="Times New Roman" w:cs="Times New Roman" w:eastAsia="Times New Roman" w:hAnsi="Times New Roman"/>
          <w:sz w:val="18"/>
          <w:szCs w:val="18"/>
          <w:color w:val="676767"/>
        </w:rPr>
        <w:t>,</w:t>
      </w:r>
      <w:r>
        <w:rPr>
          <w:rFonts w:ascii="Times New Roman" w:cs="Times New Roman" w:eastAsia="Times New Roman" w:hAnsi="Times New Roman"/>
          <w:sz w:val="18"/>
          <w:szCs w:val="18"/>
          <w:color w:val="3B3B3D"/>
        </w:rPr>
        <w:t xml:space="preserve"> </w:t>
      </w:r>
      <w:r>
        <w:rPr>
          <w:rFonts w:ascii="Times New Roman" w:cs="Times New Roman" w:eastAsia="Times New Roman" w:hAnsi="Times New Roman"/>
          <w:sz w:val="18"/>
          <w:szCs w:val="18"/>
          <w:color w:val="2A2A2D"/>
        </w:rPr>
        <w:t>agree to use binding arbitration</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3B3B3D"/>
        </w:rPr>
        <w:t xml:space="preserve"> </w:t>
      </w:r>
      <w:r>
        <w:rPr>
          <w:rFonts w:ascii="Times New Roman" w:cs="Times New Roman" w:eastAsia="Times New Roman" w:hAnsi="Times New Roman"/>
          <w:sz w:val="18"/>
          <w:szCs w:val="18"/>
          <w:color w:val="2A2A2D"/>
        </w:rPr>
        <w:t xml:space="preserve">instead of </w:t>
      </w:r>
      <w:r>
        <w:rPr>
          <w:rFonts w:ascii="Times New Roman" w:cs="Times New Roman" w:eastAsia="Times New Roman" w:hAnsi="Times New Roman"/>
          <w:sz w:val="18"/>
          <w:szCs w:val="18"/>
          <w:color w:val="3B3B3D"/>
        </w:rPr>
        <w:t>going</w:t>
      </w:r>
      <w:r>
        <w:rPr>
          <w:rFonts w:ascii="Times New Roman" w:cs="Times New Roman" w:eastAsia="Times New Roman" w:hAnsi="Times New Roman"/>
          <w:sz w:val="18"/>
          <w:szCs w:val="18"/>
          <w:color w:val="2A2A2D"/>
        </w:rPr>
        <w:t xml:space="preserve"> to court</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2A2A2D"/>
        </w:rPr>
        <w:t xml:space="preserve"> for </w:t>
      </w:r>
      <w:r>
        <w:rPr>
          <w:rFonts w:ascii="Times New Roman" w:cs="Times New Roman" w:eastAsia="Times New Roman" w:hAnsi="Times New Roman"/>
          <w:sz w:val="18"/>
          <w:szCs w:val="18"/>
          <w:color w:val="3B3B3D"/>
        </w:rPr>
        <w:t>an</w:t>
      </w:r>
      <w:r>
        <w:rPr>
          <w:rFonts w:ascii="Times New Roman" w:cs="Times New Roman" w:eastAsia="Times New Roman" w:hAnsi="Times New Roman"/>
          <w:sz w:val="18"/>
          <w:szCs w:val="18"/>
          <w:color w:val="565656"/>
        </w:rPr>
        <w:t>y</w:t>
      </w:r>
      <w:r>
        <w:rPr>
          <w:rFonts w:ascii="Times New Roman" w:cs="Times New Roman" w:eastAsia="Times New Roman" w:hAnsi="Times New Roman"/>
          <w:sz w:val="18"/>
          <w:szCs w:val="18"/>
          <w:color w:val="2A2A2D"/>
        </w:rPr>
        <w:t xml:space="preserve"> Covered </w:t>
      </w:r>
      <w:r>
        <w:rPr>
          <w:rFonts w:ascii="Times New Roman" w:cs="Times New Roman" w:eastAsia="Times New Roman" w:hAnsi="Times New Roman"/>
          <w:sz w:val="18"/>
          <w:szCs w:val="18"/>
          <w:color w:val="3B3B3D"/>
        </w:rPr>
        <w:t>Claims</w:t>
      </w:r>
      <w:r>
        <w:rPr>
          <w:rFonts w:ascii="Times New Roman" w:cs="Times New Roman" w:eastAsia="Times New Roman" w:hAnsi="Times New Roman"/>
          <w:sz w:val="18"/>
          <w:szCs w:val="18"/>
          <w:color w:val="2A2A2D"/>
        </w:rPr>
        <w:t xml:space="preserve"> that </w:t>
      </w:r>
      <w:r>
        <w:rPr>
          <w:rFonts w:ascii="Times New Roman" w:cs="Times New Roman" w:eastAsia="Times New Roman" w:hAnsi="Times New Roman"/>
          <w:sz w:val="18"/>
          <w:szCs w:val="18"/>
          <w:color w:val="3B3B3D"/>
        </w:rPr>
        <w:t>arise</w:t>
      </w:r>
      <w:r>
        <w:rPr>
          <w:rFonts w:ascii="Times New Roman" w:cs="Times New Roman" w:eastAsia="Times New Roman" w:hAnsi="Times New Roman"/>
          <w:sz w:val="18"/>
          <w:szCs w:val="18"/>
          <w:color w:val="2A2A2D"/>
        </w:rPr>
        <w:t xml:space="preserve"> or have arisen between </w:t>
      </w:r>
      <w:r>
        <w:rPr>
          <w:rFonts w:ascii="Times New Roman" w:cs="Times New Roman" w:eastAsia="Times New Roman" w:hAnsi="Times New Roman"/>
          <w:sz w:val="18"/>
          <w:szCs w:val="18"/>
          <w:color w:val="3B3B3D"/>
        </w:rPr>
        <w:t>you</w:t>
      </w:r>
      <w:r>
        <w:rPr>
          <w:rFonts w:ascii="Times New Roman" w:cs="Times New Roman" w:eastAsia="Times New Roman" w:hAnsi="Times New Roman"/>
          <w:sz w:val="18"/>
          <w:szCs w:val="18"/>
          <w:color w:val="2A2A2D"/>
        </w:rPr>
        <w:t xml:space="preserve"> and the Employer </w:t>
      </w:r>
      <w:r>
        <w:rPr>
          <w:rFonts w:ascii="Times New Roman" w:cs="Times New Roman" w:eastAsia="Times New Roman" w:hAnsi="Times New Roman"/>
          <w:sz w:val="18"/>
          <w:szCs w:val="18"/>
          <w:color w:val="3B3B3D"/>
        </w:rPr>
        <w:t>and/or</w:t>
      </w:r>
      <w:r>
        <w:rPr>
          <w:rFonts w:ascii="Times New Roman" w:cs="Times New Roman" w:eastAsia="Times New Roman" w:hAnsi="Times New Roman"/>
          <w:sz w:val="18"/>
          <w:szCs w:val="18"/>
          <w:color w:val="2A2A2D"/>
        </w:rPr>
        <w:t xml:space="preserve"> between you and the Company</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2A2A2D"/>
        </w:rPr>
        <w:t xml:space="preserve"> You understand that your new or continued employment with Employer is deemed to be </w:t>
      </w:r>
      <w:r>
        <w:rPr>
          <w:rFonts w:ascii="Times New Roman" w:cs="Times New Roman" w:eastAsia="Times New Roman" w:hAnsi="Times New Roman"/>
          <w:sz w:val="18"/>
          <w:szCs w:val="18"/>
          <w:color w:val="3B3B3D"/>
        </w:rPr>
        <w:t>acceptance</w:t>
      </w:r>
      <w:r>
        <w:rPr>
          <w:rFonts w:ascii="Times New Roman" w:cs="Times New Roman" w:eastAsia="Times New Roman" w:hAnsi="Times New Roman"/>
          <w:sz w:val="18"/>
          <w:szCs w:val="18"/>
          <w:color w:val="2A2A2D"/>
        </w:rPr>
        <w:t xml:space="preserve"> of this Agreement to Arbitrate.</w:t>
      </w:r>
    </w:p>
    <w:p>
      <w:pPr>
        <w:spacing w:after="0" w:line="139" w:lineRule="exact"/>
        <w:rPr>
          <w:sz w:val="20"/>
          <w:szCs w:val="20"/>
          <w:color w:val="auto"/>
        </w:rPr>
      </w:pPr>
    </w:p>
    <w:p>
      <w:pPr>
        <w:jc w:val="both"/>
        <w:ind w:left="220" w:firstLine="2"/>
        <w:spacing w:after="0" w:line="261" w:lineRule="auto"/>
        <w:rPr>
          <w:sz w:val="20"/>
          <w:szCs w:val="20"/>
          <w:color w:val="auto"/>
        </w:rPr>
      </w:pPr>
      <w:r>
        <w:rPr>
          <w:rFonts w:ascii="Times New Roman" w:cs="Times New Roman" w:eastAsia="Times New Roman" w:hAnsi="Times New Roman"/>
          <w:sz w:val="18"/>
          <w:szCs w:val="18"/>
          <w:color w:val="3B3B3D"/>
        </w:rPr>
        <w:t xml:space="preserve">The Covered </w:t>
      </w:r>
      <w:r>
        <w:rPr>
          <w:rFonts w:ascii="Times New Roman" w:cs="Times New Roman" w:eastAsia="Times New Roman" w:hAnsi="Times New Roman"/>
          <w:sz w:val="18"/>
          <w:szCs w:val="18"/>
          <w:color w:val="2A2A2D"/>
        </w:rPr>
        <w:t>Claims under</w:t>
      </w:r>
      <w:r>
        <w:rPr>
          <w:rFonts w:ascii="Times New Roman" w:cs="Times New Roman" w:eastAsia="Times New Roman" w:hAnsi="Times New Roman"/>
          <w:sz w:val="18"/>
          <w:szCs w:val="18"/>
          <w:color w:val="3B3B3D"/>
        </w:rPr>
        <w:t xml:space="preserve"> this </w:t>
      </w:r>
      <w:r>
        <w:rPr>
          <w:rFonts w:ascii="Times New Roman" w:cs="Times New Roman" w:eastAsia="Times New Roman" w:hAnsi="Times New Roman"/>
          <w:sz w:val="18"/>
          <w:szCs w:val="18"/>
          <w:color w:val="2A2A2D"/>
        </w:rPr>
        <w:t>Agreement</w:t>
      </w:r>
      <w:r>
        <w:rPr>
          <w:rFonts w:ascii="Times New Roman" w:cs="Times New Roman" w:eastAsia="Times New Roman" w:hAnsi="Times New Roman"/>
          <w:sz w:val="18"/>
          <w:szCs w:val="18"/>
          <w:color w:val="3B3B3D"/>
        </w:rPr>
        <w:t xml:space="preserve"> are any statutory </w:t>
      </w:r>
      <w:r>
        <w:rPr>
          <w:rFonts w:ascii="Times New Roman" w:cs="Times New Roman" w:eastAsia="Times New Roman" w:hAnsi="Times New Roman"/>
          <w:sz w:val="18"/>
          <w:szCs w:val="18"/>
          <w:color w:val="2A2A2D"/>
        </w:rPr>
        <w:t>or common law legal</w:t>
      </w:r>
      <w:r>
        <w:rPr>
          <w:rFonts w:ascii="Times New Roman" w:cs="Times New Roman" w:eastAsia="Times New Roman" w:hAnsi="Times New Roman"/>
          <w:sz w:val="18"/>
          <w:szCs w:val="18"/>
          <w:color w:val="3B3B3D"/>
        </w:rPr>
        <w:t xml:space="preserve"> claims</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3B3B3D"/>
        </w:rPr>
        <w:t xml:space="preserve"> </w:t>
      </w:r>
      <w:r>
        <w:rPr>
          <w:rFonts w:ascii="Times New Roman" w:cs="Times New Roman" w:eastAsia="Times New Roman" w:hAnsi="Times New Roman"/>
          <w:sz w:val="18"/>
          <w:szCs w:val="18"/>
          <w:color w:val="2A2A2D"/>
        </w:rPr>
        <w:t>asserted or unasserted</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3B3B3D"/>
        </w:rPr>
        <w:t xml:space="preserve"> </w:t>
      </w:r>
      <w:r>
        <w:rPr>
          <w:rFonts w:ascii="Times New Roman" w:cs="Times New Roman" w:eastAsia="Times New Roman" w:hAnsi="Times New Roman"/>
          <w:sz w:val="18"/>
          <w:szCs w:val="18"/>
          <w:color w:val="2A2A2D"/>
        </w:rPr>
        <w:t>brought by</w:t>
      </w:r>
      <w:r>
        <w:rPr>
          <w:rFonts w:ascii="Times New Roman" w:cs="Times New Roman" w:eastAsia="Times New Roman" w:hAnsi="Times New Roman"/>
          <w:sz w:val="18"/>
          <w:szCs w:val="18"/>
          <w:color w:val="3B3B3D"/>
        </w:rPr>
        <w:t xml:space="preserve"> you against </w:t>
      </w:r>
      <w:r>
        <w:rPr>
          <w:rFonts w:ascii="Times New Roman" w:cs="Times New Roman" w:eastAsia="Times New Roman" w:hAnsi="Times New Roman"/>
          <w:sz w:val="18"/>
          <w:szCs w:val="18"/>
          <w:color w:val="2A2A2D"/>
        </w:rPr>
        <w:t>the</w:t>
      </w:r>
      <w:r>
        <w:rPr>
          <w:rFonts w:ascii="Times New Roman" w:cs="Times New Roman" w:eastAsia="Times New Roman" w:hAnsi="Times New Roman"/>
          <w:sz w:val="18"/>
          <w:szCs w:val="18"/>
          <w:color w:val="3B3B3D"/>
        </w:rPr>
        <w:t xml:space="preserve"> Employer and/or </w:t>
      </w:r>
      <w:r>
        <w:rPr>
          <w:rFonts w:ascii="Times New Roman" w:cs="Times New Roman" w:eastAsia="Times New Roman" w:hAnsi="Times New Roman"/>
          <w:sz w:val="18"/>
          <w:szCs w:val="18"/>
          <w:color w:val="2A2A2D"/>
        </w:rPr>
        <w:t>the Company</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3B3B3D"/>
        </w:rPr>
        <w:t xml:space="preserve"> </w:t>
      </w:r>
      <w:r>
        <w:rPr>
          <w:rFonts w:ascii="Times New Roman" w:cs="Times New Roman" w:eastAsia="Times New Roman" w:hAnsi="Times New Roman"/>
          <w:sz w:val="18"/>
          <w:szCs w:val="18"/>
          <w:color w:val="2A2A2D"/>
        </w:rPr>
        <w:t>or brought by the</w:t>
      </w:r>
      <w:r>
        <w:rPr>
          <w:rFonts w:ascii="Times New Roman" w:cs="Times New Roman" w:eastAsia="Times New Roman" w:hAnsi="Times New Roman"/>
          <w:sz w:val="18"/>
          <w:szCs w:val="18"/>
          <w:color w:val="3B3B3D"/>
        </w:rPr>
        <w:t xml:space="preserve"> Employer and/or Company against you</w:t>
      </w:r>
      <w:r>
        <w:rPr>
          <w:rFonts w:ascii="Times New Roman" w:cs="Times New Roman" w:eastAsia="Times New Roman" w:hAnsi="Times New Roman"/>
          <w:sz w:val="18"/>
          <w:szCs w:val="18"/>
          <w:color w:val="676767"/>
        </w:rPr>
        <w:t>,</w:t>
      </w:r>
      <w:r>
        <w:rPr>
          <w:rFonts w:ascii="Times New Roman" w:cs="Times New Roman" w:eastAsia="Times New Roman" w:hAnsi="Times New Roman"/>
          <w:sz w:val="18"/>
          <w:szCs w:val="18"/>
          <w:color w:val="3B3B3D"/>
        </w:rPr>
        <w:t xml:space="preserve"> </w:t>
      </w:r>
      <w:r>
        <w:rPr>
          <w:rFonts w:ascii="Times New Roman" w:cs="Times New Roman" w:eastAsia="Times New Roman" w:hAnsi="Times New Roman"/>
          <w:sz w:val="18"/>
          <w:szCs w:val="18"/>
          <w:color w:val="2A2A2D"/>
        </w:rPr>
        <w:t>that relate to</w:t>
      </w:r>
      <w:r>
        <w:rPr>
          <w:rFonts w:ascii="Times New Roman" w:cs="Times New Roman" w:eastAsia="Times New Roman" w:hAnsi="Times New Roman"/>
          <w:sz w:val="18"/>
          <w:szCs w:val="18"/>
          <w:color w:val="3B3B3D"/>
        </w:rPr>
        <w:t xml:space="preserve"> and arise </w:t>
      </w:r>
      <w:r>
        <w:rPr>
          <w:rFonts w:ascii="Times New Roman" w:cs="Times New Roman" w:eastAsia="Times New Roman" w:hAnsi="Times New Roman"/>
          <w:sz w:val="18"/>
          <w:szCs w:val="18"/>
          <w:color w:val="2A2A2D"/>
        </w:rPr>
        <w:t>out of</w:t>
      </w:r>
      <w:r>
        <w:rPr>
          <w:rFonts w:ascii="Times New Roman" w:cs="Times New Roman" w:eastAsia="Times New Roman" w:hAnsi="Times New Roman"/>
          <w:sz w:val="18"/>
          <w:szCs w:val="18"/>
          <w:color w:val="3B3B3D"/>
        </w:rPr>
        <w:t xml:space="preserve"> your employment </w:t>
      </w:r>
      <w:r>
        <w:rPr>
          <w:rFonts w:ascii="Times New Roman" w:cs="Times New Roman" w:eastAsia="Times New Roman" w:hAnsi="Times New Roman"/>
          <w:sz w:val="18"/>
          <w:szCs w:val="18"/>
          <w:color w:val="2A2A2D"/>
        </w:rPr>
        <w:t>with the</w:t>
      </w:r>
      <w:r>
        <w:rPr>
          <w:rFonts w:ascii="Times New Roman" w:cs="Times New Roman" w:eastAsia="Times New Roman" w:hAnsi="Times New Roman"/>
          <w:sz w:val="18"/>
          <w:szCs w:val="18"/>
          <w:color w:val="3B3B3D"/>
        </w:rPr>
        <w:t xml:space="preserve"> Employer</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3B3B3D"/>
        </w:rPr>
        <w:t xml:space="preserve"> </w:t>
      </w:r>
      <w:r>
        <w:rPr>
          <w:rFonts w:ascii="Times New Roman" w:cs="Times New Roman" w:eastAsia="Times New Roman" w:hAnsi="Times New Roman"/>
          <w:sz w:val="18"/>
          <w:szCs w:val="18"/>
          <w:color w:val="2A2A2D"/>
        </w:rPr>
        <w:t>including but not limited to</w:t>
      </w:r>
      <w:r>
        <w:rPr>
          <w:rFonts w:ascii="Times New Roman" w:cs="Times New Roman" w:eastAsia="Times New Roman" w:hAnsi="Times New Roman"/>
          <w:sz w:val="18"/>
          <w:szCs w:val="18"/>
          <w:color w:val="3B3B3D"/>
        </w:rPr>
        <w:t xml:space="preserve"> any </w:t>
      </w:r>
      <w:r>
        <w:rPr>
          <w:rFonts w:ascii="Times New Roman" w:cs="Times New Roman" w:eastAsia="Times New Roman" w:hAnsi="Times New Roman"/>
          <w:sz w:val="18"/>
          <w:szCs w:val="18"/>
          <w:color w:val="2A2A2D"/>
        </w:rPr>
        <w:t>claimed breach of any</w:t>
      </w:r>
      <w:r>
        <w:rPr>
          <w:rFonts w:ascii="Times New Roman" w:cs="Times New Roman" w:eastAsia="Times New Roman" w:hAnsi="Times New Roman"/>
          <w:sz w:val="18"/>
          <w:szCs w:val="18"/>
          <w:color w:val="3B3B3D"/>
        </w:rPr>
        <w:t xml:space="preserve"> agreement </w:t>
      </w:r>
      <w:r>
        <w:rPr>
          <w:rFonts w:ascii="Times New Roman" w:cs="Times New Roman" w:eastAsia="Times New Roman" w:hAnsi="Times New Roman"/>
          <w:sz w:val="18"/>
          <w:szCs w:val="18"/>
          <w:color w:val="2A2A2D"/>
        </w:rPr>
        <w:t>between</w:t>
      </w:r>
      <w:r>
        <w:rPr>
          <w:rFonts w:ascii="Times New Roman" w:cs="Times New Roman" w:eastAsia="Times New Roman" w:hAnsi="Times New Roman"/>
          <w:sz w:val="18"/>
          <w:szCs w:val="18"/>
          <w:color w:val="3B3B3D"/>
        </w:rPr>
        <w:t xml:space="preserve"> you and </w:t>
      </w:r>
      <w:r>
        <w:rPr>
          <w:rFonts w:ascii="Times New Roman" w:cs="Times New Roman" w:eastAsia="Times New Roman" w:hAnsi="Times New Roman"/>
          <w:sz w:val="18"/>
          <w:szCs w:val="18"/>
          <w:color w:val="2A2A2D"/>
        </w:rPr>
        <w:t>the Employer</w:t>
      </w:r>
      <w:r>
        <w:rPr>
          <w:rFonts w:ascii="Times New Roman" w:cs="Times New Roman" w:eastAsia="Times New Roman" w:hAnsi="Times New Roman"/>
          <w:sz w:val="18"/>
          <w:szCs w:val="18"/>
          <w:color w:val="3B3B3D"/>
        </w:rPr>
        <w:t xml:space="preserve"> and/or the Company (</w:t>
      </w:r>
      <w:r>
        <w:rPr>
          <w:rFonts w:ascii="Times New Roman" w:cs="Times New Roman" w:eastAsia="Times New Roman" w:hAnsi="Times New Roman"/>
          <w:sz w:val="18"/>
          <w:szCs w:val="18"/>
          <w:color w:val="2A2A2D"/>
        </w:rPr>
        <w:t>except</w:t>
      </w:r>
      <w:r>
        <w:rPr>
          <w:rFonts w:ascii="Times New Roman" w:cs="Times New Roman" w:eastAsia="Times New Roman" w:hAnsi="Times New Roman"/>
          <w:sz w:val="18"/>
          <w:szCs w:val="18"/>
          <w:color w:val="3B3B3D"/>
        </w:rPr>
        <w:t xml:space="preserve"> with </w:t>
      </w:r>
      <w:r>
        <w:rPr>
          <w:rFonts w:ascii="Times New Roman" w:cs="Times New Roman" w:eastAsia="Times New Roman" w:hAnsi="Times New Roman"/>
          <w:sz w:val="18"/>
          <w:szCs w:val="18"/>
          <w:color w:val="2A2A2D"/>
        </w:rPr>
        <w:t>regard to injunctive relief).</w:t>
      </w:r>
    </w:p>
    <w:p>
      <w:pPr>
        <w:spacing w:after="0" w:line="135" w:lineRule="exact"/>
        <w:rPr>
          <w:sz w:val="20"/>
          <w:szCs w:val="20"/>
          <w:color w:val="auto"/>
        </w:rPr>
      </w:pPr>
    </w:p>
    <w:p>
      <w:pPr>
        <w:jc w:val="both"/>
        <w:ind w:left="200" w:right="20" w:firstLine="12"/>
        <w:spacing w:after="0" w:line="286" w:lineRule="auto"/>
        <w:rPr>
          <w:sz w:val="20"/>
          <w:szCs w:val="20"/>
          <w:color w:val="auto"/>
        </w:rPr>
      </w:pPr>
      <w:r>
        <w:rPr>
          <w:rFonts w:ascii="Times New Roman" w:cs="Times New Roman" w:eastAsia="Times New Roman" w:hAnsi="Times New Roman"/>
          <w:sz w:val="18"/>
          <w:szCs w:val="18"/>
          <w:b w:val="1"/>
          <w:bCs w:val="1"/>
          <w:color w:val="3B3B3D"/>
        </w:rPr>
        <w:t xml:space="preserve">You </w:t>
      </w:r>
      <w:r>
        <w:rPr>
          <w:rFonts w:ascii="Times New Roman" w:cs="Times New Roman" w:eastAsia="Times New Roman" w:hAnsi="Times New Roman"/>
          <w:sz w:val="18"/>
          <w:szCs w:val="18"/>
          <w:b w:val="1"/>
          <w:bCs w:val="1"/>
          <w:color w:val="2A2A2D"/>
        </w:rPr>
        <w:t>understand and agree that arbitration is the only litigation forum for resolving Covered Claims, and that</w:t>
      </w:r>
      <w:r>
        <w:rPr>
          <w:rFonts w:ascii="Times New Roman" w:cs="Times New Roman" w:eastAsia="Times New Roman" w:hAnsi="Times New Roman"/>
          <w:sz w:val="18"/>
          <w:szCs w:val="18"/>
          <w:b w:val="1"/>
          <w:bCs w:val="1"/>
          <w:color w:val="3B3B3D"/>
        </w:rPr>
        <w:t xml:space="preserve"> the </w:t>
      </w:r>
      <w:r>
        <w:rPr>
          <w:rFonts w:ascii="Times New Roman" w:cs="Times New Roman" w:eastAsia="Times New Roman" w:hAnsi="Times New Roman"/>
          <w:sz w:val="18"/>
          <w:szCs w:val="18"/>
          <w:b w:val="1"/>
          <w:bCs w:val="1"/>
          <w:color w:val="2A2A2D"/>
        </w:rPr>
        <w:t>Employer, the Company</w:t>
      </w:r>
      <w:r>
        <w:rPr>
          <w:rFonts w:ascii="Times New Roman" w:cs="Times New Roman" w:eastAsia="Times New Roman" w:hAnsi="Times New Roman"/>
          <w:sz w:val="18"/>
          <w:szCs w:val="18"/>
          <w:b w:val="1"/>
          <w:bCs w:val="1"/>
          <w:color w:val="3B3B3D"/>
        </w:rPr>
        <w:t xml:space="preserve"> and you </w:t>
      </w:r>
      <w:r>
        <w:rPr>
          <w:rFonts w:ascii="Times New Roman" w:cs="Times New Roman" w:eastAsia="Times New Roman" w:hAnsi="Times New Roman"/>
          <w:sz w:val="18"/>
          <w:szCs w:val="18"/>
          <w:b w:val="1"/>
          <w:bCs w:val="1"/>
          <w:color w:val="2A2A2D"/>
        </w:rPr>
        <w:t>are</w:t>
      </w:r>
      <w:r>
        <w:rPr>
          <w:rFonts w:ascii="Times New Roman" w:cs="Times New Roman" w:eastAsia="Times New Roman" w:hAnsi="Times New Roman"/>
          <w:sz w:val="18"/>
          <w:szCs w:val="18"/>
          <w:b w:val="1"/>
          <w:bCs w:val="1"/>
          <w:color w:val="3B3B3D"/>
        </w:rPr>
        <w:t xml:space="preserve"> waiving </w:t>
      </w:r>
      <w:r>
        <w:rPr>
          <w:rFonts w:ascii="Times New Roman" w:cs="Times New Roman" w:eastAsia="Times New Roman" w:hAnsi="Times New Roman"/>
          <w:sz w:val="18"/>
          <w:szCs w:val="18"/>
          <w:b w:val="1"/>
          <w:bCs w:val="1"/>
          <w:color w:val="2A2A2D"/>
        </w:rPr>
        <w:t>the right to a trial before a judge or jury in federal or</w:t>
      </w:r>
      <w:r>
        <w:rPr>
          <w:rFonts w:ascii="Times New Roman" w:cs="Times New Roman" w:eastAsia="Times New Roman" w:hAnsi="Times New Roman"/>
          <w:sz w:val="18"/>
          <w:szCs w:val="18"/>
          <w:b w:val="1"/>
          <w:bCs w:val="1"/>
          <w:color w:val="3B3B3D"/>
        </w:rPr>
        <w:t xml:space="preserve"> state </w:t>
      </w:r>
      <w:r>
        <w:rPr>
          <w:rFonts w:ascii="Times New Roman" w:cs="Times New Roman" w:eastAsia="Times New Roman" w:hAnsi="Times New Roman"/>
          <w:sz w:val="18"/>
          <w:szCs w:val="18"/>
          <w:b w:val="1"/>
          <w:bCs w:val="1"/>
          <w:color w:val="2A2A2D"/>
        </w:rPr>
        <w:t>court in favor of arbitration.</w:t>
      </w:r>
    </w:p>
    <w:p>
      <w:pPr>
        <w:spacing w:after="0" w:line="132" w:lineRule="exact"/>
        <w:rPr>
          <w:sz w:val="20"/>
          <w:szCs w:val="20"/>
          <w:color w:val="auto"/>
        </w:rPr>
      </w:pPr>
    </w:p>
    <w:p>
      <w:pPr>
        <w:jc w:val="both"/>
        <w:ind w:left="200" w:right="20"/>
        <w:spacing w:after="0" w:line="282" w:lineRule="auto"/>
        <w:rPr>
          <w:sz w:val="20"/>
          <w:szCs w:val="20"/>
          <w:color w:val="auto"/>
        </w:rPr>
      </w:pPr>
      <w:r>
        <w:rPr>
          <w:rFonts w:ascii="Times New Roman" w:cs="Times New Roman" w:eastAsia="Times New Roman" w:hAnsi="Times New Roman"/>
          <w:sz w:val="18"/>
          <w:szCs w:val="18"/>
          <w:color w:val="2A2A2D"/>
        </w:rPr>
        <w:t xml:space="preserve">The </w:t>
      </w:r>
      <w:r>
        <w:rPr>
          <w:rFonts w:ascii="Times New Roman" w:cs="Times New Roman" w:eastAsia="Times New Roman" w:hAnsi="Times New Roman"/>
          <w:sz w:val="18"/>
          <w:szCs w:val="18"/>
          <w:color w:val="3B3B3D"/>
        </w:rPr>
        <w:t>Arbitrator shall</w:t>
      </w:r>
      <w:r>
        <w:rPr>
          <w:rFonts w:ascii="Times New Roman" w:cs="Times New Roman" w:eastAsia="Times New Roman" w:hAnsi="Times New Roman"/>
          <w:sz w:val="18"/>
          <w:szCs w:val="18"/>
          <w:color w:val="2A2A2D"/>
        </w:rPr>
        <w:t xml:space="preserve"> have the authority to </w:t>
      </w:r>
      <w:r>
        <w:rPr>
          <w:rFonts w:ascii="Times New Roman" w:cs="Times New Roman" w:eastAsia="Times New Roman" w:hAnsi="Times New Roman"/>
          <w:sz w:val="18"/>
          <w:szCs w:val="18"/>
          <w:color w:val="3B3B3D"/>
        </w:rPr>
        <w:t>award the same</w:t>
      </w:r>
      <w:r>
        <w:rPr>
          <w:rFonts w:ascii="Times New Roman" w:cs="Times New Roman" w:eastAsia="Times New Roman" w:hAnsi="Times New Roman"/>
          <w:sz w:val="18"/>
          <w:szCs w:val="18"/>
          <w:color w:val="2A2A2D"/>
        </w:rPr>
        <w:t xml:space="preserve"> damages and other relief </w:t>
      </w:r>
      <w:r>
        <w:rPr>
          <w:rFonts w:ascii="Times New Roman" w:cs="Times New Roman" w:eastAsia="Times New Roman" w:hAnsi="Times New Roman"/>
          <w:sz w:val="18"/>
          <w:szCs w:val="18"/>
          <w:color w:val="3B3B3D"/>
        </w:rPr>
        <w:t>that would</w:t>
      </w:r>
      <w:r>
        <w:rPr>
          <w:rFonts w:ascii="Times New Roman" w:cs="Times New Roman" w:eastAsia="Times New Roman" w:hAnsi="Times New Roman"/>
          <w:sz w:val="18"/>
          <w:szCs w:val="18"/>
          <w:color w:val="2A2A2D"/>
        </w:rPr>
        <w:t xml:space="preserve"> have been </w:t>
      </w:r>
      <w:r>
        <w:rPr>
          <w:rFonts w:ascii="Times New Roman" w:cs="Times New Roman" w:eastAsia="Times New Roman" w:hAnsi="Times New Roman"/>
          <w:sz w:val="18"/>
          <w:szCs w:val="18"/>
          <w:color w:val="3B3B3D"/>
        </w:rPr>
        <w:t>available</w:t>
      </w:r>
      <w:r>
        <w:rPr>
          <w:rFonts w:ascii="Times New Roman" w:cs="Times New Roman" w:eastAsia="Times New Roman" w:hAnsi="Times New Roman"/>
          <w:sz w:val="18"/>
          <w:szCs w:val="18"/>
          <w:color w:val="2A2A2D"/>
        </w:rPr>
        <w:t xml:space="preserve"> in court pursuant to the law </w:t>
      </w:r>
      <w:r>
        <w:rPr>
          <w:rFonts w:ascii="Times New Roman" w:cs="Times New Roman" w:eastAsia="Times New Roman" w:hAnsi="Times New Roman"/>
          <w:sz w:val="18"/>
          <w:szCs w:val="18"/>
          <w:color w:val="3B3B3D"/>
        </w:rPr>
        <w:t>governing your Covered Claim(s).</w:t>
      </w:r>
    </w:p>
    <w:p>
      <w:pPr>
        <w:spacing w:after="0" w:line="121" w:lineRule="exact"/>
        <w:rPr>
          <w:sz w:val="20"/>
          <w:szCs w:val="20"/>
          <w:color w:val="auto"/>
        </w:rPr>
      </w:pPr>
    </w:p>
    <w:p>
      <w:pPr>
        <w:jc w:val="both"/>
        <w:ind w:left="220" w:firstLine="8"/>
        <w:spacing w:after="0" w:line="258" w:lineRule="auto"/>
        <w:tabs>
          <w:tab w:leader="none" w:pos="931" w:val="left"/>
        </w:tabs>
        <w:numPr>
          <w:ilvl w:val="0"/>
          <w:numId w:val="244"/>
        </w:numPr>
        <w:rPr>
          <w:rFonts w:ascii="Times New Roman" w:cs="Times New Roman" w:eastAsia="Times New Roman" w:hAnsi="Times New Roman"/>
          <w:sz w:val="18"/>
          <w:szCs w:val="18"/>
          <w:color w:val="3B3B3D"/>
        </w:rPr>
      </w:pPr>
      <w:r>
        <w:rPr>
          <w:rFonts w:ascii="Times New Roman" w:cs="Times New Roman" w:eastAsia="Times New Roman" w:hAnsi="Times New Roman"/>
          <w:sz w:val="18"/>
          <w:szCs w:val="18"/>
          <w:u w:val="single" w:color="auto"/>
          <w:color w:val="3B3B3D"/>
        </w:rPr>
        <w:t>Waiver</w:t>
      </w:r>
      <w:r>
        <w:rPr>
          <w:rFonts w:ascii="Times New Roman" w:cs="Times New Roman" w:eastAsia="Times New Roman" w:hAnsi="Times New Roman"/>
          <w:sz w:val="18"/>
          <w:szCs w:val="18"/>
          <w:color w:val="3B3B3D"/>
        </w:rPr>
        <w:t xml:space="preserve"> </w:t>
      </w:r>
      <w:r>
        <w:rPr>
          <w:rFonts w:ascii="Times New Roman" w:cs="Times New Roman" w:eastAsia="Times New Roman" w:hAnsi="Times New Roman"/>
          <w:sz w:val="18"/>
          <w:szCs w:val="18"/>
          <w:u w:val="single" w:color="auto"/>
          <w:color w:val="2A2A2D"/>
        </w:rPr>
        <w:t>of Class and Collective Claims</w:t>
      </w:r>
      <w:r>
        <w:rPr>
          <w:rFonts w:ascii="Times New Roman" w:cs="Times New Roman" w:eastAsia="Times New Roman" w:hAnsi="Times New Roman"/>
          <w:sz w:val="18"/>
          <w:szCs w:val="18"/>
          <w:color w:val="2A2A2D"/>
        </w:rPr>
        <w:t>.</w:t>
      </w:r>
      <w:r>
        <w:rPr>
          <w:rFonts w:ascii="Times New Roman" w:cs="Times New Roman" w:eastAsia="Times New Roman" w:hAnsi="Times New Roman"/>
          <w:sz w:val="18"/>
          <w:szCs w:val="18"/>
          <w:color w:val="3B3B3D"/>
        </w:rPr>
        <w:t xml:space="preserve"> The Employer</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3B3B3D"/>
        </w:rPr>
        <w:t xml:space="preserve"> </w:t>
      </w:r>
      <w:r>
        <w:rPr>
          <w:rFonts w:ascii="Times New Roman" w:cs="Times New Roman" w:eastAsia="Times New Roman" w:hAnsi="Times New Roman"/>
          <w:sz w:val="18"/>
          <w:szCs w:val="18"/>
          <w:color w:val="2A2A2D"/>
        </w:rPr>
        <w:t>the Company</w:t>
      </w:r>
      <w:r>
        <w:rPr>
          <w:rFonts w:ascii="Times New Roman" w:cs="Times New Roman" w:eastAsia="Times New Roman" w:hAnsi="Times New Roman"/>
          <w:sz w:val="18"/>
          <w:szCs w:val="18"/>
          <w:color w:val="3B3B3D"/>
        </w:rPr>
        <w:t xml:space="preserve"> and you </w:t>
      </w:r>
      <w:r>
        <w:rPr>
          <w:rFonts w:ascii="Times New Roman" w:cs="Times New Roman" w:eastAsia="Times New Roman" w:hAnsi="Times New Roman"/>
          <w:sz w:val="18"/>
          <w:szCs w:val="18"/>
          <w:color w:val="2A2A2D"/>
        </w:rPr>
        <w:t>also agree that</w:t>
      </w:r>
      <w:r>
        <w:rPr>
          <w:rFonts w:ascii="Times New Roman" w:cs="Times New Roman" w:eastAsia="Times New Roman" w:hAnsi="Times New Roman"/>
          <w:sz w:val="18"/>
          <w:szCs w:val="18"/>
          <w:color w:val="3B3B3D"/>
        </w:rPr>
        <w:t xml:space="preserve"> Covered Claims </w:t>
      </w:r>
      <w:r>
        <w:rPr>
          <w:rFonts w:ascii="Times New Roman" w:cs="Times New Roman" w:eastAsia="Times New Roman" w:hAnsi="Times New Roman"/>
          <w:sz w:val="18"/>
          <w:szCs w:val="18"/>
          <w:color w:val="2A2A2D"/>
        </w:rPr>
        <w:t>will be</w:t>
      </w:r>
      <w:r>
        <w:rPr>
          <w:rFonts w:ascii="Times New Roman" w:cs="Times New Roman" w:eastAsia="Times New Roman" w:hAnsi="Times New Roman"/>
          <w:sz w:val="18"/>
          <w:szCs w:val="18"/>
          <w:color w:val="3B3B3D"/>
        </w:rPr>
        <w:t xml:space="preserve"> arbitrated </w:t>
      </w:r>
      <w:r>
        <w:rPr>
          <w:rFonts w:ascii="Times New Roman" w:cs="Times New Roman" w:eastAsia="Times New Roman" w:hAnsi="Times New Roman"/>
          <w:sz w:val="18"/>
          <w:szCs w:val="18"/>
          <w:color w:val="2A2A2D"/>
        </w:rPr>
        <w:t>only on</w:t>
      </w:r>
      <w:r>
        <w:rPr>
          <w:rFonts w:ascii="Times New Roman" w:cs="Times New Roman" w:eastAsia="Times New Roman" w:hAnsi="Times New Roman"/>
          <w:sz w:val="18"/>
          <w:szCs w:val="18"/>
          <w:color w:val="3B3B3D"/>
        </w:rPr>
        <w:t xml:space="preserve"> an </w:t>
      </w:r>
      <w:r>
        <w:rPr>
          <w:rFonts w:ascii="Times New Roman" w:cs="Times New Roman" w:eastAsia="Times New Roman" w:hAnsi="Times New Roman"/>
          <w:sz w:val="18"/>
          <w:szCs w:val="18"/>
          <w:color w:val="2A2A2D"/>
        </w:rPr>
        <w:t>individual basis</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3B3B3D"/>
        </w:rPr>
        <w:t xml:space="preserve"> and </w:t>
      </w:r>
      <w:r>
        <w:rPr>
          <w:rFonts w:ascii="Times New Roman" w:cs="Times New Roman" w:eastAsia="Times New Roman" w:hAnsi="Times New Roman"/>
          <w:sz w:val="18"/>
          <w:szCs w:val="18"/>
          <w:color w:val="2A2A2D"/>
        </w:rPr>
        <w:t>that the</w:t>
      </w:r>
      <w:r>
        <w:rPr>
          <w:rFonts w:ascii="Times New Roman" w:cs="Times New Roman" w:eastAsia="Times New Roman" w:hAnsi="Times New Roman"/>
          <w:sz w:val="18"/>
          <w:szCs w:val="18"/>
          <w:color w:val="3B3B3D"/>
        </w:rPr>
        <w:t xml:space="preserve"> Employer</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3B3B3D"/>
        </w:rPr>
        <w:t xml:space="preserve"> </w:t>
      </w:r>
      <w:r>
        <w:rPr>
          <w:rFonts w:ascii="Times New Roman" w:cs="Times New Roman" w:eastAsia="Times New Roman" w:hAnsi="Times New Roman"/>
          <w:sz w:val="18"/>
          <w:szCs w:val="18"/>
          <w:color w:val="2A2A2D"/>
        </w:rPr>
        <w:t>the Company and</w:t>
      </w:r>
      <w:r>
        <w:rPr>
          <w:rFonts w:ascii="Times New Roman" w:cs="Times New Roman" w:eastAsia="Times New Roman" w:hAnsi="Times New Roman"/>
          <w:sz w:val="18"/>
          <w:szCs w:val="18"/>
          <w:color w:val="3B3B3D"/>
        </w:rPr>
        <w:t xml:space="preserve"> you waive </w:t>
      </w:r>
      <w:r>
        <w:rPr>
          <w:rFonts w:ascii="Times New Roman" w:cs="Times New Roman" w:eastAsia="Times New Roman" w:hAnsi="Times New Roman"/>
          <w:sz w:val="18"/>
          <w:szCs w:val="18"/>
          <w:color w:val="2A2A2D"/>
        </w:rPr>
        <w:t>the right to bring</w:t>
      </w:r>
      <w:r>
        <w:rPr>
          <w:rFonts w:ascii="Times New Roman" w:cs="Times New Roman" w:eastAsia="Times New Roman" w:hAnsi="Times New Roman"/>
          <w:sz w:val="18"/>
          <w:szCs w:val="18"/>
          <w:color w:val="676767"/>
        </w:rPr>
        <w:t>,</w:t>
      </w:r>
      <w:r>
        <w:rPr>
          <w:rFonts w:ascii="Times New Roman" w:cs="Times New Roman" w:eastAsia="Times New Roman" w:hAnsi="Times New Roman"/>
          <w:sz w:val="18"/>
          <w:szCs w:val="18"/>
          <w:color w:val="3B3B3D"/>
        </w:rPr>
        <w:t xml:space="preserve"> </w:t>
      </w:r>
      <w:r>
        <w:rPr>
          <w:rFonts w:ascii="Times New Roman" w:cs="Times New Roman" w:eastAsia="Times New Roman" w:hAnsi="Times New Roman"/>
          <w:sz w:val="18"/>
          <w:szCs w:val="18"/>
          <w:color w:val="2A2A2D"/>
        </w:rPr>
        <w:t>participate in</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3B3B3D"/>
        </w:rPr>
        <w:t xml:space="preserve"> </w:t>
      </w:r>
      <w:r>
        <w:rPr>
          <w:rFonts w:ascii="Times New Roman" w:cs="Times New Roman" w:eastAsia="Times New Roman" w:hAnsi="Times New Roman"/>
          <w:sz w:val="18"/>
          <w:szCs w:val="18"/>
          <w:color w:val="2A2A2D"/>
        </w:rPr>
        <w:t>join</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3B3B3D"/>
        </w:rPr>
        <w:t xml:space="preserve"> </w:t>
      </w:r>
      <w:r>
        <w:rPr>
          <w:rFonts w:ascii="Times New Roman" w:cs="Times New Roman" w:eastAsia="Times New Roman" w:hAnsi="Times New Roman"/>
          <w:sz w:val="18"/>
          <w:szCs w:val="18"/>
          <w:color w:val="2A2A2D"/>
        </w:rPr>
        <w:t>or receive money or</w:t>
      </w:r>
      <w:r>
        <w:rPr>
          <w:rFonts w:ascii="Times New Roman" w:cs="Times New Roman" w:eastAsia="Times New Roman" w:hAnsi="Times New Roman"/>
          <w:sz w:val="18"/>
          <w:szCs w:val="18"/>
          <w:color w:val="3B3B3D"/>
        </w:rPr>
        <w:t xml:space="preserve"> any </w:t>
      </w:r>
      <w:r>
        <w:rPr>
          <w:rFonts w:ascii="Times New Roman" w:cs="Times New Roman" w:eastAsia="Times New Roman" w:hAnsi="Times New Roman"/>
          <w:sz w:val="18"/>
          <w:szCs w:val="18"/>
          <w:color w:val="2A2A2D"/>
        </w:rPr>
        <w:t>other relief</w:t>
      </w:r>
      <w:r>
        <w:rPr>
          <w:rFonts w:ascii="Times New Roman" w:cs="Times New Roman" w:eastAsia="Times New Roman" w:hAnsi="Times New Roman"/>
          <w:sz w:val="18"/>
          <w:szCs w:val="18"/>
          <w:color w:val="3B3B3D"/>
        </w:rPr>
        <w:t xml:space="preserve"> from </w:t>
      </w:r>
      <w:r>
        <w:rPr>
          <w:rFonts w:ascii="Times New Roman" w:cs="Times New Roman" w:eastAsia="Times New Roman" w:hAnsi="Times New Roman"/>
          <w:sz w:val="18"/>
          <w:szCs w:val="18"/>
          <w:color w:val="2A2A2D"/>
        </w:rPr>
        <w:t>any class,</w:t>
      </w:r>
      <w:r>
        <w:rPr>
          <w:rFonts w:ascii="Times New Roman" w:cs="Times New Roman" w:eastAsia="Times New Roman" w:hAnsi="Times New Roman"/>
          <w:sz w:val="18"/>
          <w:szCs w:val="18"/>
          <w:color w:val="3B3B3D"/>
        </w:rPr>
        <w:t xml:space="preserve"> collective, </w:t>
      </w:r>
      <w:r>
        <w:rPr>
          <w:rFonts w:ascii="Times New Roman" w:cs="Times New Roman" w:eastAsia="Times New Roman" w:hAnsi="Times New Roman"/>
          <w:sz w:val="18"/>
          <w:szCs w:val="18"/>
          <w:color w:val="2A2A2D"/>
        </w:rPr>
        <w:t>or representative</w:t>
      </w:r>
      <w:r>
        <w:rPr>
          <w:rFonts w:ascii="Times New Roman" w:cs="Times New Roman" w:eastAsia="Times New Roman" w:hAnsi="Times New Roman"/>
          <w:sz w:val="18"/>
          <w:szCs w:val="18"/>
          <w:color w:val="3B3B3D"/>
        </w:rPr>
        <w:t xml:space="preserve"> proceeding. You </w:t>
      </w:r>
      <w:r>
        <w:rPr>
          <w:rFonts w:ascii="Times New Roman" w:cs="Times New Roman" w:eastAsia="Times New Roman" w:hAnsi="Times New Roman"/>
          <w:sz w:val="18"/>
          <w:szCs w:val="18"/>
          <w:color w:val="2A2A2D"/>
        </w:rPr>
        <w:t>may not bring</w:t>
      </w:r>
      <w:r>
        <w:rPr>
          <w:rFonts w:ascii="Times New Roman" w:cs="Times New Roman" w:eastAsia="Times New Roman" w:hAnsi="Times New Roman"/>
          <w:sz w:val="18"/>
          <w:szCs w:val="18"/>
          <w:color w:val="3B3B3D"/>
        </w:rPr>
        <w:t xml:space="preserve"> a </w:t>
      </w:r>
      <w:r>
        <w:rPr>
          <w:rFonts w:ascii="Times New Roman" w:cs="Times New Roman" w:eastAsia="Times New Roman" w:hAnsi="Times New Roman"/>
          <w:sz w:val="18"/>
          <w:szCs w:val="18"/>
          <w:color w:val="2A2A2D"/>
        </w:rPr>
        <w:t>claim on behalf of other individuals</w:t>
      </w:r>
      <w:r>
        <w:rPr>
          <w:rFonts w:ascii="Times New Roman" w:cs="Times New Roman" w:eastAsia="Times New Roman" w:hAnsi="Times New Roman"/>
          <w:sz w:val="18"/>
          <w:szCs w:val="18"/>
          <w:color w:val="676767"/>
        </w:rPr>
        <w:t>,</w:t>
      </w:r>
      <w:r>
        <w:rPr>
          <w:rFonts w:ascii="Times New Roman" w:cs="Times New Roman" w:eastAsia="Times New Roman" w:hAnsi="Times New Roman"/>
          <w:sz w:val="18"/>
          <w:szCs w:val="18"/>
          <w:color w:val="3B3B3D"/>
        </w:rPr>
        <w:t xml:space="preserve"> </w:t>
      </w:r>
      <w:r>
        <w:rPr>
          <w:rFonts w:ascii="Times New Roman" w:cs="Times New Roman" w:eastAsia="Times New Roman" w:hAnsi="Times New Roman"/>
          <w:sz w:val="18"/>
          <w:szCs w:val="18"/>
          <w:color w:val="2A2A2D"/>
        </w:rPr>
        <w:t>and</w:t>
      </w:r>
      <w:r>
        <w:rPr>
          <w:rFonts w:ascii="Times New Roman" w:cs="Times New Roman" w:eastAsia="Times New Roman" w:hAnsi="Times New Roman"/>
          <w:sz w:val="18"/>
          <w:szCs w:val="18"/>
          <w:color w:val="3B3B3D"/>
        </w:rPr>
        <w:t xml:space="preserve"> any arbitrator </w:t>
      </w:r>
      <w:r>
        <w:rPr>
          <w:rFonts w:ascii="Times New Roman" w:cs="Times New Roman" w:eastAsia="Times New Roman" w:hAnsi="Times New Roman"/>
          <w:sz w:val="18"/>
          <w:szCs w:val="18"/>
          <w:color w:val="2A2A2D"/>
        </w:rPr>
        <w:t>hearing</w:t>
      </w:r>
      <w:r>
        <w:rPr>
          <w:rFonts w:ascii="Times New Roman" w:cs="Times New Roman" w:eastAsia="Times New Roman" w:hAnsi="Times New Roman"/>
          <w:sz w:val="18"/>
          <w:szCs w:val="18"/>
          <w:color w:val="3B3B3D"/>
        </w:rPr>
        <w:t xml:space="preserve"> your </w:t>
      </w:r>
      <w:r>
        <w:rPr>
          <w:rFonts w:ascii="Times New Roman" w:cs="Times New Roman" w:eastAsia="Times New Roman" w:hAnsi="Times New Roman"/>
          <w:sz w:val="18"/>
          <w:szCs w:val="18"/>
          <w:color w:val="2A2A2D"/>
        </w:rPr>
        <w:t xml:space="preserve">claim may not: </w:t>
      </w:r>
      <w:r>
        <w:rPr>
          <w:rFonts w:ascii="Times New Roman" w:cs="Times New Roman" w:eastAsia="Times New Roman" w:hAnsi="Times New Roman"/>
          <w:sz w:val="18"/>
          <w:szCs w:val="18"/>
          <w:color w:val="3B3B3D"/>
        </w:rPr>
        <w:t>(i) without</w:t>
      </w:r>
      <w:r>
        <w:rPr>
          <w:rFonts w:ascii="Times New Roman" w:cs="Times New Roman" w:eastAsia="Times New Roman" w:hAnsi="Times New Roman"/>
          <w:sz w:val="18"/>
          <w:szCs w:val="18"/>
          <w:color w:val="2A2A2D"/>
        </w:rPr>
        <w:t xml:space="preserve"> the </w:t>
      </w:r>
      <w:r>
        <w:rPr>
          <w:rFonts w:ascii="Times New Roman" w:cs="Times New Roman" w:eastAsia="Times New Roman" w:hAnsi="Times New Roman"/>
          <w:sz w:val="18"/>
          <w:szCs w:val="18"/>
          <w:color w:val="3B3B3D"/>
        </w:rPr>
        <w:t>consent</w:t>
      </w:r>
      <w:r>
        <w:rPr>
          <w:rFonts w:ascii="Times New Roman" w:cs="Times New Roman" w:eastAsia="Times New Roman" w:hAnsi="Times New Roman"/>
          <w:sz w:val="18"/>
          <w:szCs w:val="18"/>
          <w:color w:val="2A2A2D"/>
        </w:rPr>
        <w:t xml:space="preserve"> of </w:t>
      </w:r>
      <w:r>
        <w:rPr>
          <w:rFonts w:ascii="Times New Roman" w:cs="Times New Roman" w:eastAsia="Times New Roman" w:hAnsi="Times New Roman"/>
          <w:sz w:val="18"/>
          <w:szCs w:val="18"/>
          <w:color w:val="3B3B3D"/>
        </w:rPr>
        <w:t>all</w:t>
      </w:r>
      <w:r>
        <w:rPr>
          <w:rFonts w:ascii="Times New Roman" w:cs="Times New Roman" w:eastAsia="Times New Roman" w:hAnsi="Times New Roman"/>
          <w:sz w:val="18"/>
          <w:szCs w:val="18"/>
          <w:color w:val="2A2A2D"/>
        </w:rPr>
        <w:t xml:space="preserve"> parties, </w:t>
      </w:r>
      <w:r>
        <w:rPr>
          <w:rFonts w:ascii="Times New Roman" w:cs="Times New Roman" w:eastAsia="Times New Roman" w:hAnsi="Times New Roman"/>
          <w:sz w:val="18"/>
          <w:szCs w:val="18"/>
          <w:color w:val="3B3B3D"/>
        </w:rPr>
        <w:t>combine</w:t>
      </w:r>
      <w:r>
        <w:rPr>
          <w:rFonts w:ascii="Times New Roman" w:cs="Times New Roman" w:eastAsia="Times New Roman" w:hAnsi="Times New Roman"/>
          <w:sz w:val="18"/>
          <w:szCs w:val="18"/>
          <w:color w:val="2A2A2D"/>
        </w:rPr>
        <w:t xml:space="preserve"> more than one </w:t>
      </w:r>
      <w:r>
        <w:rPr>
          <w:rFonts w:ascii="Times New Roman" w:cs="Times New Roman" w:eastAsia="Times New Roman" w:hAnsi="Times New Roman"/>
          <w:sz w:val="18"/>
          <w:szCs w:val="18"/>
          <w:color w:val="3B3B3D"/>
        </w:rPr>
        <w:t>individual</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3B3B3D"/>
        </w:rPr>
        <w:t>s</w:t>
      </w:r>
      <w:r>
        <w:rPr>
          <w:rFonts w:ascii="Times New Roman" w:cs="Times New Roman" w:eastAsia="Times New Roman" w:hAnsi="Times New Roman"/>
          <w:sz w:val="18"/>
          <w:szCs w:val="18"/>
          <w:color w:val="2A2A2D"/>
        </w:rPr>
        <w:t xml:space="preserve"> claim </w:t>
      </w:r>
      <w:r>
        <w:rPr>
          <w:rFonts w:ascii="Times New Roman" w:cs="Times New Roman" w:eastAsia="Times New Roman" w:hAnsi="Times New Roman"/>
          <w:sz w:val="18"/>
          <w:szCs w:val="18"/>
          <w:color w:val="3B3B3D"/>
        </w:rPr>
        <w:t>or claims</w:t>
      </w:r>
      <w:r>
        <w:rPr>
          <w:rFonts w:ascii="Times New Roman" w:cs="Times New Roman" w:eastAsia="Times New Roman" w:hAnsi="Times New Roman"/>
          <w:sz w:val="18"/>
          <w:szCs w:val="18"/>
          <w:color w:val="2A2A2D"/>
        </w:rPr>
        <w:t xml:space="preserve"> into </w:t>
      </w:r>
      <w:r>
        <w:rPr>
          <w:rFonts w:ascii="Times New Roman" w:cs="Times New Roman" w:eastAsia="Times New Roman" w:hAnsi="Times New Roman"/>
          <w:sz w:val="18"/>
          <w:szCs w:val="18"/>
          <w:color w:val="3B3B3D"/>
        </w:rPr>
        <w:t>a single case</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2A2A2D"/>
        </w:rPr>
        <w:t xml:space="preserve"> </w:t>
      </w:r>
      <w:r>
        <w:rPr>
          <w:rFonts w:ascii="Times New Roman" w:cs="Times New Roman" w:eastAsia="Times New Roman" w:hAnsi="Times New Roman"/>
          <w:sz w:val="18"/>
          <w:szCs w:val="18"/>
          <w:color w:val="3B3B3D"/>
        </w:rPr>
        <w:t>(ii)</w:t>
      </w:r>
      <w:r>
        <w:rPr>
          <w:rFonts w:ascii="Times New Roman" w:cs="Times New Roman" w:eastAsia="Times New Roman" w:hAnsi="Times New Roman"/>
          <w:sz w:val="18"/>
          <w:szCs w:val="18"/>
          <w:color w:val="2A2A2D"/>
        </w:rPr>
        <w:t xml:space="preserve"> participate in </w:t>
      </w:r>
      <w:r>
        <w:rPr>
          <w:rFonts w:ascii="Times New Roman" w:cs="Times New Roman" w:eastAsia="Times New Roman" w:hAnsi="Times New Roman"/>
          <w:sz w:val="18"/>
          <w:szCs w:val="18"/>
          <w:color w:val="3B3B3D"/>
        </w:rPr>
        <w:t>or</w:t>
      </w:r>
      <w:r>
        <w:rPr>
          <w:rFonts w:ascii="Times New Roman" w:cs="Times New Roman" w:eastAsia="Times New Roman" w:hAnsi="Times New Roman"/>
          <w:sz w:val="18"/>
          <w:szCs w:val="18"/>
          <w:color w:val="2A2A2D"/>
        </w:rPr>
        <w:t xml:space="preserve"> </w:t>
      </w:r>
      <w:r>
        <w:rPr>
          <w:rFonts w:ascii="Times New Roman" w:cs="Times New Roman" w:eastAsia="Times New Roman" w:hAnsi="Times New Roman"/>
          <w:sz w:val="18"/>
          <w:szCs w:val="18"/>
          <w:color w:val="3B3B3D"/>
        </w:rPr>
        <w:t xml:space="preserve">facilitate </w:t>
      </w:r>
      <w:r>
        <w:rPr>
          <w:rFonts w:ascii="Times New Roman" w:cs="Times New Roman" w:eastAsia="Times New Roman" w:hAnsi="Times New Roman"/>
          <w:sz w:val="18"/>
          <w:szCs w:val="18"/>
          <w:color w:val="2A2A2D"/>
        </w:rPr>
        <w:t>notification</w:t>
      </w:r>
      <w:r>
        <w:rPr>
          <w:rFonts w:ascii="Times New Roman" w:cs="Times New Roman" w:eastAsia="Times New Roman" w:hAnsi="Times New Roman"/>
          <w:sz w:val="18"/>
          <w:szCs w:val="18"/>
          <w:color w:val="3B3B3D"/>
        </w:rPr>
        <w:t xml:space="preserve"> of others of </w:t>
      </w:r>
      <w:r>
        <w:rPr>
          <w:rFonts w:ascii="Times New Roman" w:cs="Times New Roman" w:eastAsia="Times New Roman" w:hAnsi="Times New Roman"/>
          <w:sz w:val="18"/>
          <w:szCs w:val="18"/>
          <w:color w:val="2A2A2D"/>
        </w:rPr>
        <w:t>potential</w:t>
      </w:r>
      <w:r>
        <w:rPr>
          <w:rFonts w:ascii="Times New Roman" w:cs="Times New Roman" w:eastAsia="Times New Roman" w:hAnsi="Times New Roman"/>
          <w:sz w:val="18"/>
          <w:szCs w:val="18"/>
          <w:color w:val="3B3B3D"/>
        </w:rPr>
        <w:t xml:space="preserve"> claims</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3B3B3D"/>
        </w:rPr>
        <w:t xml:space="preserve"> or (iii) arbitrate any </w:t>
      </w:r>
      <w:r>
        <w:rPr>
          <w:rFonts w:ascii="Times New Roman" w:cs="Times New Roman" w:eastAsia="Times New Roman" w:hAnsi="Times New Roman"/>
          <w:sz w:val="18"/>
          <w:szCs w:val="18"/>
          <w:color w:val="2A2A2D"/>
        </w:rPr>
        <w:t>form</w:t>
      </w:r>
      <w:r>
        <w:rPr>
          <w:rFonts w:ascii="Times New Roman" w:cs="Times New Roman" w:eastAsia="Times New Roman" w:hAnsi="Times New Roman"/>
          <w:sz w:val="18"/>
          <w:szCs w:val="18"/>
          <w:color w:val="3B3B3D"/>
        </w:rPr>
        <w:t xml:space="preserve"> of a class</w:t>
      </w:r>
      <w:r>
        <w:rPr>
          <w:rFonts w:ascii="Times New Roman" w:cs="Times New Roman" w:eastAsia="Times New Roman" w:hAnsi="Times New Roman"/>
          <w:sz w:val="18"/>
          <w:szCs w:val="18"/>
          <w:color w:val="676767"/>
        </w:rPr>
        <w:t>,</w:t>
      </w:r>
      <w:r>
        <w:rPr>
          <w:rFonts w:ascii="Times New Roman" w:cs="Times New Roman" w:eastAsia="Times New Roman" w:hAnsi="Times New Roman"/>
          <w:sz w:val="18"/>
          <w:szCs w:val="18"/>
          <w:color w:val="3B3B3D"/>
        </w:rPr>
        <w:t xml:space="preserve"> collective</w:t>
      </w:r>
      <w:r>
        <w:rPr>
          <w:rFonts w:ascii="Times New Roman" w:cs="Times New Roman" w:eastAsia="Times New Roman" w:hAnsi="Times New Roman"/>
          <w:sz w:val="18"/>
          <w:szCs w:val="18"/>
          <w:color w:val="676767"/>
        </w:rPr>
        <w:t>,</w:t>
      </w:r>
      <w:r>
        <w:rPr>
          <w:rFonts w:ascii="Times New Roman" w:cs="Times New Roman" w:eastAsia="Times New Roman" w:hAnsi="Times New Roman"/>
          <w:sz w:val="18"/>
          <w:szCs w:val="18"/>
          <w:color w:val="3B3B3D"/>
        </w:rPr>
        <w:t xml:space="preserve"> or </w:t>
      </w:r>
      <w:r>
        <w:rPr>
          <w:rFonts w:ascii="Times New Roman" w:cs="Times New Roman" w:eastAsia="Times New Roman" w:hAnsi="Times New Roman"/>
          <w:sz w:val="18"/>
          <w:szCs w:val="18"/>
          <w:color w:val="2A2A2D"/>
        </w:rPr>
        <w:t>representative proceeding.</w:t>
      </w:r>
    </w:p>
    <w:p>
      <w:pPr>
        <w:spacing w:after="0" w:line="142" w:lineRule="exact"/>
        <w:rPr>
          <w:rFonts w:ascii="Times New Roman" w:cs="Times New Roman" w:eastAsia="Times New Roman" w:hAnsi="Times New Roman"/>
          <w:sz w:val="18"/>
          <w:szCs w:val="18"/>
          <w:color w:val="3B3B3D"/>
        </w:rPr>
      </w:pPr>
    </w:p>
    <w:p>
      <w:pPr>
        <w:jc w:val="both"/>
        <w:ind w:left="220" w:right="20" w:firstLine="8"/>
        <w:spacing w:after="0" w:line="254" w:lineRule="auto"/>
        <w:tabs>
          <w:tab w:leader="none" w:pos="931" w:val="left"/>
        </w:tabs>
        <w:numPr>
          <w:ilvl w:val="0"/>
          <w:numId w:val="244"/>
        </w:numPr>
        <w:rPr>
          <w:rFonts w:ascii="Times New Roman" w:cs="Times New Roman" w:eastAsia="Times New Roman" w:hAnsi="Times New Roman"/>
          <w:sz w:val="18"/>
          <w:szCs w:val="18"/>
          <w:color w:val="3B3B3D"/>
        </w:rPr>
      </w:pPr>
      <w:r>
        <w:rPr>
          <w:rFonts w:ascii="Times New Roman" w:cs="Times New Roman" w:eastAsia="Times New Roman" w:hAnsi="Times New Roman"/>
          <w:sz w:val="18"/>
          <w:szCs w:val="18"/>
          <w:u w:val="single" w:color="auto"/>
          <w:color w:val="3B3B3D"/>
        </w:rPr>
        <w:t>Excluded Claims</w:t>
      </w:r>
      <w:r>
        <w:rPr>
          <w:rFonts w:ascii="Times New Roman" w:cs="Times New Roman" w:eastAsia="Times New Roman" w:hAnsi="Times New Roman"/>
          <w:sz w:val="18"/>
          <w:szCs w:val="18"/>
          <w:color w:val="3B3B3D"/>
        </w:rPr>
        <w:t xml:space="preserve">. Covered </w:t>
      </w:r>
      <w:r>
        <w:rPr>
          <w:rFonts w:ascii="Times New Roman" w:cs="Times New Roman" w:eastAsia="Times New Roman" w:hAnsi="Times New Roman"/>
          <w:sz w:val="18"/>
          <w:szCs w:val="18"/>
          <w:color w:val="2A2A2D"/>
        </w:rPr>
        <w:t>Claims under this</w:t>
      </w:r>
      <w:r>
        <w:rPr>
          <w:rFonts w:ascii="Times New Roman" w:cs="Times New Roman" w:eastAsia="Times New Roman" w:hAnsi="Times New Roman"/>
          <w:sz w:val="18"/>
          <w:szCs w:val="18"/>
          <w:color w:val="3B3B3D"/>
        </w:rPr>
        <w:t xml:space="preserve"> Agreement </w:t>
      </w:r>
      <w:r>
        <w:rPr>
          <w:rFonts w:ascii="Times New Roman" w:cs="Times New Roman" w:eastAsia="Times New Roman" w:hAnsi="Times New Roman"/>
          <w:sz w:val="18"/>
          <w:szCs w:val="18"/>
          <w:color w:val="2A2A2D"/>
        </w:rPr>
        <w:t>do not include</w:t>
      </w:r>
      <w:r>
        <w:rPr>
          <w:rFonts w:ascii="Times New Roman" w:cs="Times New Roman" w:eastAsia="Times New Roman" w:hAnsi="Times New Roman"/>
          <w:sz w:val="18"/>
          <w:szCs w:val="18"/>
          <w:color w:val="3B3B3D"/>
        </w:rPr>
        <w:t xml:space="preserve"> any </w:t>
      </w:r>
      <w:r>
        <w:rPr>
          <w:rFonts w:ascii="Times New Roman" w:cs="Times New Roman" w:eastAsia="Times New Roman" w:hAnsi="Times New Roman"/>
          <w:sz w:val="18"/>
          <w:szCs w:val="18"/>
          <w:color w:val="2A2A2D"/>
        </w:rPr>
        <w:t>claims</w:t>
      </w:r>
      <w:r>
        <w:rPr>
          <w:rFonts w:ascii="Times New Roman" w:cs="Times New Roman" w:eastAsia="Times New Roman" w:hAnsi="Times New Roman"/>
          <w:sz w:val="18"/>
          <w:szCs w:val="18"/>
          <w:color w:val="3B3B3D"/>
        </w:rPr>
        <w:t xml:space="preserve"> for </w:t>
      </w:r>
      <w:r>
        <w:rPr>
          <w:rFonts w:ascii="Times New Roman" w:cs="Times New Roman" w:eastAsia="Times New Roman" w:hAnsi="Times New Roman"/>
          <w:sz w:val="18"/>
          <w:szCs w:val="18"/>
          <w:color w:val="2A2A2D"/>
        </w:rPr>
        <w:t>injunctive relief</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3B3B3D"/>
        </w:rPr>
        <w:t xml:space="preserve"> </w:t>
      </w:r>
      <w:r>
        <w:rPr>
          <w:rFonts w:ascii="Times New Roman" w:cs="Times New Roman" w:eastAsia="Times New Roman" w:hAnsi="Times New Roman"/>
          <w:sz w:val="18"/>
          <w:szCs w:val="18"/>
          <w:color w:val="2A2A2D"/>
        </w:rPr>
        <w:t>temporary</w:t>
      </w:r>
      <w:r>
        <w:rPr>
          <w:rFonts w:ascii="Times New Roman" w:cs="Times New Roman" w:eastAsia="Times New Roman" w:hAnsi="Times New Roman"/>
          <w:sz w:val="18"/>
          <w:szCs w:val="18"/>
          <w:color w:val="3B3B3D"/>
        </w:rPr>
        <w:t xml:space="preserve"> or </w:t>
      </w:r>
      <w:r>
        <w:rPr>
          <w:rFonts w:ascii="Times New Roman" w:cs="Times New Roman" w:eastAsia="Times New Roman" w:hAnsi="Times New Roman"/>
          <w:sz w:val="18"/>
          <w:szCs w:val="18"/>
          <w:color w:val="2A2A2D"/>
        </w:rPr>
        <w:t>permanent</w:t>
      </w:r>
      <w:r>
        <w:rPr>
          <w:rFonts w:ascii="Times New Roman" w:cs="Times New Roman" w:eastAsia="Times New Roman" w:hAnsi="Times New Roman"/>
          <w:sz w:val="18"/>
          <w:szCs w:val="18"/>
          <w:color w:val="3B3B3D"/>
        </w:rPr>
        <w:t xml:space="preserve"> </w:t>
      </w:r>
      <w:r>
        <w:rPr>
          <w:rFonts w:ascii="Times New Roman" w:cs="Times New Roman" w:eastAsia="Times New Roman" w:hAnsi="Times New Roman"/>
          <w:sz w:val="18"/>
          <w:szCs w:val="18"/>
          <w:color w:val="2A2A2D"/>
        </w:rPr>
        <w:t xml:space="preserve">restraining orders. If </w:t>
      </w:r>
      <w:r>
        <w:rPr>
          <w:rFonts w:ascii="Times New Roman" w:cs="Times New Roman" w:eastAsia="Times New Roman" w:hAnsi="Times New Roman"/>
          <w:sz w:val="18"/>
          <w:szCs w:val="18"/>
          <w:color w:val="3B3B3D"/>
        </w:rPr>
        <w:t>you are employed</w:t>
      </w:r>
      <w:r>
        <w:rPr>
          <w:rFonts w:ascii="Times New Roman" w:cs="Times New Roman" w:eastAsia="Times New Roman" w:hAnsi="Times New Roman"/>
          <w:sz w:val="18"/>
          <w:szCs w:val="18"/>
          <w:color w:val="2A2A2D"/>
        </w:rPr>
        <w:t xml:space="preserve"> in the State </w:t>
      </w:r>
      <w:r>
        <w:rPr>
          <w:rFonts w:ascii="Times New Roman" w:cs="Times New Roman" w:eastAsia="Times New Roman" w:hAnsi="Times New Roman"/>
          <w:sz w:val="18"/>
          <w:szCs w:val="18"/>
          <w:color w:val="3B3B3D"/>
        </w:rPr>
        <w:t>of California</w:t>
      </w:r>
      <w:r>
        <w:rPr>
          <w:rFonts w:ascii="Times New Roman" w:cs="Times New Roman" w:eastAsia="Times New Roman" w:hAnsi="Times New Roman"/>
          <w:sz w:val="18"/>
          <w:szCs w:val="18"/>
          <w:color w:val="676767"/>
        </w:rPr>
        <w:t>,</w:t>
      </w:r>
      <w:r>
        <w:rPr>
          <w:rFonts w:ascii="Times New Roman" w:cs="Times New Roman" w:eastAsia="Times New Roman" w:hAnsi="Times New Roman"/>
          <w:sz w:val="18"/>
          <w:szCs w:val="18"/>
          <w:color w:val="2A2A2D"/>
        </w:rPr>
        <w:t xml:space="preserve"> claims under the California Private </w:t>
      </w:r>
      <w:r>
        <w:rPr>
          <w:rFonts w:ascii="Times New Roman" w:cs="Times New Roman" w:eastAsia="Times New Roman" w:hAnsi="Times New Roman"/>
          <w:sz w:val="18"/>
          <w:szCs w:val="18"/>
          <w:color w:val="3B3B3D"/>
        </w:rPr>
        <w:t>Attorney</w:t>
      </w:r>
      <w:r>
        <w:rPr>
          <w:rFonts w:ascii="Times New Roman" w:cs="Times New Roman" w:eastAsia="Times New Roman" w:hAnsi="Times New Roman"/>
          <w:sz w:val="18"/>
          <w:szCs w:val="18"/>
          <w:color w:val="2A2A2D"/>
        </w:rPr>
        <w:t xml:space="preserve"> General </w:t>
      </w:r>
      <w:r>
        <w:rPr>
          <w:rFonts w:ascii="Times New Roman" w:cs="Times New Roman" w:eastAsia="Times New Roman" w:hAnsi="Times New Roman"/>
          <w:sz w:val="18"/>
          <w:szCs w:val="18"/>
          <w:color w:val="3B3B3D"/>
        </w:rPr>
        <w:t>Act of2004 (</w:t>
      </w:r>
      <w:r>
        <w:rPr>
          <w:rFonts w:ascii="Times New Roman" w:cs="Times New Roman" w:eastAsia="Times New Roman" w:hAnsi="Times New Roman"/>
          <w:sz w:val="18"/>
          <w:szCs w:val="18"/>
          <w:color w:val="676767"/>
        </w:rPr>
        <w:t>"</w:t>
      </w:r>
      <w:r>
        <w:rPr>
          <w:rFonts w:ascii="Times New Roman" w:cs="Times New Roman" w:eastAsia="Times New Roman" w:hAnsi="Times New Roman"/>
          <w:sz w:val="18"/>
          <w:szCs w:val="18"/>
          <w:color w:val="2A2A2D"/>
        </w:rPr>
        <w:t xml:space="preserve">PAGA") </w:t>
      </w:r>
      <w:r>
        <w:rPr>
          <w:rFonts w:ascii="Times New Roman" w:cs="Times New Roman" w:eastAsia="Times New Roman" w:hAnsi="Times New Roman"/>
          <w:sz w:val="18"/>
          <w:szCs w:val="18"/>
          <w:color w:val="3B3B3D"/>
        </w:rPr>
        <w:t>are</w:t>
      </w:r>
      <w:r>
        <w:rPr>
          <w:rFonts w:ascii="Times New Roman" w:cs="Times New Roman" w:eastAsia="Times New Roman" w:hAnsi="Times New Roman"/>
          <w:sz w:val="18"/>
          <w:szCs w:val="18"/>
          <w:color w:val="2A2A2D"/>
        </w:rPr>
        <w:t xml:space="preserve"> </w:t>
      </w:r>
      <w:r>
        <w:rPr>
          <w:rFonts w:ascii="Times New Roman" w:cs="Times New Roman" w:eastAsia="Times New Roman" w:hAnsi="Times New Roman"/>
          <w:sz w:val="18"/>
          <w:szCs w:val="18"/>
          <w:color w:val="3B3B3D"/>
        </w:rPr>
        <w:t xml:space="preserve">excluded </w:t>
      </w:r>
      <w:r>
        <w:rPr>
          <w:rFonts w:ascii="Times New Roman" w:cs="Times New Roman" w:eastAsia="Times New Roman" w:hAnsi="Times New Roman"/>
          <w:sz w:val="18"/>
          <w:szCs w:val="18"/>
          <w:color w:val="2A2A2D"/>
        </w:rPr>
        <w:t>to</w:t>
      </w:r>
      <w:r>
        <w:rPr>
          <w:rFonts w:ascii="Times New Roman" w:cs="Times New Roman" w:eastAsia="Times New Roman" w:hAnsi="Times New Roman"/>
          <w:sz w:val="18"/>
          <w:szCs w:val="18"/>
          <w:color w:val="3B3B3D"/>
        </w:rPr>
        <w:t xml:space="preserve"> the </w:t>
      </w:r>
      <w:r>
        <w:rPr>
          <w:rFonts w:ascii="Times New Roman" w:cs="Times New Roman" w:eastAsia="Times New Roman" w:hAnsi="Times New Roman"/>
          <w:sz w:val="18"/>
          <w:szCs w:val="18"/>
          <w:color w:val="2A2A2D"/>
        </w:rPr>
        <w:t>extent</w:t>
      </w:r>
      <w:r>
        <w:rPr>
          <w:rFonts w:ascii="Times New Roman" w:cs="Times New Roman" w:eastAsia="Times New Roman" w:hAnsi="Times New Roman"/>
          <w:sz w:val="18"/>
          <w:szCs w:val="18"/>
          <w:color w:val="3B3B3D"/>
        </w:rPr>
        <w:t xml:space="preserve"> required </w:t>
      </w:r>
      <w:r>
        <w:rPr>
          <w:rFonts w:ascii="Times New Roman" w:cs="Times New Roman" w:eastAsia="Times New Roman" w:hAnsi="Times New Roman"/>
          <w:sz w:val="18"/>
          <w:szCs w:val="18"/>
          <w:color w:val="2A2A2D"/>
        </w:rPr>
        <w:t>by</w:t>
      </w:r>
      <w:r>
        <w:rPr>
          <w:rFonts w:ascii="Times New Roman" w:cs="Times New Roman" w:eastAsia="Times New Roman" w:hAnsi="Times New Roman"/>
          <w:sz w:val="18"/>
          <w:szCs w:val="18"/>
          <w:color w:val="3B3B3D"/>
        </w:rPr>
        <w:t xml:space="preserve"> California </w:t>
      </w:r>
      <w:r>
        <w:rPr>
          <w:rFonts w:ascii="Times New Roman" w:cs="Times New Roman" w:eastAsia="Times New Roman" w:hAnsi="Times New Roman"/>
          <w:sz w:val="18"/>
          <w:szCs w:val="18"/>
          <w:color w:val="2A2A2D"/>
        </w:rPr>
        <w:t>law</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3B3B3D"/>
        </w:rPr>
        <w:t xml:space="preserve"> Also excluded from </w:t>
      </w:r>
      <w:r>
        <w:rPr>
          <w:rFonts w:ascii="Times New Roman" w:cs="Times New Roman" w:eastAsia="Times New Roman" w:hAnsi="Times New Roman"/>
          <w:sz w:val="18"/>
          <w:szCs w:val="18"/>
          <w:color w:val="2A2A2D"/>
        </w:rPr>
        <w:t>this</w:t>
      </w:r>
      <w:r>
        <w:rPr>
          <w:rFonts w:ascii="Times New Roman" w:cs="Times New Roman" w:eastAsia="Times New Roman" w:hAnsi="Times New Roman"/>
          <w:sz w:val="18"/>
          <w:szCs w:val="18"/>
          <w:color w:val="3B3B3D"/>
        </w:rPr>
        <w:t xml:space="preserve"> agreement are any </w:t>
      </w:r>
      <w:r>
        <w:rPr>
          <w:rFonts w:ascii="Times New Roman" w:cs="Times New Roman" w:eastAsia="Times New Roman" w:hAnsi="Times New Roman"/>
          <w:sz w:val="18"/>
          <w:szCs w:val="18"/>
          <w:color w:val="2A2A2D"/>
        </w:rPr>
        <w:t>claims that cannot be required to be</w:t>
      </w:r>
      <w:r>
        <w:rPr>
          <w:rFonts w:ascii="Times New Roman" w:cs="Times New Roman" w:eastAsia="Times New Roman" w:hAnsi="Times New Roman"/>
          <w:sz w:val="18"/>
          <w:szCs w:val="18"/>
          <w:color w:val="3B3B3D"/>
        </w:rPr>
        <w:t xml:space="preserve"> arbitrated as a </w:t>
      </w:r>
      <w:r>
        <w:rPr>
          <w:rFonts w:ascii="Times New Roman" w:cs="Times New Roman" w:eastAsia="Times New Roman" w:hAnsi="Times New Roman"/>
          <w:sz w:val="18"/>
          <w:szCs w:val="18"/>
          <w:color w:val="2A2A2D"/>
        </w:rPr>
        <w:t xml:space="preserve">matter of law. You </w:t>
      </w:r>
      <w:r>
        <w:rPr>
          <w:rFonts w:ascii="Times New Roman" w:cs="Times New Roman" w:eastAsia="Times New Roman" w:hAnsi="Times New Roman"/>
          <w:sz w:val="18"/>
          <w:szCs w:val="18"/>
          <w:color w:val="3B3B3D"/>
        </w:rPr>
        <w:t>also</w:t>
      </w:r>
      <w:r>
        <w:rPr>
          <w:rFonts w:ascii="Times New Roman" w:cs="Times New Roman" w:eastAsia="Times New Roman" w:hAnsi="Times New Roman"/>
          <w:sz w:val="18"/>
          <w:szCs w:val="18"/>
          <w:color w:val="2A2A2D"/>
        </w:rPr>
        <w:t xml:space="preserve"> understand that </w:t>
      </w:r>
      <w:r>
        <w:rPr>
          <w:rFonts w:ascii="Times New Roman" w:cs="Times New Roman" w:eastAsia="Times New Roman" w:hAnsi="Times New Roman"/>
          <w:sz w:val="18"/>
          <w:szCs w:val="18"/>
          <w:color w:val="3B3B3D"/>
        </w:rPr>
        <w:t>you are</w:t>
      </w:r>
      <w:r>
        <w:rPr>
          <w:rFonts w:ascii="Times New Roman" w:cs="Times New Roman" w:eastAsia="Times New Roman" w:hAnsi="Times New Roman"/>
          <w:sz w:val="18"/>
          <w:szCs w:val="18"/>
          <w:color w:val="2A2A2D"/>
        </w:rPr>
        <w:t xml:space="preserve"> not barred </w:t>
      </w:r>
      <w:r>
        <w:rPr>
          <w:rFonts w:ascii="Times New Roman" w:cs="Times New Roman" w:eastAsia="Times New Roman" w:hAnsi="Times New Roman"/>
          <w:sz w:val="18"/>
          <w:szCs w:val="18"/>
          <w:color w:val="3B3B3D"/>
        </w:rPr>
        <w:t>from</w:t>
      </w:r>
      <w:r>
        <w:rPr>
          <w:rFonts w:ascii="Times New Roman" w:cs="Times New Roman" w:eastAsia="Times New Roman" w:hAnsi="Times New Roman"/>
          <w:sz w:val="18"/>
          <w:szCs w:val="18"/>
          <w:color w:val="2A2A2D"/>
        </w:rPr>
        <w:t xml:space="preserve"> filing </w:t>
      </w:r>
      <w:r>
        <w:rPr>
          <w:rFonts w:ascii="Times New Roman" w:cs="Times New Roman" w:eastAsia="Times New Roman" w:hAnsi="Times New Roman"/>
          <w:sz w:val="18"/>
          <w:szCs w:val="18"/>
          <w:color w:val="3B3B3D"/>
        </w:rPr>
        <w:t>a</w:t>
      </w:r>
      <w:r>
        <w:rPr>
          <w:rFonts w:ascii="Times New Roman" w:cs="Times New Roman" w:eastAsia="Times New Roman" w:hAnsi="Times New Roman"/>
          <w:sz w:val="18"/>
          <w:szCs w:val="18"/>
          <w:color w:val="2A2A2D"/>
        </w:rPr>
        <w:t xml:space="preserve"> claim or charge </w:t>
      </w:r>
      <w:r>
        <w:rPr>
          <w:rFonts w:ascii="Times New Roman" w:cs="Times New Roman" w:eastAsia="Times New Roman" w:hAnsi="Times New Roman"/>
          <w:sz w:val="18"/>
          <w:szCs w:val="18"/>
          <w:color w:val="3B3B3D"/>
        </w:rPr>
        <w:t>with a governmental administrative agency</w:t>
      </w:r>
      <w:r>
        <w:rPr>
          <w:rFonts w:ascii="Times New Roman" w:cs="Times New Roman" w:eastAsia="Times New Roman" w:hAnsi="Times New Roman"/>
          <w:sz w:val="18"/>
          <w:szCs w:val="18"/>
          <w:color w:val="676767"/>
        </w:rPr>
        <w:t>,</w:t>
      </w:r>
      <w:r>
        <w:rPr>
          <w:rFonts w:ascii="Times New Roman" w:cs="Times New Roman" w:eastAsia="Times New Roman" w:hAnsi="Times New Roman"/>
          <w:sz w:val="18"/>
          <w:szCs w:val="18"/>
          <w:color w:val="2A2A2D"/>
        </w:rPr>
        <w:t xml:space="preserve"> </w:t>
      </w:r>
      <w:r>
        <w:rPr>
          <w:rFonts w:ascii="Times New Roman" w:cs="Times New Roman" w:eastAsia="Times New Roman" w:hAnsi="Times New Roman"/>
          <w:sz w:val="18"/>
          <w:szCs w:val="18"/>
          <w:color w:val="3B3B3D"/>
        </w:rPr>
        <w:t>such as the</w:t>
      </w:r>
      <w:r>
        <w:rPr>
          <w:rFonts w:ascii="Times New Roman" w:cs="Times New Roman" w:eastAsia="Times New Roman" w:hAnsi="Times New Roman"/>
          <w:sz w:val="18"/>
          <w:szCs w:val="18"/>
          <w:color w:val="2A2A2D"/>
        </w:rPr>
        <w:t xml:space="preserve"> National Labor Relations Board or Equal </w:t>
      </w:r>
      <w:r>
        <w:rPr>
          <w:rFonts w:ascii="Times New Roman" w:cs="Times New Roman" w:eastAsia="Times New Roman" w:hAnsi="Times New Roman"/>
          <w:sz w:val="18"/>
          <w:szCs w:val="18"/>
          <w:color w:val="3B3B3D"/>
        </w:rPr>
        <w:t>Employment</w:t>
      </w:r>
      <w:r>
        <w:rPr>
          <w:rFonts w:ascii="Times New Roman" w:cs="Times New Roman" w:eastAsia="Times New Roman" w:hAnsi="Times New Roman"/>
          <w:sz w:val="18"/>
          <w:szCs w:val="18"/>
          <w:color w:val="2A2A2D"/>
        </w:rPr>
        <w:t xml:space="preserve"> Opportunity </w:t>
      </w:r>
      <w:r>
        <w:rPr>
          <w:rFonts w:ascii="Times New Roman" w:cs="Times New Roman" w:eastAsia="Times New Roman" w:hAnsi="Times New Roman"/>
          <w:sz w:val="18"/>
          <w:szCs w:val="18"/>
          <w:color w:val="3B3B3D"/>
        </w:rPr>
        <w:t>Commission</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2A2A2D"/>
        </w:rPr>
        <w:t xml:space="preserve"> or </w:t>
      </w:r>
      <w:r>
        <w:rPr>
          <w:rFonts w:ascii="Times New Roman" w:cs="Times New Roman" w:eastAsia="Times New Roman" w:hAnsi="Times New Roman"/>
          <w:sz w:val="18"/>
          <w:szCs w:val="18"/>
          <w:color w:val="3B3B3D"/>
        </w:rPr>
        <w:t>from filing a workers</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2A2A2D"/>
        </w:rPr>
        <w:t xml:space="preserve"> </w:t>
      </w:r>
      <w:r>
        <w:rPr>
          <w:rFonts w:ascii="Times New Roman" w:cs="Times New Roman" w:eastAsia="Times New Roman" w:hAnsi="Times New Roman"/>
          <w:sz w:val="18"/>
          <w:szCs w:val="18"/>
          <w:color w:val="3B3B3D"/>
        </w:rPr>
        <w:t>compensation or unemployment</w:t>
      </w:r>
      <w:r>
        <w:rPr>
          <w:rFonts w:ascii="Times New Roman" w:cs="Times New Roman" w:eastAsia="Times New Roman" w:hAnsi="Times New Roman"/>
          <w:sz w:val="18"/>
          <w:szCs w:val="18"/>
          <w:color w:val="2A2A2D"/>
        </w:rPr>
        <w:t xml:space="preserve"> </w:t>
      </w:r>
      <w:r>
        <w:rPr>
          <w:rFonts w:ascii="Times New Roman" w:cs="Times New Roman" w:eastAsia="Times New Roman" w:hAnsi="Times New Roman"/>
          <w:sz w:val="18"/>
          <w:szCs w:val="18"/>
          <w:color w:val="3B3B3D"/>
        </w:rPr>
        <w:t>compensation claim with respect to Covered Claims</w:t>
      </w:r>
      <w:r>
        <w:rPr>
          <w:rFonts w:ascii="Times New Roman" w:cs="Times New Roman" w:eastAsia="Times New Roman" w:hAnsi="Times New Roman"/>
          <w:sz w:val="18"/>
          <w:szCs w:val="18"/>
          <w:color w:val="676767"/>
        </w:rPr>
        <w:t>,</w:t>
      </w:r>
      <w:r>
        <w:rPr>
          <w:rFonts w:ascii="Times New Roman" w:cs="Times New Roman" w:eastAsia="Times New Roman" w:hAnsi="Times New Roman"/>
          <w:sz w:val="18"/>
          <w:szCs w:val="18"/>
          <w:color w:val="3B3B3D"/>
        </w:rPr>
        <w:t xml:space="preserve"> though you </w:t>
      </w:r>
      <w:r>
        <w:rPr>
          <w:rFonts w:ascii="Times New Roman" w:cs="Times New Roman" w:eastAsia="Times New Roman" w:hAnsi="Times New Roman"/>
          <w:sz w:val="18"/>
          <w:szCs w:val="18"/>
          <w:color w:val="2A2A2D"/>
        </w:rPr>
        <w:t>are</w:t>
      </w:r>
      <w:r>
        <w:rPr>
          <w:rFonts w:ascii="Times New Roman" w:cs="Times New Roman" w:eastAsia="Times New Roman" w:hAnsi="Times New Roman"/>
          <w:sz w:val="18"/>
          <w:szCs w:val="18"/>
          <w:color w:val="3B3B3D"/>
        </w:rPr>
        <w:t xml:space="preserve"> giving </w:t>
      </w:r>
      <w:r>
        <w:rPr>
          <w:rFonts w:ascii="Times New Roman" w:cs="Times New Roman" w:eastAsia="Times New Roman" w:hAnsi="Times New Roman"/>
          <w:sz w:val="18"/>
          <w:szCs w:val="18"/>
          <w:color w:val="2A2A2D"/>
        </w:rPr>
        <w:t>up the</w:t>
      </w:r>
      <w:r>
        <w:rPr>
          <w:rFonts w:ascii="Times New Roman" w:cs="Times New Roman" w:eastAsia="Times New Roman" w:hAnsi="Times New Roman"/>
          <w:sz w:val="18"/>
          <w:szCs w:val="18"/>
          <w:color w:val="3B3B3D"/>
        </w:rPr>
        <w:t xml:space="preserve"> opportunity </w:t>
      </w:r>
      <w:r>
        <w:rPr>
          <w:rFonts w:ascii="Times New Roman" w:cs="Times New Roman" w:eastAsia="Times New Roman" w:hAnsi="Times New Roman"/>
          <w:sz w:val="18"/>
          <w:szCs w:val="18"/>
          <w:color w:val="2A2A2D"/>
        </w:rPr>
        <w:t>to</w:t>
      </w:r>
      <w:r>
        <w:rPr>
          <w:rFonts w:ascii="Times New Roman" w:cs="Times New Roman" w:eastAsia="Times New Roman" w:hAnsi="Times New Roman"/>
          <w:sz w:val="18"/>
          <w:szCs w:val="18"/>
          <w:color w:val="3B3B3D"/>
        </w:rPr>
        <w:t xml:space="preserve"> recover </w:t>
      </w:r>
      <w:r>
        <w:rPr>
          <w:rFonts w:ascii="Times New Roman" w:cs="Times New Roman" w:eastAsia="Times New Roman" w:hAnsi="Times New Roman"/>
          <w:sz w:val="18"/>
          <w:szCs w:val="18"/>
          <w:color w:val="2A2A2D"/>
        </w:rPr>
        <w:t>monetary</w:t>
      </w:r>
      <w:r>
        <w:rPr>
          <w:rFonts w:ascii="Times New Roman" w:cs="Times New Roman" w:eastAsia="Times New Roman" w:hAnsi="Times New Roman"/>
          <w:sz w:val="18"/>
          <w:szCs w:val="18"/>
          <w:color w:val="3B3B3D"/>
        </w:rPr>
        <w:t xml:space="preserve"> amounts from any such governmental agency (e.g.</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3B3B3D"/>
        </w:rPr>
        <w:t xml:space="preserve"> National Labor </w:t>
      </w:r>
      <w:r>
        <w:rPr>
          <w:rFonts w:ascii="Times New Roman" w:cs="Times New Roman" w:eastAsia="Times New Roman" w:hAnsi="Times New Roman"/>
          <w:sz w:val="18"/>
          <w:szCs w:val="18"/>
          <w:color w:val="2A2A2D"/>
        </w:rPr>
        <w:t>Relations Board or</w:t>
      </w:r>
      <w:r>
        <w:rPr>
          <w:rFonts w:ascii="Times New Roman" w:cs="Times New Roman" w:eastAsia="Times New Roman" w:hAnsi="Times New Roman"/>
          <w:sz w:val="18"/>
          <w:szCs w:val="18"/>
          <w:color w:val="3B3B3D"/>
        </w:rPr>
        <w:t xml:space="preserve"> Equal Employment Opportunity Commission)</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3B3B3D"/>
        </w:rPr>
        <w:t xml:space="preserve"> and would </w:t>
      </w:r>
      <w:r>
        <w:rPr>
          <w:rFonts w:ascii="Times New Roman" w:cs="Times New Roman" w:eastAsia="Times New Roman" w:hAnsi="Times New Roman"/>
          <w:sz w:val="18"/>
          <w:szCs w:val="18"/>
          <w:color w:val="2A2A2D"/>
        </w:rPr>
        <w:t>instead be</w:t>
      </w:r>
      <w:r>
        <w:rPr>
          <w:rFonts w:ascii="Times New Roman" w:cs="Times New Roman" w:eastAsia="Times New Roman" w:hAnsi="Times New Roman"/>
          <w:sz w:val="18"/>
          <w:szCs w:val="18"/>
          <w:color w:val="3B3B3D"/>
        </w:rPr>
        <w:t xml:space="preserve"> able </w:t>
      </w:r>
      <w:r>
        <w:rPr>
          <w:rFonts w:ascii="Times New Roman" w:cs="Times New Roman" w:eastAsia="Times New Roman" w:hAnsi="Times New Roman"/>
          <w:sz w:val="18"/>
          <w:szCs w:val="18"/>
          <w:color w:val="2A2A2D"/>
        </w:rPr>
        <w:t>to pursue</w:t>
      </w:r>
      <w:r>
        <w:rPr>
          <w:rFonts w:ascii="Times New Roman" w:cs="Times New Roman" w:eastAsia="Times New Roman" w:hAnsi="Times New Roman"/>
          <w:sz w:val="18"/>
          <w:szCs w:val="18"/>
          <w:color w:val="3B3B3D"/>
        </w:rPr>
        <w:t xml:space="preserve"> </w:t>
      </w:r>
      <w:r>
        <w:rPr>
          <w:rFonts w:ascii="Times New Roman" w:cs="Times New Roman" w:eastAsia="Times New Roman" w:hAnsi="Times New Roman"/>
          <w:sz w:val="18"/>
          <w:szCs w:val="18"/>
          <w:color w:val="2A2A2D"/>
        </w:rPr>
        <w:t xml:space="preserve">a </w:t>
      </w:r>
      <w:r>
        <w:rPr>
          <w:rFonts w:ascii="Times New Roman" w:cs="Times New Roman" w:eastAsia="Times New Roman" w:hAnsi="Times New Roman"/>
          <w:sz w:val="18"/>
          <w:szCs w:val="18"/>
          <w:color w:val="3B3B3D"/>
        </w:rPr>
        <w:t>claim for</w:t>
      </w:r>
      <w:r>
        <w:rPr>
          <w:rFonts w:ascii="Times New Roman" w:cs="Times New Roman" w:eastAsia="Times New Roman" w:hAnsi="Times New Roman"/>
          <w:sz w:val="18"/>
          <w:szCs w:val="18"/>
          <w:color w:val="2A2A2D"/>
        </w:rPr>
        <w:t xml:space="preserve"> monetary amounts </w:t>
      </w:r>
      <w:r>
        <w:rPr>
          <w:rFonts w:ascii="Times New Roman" w:cs="Times New Roman" w:eastAsia="Times New Roman" w:hAnsi="Times New Roman"/>
          <w:sz w:val="18"/>
          <w:szCs w:val="18"/>
          <w:color w:val="3B3B3D"/>
        </w:rPr>
        <w:t>through arbitration. You also</w:t>
      </w:r>
      <w:r>
        <w:rPr>
          <w:rFonts w:ascii="Times New Roman" w:cs="Times New Roman" w:eastAsia="Times New Roman" w:hAnsi="Times New Roman"/>
          <w:sz w:val="18"/>
          <w:szCs w:val="18"/>
          <w:color w:val="2A2A2D"/>
        </w:rPr>
        <w:t xml:space="preserve"> understand </w:t>
      </w:r>
      <w:r>
        <w:rPr>
          <w:rFonts w:ascii="Times New Roman" w:cs="Times New Roman" w:eastAsia="Times New Roman" w:hAnsi="Times New Roman"/>
          <w:sz w:val="18"/>
          <w:szCs w:val="18"/>
          <w:color w:val="3B3B3D"/>
        </w:rPr>
        <w:t>that if a third party seeks</w:t>
      </w:r>
      <w:r>
        <w:rPr>
          <w:rFonts w:ascii="Times New Roman" w:cs="Times New Roman" w:eastAsia="Times New Roman" w:hAnsi="Times New Roman"/>
          <w:sz w:val="18"/>
          <w:szCs w:val="18"/>
          <w:color w:val="2A2A2D"/>
        </w:rPr>
        <w:t xml:space="preserve"> to have the </w:t>
      </w:r>
      <w:r>
        <w:rPr>
          <w:rFonts w:ascii="Times New Roman" w:cs="Times New Roman" w:eastAsia="Times New Roman" w:hAnsi="Times New Roman"/>
          <w:sz w:val="18"/>
          <w:szCs w:val="18"/>
          <w:color w:val="3B3B3D"/>
        </w:rPr>
        <w:t>Employer garnish your wages</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2A2A2D"/>
        </w:rPr>
        <w:t xml:space="preserve"> </w:t>
      </w:r>
      <w:r>
        <w:rPr>
          <w:rFonts w:ascii="Times New Roman" w:cs="Times New Roman" w:eastAsia="Times New Roman" w:hAnsi="Times New Roman"/>
          <w:sz w:val="18"/>
          <w:szCs w:val="18"/>
          <w:color w:val="3B3B3D"/>
        </w:rPr>
        <w:t>you</w:t>
      </w:r>
      <w:r>
        <w:rPr>
          <w:rFonts w:ascii="Times New Roman" w:cs="Times New Roman" w:eastAsia="Times New Roman" w:hAnsi="Times New Roman"/>
          <w:sz w:val="18"/>
          <w:szCs w:val="18"/>
          <w:color w:val="2A2A2D"/>
        </w:rPr>
        <w:t xml:space="preserve"> </w:t>
      </w:r>
      <w:r>
        <w:rPr>
          <w:rFonts w:ascii="Times New Roman" w:cs="Times New Roman" w:eastAsia="Times New Roman" w:hAnsi="Times New Roman"/>
          <w:sz w:val="18"/>
          <w:szCs w:val="18"/>
          <w:color w:val="3B3B3D"/>
        </w:rPr>
        <w:t xml:space="preserve">may </w:t>
      </w:r>
      <w:r>
        <w:rPr>
          <w:rFonts w:ascii="Times New Roman" w:cs="Times New Roman" w:eastAsia="Times New Roman" w:hAnsi="Times New Roman"/>
          <w:sz w:val="18"/>
          <w:szCs w:val="18"/>
          <w:color w:val="2A2A2D"/>
        </w:rPr>
        <w:t>be subject to third-party</w:t>
      </w:r>
      <w:r>
        <w:rPr>
          <w:rFonts w:ascii="Times New Roman" w:cs="Times New Roman" w:eastAsia="Times New Roman" w:hAnsi="Times New Roman"/>
          <w:sz w:val="18"/>
          <w:szCs w:val="18"/>
          <w:color w:val="3B3B3D"/>
        </w:rPr>
        <w:t xml:space="preserve"> garnishment </w:t>
      </w:r>
      <w:r>
        <w:rPr>
          <w:rFonts w:ascii="Times New Roman" w:cs="Times New Roman" w:eastAsia="Times New Roman" w:hAnsi="Times New Roman"/>
          <w:sz w:val="18"/>
          <w:szCs w:val="18"/>
          <w:color w:val="2A2A2D"/>
        </w:rPr>
        <w:t>proceedings in court</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3B3B3D"/>
        </w:rPr>
        <w:t xml:space="preserve"> even </w:t>
      </w:r>
      <w:r>
        <w:rPr>
          <w:rFonts w:ascii="Times New Roman" w:cs="Times New Roman" w:eastAsia="Times New Roman" w:hAnsi="Times New Roman"/>
          <w:sz w:val="18"/>
          <w:szCs w:val="18"/>
          <w:color w:val="2A2A2D"/>
        </w:rPr>
        <w:t>though</w:t>
      </w:r>
      <w:r>
        <w:rPr>
          <w:rFonts w:ascii="Times New Roman" w:cs="Times New Roman" w:eastAsia="Times New Roman" w:hAnsi="Times New Roman"/>
          <w:sz w:val="18"/>
          <w:szCs w:val="18"/>
          <w:color w:val="3B3B3D"/>
        </w:rPr>
        <w:t xml:space="preserve"> such a </w:t>
      </w:r>
      <w:r>
        <w:rPr>
          <w:rFonts w:ascii="Times New Roman" w:cs="Times New Roman" w:eastAsia="Times New Roman" w:hAnsi="Times New Roman"/>
          <w:sz w:val="18"/>
          <w:szCs w:val="18"/>
          <w:color w:val="2A2A2D"/>
        </w:rPr>
        <w:t>dispute</w:t>
      </w:r>
      <w:r>
        <w:rPr>
          <w:rFonts w:ascii="Times New Roman" w:cs="Times New Roman" w:eastAsia="Times New Roman" w:hAnsi="Times New Roman"/>
          <w:sz w:val="18"/>
          <w:szCs w:val="18"/>
          <w:color w:val="3B3B3D"/>
        </w:rPr>
        <w:t xml:space="preserve"> concerns your wages.</w:t>
      </w:r>
    </w:p>
    <w:p>
      <w:pPr>
        <w:spacing w:after="0" w:line="161" w:lineRule="exact"/>
        <w:rPr>
          <w:rFonts w:ascii="Times New Roman" w:cs="Times New Roman" w:eastAsia="Times New Roman" w:hAnsi="Times New Roman"/>
          <w:sz w:val="18"/>
          <w:szCs w:val="18"/>
          <w:color w:val="3B3B3D"/>
        </w:rPr>
      </w:pPr>
    </w:p>
    <w:p>
      <w:pPr>
        <w:jc w:val="both"/>
        <w:ind w:left="220" w:right="20" w:firstLine="52"/>
        <w:spacing w:after="0" w:line="258" w:lineRule="auto"/>
        <w:tabs>
          <w:tab w:leader="none" w:pos="974" w:val="left"/>
        </w:tabs>
        <w:numPr>
          <w:ilvl w:val="1"/>
          <w:numId w:val="244"/>
        </w:numPr>
        <w:rPr>
          <w:rFonts w:ascii="Times New Roman" w:cs="Times New Roman" w:eastAsia="Times New Roman" w:hAnsi="Times New Roman"/>
          <w:sz w:val="18"/>
          <w:szCs w:val="18"/>
          <w:color w:val="3B3B3D"/>
        </w:rPr>
      </w:pPr>
      <w:r>
        <w:rPr>
          <w:rFonts w:ascii="Times New Roman" w:cs="Times New Roman" w:eastAsia="Times New Roman" w:hAnsi="Times New Roman"/>
          <w:sz w:val="18"/>
          <w:szCs w:val="18"/>
          <w:u w:val="single" w:color="auto"/>
          <w:color w:val="3B3B3D"/>
        </w:rPr>
        <w:t>Enforcement.</w:t>
      </w:r>
      <w:r>
        <w:rPr>
          <w:rFonts w:ascii="Times New Roman" w:cs="Times New Roman" w:eastAsia="Times New Roman" w:hAnsi="Times New Roman"/>
          <w:sz w:val="18"/>
          <w:szCs w:val="18"/>
          <w:color w:val="3B3B3D"/>
        </w:rPr>
        <w:t xml:space="preserve"> </w:t>
      </w:r>
      <w:r>
        <w:rPr>
          <w:rFonts w:ascii="Times New Roman" w:cs="Times New Roman" w:eastAsia="Times New Roman" w:hAnsi="Times New Roman"/>
          <w:sz w:val="18"/>
          <w:szCs w:val="18"/>
          <w:color w:val="2A2A2D"/>
        </w:rPr>
        <w:t>In the</w:t>
      </w:r>
      <w:r>
        <w:rPr>
          <w:rFonts w:ascii="Times New Roman" w:cs="Times New Roman" w:eastAsia="Times New Roman" w:hAnsi="Times New Roman"/>
          <w:sz w:val="18"/>
          <w:szCs w:val="18"/>
          <w:color w:val="3B3B3D"/>
        </w:rPr>
        <w:t xml:space="preserve"> event </w:t>
      </w:r>
      <w:r>
        <w:rPr>
          <w:rFonts w:ascii="Times New Roman" w:cs="Times New Roman" w:eastAsia="Times New Roman" w:hAnsi="Times New Roman"/>
          <w:sz w:val="18"/>
          <w:szCs w:val="18"/>
          <w:color w:val="2A2A2D"/>
        </w:rPr>
        <w:t>the Company</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3B3B3D"/>
        </w:rPr>
        <w:t xml:space="preserve"> </w:t>
      </w:r>
      <w:r>
        <w:rPr>
          <w:rFonts w:ascii="Times New Roman" w:cs="Times New Roman" w:eastAsia="Times New Roman" w:hAnsi="Times New Roman"/>
          <w:sz w:val="18"/>
          <w:szCs w:val="18"/>
          <w:color w:val="2A2A2D"/>
        </w:rPr>
        <w:t>the</w:t>
      </w:r>
      <w:r>
        <w:rPr>
          <w:rFonts w:ascii="Times New Roman" w:cs="Times New Roman" w:eastAsia="Times New Roman" w:hAnsi="Times New Roman"/>
          <w:sz w:val="18"/>
          <w:szCs w:val="18"/>
          <w:color w:val="3B3B3D"/>
        </w:rPr>
        <w:t xml:space="preserve"> Employer </w:t>
      </w:r>
      <w:r>
        <w:rPr>
          <w:rFonts w:ascii="Times New Roman" w:cs="Times New Roman" w:eastAsia="Times New Roman" w:hAnsi="Times New Roman"/>
          <w:sz w:val="18"/>
          <w:szCs w:val="18"/>
          <w:color w:val="2A2A2D"/>
        </w:rPr>
        <w:t>or</w:t>
      </w:r>
      <w:r>
        <w:rPr>
          <w:rFonts w:ascii="Times New Roman" w:cs="Times New Roman" w:eastAsia="Times New Roman" w:hAnsi="Times New Roman"/>
          <w:sz w:val="18"/>
          <w:szCs w:val="18"/>
          <w:color w:val="3B3B3D"/>
        </w:rPr>
        <w:t xml:space="preserve"> you </w:t>
      </w:r>
      <w:r>
        <w:rPr>
          <w:rFonts w:ascii="Times New Roman" w:cs="Times New Roman" w:eastAsia="Times New Roman" w:hAnsi="Times New Roman"/>
          <w:sz w:val="18"/>
          <w:szCs w:val="18"/>
          <w:color w:val="2A2A2D"/>
        </w:rPr>
        <w:t>choose</w:t>
      </w:r>
      <w:r>
        <w:rPr>
          <w:rFonts w:ascii="Times New Roman" w:cs="Times New Roman" w:eastAsia="Times New Roman" w:hAnsi="Times New Roman"/>
          <w:sz w:val="18"/>
          <w:szCs w:val="18"/>
          <w:color w:val="3B3B3D"/>
        </w:rPr>
        <w:t xml:space="preserve"> to </w:t>
      </w:r>
      <w:r>
        <w:rPr>
          <w:rFonts w:ascii="Times New Roman" w:cs="Times New Roman" w:eastAsia="Times New Roman" w:hAnsi="Times New Roman"/>
          <w:sz w:val="18"/>
          <w:szCs w:val="18"/>
          <w:color w:val="2A2A2D"/>
        </w:rPr>
        <w:t>pursue both Covered</w:t>
      </w:r>
      <w:r>
        <w:rPr>
          <w:rFonts w:ascii="Times New Roman" w:cs="Times New Roman" w:eastAsia="Times New Roman" w:hAnsi="Times New Roman"/>
          <w:sz w:val="18"/>
          <w:szCs w:val="18"/>
          <w:color w:val="3B3B3D"/>
        </w:rPr>
        <w:t xml:space="preserve"> Claims and Excluded </w:t>
      </w:r>
      <w:r>
        <w:rPr>
          <w:rFonts w:ascii="Times New Roman" w:cs="Times New Roman" w:eastAsia="Times New Roman" w:hAnsi="Times New Roman"/>
          <w:sz w:val="18"/>
          <w:szCs w:val="18"/>
          <w:color w:val="2A2A2D"/>
        </w:rPr>
        <w:t>Claims</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3B3B3D"/>
        </w:rPr>
        <w:t xml:space="preserve"> Covered Claims </w:t>
      </w:r>
      <w:r>
        <w:rPr>
          <w:rFonts w:ascii="Times New Roman" w:cs="Times New Roman" w:eastAsia="Times New Roman" w:hAnsi="Times New Roman"/>
          <w:sz w:val="18"/>
          <w:szCs w:val="18"/>
          <w:color w:val="2A2A2D"/>
        </w:rPr>
        <w:t>must be</w:t>
      </w:r>
      <w:r>
        <w:rPr>
          <w:rFonts w:ascii="Times New Roman" w:cs="Times New Roman" w:eastAsia="Times New Roman" w:hAnsi="Times New Roman"/>
          <w:sz w:val="18"/>
          <w:szCs w:val="18"/>
          <w:color w:val="3B3B3D"/>
        </w:rPr>
        <w:t xml:space="preserve"> arbitrated </w:t>
      </w:r>
      <w:r>
        <w:rPr>
          <w:rFonts w:ascii="Times New Roman" w:cs="Times New Roman" w:eastAsia="Times New Roman" w:hAnsi="Times New Roman"/>
          <w:sz w:val="18"/>
          <w:szCs w:val="18"/>
          <w:color w:val="2A2A2D"/>
        </w:rPr>
        <w:t>and Excluded Claims must be litigated in</w:t>
      </w:r>
      <w:r>
        <w:rPr>
          <w:rFonts w:ascii="Times New Roman" w:cs="Times New Roman" w:eastAsia="Times New Roman" w:hAnsi="Times New Roman"/>
          <w:sz w:val="18"/>
          <w:szCs w:val="18"/>
          <w:color w:val="3B3B3D"/>
        </w:rPr>
        <w:t xml:space="preserve"> court</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3B3B3D"/>
        </w:rPr>
        <w:t xml:space="preserve"> </w:t>
      </w:r>
      <w:r>
        <w:rPr>
          <w:rFonts w:ascii="Times New Roman" w:cs="Times New Roman" w:eastAsia="Times New Roman" w:hAnsi="Times New Roman"/>
          <w:sz w:val="18"/>
          <w:szCs w:val="18"/>
          <w:color w:val="2A2A2D"/>
        </w:rPr>
        <w:t>Covered Claims</w:t>
      </w:r>
      <w:r>
        <w:rPr>
          <w:rFonts w:ascii="Times New Roman" w:cs="Times New Roman" w:eastAsia="Times New Roman" w:hAnsi="Times New Roman"/>
          <w:sz w:val="18"/>
          <w:szCs w:val="18"/>
          <w:color w:val="3B3B3D"/>
        </w:rPr>
        <w:t xml:space="preserve"> may </w:t>
      </w:r>
      <w:r>
        <w:rPr>
          <w:rFonts w:ascii="Times New Roman" w:cs="Times New Roman" w:eastAsia="Times New Roman" w:hAnsi="Times New Roman"/>
          <w:sz w:val="18"/>
          <w:szCs w:val="18"/>
          <w:color w:val="2A2A2D"/>
        </w:rPr>
        <w:t>be</w:t>
      </w:r>
      <w:r>
        <w:rPr>
          <w:rFonts w:ascii="Times New Roman" w:cs="Times New Roman" w:eastAsia="Times New Roman" w:hAnsi="Times New Roman"/>
          <w:sz w:val="18"/>
          <w:szCs w:val="18"/>
          <w:color w:val="3B3B3D"/>
        </w:rPr>
        <w:t xml:space="preserve"> joined with Excluded Claims and </w:t>
      </w:r>
      <w:r>
        <w:rPr>
          <w:rFonts w:ascii="Times New Roman" w:cs="Times New Roman" w:eastAsia="Times New Roman" w:hAnsi="Times New Roman"/>
          <w:sz w:val="18"/>
          <w:szCs w:val="18"/>
          <w:color w:val="2A2A2D"/>
        </w:rPr>
        <w:t>litigated in</w:t>
      </w:r>
      <w:r>
        <w:rPr>
          <w:rFonts w:ascii="Times New Roman" w:cs="Times New Roman" w:eastAsia="Times New Roman" w:hAnsi="Times New Roman"/>
          <w:sz w:val="18"/>
          <w:szCs w:val="18"/>
          <w:color w:val="3B3B3D"/>
        </w:rPr>
        <w:t xml:space="preserve"> </w:t>
      </w:r>
      <w:r>
        <w:rPr>
          <w:rFonts w:ascii="Times New Roman" w:cs="Times New Roman" w:eastAsia="Times New Roman" w:hAnsi="Times New Roman"/>
          <w:sz w:val="18"/>
          <w:szCs w:val="18"/>
          <w:color w:val="2A2A2D"/>
        </w:rPr>
        <w:t>court</w:t>
      </w:r>
      <w:r>
        <w:rPr>
          <w:rFonts w:ascii="Times New Roman" w:cs="Times New Roman" w:eastAsia="Times New Roman" w:hAnsi="Times New Roman"/>
          <w:sz w:val="18"/>
          <w:szCs w:val="18"/>
          <w:color w:val="676767"/>
        </w:rPr>
        <w:t>,</w:t>
      </w:r>
      <w:r>
        <w:rPr>
          <w:rFonts w:ascii="Times New Roman" w:cs="Times New Roman" w:eastAsia="Times New Roman" w:hAnsi="Times New Roman"/>
          <w:sz w:val="18"/>
          <w:szCs w:val="18"/>
          <w:color w:val="2A2A2D"/>
        </w:rPr>
        <w:t xml:space="preserve"> </w:t>
      </w:r>
      <w:r>
        <w:rPr>
          <w:rFonts w:ascii="Times New Roman" w:cs="Times New Roman" w:eastAsia="Times New Roman" w:hAnsi="Times New Roman"/>
          <w:sz w:val="18"/>
          <w:szCs w:val="18"/>
          <w:color w:val="3B3B3D"/>
        </w:rPr>
        <w:t>and Excluded</w:t>
      </w:r>
      <w:r>
        <w:rPr>
          <w:rFonts w:ascii="Times New Roman" w:cs="Times New Roman" w:eastAsia="Times New Roman" w:hAnsi="Times New Roman"/>
          <w:sz w:val="18"/>
          <w:szCs w:val="18"/>
          <w:color w:val="2A2A2D"/>
        </w:rPr>
        <w:t xml:space="preserve"> Claims may be </w:t>
      </w:r>
      <w:r>
        <w:rPr>
          <w:rFonts w:ascii="Times New Roman" w:cs="Times New Roman" w:eastAsia="Times New Roman" w:hAnsi="Times New Roman"/>
          <w:sz w:val="18"/>
          <w:szCs w:val="18"/>
          <w:color w:val="3B3B3D"/>
        </w:rPr>
        <w:t>joined with Covered Claims and</w:t>
      </w:r>
      <w:r>
        <w:rPr>
          <w:rFonts w:ascii="Times New Roman" w:cs="Times New Roman" w:eastAsia="Times New Roman" w:hAnsi="Times New Roman"/>
          <w:sz w:val="18"/>
          <w:szCs w:val="18"/>
          <w:color w:val="2A2A2D"/>
        </w:rPr>
        <w:t xml:space="preserve"> arbitrated</w:t>
      </w:r>
      <w:r>
        <w:rPr>
          <w:rFonts w:ascii="Times New Roman" w:cs="Times New Roman" w:eastAsia="Times New Roman" w:hAnsi="Times New Roman"/>
          <w:sz w:val="18"/>
          <w:szCs w:val="18"/>
          <w:color w:val="676767"/>
        </w:rPr>
        <w:t>,</w:t>
      </w:r>
      <w:r>
        <w:rPr>
          <w:rFonts w:ascii="Times New Roman" w:cs="Times New Roman" w:eastAsia="Times New Roman" w:hAnsi="Times New Roman"/>
          <w:sz w:val="18"/>
          <w:szCs w:val="18"/>
          <w:color w:val="2A2A2D"/>
        </w:rPr>
        <w:t xml:space="preserve"> only if the </w:t>
      </w:r>
      <w:r>
        <w:rPr>
          <w:rFonts w:ascii="Times New Roman" w:cs="Times New Roman" w:eastAsia="Times New Roman" w:hAnsi="Times New Roman"/>
          <w:sz w:val="18"/>
          <w:szCs w:val="18"/>
          <w:color w:val="3B3B3D"/>
        </w:rPr>
        <w:t>non-asserting</w:t>
      </w:r>
      <w:r>
        <w:rPr>
          <w:rFonts w:ascii="Times New Roman" w:cs="Times New Roman" w:eastAsia="Times New Roman" w:hAnsi="Times New Roman"/>
          <w:sz w:val="18"/>
          <w:szCs w:val="18"/>
          <w:color w:val="2A2A2D"/>
        </w:rPr>
        <w:t xml:space="preserve"> party </w:t>
      </w:r>
      <w:r>
        <w:rPr>
          <w:rFonts w:ascii="Times New Roman" w:cs="Times New Roman" w:eastAsia="Times New Roman" w:hAnsi="Times New Roman"/>
          <w:sz w:val="18"/>
          <w:szCs w:val="18"/>
          <w:color w:val="3B3B3D"/>
        </w:rPr>
        <w:t>agrees;</w:t>
      </w:r>
      <w:r>
        <w:rPr>
          <w:rFonts w:ascii="Times New Roman" w:cs="Times New Roman" w:eastAsia="Times New Roman" w:hAnsi="Times New Roman"/>
          <w:sz w:val="18"/>
          <w:szCs w:val="18"/>
          <w:color w:val="2A2A2D"/>
        </w:rPr>
        <w:t xml:space="preserve"> however in no </w:t>
      </w:r>
      <w:r>
        <w:rPr>
          <w:rFonts w:ascii="Times New Roman" w:cs="Times New Roman" w:eastAsia="Times New Roman" w:hAnsi="Times New Roman"/>
          <w:sz w:val="18"/>
          <w:szCs w:val="18"/>
          <w:color w:val="3B3B3D"/>
        </w:rPr>
        <w:t>event will</w:t>
      </w:r>
      <w:r>
        <w:rPr>
          <w:rFonts w:ascii="Times New Roman" w:cs="Times New Roman" w:eastAsia="Times New Roman" w:hAnsi="Times New Roman"/>
          <w:sz w:val="18"/>
          <w:szCs w:val="18"/>
          <w:color w:val="2A2A2D"/>
        </w:rPr>
        <w:t xml:space="preserve"> there be </w:t>
      </w:r>
      <w:r>
        <w:rPr>
          <w:rFonts w:ascii="Times New Roman" w:cs="Times New Roman" w:eastAsia="Times New Roman" w:hAnsi="Times New Roman"/>
          <w:sz w:val="18"/>
          <w:szCs w:val="18"/>
          <w:color w:val="3B3B3D"/>
        </w:rPr>
        <w:t>arbitration</w:t>
      </w:r>
      <w:r>
        <w:rPr>
          <w:rFonts w:ascii="Times New Roman" w:cs="Times New Roman" w:eastAsia="Times New Roman" w:hAnsi="Times New Roman"/>
          <w:sz w:val="18"/>
          <w:szCs w:val="18"/>
          <w:color w:val="2A2A2D"/>
        </w:rPr>
        <w:t xml:space="preserve"> of </w:t>
      </w:r>
      <w:r>
        <w:rPr>
          <w:rFonts w:ascii="Times New Roman" w:cs="Times New Roman" w:eastAsia="Times New Roman" w:hAnsi="Times New Roman"/>
          <w:sz w:val="18"/>
          <w:szCs w:val="18"/>
          <w:color w:val="3B3B3D"/>
        </w:rPr>
        <w:t>any form of a class</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2A2A2D"/>
        </w:rPr>
        <w:t xml:space="preserve"> </w:t>
      </w:r>
      <w:r>
        <w:rPr>
          <w:rFonts w:ascii="Times New Roman" w:cs="Times New Roman" w:eastAsia="Times New Roman" w:hAnsi="Times New Roman"/>
          <w:sz w:val="18"/>
          <w:szCs w:val="18"/>
          <w:color w:val="3B3B3D"/>
        </w:rPr>
        <w:t>collective</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2A2A2D"/>
        </w:rPr>
        <w:t xml:space="preserve"> </w:t>
      </w:r>
      <w:r>
        <w:rPr>
          <w:rFonts w:ascii="Times New Roman" w:cs="Times New Roman" w:eastAsia="Times New Roman" w:hAnsi="Times New Roman"/>
          <w:sz w:val="18"/>
          <w:szCs w:val="18"/>
          <w:color w:val="3B3B3D"/>
        </w:rPr>
        <w:t>or</w:t>
      </w:r>
      <w:r>
        <w:rPr>
          <w:rFonts w:ascii="Times New Roman" w:cs="Times New Roman" w:eastAsia="Times New Roman" w:hAnsi="Times New Roman"/>
          <w:sz w:val="18"/>
          <w:szCs w:val="18"/>
          <w:color w:val="2A2A2D"/>
        </w:rPr>
        <w:t xml:space="preserve"> representative proceeding. </w:t>
      </w:r>
      <w:r>
        <w:rPr>
          <w:rFonts w:ascii="Times New Roman" w:cs="Times New Roman" w:eastAsia="Times New Roman" w:hAnsi="Times New Roman"/>
          <w:sz w:val="18"/>
          <w:szCs w:val="18"/>
          <w:color w:val="3B3B3D"/>
        </w:rPr>
        <w:t>Any failure to enforce</w:t>
      </w:r>
      <w:r>
        <w:rPr>
          <w:rFonts w:ascii="Times New Roman" w:cs="Times New Roman" w:eastAsia="Times New Roman" w:hAnsi="Times New Roman"/>
          <w:sz w:val="18"/>
          <w:szCs w:val="18"/>
          <w:color w:val="2A2A2D"/>
        </w:rPr>
        <w:t xml:space="preserve"> any part of this </w:t>
      </w:r>
      <w:r>
        <w:rPr>
          <w:rFonts w:ascii="Times New Roman" w:cs="Times New Roman" w:eastAsia="Times New Roman" w:hAnsi="Times New Roman"/>
          <w:sz w:val="18"/>
          <w:szCs w:val="18"/>
          <w:color w:val="3B3B3D"/>
        </w:rPr>
        <w:t>Agreement at</w:t>
      </w:r>
      <w:r>
        <w:rPr>
          <w:rFonts w:ascii="Times New Roman" w:cs="Times New Roman" w:eastAsia="Times New Roman" w:hAnsi="Times New Roman"/>
          <w:sz w:val="18"/>
          <w:szCs w:val="18"/>
          <w:color w:val="2A2A2D"/>
        </w:rPr>
        <w:t xml:space="preserve"> any time </w:t>
      </w:r>
      <w:r>
        <w:rPr>
          <w:rFonts w:ascii="Times New Roman" w:cs="Times New Roman" w:eastAsia="Times New Roman" w:hAnsi="Times New Roman"/>
          <w:sz w:val="18"/>
          <w:szCs w:val="18"/>
          <w:color w:val="3B3B3D"/>
        </w:rPr>
        <w:t xml:space="preserve">shall </w:t>
      </w:r>
      <w:r>
        <w:rPr>
          <w:rFonts w:ascii="Times New Roman" w:cs="Times New Roman" w:eastAsia="Times New Roman" w:hAnsi="Times New Roman"/>
          <w:sz w:val="18"/>
          <w:szCs w:val="18"/>
          <w:color w:val="2A2A2D"/>
        </w:rPr>
        <w:t>in no</w:t>
      </w:r>
      <w:r>
        <w:rPr>
          <w:rFonts w:ascii="Times New Roman" w:cs="Times New Roman" w:eastAsia="Times New Roman" w:hAnsi="Times New Roman"/>
          <w:sz w:val="18"/>
          <w:szCs w:val="18"/>
          <w:color w:val="3B3B3D"/>
        </w:rPr>
        <w:t xml:space="preserve"> way </w:t>
      </w:r>
      <w:r>
        <w:rPr>
          <w:rFonts w:ascii="Times New Roman" w:cs="Times New Roman" w:eastAsia="Times New Roman" w:hAnsi="Times New Roman"/>
          <w:sz w:val="18"/>
          <w:szCs w:val="18"/>
          <w:color w:val="2A2A2D"/>
        </w:rPr>
        <w:t>affect the</w:t>
      </w:r>
      <w:r>
        <w:rPr>
          <w:rFonts w:ascii="Times New Roman" w:cs="Times New Roman" w:eastAsia="Times New Roman" w:hAnsi="Times New Roman"/>
          <w:sz w:val="18"/>
          <w:szCs w:val="18"/>
          <w:color w:val="3B3B3D"/>
        </w:rPr>
        <w:t xml:space="preserve"> right to enforce same at a </w:t>
      </w:r>
      <w:r>
        <w:rPr>
          <w:rFonts w:ascii="Times New Roman" w:cs="Times New Roman" w:eastAsia="Times New Roman" w:hAnsi="Times New Roman"/>
          <w:sz w:val="18"/>
          <w:szCs w:val="18"/>
          <w:color w:val="2A2A2D"/>
        </w:rPr>
        <w:t>later</w:t>
      </w:r>
      <w:r>
        <w:rPr>
          <w:rFonts w:ascii="Times New Roman" w:cs="Times New Roman" w:eastAsia="Times New Roman" w:hAnsi="Times New Roman"/>
          <w:sz w:val="18"/>
          <w:szCs w:val="18"/>
          <w:color w:val="3B3B3D"/>
        </w:rPr>
        <w:t xml:space="preserve"> time against the same or any other </w:t>
      </w:r>
      <w:r>
        <w:rPr>
          <w:rFonts w:ascii="Times New Roman" w:cs="Times New Roman" w:eastAsia="Times New Roman" w:hAnsi="Times New Roman"/>
          <w:sz w:val="18"/>
          <w:szCs w:val="18"/>
          <w:color w:val="2A2A2D"/>
        </w:rPr>
        <w:t>party or</w:t>
      </w:r>
      <w:r>
        <w:rPr>
          <w:rFonts w:ascii="Times New Roman" w:cs="Times New Roman" w:eastAsia="Times New Roman" w:hAnsi="Times New Roman"/>
          <w:sz w:val="18"/>
          <w:szCs w:val="18"/>
          <w:color w:val="3B3B3D"/>
        </w:rPr>
        <w:t xml:space="preserve"> any </w:t>
      </w:r>
      <w:r>
        <w:rPr>
          <w:rFonts w:ascii="Times New Roman" w:cs="Times New Roman" w:eastAsia="Times New Roman" w:hAnsi="Times New Roman"/>
          <w:sz w:val="18"/>
          <w:szCs w:val="18"/>
          <w:color w:val="2A2A2D"/>
        </w:rPr>
        <w:t>current</w:t>
      </w:r>
      <w:r>
        <w:rPr>
          <w:rFonts w:ascii="Times New Roman" w:cs="Times New Roman" w:eastAsia="Times New Roman" w:hAnsi="Times New Roman"/>
          <w:sz w:val="18"/>
          <w:szCs w:val="18"/>
          <w:color w:val="3B3B3D"/>
        </w:rPr>
        <w:t xml:space="preserve"> or </w:t>
      </w:r>
      <w:r>
        <w:rPr>
          <w:rFonts w:ascii="Times New Roman" w:cs="Times New Roman" w:eastAsia="Times New Roman" w:hAnsi="Times New Roman"/>
          <w:sz w:val="18"/>
          <w:szCs w:val="18"/>
          <w:color w:val="2A2A2D"/>
        </w:rPr>
        <w:t>future</w:t>
      </w:r>
      <w:r>
        <w:rPr>
          <w:rFonts w:ascii="Times New Roman" w:cs="Times New Roman" w:eastAsia="Times New Roman" w:hAnsi="Times New Roman"/>
          <w:sz w:val="18"/>
          <w:szCs w:val="18"/>
          <w:color w:val="3B3B3D"/>
        </w:rPr>
        <w:t xml:space="preserve"> claim.</w:t>
      </w:r>
    </w:p>
    <w:p>
      <w:pPr>
        <w:spacing w:after="0" w:line="143" w:lineRule="exact"/>
        <w:rPr>
          <w:sz w:val="20"/>
          <w:szCs w:val="20"/>
          <w:color w:val="auto"/>
        </w:rPr>
      </w:pPr>
    </w:p>
    <w:p>
      <w:pPr>
        <w:ind w:left="220" w:right="20" w:firstLine="8"/>
        <w:spacing w:after="0" w:line="282" w:lineRule="auto"/>
        <w:tabs>
          <w:tab w:leader="none" w:pos="931" w:val="left"/>
        </w:tabs>
        <w:numPr>
          <w:ilvl w:val="0"/>
          <w:numId w:val="245"/>
        </w:numPr>
        <w:rPr>
          <w:rFonts w:ascii="Times New Roman" w:cs="Times New Roman" w:eastAsia="Times New Roman" w:hAnsi="Times New Roman"/>
          <w:sz w:val="18"/>
          <w:szCs w:val="18"/>
          <w:color w:val="262628"/>
        </w:rPr>
      </w:pPr>
      <w:r>
        <w:rPr>
          <w:rFonts w:ascii="Times New Roman" w:cs="Times New Roman" w:eastAsia="Times New Roman" w:hAnsi="Times New Roman"/>
          <w:sz w:val="18"/>
          <w:szCs w:val="18"/>
          <w:u w:val="single" w:color="auto"/>
          <w:color w:val="262628"/>
        </w:rPr>
        <w:t>Employment Relationship Unchanged by this Agreement.</w:t>
      </w:r>
      <w:r>
        <w:rPr>
          <w:rFonts w:ascii="Times New Roman" w:cs="Times New Roman" w:eastAsia="Times New Roman" w:hAnsi="Times New Roman"/>
          <w:sz w:val="18"/>
          <w:szCs w:val="18"/>
          <w:color w:val="262628"/>
        </w:rPr>
        <w:t xml:space="preserve"> Nothing in this Agreement changes </w:t>
      </w:r>
      <w:r>
        <w:rPr>
          <w:rFonts w:ascii="Times New Roman" w:cs="Times New Roman" w:eastAsia="Times New Roman" w:hAnsi="Times New Roman"/>
          <w:sz w:val="18"/>
          <w:szCs w:val="18"/>
          <w:color w:val="363638"/>
        </w:rPr>
        <w:t>your employment</w:t>
      </w:r>
      <w:r>
        <w:rPr>
          <w:rFonts w:ascii="Times New Roman" w:cs="Times New Roman" w:eastAsia="Times New Roman" w:hAnsi="Times New Roman"/>
          <w:sz w:val="18"/>
          <w:szCs w:val="18"/>
          <w:color w:val="262628"/>
        </w:rPr>
        <w:t xml:space="preserve"> relationship </w:t>
      </w:r>
      <w:r>
        <w:rPr>
          <w:rFonts w:ascii="Times New Roman" w:cs="Times New Roman" w:eastAsia="Times New Roman" w:hAnsi="Times New Roman"/>
          <w:sz w:val="18"/>
          <w:szCs w:val="18"/>
          <w:color w:val="363638"/>
        </w:rPr>
        <w:t>with</w:t>
      </w:r>
      <w:r>
        <w:rPr>
          <w:rFonts w:ascii="Times New Roman" w:cs="Times New Roman" w:eastAsia="Times New Roman" w:hAnsi="Times New Roman"/>
          <w:sz w:val="18"/>
          <w:szCs w:val="18"/>
          <w:color w:val="262628"/>
        </w:rPr>
        <w:t xml:space="preserve"> the </w:t>
      </w:r>
      <w:r>
        <w:rPr>
          <w:rFonts w:ascii="Times New Roman" w:cs="Times New Roman" w:eastAsia="Times New Roman" w:hAnsi="Times New Roman"/>
          <w:sz w:val="18"/>
          <w:szCs w:val="18"/>
          <w:color w:val="363638"/>
        </w:rPr>
        <w:t>Employer</w:t>
      </w:r>
      <w:r>
        <w:rPr>
          <w:rFonts w:ascii="Times New Roman" w:cs="Times New Roman" w:eastAsia="Times New Roman" w:hAnsi="Times New Roman"/>
          <w:sz w:val="18"/>
          <w:szCs w:val="18"/>
          <w:color w:val="595759"/>
        </w:rPr>
        <w:t>,</w:t>
      </w:r>
      <w:r>
        <w:rPr>
          <w:rFonts w:ascii="Times New Roman" w:cs="Times New Roman" w:eastAsia="Times New Roman" w:hAnsi="Times New Roman"/>
          <w:sz w:val="18"/>
          <w:szCs w:val="18"/>
          <w:color w:val="363638"/>
        </w:rPr>
        <w:t xml:space="preserve"> </w:t>
      </w:r>
      <w:r>
        <w:rPr>
          <w:rFonts w:ascii="Times New Roman" w:cs="Times New Roman" w:eastAsia="Times New Roman" w:hAnsi="Times New Roman"/>
          <w:sz w:val="18"/>
          <w:szCs w:val="18"/>
          <w:color w:val="262628"/>
        </w:rPr>
        <w:t>as described in</w:t>
      </w:r>
      <w:r>
        <w:rPr>
          <w:rFonts w:ascii="Times New Roman" w:cs="Times New Roman" w:eastAsia="Times New Roman" w:hAnsi="Times New Roman"/>
          <w:sz w:val="18"/>
          <w:szCs w:val="18"/>
          <w:color w:val="363638"/>
        </w:rPr>
        <w:t xml:space="preserve"> yo</w:t>
      </w:r>
      <w:r>
        <w:rPr>
          <w:rFonts w:ascii="Times New Roman" w:cs="Times New Roman" w:eastAsia="Times New Roman" w:hAnsi="Times New Roman"/>
          <w:sz w:val="18"/>
          <w:szCs w:val="18"/>
          <w:color w:val="111113"/>
        </w:rPr>
        <w:t>ur</w:t>
      </w:r>
      <w:r>
        <w:rPr>
          <w:rFonts w:ascii="Times New Roman" w:cs="Times New Roman" w:eastAsia="Times New Roman" w:hAnsi="Times New Roman"/>
          <w:sz w:val="18"/>
          <w:szCs w:val="18"/>
          <w:color w:val="363638"/>
        </w:rPr>
        <w:t xml:space="preserve"> </w:t>
      </w:r>
      <w:r>
        <w:rPr>
          <w:rFonts w:ascii="Times New Roman" w:cs="Times New Roman" w:eastAsia="Times New Roman" w:hAnsi="Times New Roman"/>
          <w:sz w:val="18"/>
          <w:szCs w:val="18"/>
          <w:color w:val="262628"/>
        </w:rPr>
        <w:t>Executive</w:t>
      </w:r>
      <w:r>
        <w:rPr>
          <w:rFonts w:ascii="Times New Roman" w:cs="Times New Roman" w:eastAsia="Times New Roman" w:hAnsi="Times New Roman"/>
          <w:sz w:val="18"/>
          <w:szCs w:val="18"/>
          <w:color w:val="363638"/>
        </w:rPr>
        <w:t xml:space="preserve"> Employment </w:t>
      </w:r>
      <w:r>
        <w:rPr>
          <w:rFonts w:ascii="Times New Roman" w:cs="Times New Roman" w:eastAsia="Times New Roman" w:hAnsi="Times New Roman"/>
          <w:sz w:val="18"/>
          <w:szCs w:val="18"/>
          <w:color w:val="262628"/>
        </w:rPr>
        <w:t>Agreement.</w:t>
      </w:r>
    </w:p>
    <w:p>
      <w:pPr>
        <w:spacing w:after="0" w:line="121" w:lineRule="exact"/>
        <w:rPr>
          <w:rFonts w:ascii="Times New Roman" w:cs="Times New Roman" w:eastAsia="Times New Roman" w:hAnsi="Times New Roman"/>
          <w:sz w:val="18"/>
          <w:szCs w:val="18"/>
          <w:color w:val="262628"/>
        </w:rPr>
      </w:pPr>
    </w:p>
    <w:p>
      <w:pPr>
        <w:ind w:left="220" w:right="20" w:firstLine="8"/>
        <w:spacing w:after="0" w:line="282" w:lineRule="auto"/>
        <w:tabs>
          <w:tab w:leader="none" w:pos="931" w:val="left"/>
        </w:tabs>
        <w:numPr>
          <w:ilvl w:val="0"/>
          <w:numId w:val="245"/>
        </w:numPr>
        <w:rPr>
          <w:rFonts w:ascii="Times New Roman" w:cs="Times New Roman" w:eastAsia="Times New Roman" w:hAnsi="Times New Roman"/>
          <w:sz w:val="18"/>
          <w:szCs w:val="18"/>
          <w:color w:val="262628"/>
        </w:rPr>
      </w:pPr>
      <w:r>
        <w:rPr>
          <w:rFonts w:ascii="Times New Roman" w:cs="Times New Roman" w:eastAsia="Times New Roman" w:hAnsi="Times New Roman"/>
          <w:sz w:val="18"/>
          <w:szCs w:val="18"/>
          <w:u w:val="single" w:color="auto"/>
          <w:color w:val="262628"/>
        </w:rPr>
        <w:t>Internal Dispute Resolution</w:t>
      </w:r>
      <w:r>
        <w:rPr>
          <w:rFonts w:ascii="Times New Roman" w:cs="Times New Roman" w:eastAsia="Times New Roman" w:hAnsi="Times New Roman"/>
          <w:sz w:val="18"/>
          <w:szCs w:val="18"/>
          <w:color w:val="595759"/>
        </w:rPr>
        <w:t>.</w:t>
      </w:r>
      <w:r>
        <w:rPr>
          <w:rFonts w:ascii="Times New Roman" w:cs="Times New Roman" w:eastAsia="Times New Roman" w:hAnsi="Times New Roman"/>
          <w:sz w:val="18"/>
          <w:szCs w:val="18"/>
          <w:color w:val="262628"/>
        </w:rPr>
        <w:t xml:space="preserve"> The </w:t>
      </w:r>
      <w:r>
        <w:rPr>
          <w:rFonts w:ascii="Times New Roman" w:cs="Times New Roman" w:eastAsia="Times New Roman" w:hAnsi="Times New Roman"/>
          <w:sz w:val="18"/>
          <w:szCs w:val="18"/>
          <w:color w:val="363638"/>
        </w:rPr>
        <w:t>Emp</w:t>
      </w:r>
      <w:r>
        <w:rPr>
          <w:rFonts w:ascii="Times New Roman" w:cs="Times New Roman" w:eastAsia="Times New Roman" w:hAnsi="Times New Roman"/>
          <w:sz w:val="18"/>
          <w:szCs w:val="18"/>
          <w:color w:val="111113"/>
        </w:rPr>
        <w:t>lo</w:t>
      </w:r>
      <w:r>
        <w:rPr>
          <w:rFonts w:ascii="Times New Roman" w:cs="Times New Roman" w:eastAsia="Times New Roman" w:hAnsi="Times New Roman"/>
          <w:sz w:val="18"/>
          <w:szCs w:val="18"/>
          <w:color w:val="363638"/>
        </w:rPr>
        <w:t>yer and you</w:t>
      </w:r>
      <w:r>
        <w:rPr>
          <w:rFonts w:ascii="Times New Roman" w:cs="Times New Roman" w:eastAsia="Times New Roman" w:hAnsi="Times New Roman"/>
          <w:sz w:val="18"/>
          <w:szCs w:val="18"/>
          <w:color w:val="262628"/>
        </w:rPr>
        <w:t xml:space="preserve"> value our working relationship</w:t>
      </w:r>
      <w:r>
        <w:rPr>
          <w:rFonts w:ascii="Times New Roman" w:cs="Times New Roman" w:eastAsia="Times New Roman" w:hAnsi="Times New Roman"/>
          <w:sz w:val="18"/>
          <w:szCs w:val="18"/>
          <w:color w:val="494849"/>
        </w:rPr>
        <w:t>,</w:t>
      </w:r>
      <w:r>
        <w:rPr>
          <w:rFonts w:ascii="Times New Roman" w:cs="Times New Roman" w:eastAsia="Times New Roman" w:hAnsi="Times New Roman"/>
          <w:sz w:val="18"/>
          <w:szCs w:val="18"/>
          <w:color w:val="262628"/>
        </w:rPr>
        <w:t xml:space="preserve"> </w:t>
      </w:r>
      <w:r>
        <w:rPr>
          <w:rFonts w:ascii="Times New Roman" w:cs="Times New Roman" w:eastAsia="Times New Roman" w:hAnsi="Times New Roman"/>
          <w:sz w:val="18"/>
          <w:szCs w:val="18"/>
          <w:color w:val="363638"/>
        </w:rPr>
        <w:t>and</w:t>
      </w:r>
      <w:r>
        <w:rPr>
          <w:rFonts w:ascii="Times New Roman" w:cs="Times New Roman" w:eastAsia="Times New Roman" w:hAnsi="Times New Roman"/>
          <w:sz w:val="18"/>
          <w:szCs w:val="18"/>
          <w:color w:val="262628"/>
        </w:rPr>
        <w:t xml:space="preserve"> we </w:t>
      </w:r>
      <w:r>
        <w:rPr>
          <w:rFonts w:ascii="Times New Roman" w:cs="Times New Roman" w:eastAsia="Times New Roman" w:hAnsi="Times New Roman"/>
          <w:sz w:val="18"/>
          <w:szCs w:val="18"/>
          <w:color w:val="363638"/>
        </w:rPr>
        <w:t>would</w:t>
      </w:r>
      <w:r>
        <w:rPr>
          <w:rFonts w:ascii="Times New Roman" w:cs="Times New Roman" w:eastAsia="Times New Roman" w:hAnsi="Times New Roman"/>
          <w:sz w:val="18"/>
          <w:szCs w:val="18"/>
          <w:color w:val="262628"/>
        </w:rPr>
        <w:t xml:space="preserve"> prefer to address and resolve concerns through normal </w:t>
      </w:r>
      <w:r>
        <w:rPr>
          <w:rFonts w:ascii="Times New Roman" w:cs="Times New Roman" w:eastAsia="Times New Roman" w:hAnsi="Times New Roman"/>
          <w:sz w:val="18"/>
          <w:szCs w:val="18"/>
          <w:color w:val="363638"/>
        </w:rPr>
        <w:t>workplace</w:t>
      </w:r>
      <w:r>
        <w:rPr>
          <w:rFonts w:ascii="Times New Roman" w:cs="Times New Roman" w:eastAsia="Times New Roman" w:hAnsi="Times New Roman"/>
          <w:sz w:val="18"/>
          <w:szCs w:val="18"/>
          <w:color w:val="262628"/>
        </w:rPr>
        <w:t xml:space="preserve"> channels before resorting to </w:t>
      </w:r>
      <w:r>
        <w:rPr>
          <w:rFonts w:ascii="Times New Roman" w:cs="Times New Roman" w:eastAsia="Times New Roman" w:hAnsi="Times New Roman"/>
          <w:sz w:val="18"/>
          <w:szCs w:val="18"/>
          <w:color w:val="363638"/>
        </w:rPr>
        <w:t>arbitration.</w:t>
      </w:r>
      <w:r>
        <w:rPr>
          <w:rFonts w:ascii="Times New Roman" w:cs="Times New Roman" w:eastAsia="Times New Roman" w:hAnsi="Times New Roman"/>
          <w:sz w:val="18"/>
          <w:szCs w:val="18"/>
          <w:color w:val="262628"/>
        </w:rPr>
        <w:t xml:space="preserve"> Arbitration is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62628"/>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76200</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400" w:top="509" w:right="659" w:bottom="1440" w:gutter="0" w:footer="0" w:header="0"/>
        </w:sectPr>
      </w:pPr>
    </w:p>
    <w:bookmarkStart w:id="183" w:name="page184"/>
    <w:bookmarkEnd w:id="183"/>
    <w:p>
      <w:pPr>
        <w:jc w:val="both"/>
        <w:ind w:left="220" w:right="60" w:firstLine="711"/>
        <w:spacing w:after="0" w:line="261" w:lineRule="auto"/>
        <w:rPr>
          <w:sz w:val="20"/>
          <w:szCs w:val="20"/>
          <w:color w:val="auto"/>
        </w:rPr>
      </w:pPr>
      <w:r>
        <w:rPr>
          <w:rFonts w:ascii="Times New Roman" w:cs="Times New Roman" w:eastAsia="Times New Roman" w:hAnsi="Times New Roman"/>
          <w:sz w:val="18"/>
          <w:szCs w:val="18"/>
          <w:color w:val="262628"/>
        </w:rPr>
        <w:t xml:space="preserve">intended to be a </w:t>
      </w:r>
      <w:r>
        <w:rPr>
          <w:rFonts w:ascii="Times New Roman" w:cs="Times New Roman" w:eastAsia="Times New Roman" w:hAnsi="Times New Roman"/>
          <w:sz w:val="18"/>
          <w:szCs w:val="18"/>
          <w:color w:val="111113"/>
        </w:rPr>
        <w:t>last</w:t>
      </w:r>
      <w:r>
        <w:rPr>
          <w:rFonts w:ascii="Times New Roman" w:cs="Times New Roman" w:eastAsia="Times New Roman" w:hAnsi="Times New Roman"/>
          <w:sz w:val="18"/>
          <w:szCs w:val="18"/>
          <w:color w:val="262628"/>
        </w:rPr>
        <w:t xml:space="preserve"> resort. If </w:t>
      </w:r>
      <w:r>
        <w:rPr>
          <w:rFonts w:ascii="Times New Roman" w:cs="Times New Roman" w:eastAsia="Times New Roman" w:hAnsi="Times New Roman"/>
          <w:sz w:val="18"/>
          <w:szCs w:val="18"/>
          <w:color w:val="363638"/>
        </w:rPr>
        <w:t>you</w:t>
      </w:r>
      <w:r>
        <w:rPr>
          <w:rFonts w:ascii="Times New Roman" w:cs="Times New Roman" w:eastAsia="Times New Roman" w:hAnsi="Times New Roman"/>
          <w:sz w:val="18"/>
          <w:szCs w:val="18"/>
          <w:color w:val="262628"/>
        </w:rPr>
        <w:t xml:space="preserve"> have </w:t>
      </w:r>
      <w:r>
        <w:rPr>
          <w:rFonts w:ascii="Times New Roman" w:cs="Times New Roman" w:eastAsia="Times New Roman" w:hAnsi="Times New Roman"/>
          <w:sz w:val="18"/>
          <w:szCs w:val="18"/>
          <w:color w:val="363638"/>
        </w:rPr>
        <w:t>a</w:t>
      </w:r>
      <w:r>
        <w:rPr>
          <w:rFonts w:ascii="Times New Roman" w:cs="Times New Roman" w:eastAsia="Times New Roman" w:hAnsi="Times New Roman"/>
          <w:sz w:val="18"/>
          <w:szCs w:val="18"/>
          <w:color w:val="262628"/>
        </w:rPr>
        <w:t xml:space="preserve"> concern</w:t>
      </w:r>
      <w:r>
        <w:rPr>
          <w:rFonts w:ascii="Times New Roman" w:cs="Times New Roman" w:eastAsia="Times New Roman" w:hAnsi="Times New Roman"/>
          <w:sz w:val="18"/>
          <w:szCs w:val="18"/>
          <w:color w:val="494849"/>
        </w:rPr>
        <w:t>,</w:t>
      </w:r>
      <w:r>
        <w:rPr>
          <w:rFonts w:ascii="Times New Roman" w:cs="Times New Roman" w:eastAsia="Times New Roman" w:hAnsi="Times New Roman"/>
          <w:sz w:val="18"/>
          <w:szCs w:val="18"/>
          <w:color w:val="262628"/>
        </w:rPr>
        <w:t xml:space="preserve"> </w:t>
      </w:r>
      <w:r>
        <w:rPr>
          <w:rFonts w:ascii="Times New Roman" w:cs="Times New Roman" w:eastAsia="Times New Roman" w:hAnsi="Times New Roman"/>
          <w:sz w:val="18"/>
          <w:szCs w:val="18"/>
          <w:color w:val="363638"/>
        </w:rPr>
        <w:t>you</w:t>
      </w:r>
      <w:r>
        <w:rPr>
          <w:rFonts w:ascii="Times New Roman" w:cs="Times New Roman" w:eastAsia="Times New Roman" w:hAnsi="Times New Roman"/>
          <w:sz w:val="18"/>
          <w:szCs w:val="18"/>
          <w:color w:val="262628"/>
        </w:rPr>
        <w:t xml:space="preserve"> are encouraged to contact </w:t>
      </w:r>
      <w:r>
        <w:rPr>
          <w:rFonts w:ascii="Times New Roman" w:cs="Times New Roman" w:eastAsia="Times New Roman" w:hAnsi="Times New Roman"/>
          <w:sz w:val="18"/>
          <w:szCs w:val="18"/>
          <w:color w:val="363638"/>
        </w:rPr>
        <w:t>your</w:t>
      </w:r>
      <w:r>
        <w:rPr>
          <w:rFonts w:ascii="Times New Roman" w:cs="Times New Roman" w:eastAsia="Times New Roman" w:hAnsi="Times New Roman"/>
          <w:sz w:val="18"/>
          <w:szCs w:val="18"/>
          <w:color w:val="262628"/>
        </w:rPr>
        <w:t xml:space="preserve"> manager</w:t>
      </w:r>
      <w:r>
        <w:rPr>
          <w:rFonts w:ascii="Times New Roman" w:cs="Times New Roman" w:eastAsia="Times New Roman" w:hAnsi="Times New Roman"/>
          <w:sz w:val="18"/>
          <w:szCs w:val="18"/>
          <w:color w:val="595759"/>
        </w:rPr>
        <w:t>,</w:t>
      </w:r>
      <w:r>
        <w:rPr>
          <w:rFonts w:ascii="Times New Roman" w:cs="Times New Roman" w:eastAsia="Times New Roman" w:hAnsi="Times New Roman"/>
          <w:sz w:val="18"/>
          <w:szCs w:val="18"/>
          <w:color w:val="262628"/>
        </w:rPr>
        <w:t xml:space="preserve"> a human resources representative</w:t>
      </w:r>
      <w:r>
        <w:rPr>
          <w:rFonts w:ascii="Times New Roman" w:cs="Times New Roman" w:eastAsia="Times New Roman" w:hAnsi="Times New Roman"/>
          <w:sz w:val="18"/>
          <w:szCs w:val="18"/>
          <w:color w:val="595759"/>
        </w:rPr>
        <w:t>,</w:t>
      </w:r>
      <w:r>
        <w:rPr>
          <w:rFonts w:ascii="Times New Roman" w:cs="Times New Roman" w:eastAsia="Times New Roman" w:hAnsi="Times New Roman"/>
          <w:sz w:val="18"/>
          <w:szCs w:val="18"/>
          <w:color w:val="262628"/>
        </w:rPr>
        <w:t xml:space="preserve"> contact the General Counsel</w:t>
      </w:r>
      <w:r>
        <w:rPr>
          <w:rFonts w:ascii="Times New Roman" w:cs="Times New Roman" w:eastAsia="Times New Roman" w:hAnsi="Times New Roman"/>
          <w:sz w:val="18"/>
          <w:szCs w:val="18"/>
          <w:color w:val="595759"/>
        </w:rPr>
        <w:t>,</w:t>
      </w:r>
      <w:r>
        <w:rPr>
          <w:rFonts w:ascii="Times New Roman" w:cs="Times New Roman" w:eastAsia="Times New Roman" w:hAnsi="Times New Roman"/>
          <w:sz w:val="18"/>
          <w:szCs w:val="18"/>
          <w:color w:val="262628"/>
        </w:rPr>
        <w:t xml:space="preserve"> or take advantage of any hotline or complaint initiation processes available to </w:t>
      </w:r>
      <w:r>
        <w:rPr>
          <w:rFonts w:ascii="Times New Roman" w:cs="Times New Roman" w:eastAsia="Times New Roman" w:hAnsi="Times New Roman"/>
          <w:sz w:val="18"/>
          <w:szCs w:val="18"/>
          <w:color w:val="363638"/>
        </w:rPr>
        <w:t>you</w:t>
      </w:r>
      <w:r>
        <w:rPr>
          <w:rFonts w:ascii="Times New Roman" w:cs="Times New Roman" w:eastAsia="Times New Roman" w:hAnsi="Times New Roman"/>
          <w:sz w:val="18"/>
          <w:szCs w:val="18"/>
          <w:color w:val="111113"/>
        </w:rPr>
        <w:t>.</w:t>
      </w:r>
      <w:r>
        <w:rPr>
          <w:rFonts w:ascii="Times New Roman" w:cs="Times New Roman" w:eastAsia="Times New Roman" w:hAnsi="Times New Roman"/>
          <w:sz w:val="18"/>
          <w:szCs w:val="18"/>
          <w:color w:val="262628"/>
        </w:rPr>
        <w:t xml:space="preserve"> The Employer will investigate</w:t>
      </w:r>
      <w:r>
        <w:rPr>
          <w:rFonts w:ascii="Times New Roman" w:cs="Times New Roman" w:eastAsia="Times New Roman" w:hAnsi="Times New Roman"/>
          <w:sz w:val="18"/>
          <w:szCs w:val="18"/>
          <w:color w:val="494849"/>
        </w:rPr>
        <w:t>,</w:t>
      </w:r>
      <w:r>
        <w:rPr>
          <w:rFonts w:ascii="Times New Roman" w:cs="Times New Roman" w:eastAsia="Times New Roman" w:hAnsi="Times New Roman"/>
          <w:sz w:val="18"/>
          <w:szCs w:val="18"/>
          <w:color w:val="262628"/>
        </w:rPr>
        <w:t xml:space="preserve"> and should </w:t>
      </w:r>
      <w:r>
        <w:rPr>
          <w:rFonts w:ascii="Times New Roman" w:cs="Times New Roman" w:eastAsia="Times New Roman" w:hAnsi="Times New Roman"/>
          <w:sz w:val="18"/>
          <w:szCs w:val="18"/>
          <w:color w:val="363638"/>
        </w:rPr>
        <w:t>your</w:t>
      </w:r>
      <w:r>
        <w:rPr>
          <w:rFonts w:ascii="Times New Roman" w:cs="Times New Roman" w:eastAsia="Times New Roman" w:hAnsi="Times New Roman"/>
          <w:sz w:val="18"/>
          <w:szCs w:val="18"/>
          <w:color w:val="262628"/>
        </w:rPr>
        <w:t xml:space="preserve"> concerns be substantiated</w:t>
      </w:r>
      <w:r>
        <w:rPr>
          <w:rFonts w:ascii="Times New Roman" w:cs="Times New Roman" w:eastAsia="Times New Roman" w:hAnsi="Times New Roman"/>
          <w:sz w:val="18"/>
          <w:szCs w:val="18"/>
          <w:color w:val="494849"/>
        </w:rPr>
        <w:t>,</w:t>
      </w:r>
      <w:r>
        <w:rPr>
          <w:rFonts w:ascii="Times New Roman" w:cs="Times New Roman" w:eastAsia="Times New Roman" w:hAnsi="Times New Roman"/>
          <w:sz w:val="18"/>
          <w:szCs w:val="18"/>
          <w:color w:val="262628"/>
        </w:rPr>
        <w:t xml:space="preserve"> the </w:t>
      </w:r>
      <w:r>
        <w:rPr>
          <w:rFonts w:ascii="Times New Roman" w:cs="Times New Roman" w:eastAsia="Times New Roman" w:hAnsi="Times New Roman"/>
          <w:sz w:val="18"/>
          <w:szCs w:val="18"/>
          <w:color w:val="363638"/>
        </w:rPr>
        <w:t>Employer will</w:t>
      </w:r>
      <w:r>
        <w:rPr>
          <w:rFonts w:ascii="Times New Roman" w:cs="Times New Roman" w:eastAsia="Times New Roman" w:hAnsi="Times New Roman"/>
          <w:sz w:val="18"/>
          <w:szCs w:val="18"/>
          <w:color w:val="262628"/>
        </w:rPr>
        <w:t xml:space="preserve"> meet </w:t>
      </w:r>
      <w:r>
        <w:rPr>
          <w:rFonts w:ascii="Times New Roman" w:cs="Times New Roman" w:eastAsia="Times New Roman" w:hAnsi="Times New Roman"/>
          <w:sz w:val="18"/>
          <w:szCs w:val="18"/>
          <w:color w:val="363638"/>
        </w:rPr>
        <w:t>with you</w:t>
      </w:r>
      <w:r>
        <w:rPr>
          <w:rFonts w:ascii="Times New Roman" w:cs="Times New Roman" w:eastAsia="Times New Roman" w:hAnsi="Times New Roman"/>
          <w:sz w:val="18"/>
          <w:szCs w:val="18"/>
          <w:color w:val="262628"/>
        </w:rPr>
        <w:t xml:space="preserve"> to discuss proposed resolutions. If </w:t>
      </w:r>
      <w:r>
        <w:rPr>
          <w:rFonts w:ascii="Times New Roman" w:cs="Times New Roman" w:eastAsia="Times New Roman" w:hAnsi="Times New Roman"/>
          <w:sz w:val="18"/>
          <w:szCs w:val="18"/>
          <w:color w:val="363638"/>
        </w:rPr>
        <w:t>you are</w:t>
      </w:r>
      <w:r>
        <w:rPr>
          <w:rFonts w:ascii="Times New Roman" w:cs="Times New Roman" w:eastAsia="Times New Roman" w:hAnsi="Times New Roman"/>
          <w:sz w:val="18"/>
          <w:szCs w:val="18"/>
          <w:color w:val="262628"/>
        </w:rPr>
        <w:t xml:space="preserve"> dissatisfied </w:t>
      </w:r>
      <w:r>
        <w:rPr>
          <w:rFonts w:ascii="Times New Roman" w:cs="Times New Roman" w:eastAsia="Times New Roman" w:hAnsi="Times New Roman"/>
          <w:sz w:val="18"/>
          <w:szCs w:val="18"/>
          <w:color w:val="363638"/>
        </w:rPr>
        <w:t>with</w:t>
      </w:r>
      <w:r>
        <w:rPr>
          <w:rFonts w:ascii="Times New Roman" w:cs="Times New Roman" w:eastAsia="Times New Roman" w:hAnsi="Times New Roman"/>
          <w:sz w:val="18"/>
          <w:szCs w:val="18"/>
          <w:color w:val="262628"/>
        </w:rPr>
        <w:t xml:space="preserve"> the investigation results</w:t>
      </w:r>
      <w:r>
        <w:rPr>
          <w:rFonts w:ascii="Times New Roman" w:cs="Times New Roman" w:eastAsia="Times New Roman" w:hAnsi="Times New Roman"/>
          <w:sz w:val="18"/>
          <w:szCs w:val="18"/>
          <w:color w:val="494849"/>
        </w:rPr>
        <w:t>,</w:t>
      </w:r>
      <w:r>
        <w:rPr>
          <w:rFonts w:ascii="Times New Roman" w:cs="Times New Roman" w:eastAsia="Times New Roman" w:hAnsi="Times New Roman"/>
          <w:sz w:val="18"/>
          <w:szCs w:val="18"/>
          <w:color w:val="262628"/>
        </w:rPr>
        <w:t xml:space="preserve"> </w:t>
      </w:r>
      <w:r>
        <w:rPr>
          <w:rFonts w:ascii="Times New Roman" w:cs="Times New Roman" w:eastAsia="Times New Roman" w:hAnsi="Times New Roman"/>
          <w:sz w:val="18"/>
          <w:szCs w:val="18"/>
          <w:color w:val="363638"/>
        </w:rPr>
        <w:t>you</w:t>
      </w:r>
      <w:r>
        <w:rPr>
          <w:rFonts w:ascii="Times New Roman" w:cs="Times New Roman" w:eastAsia="Times New Roman" w:hAnsi="Times New Roman"/>
          <w:sz w:val="18"/>
          <w:szCs w:val="18"/>
          <w:color w:val="262628"/>
        </w:rPr>
        <w:t xml:space="preserve"> ma</w:t>
      </w:r>
      <w:r>
        <w:rPr>
          <w:rFonts w:ascii="Times New Roman" w:cs="Times New Roman" w:eastAsia="Times New Roman" w:hAnsi="Times New Roman"/>
          <w:sz w:val="18"/>
          <w:szCs w:val="18"/>
          <w:color w:val="494849"/>
        </w:rPr>
        <w:t>y</w:t>
      </w:r>
      <w:r>
        <w:rPr>
          <w:rFonts w:ascii="Times New Roman" w:cs="Times New Roman" w:eastAsia="Times New Roman" w:hAnsi="Times New Roman"/>
          <w:sz w:val="18"/>
          <w:szCs w:val="18"/>
          <w:color w:val="262628"/>
        </w:rPr>
        <w:t xml:space="preserve"> provide the </w:t>
      </w:r>
      <w:r>
        <w:rPr>
          <w:rFonts w:ascii="Times New Roman" w:cs="Times New Roman" w:eastAsia="Times New Roman" w:hAnsi="Times New Roman"/>
          <w:sz w:val="18"/>
          <w:szCs w:val="18"/>
          <w:color w:val="363638"/>
        </w:rPr>
        <w:t>Emp</w:t>
      </w:r>
      <w:r>
        <w:rPr>
          <w:rFonts w:ascii="Times New Roman" w:cs="Times New Roman" w:eastAsia="Times New Roman" w:hAnsi="Times New Roman"/>
          <w:sz w:val="18"/>
          <w:szCs w:val="18"/>
          <w:color w:val="111113"/>
        </w:rPr>
        <w:t>lo</w:t>
      </w:r>
      <w:r>
        <w:rPr>
          <w:rFonts w:ascii="Times New Roman" w:cs="Times New Roman" w:eastAsia="Times New Roman" w:hAnsi="Times New Roman"/>
          <w:sz w:val="18"/>
          <w:szCs w:val="18"/>
          <w:color w:val="363638"/>
        </w:rPr>
        <w:t>yer</w:t>
      </w:r>
      <w:r>
        <w:rPr>
          <w:rFonts w:ascii="Times New Roman" w:cs="Times New Roman" w:eastAsia="Times New Roman" w:hAnsi="Times New Roman"/>
          <w:sz w:val="18"/>
          <w:szCs w:val="18"/>
          <w:color w:val="262628"/>
        </w:rPr>
        <w:t xml:space="preserve"> with </w:t>
      </w:r>
      <w:r>
        <w:rPr>
          <w:rFonts w:ascii="Times New Roman" w:cs="Times New Roman" w:eastAsia="Times New Roman" w:hAnsi="Times New Roman"/>
          <w:sz w:val="18"/>
          <w:szCs w:val="18"/>
          <w:color w:val="363638"/>
        </w:rPr>
        <w:t>a</w:t>
      </w:r>
      <w:r>
        <w:rPr>
          <w:rFonts w:ascii="Times New Roman" w:cs="Times New Roman" w:eastAsia="Times New Roman" w:hAnsi="Times New Roman"/>
          <w:sz w:val="18"/>
          <w:szCs w:val="18"/>
          <w:color w:val="111113"/>
        </w:rPr>
        <w:t>n</w:t>
      </w:r>
      <w:r>
        <w:rPr>
          <w:rFonts w:ascii="Times New Roman" w:cs="Times New Roman" w:eastAsia="Times New Roman" w:hAnsi="Times New Roman"/>
          <w:sz w:val="18"/>
          <w:szCs w:val="18"/>
          <w:color w:val="262628"/>
        </w:rPr>
        <w:t xml:space="preserve"> arbitration demand as described </w:t>
      </w:r>
      <w:r>
        <w:rPr>
          <w:rFonts w:ascii="Times New Roman" w:cs="Times New Roman" w:eastAsia="Times New Roman" w:hAnsi="Times New Roman"/>
          <w:sz w:val="18"/>
          <w:szCs w:val="18"/>
          <w:color w:val="111113"/>
        </w:rPr>
        <w:t>in</w:t>
      </w:r>
      <w:r>
        <w:rPr>
          <w:rFonts w:ascii="Times New Roman" w:cs="Times New Roman" w:eastAsia="Times New Roman" w:hAnsi="Times New Roman"/>
          <w:sz w:val="18"/>
          <w:szCs w:val="18"/>
          <w:color w:val="262628"/>
        </w:rPr>
        <w:t xml:space="preserve"> </w:t>
      </w:r>
      <w:r>
        <w:rPr>
          <w:rFonts w:ascii="Times New Roman" w:cs="Times New Roman" w:eastAsia="Times New Roman" w:hAnsi="Times New Roman"/>
          <w:sz w:val="18"/>
          <w:szCs w:val="18"/>
          <w:color w:val="363638"/>
        </w:rPr>
        <w:t>Section 7</w:t>
      </w:r>
      <w:r>
        <w:rPr>
          <w:rFonts w:ascii="Times New Roman" w:cs="Times New Roman" w:eastAsia="Times New Roman" w:hAnsi="Times New Roman"/>
          <w:sz w:val="18"/>
          <w:szCs w:val="18"/>
          <w:color w:val="595759"/>
        </w:rPr>
        <w:t>.</w:t>
      </w:r>
    </w:p>
    <w:p>
      <w:pPr>
        <w:spacing w:after="0" w:line="153" w:lineRule="exact"/>
        <w:rPr>
          <w:sz w:val="20"/>
          <w:szCs w:val="20"/>
          <w:color w:val="auto"/>
        </w:rPr>
      </w:pPr>
    </w:p>
    <w:p>
      <w:pPr>
        <w:ind w:left="940" w:hanging="712"/>
        <w:spacing w:after="0"/>
        <w:tabs>
          <w:tab w:leader="none" w:pos="940" w:val="left"/>
        </w:tabs>
        <w:numPr>
          <w:ilvl w:val="0"/>
          <w:numId w:val="246"/>
        </w:numPr>
        <w:rPr>
          <w:rFonts w:ascii="Times New Roman" w:cs="Times New Roman" w:eastAsia="Times New Roman" w:hAnsi="Times New Roman"/>
          <w:sz w:val="18"/>
          <w:szCs w:val="18"/>
          <w:color w:val="262628"/>
        </w:rPr>
      </w:pPr>
      <w:r>
        <w:rPr>
          <w:rFonts w:ascii="Times New Roman" w:cs="Times New Roman" w:eastAsia="Times New Roman" w:hAnsi="Times New Roman"/>
          <w:sz w:val="18"/>
          <w:szCs w:val="18"/>
          <w:u w:val="single" w:color="auto"/>
          <w:color w:val="262628"/>
        </w:rPr>
        <w:t>How to File for Arbitration.</w:t>
      </w:r>
      <w:r>
        <w:rPr>
          <w:rFonts w:ascii="Times New Roman" w:cs="Times New Roman" w:eastAsia="Times New Roman" w:hAnsi="Times New Roman"/>
          <w:sz w:val="18"/>
          <w:szCs w:val="18"/>
          <w:color w:val="262628"/>
        </w:rPr>
        <w:t xml:space="preserve"> To file a demand for arbitration:</w:t>
      </w:r>
    </w:p>
    <w:p>
      <w:pPr>
        <w:spacing w:after="0" w:line="185" w:lineRule="exact"/>
        <w:rPr>
          <w:sz w:val="20"/>
          <w:szCs w:val="20"/>
          <w:color w:val="auto"/>
        </w:rPr>
      </w:pPr>
    </w:p>
    <w:p>
      <w:pPr>
        <w:jc w:val="both"/>
        <w:ind w:left="280"/>
        <w:spacing w:after="0" w:line="256" w:lineRule="auto"/>
        <w:rPr>
          <w:sz w:val="20"/>
          <w:szCs w:val="20"/>
          <w:color w:val="auto"/>
        </w:rPr>
      </w:pPr>
      <w:r>
        <w:rPr>
          <w:rFonts w:ascii="Times New Roman" w:cs="Times New Roman" w:eastAsia="Times New Roman" w:hAnsi="Times New Roman"/>
          <w:sz w:val="18"/>
          <w:szCs w:val="18"/>
          <w:color w:val="363638"/>
        </w:rPr>
        <w:t xml:space="preserve">The </w:t>
      </w:r>
      <w:r>
        <w:rPr>
          <w:rFonts w:ascii="Times New Roman" w:cs="Times New Roman" w:eastAsia="Times New Roman" w:hAnsi="Times New Roman"/>
          <w:sz w:val="18"/>
          <w:szCs w:val="18"/>
          <w:color w:val="262628"/>
        </w:rPr>
        <w:t>party desiring to pursue</w:t>
      </w:r>
      <w:r>
        <w:rPr>
          <w:rFonts w:ascii="Times New Roman" w:cs="Times New Roman" w:eastAsia="Times New Roman" w:hAnsi="Times New Roman"/>
          <w:sz w:val="18"/>
          <w:szCs w:val="18"/>
          <w:color w:val="363638"/>
        </w:rPr>
        <w:t xml:space="preserve"> a </w:t>
      </w:r>
      <w:r>
        <w:rPr>
          <w:rFonts w:ascii="Times New Roman" w:cs="Times New Roman" w:eastAsia="Times New Roman" w:hAnsi="Times New Roman"/>
          <w:sz w:val="18"/>
          <w:szCs w:val="18"/>
          <w:color w:val="262628"/>
        </w:rPr>
        <w:t>legal dispute must prepare a</w:t>
      </w:r>
      <w:r>
        <w:rPr>
          <w:rFonts w:ascii="Times New Roman" w:cs="Times New Roman" w:eastAsia="Times New Roman" w:hAnsi="Times New Roman"/>
          <w:sz w:val="18"/>
          <w:szCs w:val="18"/>
          <w:color w:val="363638"/>
        </w:rPr>
        <w:t xml:space="preserve"> written </w:t>
      </w:r>
      <w:r>
        <w:rPr>
          <w:rFonts w:ascii="Times New Roman" w:cs="Times New Roman" w:eastAsia="Times New Roman" w:hAnsi="Times New Roman"/>
          <w:sz w:val="18"/>
          <w:szCs w:val="18"/>
          <w:color w:val="262628"/>
        </w:rPr>
        <w:t>demand setting forth the claim(s)</w:t>
      </w:r>
      <w:r>
        <w:rPr>
          <w:rFonts w:ascii="Times New Roman" w:cs="Times New Roman" w:eastAsia="Times New Roman" w:hAnsi="Times New Roman"/>
          <w:sz w:val="18"/>
          <w:szCs w:val="18"/>
          <w:color w:val="494849"/>
        </w:rPr>
        <w:t>.</w:t>
      </w:r>
      <w:r>
        <w:rPr>
          <w:rFonts w:ascii="Times New Roman" w:cs="Times New Roman" w:eastAsia="Times New Roman" w:hAnsi="Times New Roman"/>
          <w:sz w:val="18"/>
          <w:szCs w:val="18"/>
          <w:color w:val="363638"/>
        </w:rPr>
        <w:t xml:space="preserve"> </w:t>
      </w:r>
      <w:r>
        <w:rPr>
          <w:rFonts w:ascii="Times New Roman" w:cs="Times New Roman" w:eastAsia="Times New Roman" w:hAnsi="Times New Roman"/>
          <w:sz w:val="18"/>
          <w:szCs w:val="18"/>
          <w:color w:val="262628"/>
        </w:rPr>
        <w:t>Upon request, the</w:t>
      </w:r>
      <w:r>
        <w:rPr>
          <w:rFonts w:ascii="Times New Roman" w:cs="Times New Roman" w:eastAsia="Times New Roman" w:hAnsi="Times New Roman"/>
          <w:sz w:val="18"/>
          <w:szCs w:val="18"/>
          <w:color w:val="363638"/>
        </w:rPr>
        <w:t xml:space="preserve"> Emp</w:t>
      </w:r>
      <w:r>
        <w:rPr>
          <w:rFonts w:ascii="Times New Roman" w:cs="Times New Roman" w:eastAsia="Times New Roman" w:hAnsi="Times New Roman"/>
          <w:sz w:val="18"/>
          <w:szCs w:val="18"/>
          <w:color w:val="111113"/>
        </w:rPr>
        <w:t>loyer</w:t>
      </w:r>
      <w:r>
        <w:rPr>
          <w:rFonts w:ascii="Times New Roman" w:cs="Times New Roman" w:eastAsia="Times New Roman" w:hAnsi="Times New Roman"/>
          <w:sz w:val="18"/>
          <w:szCs w:val="18"/>
          <w:color w:val="363638"/>
        </w:rPr>
        <w:t xml:space="preserve"> </w:t>
      </w:r>
      <w:r>
        <w:rPr>
          <w:rFonts w:ascii="Times New Roman" w:cs="Times New Roman" w:eastAsia="Times New Roman" w:hAnsi="Times New Roman"/>
          <w:sz w:val="18"/>
          <w:szCs w:val="18"/>
          <w:color w:val="262628"/>
        </w:rPr>
        <w:t>will provide a</w:t>
      </w:r>
      <w:r>
        <w:rPr>
          <w:rFonts w:ascii="Times New Roman" w:cs="Times New Roman" w:eastAsia="Times New Roman" w:hAnsi="Times New Roman"/>
          <w:sz w:val="18"/>
          <w:szCs w:val="18"/>
          <w:color w:val="363638"/>
        </w:rPr>
        <w:t xml:space="preserve"> </w:t>
      </w:r>
      <w:r>
        <w:rPr>
          <w:rFonts w:ascii="Times New Roman" w:cs="Times New Roman" w:eastAsia="Times New Roman" w:hAnsi="Times New Roman"/>
          <w:sz w:val="18"/>
          <w:szCs w:val="18"/>
          <w:color w:val="111113"/>
        </w:rPr>
        <w:t xml:space="preserve">Demand </w:t>
      </w:r>
      <w:r>
        <w:rPr>
          <w:rFonts w:ascii="Times New Roman" w:cs="Times New Roman" w:eastAsia="Times New Roman" w:hAnsi="Times New Roman"/>
          <w:sz w:val="18"/>
          <w:szCs w:val="18"/>
          <w:color w:val="262628"/>
        </w:rPr>
        <w:t>for Arbitration form which</w:t>
      </w:r>
      <w:r>
        <w:rPr>
          <w:rFonts w:ascii="Times New Roman" w:cs="Times New Roman" w:eastAsia="Times New Roman" w:hAnsi="Times New Roman"/>
          <w:sz w:val="18"/>
          <w:szCs w:val="18"/>
          <w:color w:val="111113"/>
        </w:rPr>
        <w:t xml:space="preserve"> </w:t>
      </w:r>
      <w:r>
        <w:rPr>
          <w:rFonts w:ascii="Times New Roman" w:cs="Times New Roman" w:eastAsia="Times New Roman" w:hAnsi="Times New Roman"/>
          <w:sz w:val="18"/>
          <w:szCs w:val="18"/>
          <w:color w:val="363638"/>
        </w:rPr>
        <w:t>you</w:t>
      </w:r>
      <w:r>
        <w:rPr>
          <w:rFonts w:ascii="Times New Roman" w:cs="Times New Roman" w:eastAsia="Times New Roman" w:hAnsi="Times New Roman"/>
          <w:sz w:val="18"/>
          <w:szCs w:val="18"/>
          <w:color w:val="111113"/>
        </w:rPr>
        <w:t xml:space="preserve"> </w:t>
      </w:r>
      <w:r>
        <w:rPr>
          <w:rFonts w:ascii="Times New Roman" w:cs="Times New Roman" w:eastAsia="Times New Roman" w:hAnsi="Times New Roman"/>
          <w:sz w:val="18"/>
          <w:szCs w:val="18"/>
          <w:color w:val="262628"/>
        </w:rPr>
        <w:t>may use for this purpose</w:t>
      </w:r>
      <w:r>
        <w:rPr>
          <w:rFonts w:ascii="Times New Roman" w:cs="Times New Roman" w:eastAsia="Times New Roman" w:hAnsi="Times New Roman"/>
          <w:sz w:val="18"/>
          <w:szCs w:val="18"/>
          <w:color w:val="494849"/>
        </w:rPr>
        <w:t>,</w:t>
      </w:r>
      <w:r>
        <w:rPr>
          <w:rFonts w:ascii="Times New Roman" w:cs="Times New Roman" w:eastAsia="Times New Roman" w:hAnsi="Times New Roman"/>
          <w:sz w:val="18"/>
          <w:szCs w:val="18"/>
          <w:color w:val="111113"/>
        </w:rPr>
        <w:t xml:space="preserve"> </w:t>
      </w:r>
      <w:r>
        <w:rPr>
          <w:rFonts w:ascii="Times New Roman" w:cs="Times New Roman" w:eastAsia="Times New Roman" w:hAnsi="Times New Roman"/>
          <w:sz w:val="18"/>
          <w:szCs w:val="18"/>
          <w:color w:val="262628"/>
        </w:rPr>
        <w:t>and</w:t>
      </w:r>
      <w:r>
        <w:rPr>
          <w:rFonts w:ascii="Times New Roman" w:cs="Times New Roman" w:eastAsia="Times New Roman" w:hAnsi="Times New Roman"/>
          <w:sz w:val="18"/>
          <w:szCs w:val="18"/>
          <w:color w:val="111113"/>
        </w:rPr>
        <w:t xml:space="preserve"> </w:t>
      </w:r>
      <w:r>
        <w:rPr>
          <w:rFonts w:ascii="Times New Roman" w:cs="Times New Roman" w:eastAsia="Times New Roman" w:hAnsi="Times New Roman"/>
          <w:sz w:val="18"/>
          <w:szCs w:val="18"/>
          <w:color w:val="363638"/>
        </w:rPr>
        <w:t>additional</w:t>
      </w:r>
      <w:r>
        <w:rPr>
          <w:rFonts w:ascii="Times New Roman" w:cs="Times New Roman" w:eastAsia="Times New Roman" w:hAnsi="Times New Roman"/>
          <w:sz w:val="18"/>
          <w:szCs w:val="18"/>
          <w:color w:val="111113"/>
        </w:rPr>
        <w:t xml:space="preserve"> </w:t>
      </w:r>
      <w:r>
        <w:rPr>
          <w:rFonts w:ascii="Times New Roman" w:cs="Times New Roman" w:eastAsia="Times New Roman" w:hAnsi="Times New Roman"/>
          <w:sz w:val="18"/>
          <w:szCs w:val="18"/>
          <w:color w:val="262628"/>
        </w:rPr>
        <w:t>filing forms may be required by JAMS</w:t>
      </w:r>
      <w:r>
        <w:rPr>
          <w:rFonts w:ascii="Times New Roman" w:cs="Times New Roman" w:eastAsia="Times New Roman" w:hAnsi="Times New Roman"/>
          <w:sz w:val="18"/>
          <w:szCs w:val="18"/>
          <w:color w:val="494849"/>
        </w:rPr>
        <w:t>,</w:t>
      </w:r>
      <w:r>
        <w:rPr>
          <w:rFonts w:ascii="Times New Roman" w:cs="Times New Roman" w:eastAsia="Times New Roman" w:hAnsi="Times New Roman"/>
          <w:sz w:val="18"/>
          <w:szCs w:val="18"/>
          <w:color w:val="111113"/>
        </w:rPr>
        <w:t xml:space="preserve"> </w:t>
      </w:r>
      <w:r>
        <w:rPr>
          <w:rFonts w:ascii="Times New Roman" w:cs="Times New Roman" w:eastAsia="Times New Roman" w:hAnsi="Times New Roman"/>
          <w:sz w:val="18"/>
          <w:szCs w:val="18"/>
          <w:color w:val="262628"/>
        </w:rPr>
        <w:t>the</w:t>
      </w:r>
      <w:r>
        <w:rPr>
          <w:rFonts w:ascii="Times New Roman" w:cs="Times New Roman" w:eastAsia="Times New Roman" w:hAnsi="Times New Roman"/>
          <w:sz w:val="18"/>
          <w:szCs w:val="18"/>
          <w:color w:val="111113"/>
        </w:rPr>
        <w:t xml:space="preserve"> </w:t>
      </w:r>
      <w:r>
        <w:rPr>
          <w:rFonts w:ascii="Times New Roman" w:cs="Times New Roman" w:eastAsia="Times New Roman" w:hAnsi="Times New Roman"/>
          <w:sz w:val="18"/>
          <w:szCs w:val="18"/>
          <w:color w:val="363638"/>
        </w:rPr>
        <w:t>organization</w:t>
      </w:r>
      <w:r>
        <w:rPr>
          <w:rFonts w:ascii="Times New Roman" w:cs="Times New Roman" w:eastAsia="Times New Roman" w:hAnsi="Times New Roman"/>
          <w:sz w:val="18"/>
          <w:szCs w:val="18"/>
          <w:color w:val="111113"/>
        </w:rPr>
        <w:t xml:space="preserve"> </w:t>
      </w:r>
      <w:r>
        <w:rPr>
          <w:rFonts w:ascii="Times New Roman" w:cs="Times New Roman" w:eastAsia="Times New Roman" w:hAnsi="Times New Roman"/>
          <w:sz w:val="18"/>
          <w:szCs w:val="18"/>
          <w:color w:val="363638"/>
        </w:rPr>
        <w:t xml:space="preserve">administering </w:t>
      </w:r>
      <w:r>
        <w:rPr>
          <w:rFonts w:ascii="Times New Roman" w:cs="Times New Roman" w:eastAsia="Times New Roman" w:hAnsi="Times New Roman"/>
          <w:sz w:val="18"/>
          <w:szCs w:val="18"/>
          <w:color w:val="262628"/>
        </w:rPr>
        <w:t>arbitration</w:t>
      </w:r>
      <w:r>
        <w:rPr>
          <w:rFonts w:ascii="Times New Roman" w:cs="Times New Roman" w:eastAsia="Times New Roman" w:hAnsi="Times New Roman"/>
          <w:sz w:val="18"/>
          <w:szCs w:val="18"/>
          <w:color w:val="494849"/>
        </w:rPr>
        <w:t>.</w:t>
      </w:r>
      <w:r>
        <w:rPr>
          <w:rFonts w:ascii="Times New Roman" w:cs="Times New Roman" w:eastAsia="Times New Roman" w:hAnsi="Times New Roman"/>
          <w:sz w:val="18"/>
          <w:szCs w:val="18"/>
          <w:color w:val="363638"/>
        </w:rPr>
        <w:t xml:space="preserve"> </w:t>
      </w:r>
      <w:r>
        <w:rPr>
          <w:rFonts w:ascii="Times New Roman" w:cs="Times New Roman" w:eastAsia="Times New Roman" w:hAnsi="Times New Roman"/>
          <w:sz w:val="18"/>
          <w:szCs w:val="18"/>
          <w:color w:val="262628"/>
        </w:rPr>
        <w:t>If</w:t>
      </w:r>
      <w:r>
        <w:rPr>
          <w:rFonts w:ascii="Times New Roman" w:cs="Times New Roman" w:eastAsia="Times New Roman" w:hAnsi="Times New Roman"/>
          <w:sz w:val="18"/>
          <w:szCs w:val="18"/>
          <w:color w:val="363638"/>
        </w:rPr>
        <w:t xml:space="preserve"> your </w:t>
      </w:r>
      <w:r>
        <w:rPr>
          <w:rFonts w:ascii="Times New Roman" w:cs="Times New Roman" w:eastAsia="Times New Roman" w:hAnsi="Times New Roman"/>
          <w:sz w:val="18"/>
          <w:szCs w:val="18"/>
          <w:color w:val="262628"/>
        </w:rPr>
        <w:t>claim</w:t>
      </w:r>
      <w:r>
        <w:rPr>
          <w:rFonts w:ascii="Times New Roman" w:cs="Times New Roman" w:eastAsia="Times New Roman" w:hAnsi="Times New Roman"/>
          <w:sz w:val="18"/>
          <w:szCs w:val="18"/>
          <w:color w:val="363638"/>
        </w:rPr>
        <w:t xml:space="preserve"> relates </w:t>
      </w:r>
      <w:r>
        <w:rPr>
          <w:rFonts w:ascii="Times New Roman" w:cs="Times New Roman" w:eastAsia="Times New Roman" w:hAnsi="Times New Roman"/>
          <w:sz w:val="18"/>
          <w:szCs w:val="18"/>
          <w:color w:val="262628"/>
        </w:rPr>
        <w:t>to a</w:t>
      </w:r>
      <w:r>
        <w:rPr>
          <w:rFonts w:ascii="Times New Roman" w:cs="Times New Roman" w:eastAsia="Times New Roman" w:hAnsi="Times New Roman"/>
          <w:sz w:val="18"/>
          <w:szCs w:val="18"/>
          <w:color w:val="363638"/>
        </w:rPr>
        <w:t xml:space="preserve"> statutory </w:t>
      </w:r>
      <w:r>
        <w:rPr>
          <w:rFonts w:ascii="Times New Roman" w:cs="Times New Roman" w:eastAsia="Times New Roman" w:hAnsi="Times New Roman"/>
          <w:sz w:val="18"/>
          <w:szCs w:val="18"/>
          <w:color w:val="262628"/>
        </w:rPr>
        <w:t>employment claim</w:t>
      </w:r>
      <w:r>
        <w:rPr>
          <w:rFonts w:ascii="Times New Roman" w:cs="Times New Roman" w:eastAsia="Times New Roman" w:hAnsi="Times New Roman"/>
          <w:sz w:val="18"/>
          <w:szCs w:val="18"/>
          <w:color w:val="595759"/>
        </w:rPr>
        <w:t>,</w:t>
      </w:r>
      <w:r>
        <w:rPr>
          <w:rFonts w:ascii="Times New Roman" w:cs="Times New Roman" w:eastAsia="Times New Roman" w:hAnsi="Times New Roman"/>
          <w:sz w:val="18"/>
          <w:szCs w:val="18"/>
          <w:color w:val="363638"/>
        </w:rPr>
        <w:t xml:space="preserve"> you wi</w:t>
      </w:r>
      <w:r>
        <w:rPr>
          <w:rFonts w:ascii="Times New Roman" w:cs="Times New Roman" w:eastAsia="Times New Roman" w:hAnsi="Times New Roman"/>
          <w:sz w:val="18"/>
          <w:szCs w:val="18"/>
          <w:color w:val="111113"/>
        </w:rPr>
        <w:t>ll</w:t>
      </w:r>
      <w:r>
        <w:rPr>
          <w:rFonts w:ascii="Times New Roman" w:cs="Times New Roman" w:eastAsia="Times New Roman" w:hAnsi="Times New Roman"/>
          <w:sz w:val="18"/>
          <w:szCs w:val="18"/>
          <w:color w:val="363638"/>
        </w:rPr>
        <w:t xml:space="preserve"> </w:t>
      </w:r>
      <w:r>
        <w:rPr>
          <w:rFonts w:ascii="Times New Roman" w:cs="Times New Roman" w:eastAsia="Times New Roman" w:hAnsi="Times New Roman"/>
          <w:sz w:val="18"/>
          <w:szCs w:val="18"/>
          <w:color w:val="262628"/>
        </w:rPr>
        <w:t>be required to provide</w:t>
      </w:r>
      <w:r>
        <w:rPr>
          <w:rFonts w:ascii="Times New Roman" w:cs="Times New Roman" w:eastAsia="Times New Roman" w:hAnsi="Times New Roman"/>
          <w:sz w:val="18"/>
          <w:szCs w:val="18"/>
          <w:color w:val="363638"/>
        </w:rPr>
        <w:t xml:space="preserve"> a check </w:t>
      </w:r>
      <w:r>
        <w:rPr>
          <w:rFonts w:ascii="Times New Roman" w:cs="Times New Roman" w:eastAsia="Times New Roman" w:hAnsi="Times New Roman"/>
          <w:sz w:val="18"/>
          <w:szCs w:val="18"/>
          <w:color w:val="262628"/>
        </w:rPr>
        <w:t>to JAMS as a</w:t>
      </w:r>
      <w:r>
        <w:rPr>
          <w:rFonts w:ascii="Times New Roman" w:cs="Times New Roman" w:eastAsia="Times New Roman" w:hAnsi="Times New Roman"/>
          <w:sz w:val="18"/>
          <w:szCs w:val="18"/>
          <w:color w:val="363638"/>
        </w:rPr>
        <w:t xml:space="preserve"> filing fee, </w:t>
      </w:r>
      <w:r>
        <w:rPr>
          <w:rFonts w:ascii="Times New Roman" w:cs="Times New Roman" w:eastAsia="Times New Roman" w:hAnsi="Times New Roman"/>
          <w:sz w:val="18"/>
          <w:szCs w:val="18"/>
          <w:color w:val="262628"/>
        </w:rPr>
        <w:t>for the lesser of $400</w:t>
      </w:r>
      <w:r>
        <w:rPr>
          <w:rFonts w:ascii="Times New Roman" w:cs="Times New Roman" w:eastAsia="Times New Roman" w:hAnsi="Times New Roman"/>
          <w:sz w:val="18"/>
          <w:szCs w:val="18"/>
          <w:color w:val="494849"/>
        </w:rPr>
        <w:t>,</w:t>
      </w:r>
      <w:r>
        <w:rPr>
          <w:rFonts w:ascii="Times New Roman" w:cs="Times New Roman" w:eastAsia="Times New Roman" w:hAnsi="Times New Roman"/>
          <w:sz w:val="18"/>
          <w:szCs w:val="18"/>
          <w:color w:val="262628"/>
        </w:rPr>
        <w:t xml:space="preserve"> or the </w:t>
      </w:r>
      <w:r>
        <w:rPr>
          <w:rFonts w:ascii="Times New Roman" w:cs="Times New Roman" w:eastAsia="Times New Roman" w:hAnsi="Times New Roman"/>
          <w:sz w:val="18"/>
          <w:szCs w:val="18"/>
          <w:color w:val="363638"/>
        </w:rPr>
        <w:t>app</w:t>
      </w:r>
      <w:r>
        <w:rPr>
          <w:rFonts w:ascii="Times New Roman" w:cs="Times New Roman" w:eastAsia="Times New Roman" w:hAnsi="Times New Roman"/>
          <w:sz w:val="18"/>
          <w:szCs w:val="18"/>
          <w:color w:val="111113"/>
        </w:rPr>
        <w:t>li</w:t>
      </w:r>
      <w:r>
        <w:rPr>
          <w:rFonts w:ascii="Times New Roman" w:cs="Times New Roman" w:eastAsia="Times New Roman" w:hAnsi="Times New Roman"/>
          <w:sz w:val="18"/>
          <w:szCs w:val="18"/>
          <w:color w:val="363638"/>
        </w:rPr>
        <w:t>cable</w:t>
      </w:r>
      <w:r>
        <w:rPr>
          <w:rFonts w:ascii="Times New Roman" w:cs="Times New Roman" w:eastAsia="Times New Roman" w:hAnsi="Times New Roman"/>
          <w:sz w:val="18"/>
          <w:szCs w:val="18"/>
          <w:color w:val="262628"/>
        </w:rPr>
        <w:t xml:space="preserve"> federal or </w:t>
      </w:r>
      <w:r>
        <w:rPr>
          <w:rFonts w:ascii="Times New Roman" w:cs="Times New Roman" w:eastAsia="Times New Roman" w:hAnsi="Times New Roman"/>
          <w:sz w:val="18"/>
          <w:szCs w:val="18"/>
          <w:color w:val="363638"/>
        </w:rPr>
        <w:t>state</w:t>
      </w:r>
      <w:r>
        <w:rPr>
          <w:rFonts w:ascii="Times New Roman" w:cs="Times New Roman" w:eastAsia="Times New Roman" w:hAnsi="Times New Roman"/>
          <w:sz w:val="18"/>
          <w:szCs w:val="18"/>
          <w:color w:val="262628"/>
        </w:rPr>
        <w:t xml:space="preserve"> court filing fee where </w:t>
      </w:r>
      <w:r>
        <w:rPr>
          <w:rFonts w:ascii="Times New Roman" w:cs="Times New Roman" w:eastAsia="Times New Roman" w:hAnsi="Times New Roman"/>
          <w:sz w:val="18"/>
          <w:szCs w:val="18"/>
          <w:color w:val="363638"/>
        </w:rPr>
        <w:t>you work(ed)</w:t>
      </w:r>
      <w:r>
        <w:rPr>
          <w:rFonts w:ascii="Times New Roman" w:cs="Times New Roman" w:eastAsia="Times New Roman" w:hAnsi="Times New Roman"/>
          <w:sz w:val="18"/>
          <w:szCs w:val="18"/>
          <w:color w:val="262628"/>
        </w:rPr>
        <w:t xml:space="preserve"> for the Employer</w:t>
      </w:r>
      <w:r>
        <w:rPr>
          <w:rFonts w:ascii="Times New Roman" w:cs="Times New Roman" w:eastAsia="Times New Roman" w:hAnsi="Times New Roman"/>
          <w:sz w:val="18"/>
          <w:szCs w:val="18"/>
          <w:color w:val="494849"/>
        </w:rPr>
        <w:t>.</w:t>
      </w:r>
      <w:r>
        <w:rPr>
          <w:rFonts w:ascii="Times New Roman" w:cs="Times New Roman" w:eastAsia="Times New Roman" w:hAnsi="Times New Roman"/>
          <w:sz w:val="18"/>
          <w:szCs w:val="18"/>
          <w:color w:val="262628"/>
        </w:rPr>
        <w:t xml:space="preserve"> If </w:t>
      </w:r>
      <w:r>
        <w:rPr>
          <w:rFonts w:ascii="Times New Roman" w:cs="Times New Roman" w:eastAsia="Times New Roman" w:hAnsi="Times New Roman"/>
          <w:sz w:val="18"/>
          <w:szCs w:val="18"/>
          <w:color w:val="363638"/>
        </w:rPr>
        <w:t>your</w:t>
      </w:r>
      <w:r>
        <w:rPr>
          <w:rFonts w:ascii="Times New Roman" w:cs="Times New Roman" w:eastAsia="Times New Roman" w:hAnsi="Times New Roman"/>
          <w:sz w:val="18"/>
          <w:szCs w:val="18"/>
          <w:color w:val="262628"/>
        </w:rPr>
        <w:t xml:space="preserve"> claim </w:t>
      </w:r>
      <w:r>
        <w:rPr>
          <w:rFonts w:ascii="Times New Roman" w:cs="Times New Roman" w:eastAsia="Times New Roman" w:hAnsi="Times New Roman"/>
          <w:sz w:val="18"/>
          <w:szCs w:val="18"/>
          <w:color w:val="363638"/>
        </w:rPr>
        <w:t>alleges a</w:t>
      </w:r>
      <w:r>
        <w:rPr>
          <w:rFonts w:ascii="Times New Roman" w:cs="Times New Roman" w:eastAsia="Times New Roman" w:hAnsi="Times New Roman"/>
          <w:sz w:val="18"/>
          <w:szCs w:val="18"/>
          <w:color w:val="262628"/>
        </w:rPr>
        <w:t xml:space="preserve"> breach of </w:t>
      </w:r>
      <w:r>
        <w:rPr>
          <w:rFonts w:ascii="Times New Roman" w:cs="Times New Roman" w:eastAsia="Times New Roman" w:hAnsi="Times New Roman"/>
          <w:sz w:val="18"/>
          <w:szCs w:val="18"/>
          <w:color w:val="363638"/>
        </w:rPr>
        <w:t xml:space="preserve">your Executive </w:t>
      </w:r>
      <w:r>
        <w:rPr>
          <w:rFonts w:ascii="Times New Roman" w:cs="Times New Roman" w:eastAsia="Times New Roman" w:hAnsi="Times New Roman"/>
          <w:sz w:val="18"/>
          <w:szCs w:val="18"/>
          <w:color w:val="262628"/>
        </w:rPr>
        <w:t>Employment</w:t>
      </w:r>
      <w:r>
        <w:rPr>
          <w:rFonts w:ascii="Times New Roman" w:cs="Times New Roman" w:eastAsia="Times New Roman" w:hAnsi="Times New Roman"/>
          <w:sz w:val="18"/>
          <w:szCs w:val="18"/>
          <w:color w:val="363638"/>
        </w:rPr>
        <w:t xml:space="preserve"> Agreement, </w:t>
      </w:r>
      <w:r>
        <w:rPr>
          <w:rFonts w:ascii="Times New Roman" w:cs="Times New Roman" w:eastAsia="Times New Roman" w:hAnsi="Times New Roman"/>
          <w:sz w:val="18"/>
          <w:szCs w:val="18"/>
          <w:color w:val="262628"/>
        </w:rPr>
        <w:t>including agreements incorporated therein</w:t>
      </w:r>
      <w:r>
        <w:rPr>
          <w:rFonts w:ascii="Times New Roman" w:cs="Times New Roman" w:eastAsia="Times New Roman" w:hAnsi="Times New Roman"/>
          <w:sz w:val="18"/>
          <w:szCs w:val="18"/>
          <w:color w:val="595759"/>
        </w:rPr>
        <w:t>,</w:t>
      </w:r>
      <w:r>
        <w:rPr>
          <w:rFonts w:ascii="Times New Roman" w:cs="Times New Roman" w:eastAsia="Times New Roman" w:hAnsi="Times New Roman"/>
          <w:sz w:val="18"/>
          <w:szCs w:val="18"/>
          <w:color w:val="363638"/>
        </w:rPr>
        <w:t xml:space="preserve"> </w:t>
      </w:r>
      <w:r>
        <w:rPr>
          <w:rFonts w:ascii="Times New Roman" w:cs="Times New Roman" w:eastAsia="Times New Roman" w:hAnsi="Times New Roman"/>
          <w:sz w:val="18"/>
          <w:szCs w:val="18"/>
          <w:color w:val="262628"/>
        </w:rPr>
        <w:t>you will</w:t>
      </w:r>
      <w:r>
        <w:rPr>
          <w:rFonts w:ascii="Times New Roman" w:cs="Times New Roman" w:eastAsia="Times New Roman" w:hAnsi="Times New Roman"/>
          <w:sz w:val="18"/>
          <w:szCs w:val="18"/>
          <w:color w:val="363638"/>
        </w:rPr>
        <w:t xml:space="preserve"> </w:t>
      </w:r>
      <w:r>
        <w:rPr>
          <w:rFonts w:ascii="Times New Roman" w:cs="Times New Roman" w:eastAsia="Times New Roman" w:hAnsi="Times New Roman"/>
          <w:sz w:val="18"/>
          <w:szCs w:val="18"/>
          <w:color w:val="111113"/>
        </w:rPr>
        <w:t>be</w:t>
      </w:r>
      <w:r>
        <w:rPr>
          <w:rFonts w:ascii="Times New Roman" w:cs="Times New Roman" w:eastAsia="Times New Roman" w:hAnsi="Times New Roman"/>
          <w:sz w:val="18"/>
          <w:szCs w:val="18"/>
          <w:color w:val="363638"/>
        </w:rPr>
        <w:t xml:space="preserve"> </w:t>
      </w:r>
      <w:r>
        <w:rPr>
          <w:rFonts w:ascii="Times New Roman" w:cs="Times New Roman" w:eastAsia="Times New Roman" w:hAnsi="Times New Roman"/>
          <w:sz w:val="18"/>
          <w:szCs w:val="18"/>
          <w:color w:val="262628"/>
        </w:rPr>
        <w:t>responsible for</w:t>
      </w:r>
      <w:r>
        <w:rPr>
          <w:rFonts w:ascii="Times New Roman" w:cs="Times New Roman" w:eastAsia="Times New Roman" w:hAnsi="Times New Roman"/>
          <w:sz w:val="18"/>
          <w:szCs w:val="18"/>
          <w:color w:val="363638"/>
        </w:rPr>
        <w:t xml:space="preserve"> sharing </w:t>
      </w:r>
      <w:r>
        <w:rPr>
          <w:rFonts w:ascii="Times New Roman" w:cs="Times New Roman" w:eastAsia="Times New Roman" w:hAnsi="Times New Roman"/>
          <w:sz w:val="18"/>
          <w:szCs w:val="18"/>
          <w:color w:val="262628"/>
        </w:rPr>
        <w:t>all</w:t>
      </w:r>
      <w:r>
        <w:rPr>
          <w:rFonts w:ascii="Times New Roman" w:cs="Times New Roman" w:eastAsia="Times New Roman" w:hAnsi="Times New Roman"/>
          <w:sz w:val="18"/>
          <w:szCs w:val="18"/>
          <w:color w:val="363638"/>
        </w:rPr>
        <w:t xml:space="preserve"> administrative </w:t>
      </w:r>
      <w:r>
        <w:rPr>
          <w:rFonts w:ascii="Times New Roman" w:cs="Times New Roman" w:eastAsia="Times New Roman" w:hAnsi="Times New Roman"/>
          <w:sz w:val="18"/>
          <w:szCs w:val="18"/>
          <w:color w:val="262628"/>
        </w:rPr>
        <w:t>costs of</w:t>
      </w:r>
      <w:r>
        <w:rPr>
          <w:rFonts w:ascii="Times New Roman" w:cs="Times New Roman" w:eastAsia="Times New Roman" w:hAnsi="Times New Roman"/>
          <w:sz w:val="18"/>
          <w:szCs w:val="18"/>
          <w:color w:val="363638"/>
        </w:rPr>
        <w:t xml:space="preserve"> </w:t>
      </w:r>
      <w:r>
        <w:rPr>
          <w:rFonts w:ascii="Times New Roman" w:cs="Times New Roman" w:eastAsia="Times New Roman" w:hAnsi="Times New Roman"/>
          <w:sz w:val="18"/>
          <w:szCs w:val="18"/>
          <w:color w:val="262628"/>
        </w:rPr>
        <w:t>arbitration</w:t>
      </w:r>
      <w:r>
        <w:rPr>
          <w:rFonts w:ascii="Times New Roman" w:cs="Times New Roman" w:eastAsia="Times New Roman" w:hAnsi="Times New Roman"/>
          <w:sz w:val="18"/>
          <w:szCs w:val="18"/>
          <w:color w:val="494849"/>
        </w:rPr>
        <w:t>,</w:t>
      </w:r>
      <w:r>
        <w:rPr>
          <w:rFonts w:ascii="Times New Roman" w:cs="Times New Roman" w:eastAsia="Times New Roman" w:hAnsi="Times New Roman"/>
          <w:sz w:val="18"/>
          <w:szCs w:val="18"/>
          <w:color w:val="262628"/>
        </w:rPr>
        <w:t xml:space="preserve"> as provided by JAMS rules.</w:t>
      </w:r>
    </w:p>
    <w:p>
      <w:pPr>
        <w:spacing w:after="0" w:line="147" w:lineRule="exact"/>
        <w:rPr>
          <w:sz w:val="20"/>
          <w:szCs w:val="20"/>
          <w:color w:val="auto"/>
        </w:rPr>
      </w:pPr>
    </w:p>
    <w:p>
      <w:pPr>
        <w:jc w:val="both"/>
        <w:ind w:left="280" w:firstLine="1"/>
        <w:spacing w:after="0" w:line="276" w:lineRule="auto"/>
        <w:rPr>
          <w:sz w:val="20"/>
          <w:szCs w:val="20"/>
          <w:color w:val="auto"/>
        </w:rPr>
      </w:pPr>
      <w:r>
        <w:rPr>
          <w:rFonts w:ascii="Times New Roman" w:cs="Times New Roman" w:eastAsia="Times New Roman" w:hAnsi="Times New Roman"/>
          <w:sz w:val="17"/>
          <w:szCs w:val="17"/>
          <w:color w:val="262628"/>
        </w:rPr>
        <w:t xml:space="preserve">The JAMS Employment Arbitration Rules </w:t>
      </w:r>
      <w:r>
        <w:rPr>
          <w:rFonts w:ascii="Times New Roman" w:cs="Times New Roman" w:eastAsia="Times New Roman" w:hAnsi="Times New Roman"/>
          <w:sz w:val="17"/>
          <w:szCs w:val="17"/>
          <w:color w:val="363638"/>
        </w:rPr>
        <w:t>and</w:t>
      </w:r>
      <w:r>
        <w:rPr>
          <w:rFonts w:ascii="Times New Roman" w:cs="Times New Roman" w:eastAsia="Times New Roman" w:hAnsi="Times New Roman"/>
          <w:sz w:val="17"/>
          <w:szCs w:val="17"/>
          <w:color w:val="262628"/>
        </w:rPr>
        <w:t xml:space="preserve"> Procedures effective at the time of filing will </w:t>
      </w:r>
      <w:r>
        <w:rPr>
          <w:rFonts w:ascii="Times New Roman" w:cs="Times New Roman" w:eastAsia="Times New Roman" w:hAnsi="Times New Roman"/>
          <w:sz w:val="17"/>
          <w:szCs w:val="17"/>
          <w:color w:val="363638"/>
        </w:rPr>
        <w:t>apply</w:t>
      </w:r>
      <w:r>
        <w:rPr>
          <w:rFonts w:ascii="Times New Roman" w:cs="Times New Roman" w:eastAsia="Times New Roman" w:hAnsi="Times New Roman"/>
          <w:sz w:val="17"/>
          <w:szCs w:val="17"/>
          <w:color w:val="262628"/>
        </w:rPr>
        <w:t xml:space="preserve"> to </w:t>
      </w:r>
      <w:r>
        <w:rPr>
          <w:rFonts w:ascii="Times New Roman" w:cs="Times New Roman" w:eastAsia="Times New Roman" w:hAnsi="Times New Roman"/>
          <w:sz w:val="17"/>
          <w:szCs w:val="17"/>
          <w:color w:val="363638"/>
        </w:rPr>
        <w:t>statutory</w:t>
      </w:r>
      <w:r>
        <w:rPr>
          <w:rFonts w:ascii="Times New Roman" w:cs="Times New Roman" w:eastAsia="Times New Roman" w:hAnsi="Times New Roman"/>
          <w:sz w:val="17"/>
          <w:szCs w:val="17"/>
          <w:color w:val="262628"/>
        </w:rPr>
        <w:t xml:space="preserve"> employment claims</w:t>
      </w:r>
      <w:r>
        <w:rPr>
          <w:rFonts w:ascii="Times New Roman" w:cs="Times New Roman" w:eastAsia="Times New Roman" w:hAnsi="Times New Roman"/>
          <w:sz w:val="17"/>
          <w:szCs w:val="17"/>
          <w:color w:val="494849"/>
        </w:rPr>
        <w:t>.</w:t>
      </w:r>
      <w:r>
        <w:rPr>
          <w:rFonts w:ascii="Times New Roman" w:cs="Times New Roman" w:eastAsia="Times New Roman" w:hAnsi="Times New Roman"/>
          <w:sz w:val="17"/>
          <w:szCs w:val="17"/>
          <w:color w:val="262628"/>
        </w:rPr>
        <w:t xml:space="preserve"> </w:t>
      </w:r>
      <w:r>
        <w:rPr>
          <w:rFonts w:ascii="Times New Roman" w:cs="Times New Roman" w:eastAsia="Times New Roman" w:hAnsi="Times New Roman"/>
          <w:sz w:val="17"/>
          <w:szCs w:val="17"/>
          <w:color w:val="363638"/>
        </w:rPr>
        <w:t>The</w:t>
      </w:r>
      <w:r>
        <w:rPr>
          <w:rFonts w:ascii="Times New Roman" w:cs="Times New Roman" w:eastAsia="Times New Roman" w:hAnsi="Times New Roman"/>
          <w:sz w:val="17"/>
          <w:szCs w:val="17"/>
          <w:color w:val="262628"/>
        </w:rPr>
        <w:t xml:space="preserve"> current version can be </w:t>
      </w:r>
      <w:r>
        <w:rPr>
          <w:rFonts w:ascii="Times New Roman" w:cs="Times New Roman" w:eastAsia="Times New Roman" w:hAnsi="Times New Roman"/>
          <w:sz w:val="17"/>
          <w:szCs w:val="17"/>
          <w:color w:val="363638"/>
        </w:rPr>
        <w:t>found</w:t>
      </w:r>
      <w:r>
        <w:rPr>
          <w:rFonts w:ascii="Times New Roman" w:cs="Times New Roman" w:eastAsia="Times New Roman" w:hAnsi="Times New Roman"/>
          <w:sz w:val="17"/>
          <w:szCs w:val="17"/>
          <w:color w:val="262628"/>
        </w:rPr>
        <w:t xml:space="preserve"> here</w:t>
      </w:r>
      <w:r>
        <w:rPr>
          <w:rFonts w:ascii="Times New Roman" w:cs="Times New Roman" w:eastAsia="Times New Roman" w:hAnsi="Times New Roman"/>
          <w:sz w:val="17"/>
          <w:szCs w:val="17"/>
          <w:color w:val="494849"/>
        </w:rPr>
        <w:t>:</w:t>
      </w:r>
      <w:r>
        <w:rPr>
          <w:rFonts w:ascii="Times New Roman" w:cs="Times New Roman" w:eastAsia="Times New Roman" w:hAnsi="Times New Roman"/>
          <w:sz w:val="17"/>
          <w:szCs w:val="17"/>
          <w:color w:val="262628"/>
        </w:rPr>
        <w:t xml:space="preserve"> </w:t>
      </w:r>
      <w:r>
        <w:rPr>
          <w:rFonts w:ascii="Times New Roman" w:cs="Times New Roman" w:eastAsia="Times New Roman" w:hAnsi="Times New Roman"/>
          <w:sz w:val="17"/>
          <w:szCs w:val="17"/>
          <w:color w:val="000000"/>
        </w:rPr>
        <w:t>http://www.jamsadr.com/rules-employment-arbitration/.</w:t>
      </w:r>
      <w:r>
        <w:rPr>
          <w:rFonts w:ascii="Times New Roman" w:cs="Times New Roman" w:eastAsia="Times New Roman" w:hAnsi="Times New Roman"/>
          <w:sz w:val="17"/>
          <w:szCs w:val="17"/>
          <w:color w:val="262628"/>
        </w:rPr>
        <w:t xml:space="preserve"> </w:t>
      </w:r>
      <w:r>
        <w:rPr>
          <w:rFonts w:ascii="Times New Roman" w:cs="Times New Roman" w:eastAsia="Times New Roman" w:hAnsi="Times New Roman"/>
          <w:sz w:val="17"/>
          <w:szCs w:val="17"/>
          <w:color w:val="363638"/>
        </w:rPr>
        <w:t>The</w:t>
      </w:r>
      <w:r>
        <w:rPr>
          <w:rFonts w:ascii="Times New Roman" w:cs="Times New Roman" w:eastAsia="Times New Roman" w:hAnsi="Times New Roman"/>
          <w:sz w:val="17"/>
          <w:szCs w:val="17"/>
          <w:color w:val="262628"/>
        </w:rPr>
        <w:t xml:space="preserve"> JAMS </w:t>
      </w:r>
      <w:r>
        <w:rPr>
          <w:rFonts w:ascii="Times New Roman" w:cs="Times New Roman" w:eastAsia="Times New Roman" w:hAnsi="Times New Roman"/>
          <w:sz w:val="17"/>
          <w:szCs w:val="17"/>
          <w:color w:val="363638"/>
        </w:rPr>
        <w:t>Comprehensive</w:t>
      </w:r>
      <w:r>
        <w:rPr>
          <w:rFonts w:ascii="Times New Roman" w:cs="Times New Roman" w:eastAsia="Times New Roman" w:hAnsi="Times New Roman"/>
          <w:sz w:val="17"/>
          <w:szCs w:val="17"/>
          <w:color w:val="262628"/>
        </w:rPr>
        <w:t xml:space="preserve"> Arbitration Rules </w:t>
      </w:r>
      <w:r>
        <w:rPr>
          <w:rFonts w:ascii="Times New Roman" w:cs="Times New Roman" w:eastAsia="Times New Roman" w:hAnsi="Times New Roman"/>
          <w:sz w:val="17"/>
          <w:szCs w:val="17"/>
          <w:color w:val="363638"/>
        </w:rPr>
        <w:t>w</w:t>
      </w:r>
      <w:r>
        <w:rPr>
          <w:rFonts w:ascii="Times New Roman" w:cs="Times New Roman" w:eastAsia="Times New Roman" w:hAnsi="Times New Roman"/>
          <w:sz w:val="17"/>
          <w:szCs w:val="17"/>
          <w:color w:val="111113"/>
        </w:rPr>
        <w:t>ill</w:t>
      </w:r>
      <w:r>
        <w:rPr>
          <w:rFonts w:ascii="Times New Roman" w:cs="Times New Roman" w:eastAsia="Times New Roman" w:hAnsi="Times New Roman"/>
          <w:sz w:val="17"/>
          <w:szCs w:val="17"/>
          <w:color w:val="262628"/>
        </w:rPr>
        <w:t xml:space="preserve"> apply if </w:t>
      </w:r>
      <w:r>
        <w:rPr>
          <w:rFonts w:ascii="Times New Roman" w:cs="Times New Roman" w:eastAsia="Times New Roman" w:hAnsi="Times New Roman"/>
          <w:sz w:val="17"/>
          <w:szCs w:val="17"/>
          <w:color w:val="363638"/>
        </w:rPr>
        <w:t>your</w:t>
      </w:r>
    </w:p>
    <w:p>
      <w:pPr>
        <w:spacing w:after="0" w:line="1" w:lineRule="exact"/>
        <w:rPr>
          <w:sz w:val="20"/>
          <w:szCs w:val="20"/>
          <w:color w:val="auto"/>
        </w:rPr>
      </w:pPr>
    </w:p>
    <w:p>
      <w:pPr>
        <w:jc w:val="both"/>
        <w:ind w:left="280"/>
        <w:spacing w:after="0" w:line="260" w:lineRule="auto"/>
        <w:rPr>
          <w:sz w:val="20"/>
          <w:szCs w:val="20"/>
          <w:color w:val="auto"/>
        </w:rPr>
      </w:pPr>
      <w:r>
        <w:rPr>
          <w:rFonts w:ascii="Times New Roman" w:cs="Times New Roman" w:eastAsia="Times New Roman" w:hAnsi="Times New Roman"/>
          <w:sz w:val="18"/>
          <w:szCs w:val="18"/>
          <w:color w:val="262628"/>
        </w:rPr>
        <w:t xml:space="preserve">claim alleges breach of </w:t>
      </w:r>
      <w:r>
        <w:rPr>
          <w:rFonts w:ascii="Times New Roman" w:cs="Times New Roman" w:eastAsia="Times New Roman" w:hAnsi="Times New Roman"/>
          <w:sz w:val="18"/>
          <w:szCs w:val="18"/>
          <w:color w:val="363638"/>
        </w:rPr>
        <w:t>your</w:t>
      </w:r>
      <w:r>
        <w:rPr>
          <w:rFonts w:ascii="Times New Roman" w:cs="Times New Roman" w:eastAsia="Times New Roman" w:hAnsi="Times New Roman"/>
          <w:sz w:val="18"/>
          <w:szCs w:val="18"/>
          <w:color w:val="262628"/>
        </w:rPr>
        <w:t xml:space="preserve"> Executive </w:t>
      </w:r>
      <w:r>
        <w:rPr>
          <w:rFonts w:ascii="Times New Roman" w:cs="Times New Roman" w:eastAsia="Times New Roman" w:hAnsi="Times New Roman"/>
          <w:sz w:val="18"/>
          <w:szCs w:val="18"/>
          <w:color w:val="363638"/>
        </w:rPr>
        <w:t>Employment Agreement,</w:t>
      </w:r>
      <w:r>
        <w:rPr>
          <w:rFonts w:ascii="Times New Roman" w:cs="Times New Roman" w:eastAsia="Times New Roman" w:hAnsi="Times New Roman"/>
          <w:sz w:val="18"/>
          <w:szCs w:val="18"/>
          <w:color w:val="262628"/>
        </w:rPr>
        <w:t xml:space="preserve"> including </w:t>
      </w:r>
      <w:r>
        <w:rPr>
          <w:rFonts w:ascii="Times New Roman" w:cs="Times New Roman" w:eastAsia="Times New Roman" w:hAnsi="Times New Roman"/>
          <w:sz w:val="18"/>
          <w:szCs w:val="18"/>
          <w:color w:val="363638"/>
        </w:rPr>
        <w:t>agreement</w:t>
      </w:r>
      <w:r>
        <w:rPr>
          <w:rFonts w:ascii="Times New Roman" w:cs="Times New Roman" w:eastAsia="Times New Roman" w:hAnsi="Times New Roman"/>
          <w:sz w:val="18"/>
          <w:szCs w:val="18"/>
          <w:color w:val="262628"/>
        </w:rPr>
        <w:t xml:space="preserve"> incorporated therein. The current</w:t>
      </w:r>
      <w:r>
        <w:rPr>
          <w:rFonts w:ascii="Times New Roman" w:cs="Times New Roman" w:eastAsia="Times New Roman" w:hAnsi="Times New Roman"/>
          <w:sz w:val="18"/>
          <w:szCs w:val="18"/>
          <w:color w:val="363638"/>
        </w:rPr>
        <w:t>version can</w:t>
      </w:r>
      <w:r>
        <w:rPr>
          <w:rFonts w:ascii="Times New Roman" w:cs="Times New Roman" w:eastAsia="Times New Roman" w:hAnsi="Times New Roman"/>
          <w:sz w:val="18"/>
          <w:szCs w:val="18"/>
          <w:color w:val="262628"/>
        </w:rPr>
        <w:t xml:space="preserve"> be found here</w:t>
      </w:r>
      <w:r>
        <w:rPr>
          <w:rFonts w:ascii="Times New Roman" w:cs="Times New Roman" w:eastAsia="Times New Roman" w:hAnsi="Times New Roman"/>
          <w:sz w:val="18"/>
          <w:szCs w:val="18"/>
          <w:color w:val="494849"/>
        </w:rPr>
        <w:t>:</w:t>
      </w:r>
      <w:r>
        <w:rPr>
          <w:rFonts w:ascii="Times New Roman" w:cs="Times New Roman" w:eastAsia="Times New Roman" w:hAnsi="Times New Roman"/>
          <w:sz w:val="18"/>
          <w:szCs w:val="18"/>
          <w:color w:val="262628"/>
        </w:rPr>
        <w:t xml:space="preserve"> </w:t>
      </w:r>
      <w:r>
        <w:rPr>
          <w:rFonts w:ascii="Times New Roman" w:cs="Times New Roman" w:eastAsia="Times New Roman" w:hAnsi="Times New Roman"/>
          <w:sz w:val="18"/>
          <w:szCs w:val="18"/>
          <w:u w:val="single" w:color="auto"/>
          <w:color w:val="595759"/>
        </w:rPr>
        <w:t>https:</w:t>
      </w:r>
      <w:r>
        <w:rPr>
          <w:rFonts w:ascii="Times New Roman" w:cs="Times New Roman" w:eastAsia="Times New Roman" w:hAnsi="Times New Roman"/>
          <w:sz w:val="18"/>
          <w:szCs w:val="18"/>
          <w:u w:val="single" w:color="auto"/>
          <w:color w:val="777777"/>
        </w:rPr>
        <w:t>//</w:t>
      </w:r>
      <w:r>
        <w:rPr>
          <w:rFonts w:ascii="Times New Roman" w:cs="Times New Roman" w:eastAsia="Times New Roman" w:hAnsi="Times New Roman"/>
          <w:sz w:val="18"/>
          <w:szCs w:val="18"/>
          <w:color w:val="000000"/>
        </w:rPr>
        <w:t>www.jamsadr.com/rules-comprehensive-arbitration/.</w:t>
      </w:r>
      <w:r>
        <w:rPr>
          <w:rFonts w:ascii="Times New Roman" w:cs="Times New Roman" w:eastAsia="Times New Roman" w:hAnsi="Times New Roman"/>
          <w:sz w:val="18"/>
          <w:szCs w:val="18"/>
          <w:color w:val="262628"/>
        </w:rPr>
        <w:t xml:space="preserve"> Each of these rules is modified by the terms </w:t>
      </w:r>
      <w:r>
        <w:rPr>
          <w:rFonts w:ascii="Times New Roman" w:cs="Times New Roman" w:eastAsia="Times New Roman" w:hAnsi="Times New Roman"/>
          <w:sz w:val="18"/>
          <w:szCs w:val="18"/>
          <w:color w:val="363638"/>
        </w:rPr>
        <w:t>of</w:t>
      </w:r>
      <w:r>
        <w:rPr>
          <w:rFonts w:ascii="Times New Roman" w:cs="Times New Roman" w:eastAsia="Times New Roman" w:hAnsi="Times New Roman"/>
          <w:sz w:val="18"/>
          <w:szCs w:val="18"/>
          <w:color w:val="262628"/>
        </w:rPr>
        <w:t xml:space="preserve"> this </w:t>
      </w:r>
      <w:r>
        <w:rPr>
          <w:rFonts w:ascii="Times New Roman" w:cs="Times New Roman" w:eastAsia="Times New Roman" w:hAnsi="Times New Roman"/>
          <w:sz w:val="18"/>
          <w:szCs w:val="18"/>
          <w:color w:val="363638"/>
        </w:rPr>
        <w:t>Agreement as</w:t>
      </w:r>
      <w:r>
        <w:rPr>
          <w:rFonts w:ascii="Times New Roman" w:cs="Times New Roman" w:eastAsia="Times New Roman" w:hAnsi="Times New Roman"/>
          <w:sz w:val="18"/>
          <w:szCs w:val="18"/>
          <w:color w:val="262628"/>
        </w:rPr>
        <w:t xml:space="preserve"> follows</w:t>
      </w:r>
      <w:r>
        <w:rPr>
          <w:rFonts w:ascii="Times New Roman" w:cs="Times New Roman" w:eastAsia="Times New Roman" w:hAnsi="Times New Roman"/>
          <w:sz w:val="18"/>
          <w:szCs w:val="18"/>
          <w:color w:val="494849"/>
        </w:rPr>
        <w:t>:</w:t>
      </w:r>
    </w:p>
    <w:p>
      <w:pPr>
        <w:spacing w:after="0" w:line="150" w:lineRule="exact"/>
        <w:rPr>
          <w:sz w:val="20"/>
          <w:szCs w:val="20"/>
          <w:color w:val="auto"/>
        </w:rPr>
      </w:pPr>
    </w:p>
    <w:p>
      <w:pPr>
        <w:jc w:val="both"/>
        <w:ind w:left="620" w:right="20" w:hanging="348"/>
        <w:spacing w:after="0" w:line="256" w:lineRule="auto"/>
        <w:tabs>
          <w:tab w:leader="none" w:pos="620" w:val="left"/>
        </w:tabs>
        <w:numPr>
          <w:ilvl w:val="2"/>
          <w:numId w:val="247"/>
        </w:numPr>
        <w:rPr>
          <w:rFonts w:ascii="Times New Roman" w:cs="Times New Roman" w:eastAsia="Times New Roman" w:hAnsi="Times New Roman"/>
          <w:sz w:val="18"/>
          <w:szCs w:val="18"/>
          <w:color w:val="363638"/>
        </w:rPr>
      </w:pPr>
      <w:r>
        <w:rPr>
          <w:rFonts w:ascii="Times New Roman" w:cs="Times New Roman" w:eastAsia="Times New Roman" w:hAnsi="Times New Roman"/>
          <w:sz w:val="18"/>
          <w:szCs w:val="18"/>
          <w:b w:val="1"/>
          <w:bCs w:val="1"/>
          <w:color w:val="363638"/>
        </w:rPr>
        <w:t xml:space="preserve">Interpretation </w:t>
      </w:r>
      <w:r>
        <w:rPr>
          <w:rFonts w:ascii="Times New Roman" w:cs="Times New Roman" w:eastAsia="Times New Roman" w:hAnsi="Times New Roman"/>
          <w:sz w:val="18"/>
          <w:szCs w:val="18"/>
          <w:b w:val="1"/>
          <w:bCs w:val="1"/>
          <w:color w:val="262628"/>
        </w:rPr>
        <w:t>of</w:t>
      </w:r>
      <w:r>
        <w:rPr>
          <w:rFonts w:ascii="Times New Roman" w:cs="Times New Roman" w:eastAsia="Times New Roman" w:hAnsi="Times New Roman"/>
          <w:sz w:val="18"/>
          <w:szCs w:val="18"/>
          <w:b w:val="1"/>
          <w:bCs w:val="1"/>
          <w:color w:val="363638"/>
        </w:rPr>
        <w:t xml:space="preserve"> Arbitration Agreement. </w:t>
      </w:r>
      <w:r>
        <w:rPr>
          <w:rFonts w:ascii="Times New Roman" w:cs="Times New Roman" w:eastAsia="Times New Roman" w:hAnsi="Times New Roman"/>
          <w:sz w:val="18"/>
          <w:szCs w:val="18"/>
          <w:color w:val="262628"/>
        </w:rPr>
        <w:t>If</w:t>
      </w:r>
      <w:r>
        <w:rPr>
          <w:rFonts w:ascii="Times New Roman" w:cs="Times New Roman" w:eastAsia="Times New Roman" w:hAnsi="Times New Roman"/>
          <w:sz w:val="18"/>
          <w:szCs w:val="18"/>
          <w:b w:val="1"/>
          <w:bCs w:val="1"/>
          <w:color w:val="363638"/>
        </w:rPr>
        <w:t xml:space="preserve"> </w:t>
      </w:r>
      <w:r>
        <w:rPr>
          <w:rFonts w:ascii="Times New Roman" w:cs="Times New Roman" w:eastAsia="Times New Roman" w:hAnsi="Times New Roman"/>
          <w:sz w:val="18"/>
          <w:szCs w:val="18"/>
          <w:color w:val="363638"/>
        </w:rPr>
        <w:t>a</w:t>
      </w:r>
      <w:r>
        <w:rPr>
          <w:rFonts w:ascii="Times New Roman" w:cs="Times New Roman" w:eastAsia="Times New Roman" w:hAnsi="Times New Roman"/>
          <w:sz w:val="18"/>
          <w:szCs w:val="18"/>
          <w:b w:val="1"/>
          <w:bCs w:val="1"/>
          <w:color w:val="363638"/>
        </w:rPr>
        <w:t xml:space="preserve"> </w:t>
      </w:r>
      <w:r>
        <w:rPr>
          <w:rFonts w:ascii="Times New Roman" w:cs="Times New Roman" w:eastAsia="Times New Roman" w:hAnsi="Times New Roman"/>
          <w:sz w:val="18"/>
          <w:szCs w:val="18"/>
          <w:color w:val="262628"/>
        </w:rPr>
        <w:t>party violates this Agreement by commencing</w:t>
      </w:r>
      <w:r>
        <w:rPr>
          <w:rFonts w:ascii="Times New Roman" w:cs="Times New Roman" w:eastAsia="Times New Roman" w:hAnsi="Times New Roman"/>
          <w:sz w:val="18"/>
          <w:szCs w:val="18"/>
          <w:b w:val="1"/>
          <w:bCs w:val="1"/>
          <w:color w:val="363638"/>
        </w:rPr>
        <w:t xml:space="preserve"> </w:t>
      </w:r>
      <w:r>
        <w:rPr>
          <w:rFonts w:ascii="Times New Roman" w:cs="Times New Roman" w:eastAsia="Times New Roman" w:hAnsi="Times New Roman"/>
          <w:sz w:val="18"/>
          <w:szCs w:val="18"/>
          <w:color w:val="363638"/>
        </w:rPr>
        <w:t>an action asserting a Covered Claim</w:t>
      </w:r>
      <w:r>
        <w:rPr>
          <w:rFonts w:ascii="Times New Roman" w:cs="Times New Roman" w:eastAsia="Times New Roman" w:hAnsi="Times New Roman"/>
          <w:sz w:val="18"/>
          <w:szCs w:val="18"/>
          <w:b w:val="1"/>
          <w:bCs w:val="1"/>
          <w:color w:val="363638"/>
        </w:rPr>
        <w:t xml:space="preserve"> </w:t>
      </w:r>
      <w:r>
        <w:rPr>
          <w:rFonts w:ascii="Times New Roman" w:cs="Times New Roman" w:eastAsia="Times New Roman" w:hAnsi="Times New Roman"/>
          <w:sz w:val="18"/>
          <w:szCs w:val="18"/>
          <w:color w:val="262628"/>
        </w:rPr>
        <w:t>in</w:t>
      </w:r>
      <w:r>
        <w:rPr>
          <w:rFonts w:ascii="Times New Roman" w:cs="Times New Roman" w:eastAsia="Times New Roman" w:hAnsi="Times New Roman"/>
          <w:sz w:val="18"/>
          <w:szCs w:val="18"/>
          <w:b w:val="1"/>
          <w:bCs w:val="1"/>
          <w:color w:val="363638"/>
        </w:rPr>
        <w:t xml:space="preserve"> </w:t>
      </w:r>
      <w:r>
        <w:rPr>
          <w:rFonts w:ascii="Times New Roman" w:cs="Times New Roman" w:eastAsia="Times New Roman" w:hAnsi="Times New Roman"/>
          <w:sz w:val="18"/>
          <w:szCs w:val="18"/>
          <w:color w:val="363638"/>
        </w:rPr>
        <w:t>a</w:t>
      </w:r>
      <w:r>
        <w:rPr>
          <w:rFonts w:ascii="Times New Roman" w:cs="Times New Roman" w:eastAsia="Times New Roman" w:hAnsi="Times New Roman"/>
          <w:sz w:val="18"/>
          <w:szCs w:val="18"/>
          <w:b w:val="1"/>
          <w:bCs w:val="1"/>
          <w:color w:val="363638"/>
        </w:rPr>
        <w:t xml:space="preserve"> </w:t>
      </w:r>
      <w:r>
        <w:rPr>
          <w:rFonts w:ascii="Times New Roman" w:cs="Times New Roman" w:eastAsia="Times New Roman" w:hAnsi="Times New Roman"/>
          <w:sz w:val="18"/>
          <w:szCs w:val="18"/>
          <w:color w:val="262628"/>
        </w:rPr>
        <w:t>court</w:t>
      </w:r>
      <w:r>
        <w:rPr>
          <w:rFonts w:ascii="Times New Roman" w:cs="Times New Roman" w:eastAsia="Times New Roman" w:hAnsi="Times New Roman"/>
          <w:sz w:val="18"/>
          <w:szCs w:val="18"/>
          <w:b w:val="1"/>
          <w:bCs w:val="1"/>
          <w:color w:val="363638"/>
        </w:rPr>
        <w:t xml:space="preserve"> </w:t>
      </w:r>
      <w:r>
        <w:rPr>
          <w:rFonts w:ascii="Times New Roman" w:cs="Times New Roman" w:eastAsia="Times New Roman" w:hAnsi="Times New Roman"/>
          <w:sz w:val="18"/>
          <w:szCs w:val="18"/>
          <w:color w:val="262628"/>
        </w:rPr>
        <w:t>of law</w:t>
      </w:r>
      <w:r>
        <w:rPr>
          <w:rFonts w:ascii="Times New Roman" w:cs="Times New Roman" w:eastAsia="Times New Roman" w:hAnsi="Times New Roman"/>
          <w:sz w:val="18"/>
          <w:szCs w:val="18"/>
          <w:color w:val="595759"/>
        </w:rPr>
        <w:t>,</w:t>
      </w:r>
      <w:r>
        <w:rPr>
          <w:rFonts w:ascii="Times New Roman" w:cs="Times New Roman" w:eastAsia="Times New Roman" w:hAnsi="Times New Roman"/>
          <w:sz w:val="18"/>
          <w:szCs w:val="18"/>
          <w:color w:val="262628"/>
        </w:rPr>
        <w:t xml:space="preserve"> then the court </w:t>
      </w:r>
      <w:r>
        <w:rPr>
          <w:rFonts w:ascii="Times New Roman" w:cs="Times New Roman" w:eastAsia="Times New Roman" w:hAnsi="Times New Roman"/>
          <w:sz w:val="18"/>
          <w:szCs w:val="18"/>
          <w:color w:val="363638"/>
        </w:rPr>
        <w:t>(and</w:t>
      </w:r>
      <w:r>
        <w:rPr>
          <w:rFonts w:ascii="Times New Roman" w:cs="Times New Roman" w:eastAsia="Times New Roman" w:hAnsi="Times New Roman"/>
          <w:sz w:val="18"/>
          <w:szCs w:val="18"/>
          <w:color w:val="262628"/>
        </w:rPr>
        <w:t xml:space="preserve"> not </w:t>
      </w:r>
      <w:r>
        <w:rPr>
          <w:rFonts w:ascii="Times New Roman" w:cs="Times New Roman" w:eastAsia="Times New Roman" w:hAnsi="Times New Roman"/>
          <w:sz w:val="18"/>
          <w:szCs w:val="18"/>
          <w:color w:val="363638"/>
        </w:rPr>
        <w:t>an arbitrator) shall</w:t>
      </w:r>
      <w:r>
        <w:rPr>
          <w:rFonts w:ascii="Times New Roman" w:cs="Times New Roman" w:eastAsia="Times New Roman" w:hAnsi="Times New Roman"/>
          <w:sz w:val="18"/>
          <w:szCs w:val="18"/>
          <w:color w:val="262628"/>
        </w:rPr>
        <w:t xml:space="preserve"> have the authority </w:t>
      </w:r>
      <w:r>
        <w:rPr>
          <w:rFonts w:ascii="Times New Roman" w:cs="Times New Roman" w:eastAsia="Times New Roman" w:hAnsi="Times New Roman"/>
          <w:sz w:val="18"/>
          <w:szCs w:val="18"/>
          <w:color w:val="363638"/>
        </w:rPr>
        <w:t>to</w:t>
      </w:r>
      <w:r>
        <w:rPr>
          <w:rFonts w:ascii="Times New Roman" w:cs="Times New Roman" w:eastAsia="Times New Roman" w:hAnsi="Times New Roman"/>
          <w:sz w:val="18"/>
          <w:szCs w:val="18"/>
          <w:color w:val="262628"/>
        </w:rPr>
        <w:t xml:space="preserve"> resolve </w:t>
      </w:r>
      <w:r>
        <w:rPr>
          <w:rFonts w:ascii="Times New Roman" w:cs="Times New Roman" w:eastAsia="Times New Roman" w:hAnsi="Times New Roman"/>
          <w:sz w:val="18"/>
          <w:szCs w:val="18"/>
          <w:color w:val="363638"/>
        </w:rPr>
        <w:t>any</w:t>
      </w:r>
      <w:r>
        <w:rPr>
          <w:rFonts w:ascii="Times New Roman" w:cs="Times New Roman" w:eastAsia="Times New Roman" w:hAnsi="Times New Roman"/>
          <w:sz w:val="18"/>
          <w:szCs w:val="18"/>
          <w:color w:val="262628"/>
        </w:rPr>
        <w:t xml:space="preserve"> disputes about the interpretation</w:t>
      </w:r>
      <w:r>
        <w:rPr>
          <w:rFonts w:ascii="Times New Roman" w:cs="Times New Roman" w:eastAsia="Times New Roman" w:hAnsi="Times New Roman"/>
          <w:sz w:val="18"/>
          <w:szCs w:val="18"/>
          <w:color w:val="494849"/>
        </w:rPr>
        <w:t>,</w:t>
      </w:r>
      <w:r>
        <w:rPr>
          <w:rFonts w:ascii="Times New Roman" w:cs="Times New Roman" w:eastAsia="Times New Roman" w:hAnsi="Times New Roman"/>
          <w:sz w:val="18"/>
          <w:szCs w:val="18"/>
          <w:color w:val="262628"/>
        </w:rPr>
        <w:t xml:space="preserve"> formation</w:t>
      </w:r>
      <w:r>
        <w:rPr>
          <w:rFonts w:ascii="Times New Roman" w:cs="Times New Roman" w:eastAsia="Times New Roman" w:hAnsi="Times New Roman"/>
          <w:sz w:val="18"/>
          <w:szCs w:val="18"/>
          <w:color w:val="595759"/>
        </w:rPr>
        <w:t>,</w:t>
      </w:r>
      <w:r>
        <w:rPr>
          <w:rFonts w:ascii="Times New Roman" w:cs="Times New Roman" w:eastAsia="Times New Roman" w:hAnsi="Times New Roman"/>
          <w:sz w:val="18"/>
          <w:szCs w:val="18"/>
          <w:color w:val="262628"/>
        </w:rPr>
        <w:t xml:space="preserve"> existence, </w:t>
      </w:r>
      <w:r>
        <w:rPr>
          <w:rFonts w:ascii="Times New Roman" w:cs="Times New Roman" w:eastAsia="Times New Roman" w:hAnsi="Times New Roman"/>
          <w:sz w:val="18"/>
          <w:szCs w:val="18"/>
          <w:color w:val="494849"/>
        </w:rPr>
        <w:t>e</w:t>
      </w:r>
      <w:r>
        <w:rPr>
          <w:rFonts w:ascii="Times New Roman" w:cs="Times New Roman" w:eastAsia="Times New Roman" w:hAnsi="Times New Roman"/>
          <w:sz w:val="18"/>
          <w:szCs w:val="18"/>
          <w:color w:val="262628"/>
        </w:rPr>
        <w:t>nforceability</w:t>
      </w:r>
      <w:r>
        <w:rPr>
          <w:rFonts w:ascii="Times New Roman" w:cs="Times New Roman" w:eastAsia="Times New Roman" w:hAnsi="Times New Roman"/>
          <w:sz w:val="18"/>
          <w:szCs w:val="18"/>
          <w:color w:val="595759"/>
        </w:rPr>
        <w:t>,</w:t>
      </w:r>
      <w:r>
        <w:rPr>
          <w:rFonts w:ascii="Times New Roman" w:cs="Times New Roman" w:eastAsia="Times New Roman" w:hAnsi="Times New Roman"/>
          <w:sz w:val="18"/>
          <w:szCs w:val="18"/>
          <w:color w:val="494849"/>
        </w:rPr>
        <w:t xml:space="preserve"> </w:t>
      </w:r>
      <w:r>
        <w:rPr>
          <w:rFonts w:ascii="Times New Roman" w:cs="Times New Roman" w:eastAsia="Times New Roman" w:hAnsi="Times New Roman"/>
          <w:sz w:val="18"/>
          <w:szCs w:val="18"/>
          <w:color w:val="363638"/>
        </w:rPr>
        <w:t>validity</w:t>
      </w:r>
      <w:r>
        <w:rPr>
          <w:rFonts w:ascii="Times New Roman" w:cs="Times New Roman" w:eastAsia="Times New Roman" w:hAnsi="Times New Roman"/>
          <w:sz w:val="18"/>
          <w:szCs w:val="18"/>
          <w:color w:val="595759"/>
        </w:rPr>
        <w:t>,</w:t>
      </w:r>
      <w:r>
        <w:rPr>
          <w:rFonts w:ascii="Times New Roman" w:cs="Times New Roman" w:eastAsia="Times New Roman" w:hAnsi="Times New Roman"/>
          <w:sz w:val="18"/>
          <w:szCs w:val="18"/>
          <w:color w:val="494849"/>
        </w:rPr>
        <w:t xml:space="preserve"> </w:t>
      </w:r>
      <w:r>
        <w:rPr>
          <w:rFonts w:ascii="Times New Roman" w:cs="Times New Roman" w:eastAsia="Times New Roman" w:hAnsi="Times New Roman"/>
          <w:sz w:val="18"/>
          <w:szCs w:val="18"/>
          <w:color w:val="363638"/>
        </w:rPr>
        <w:t>and scope of</w:t>
      </w:r>
      <w:r>
        <w:rPr>
          <w:rFonts w:ascii="Times New Roman" w:cs="Times New Roman" w:eastAsia="Times New Roman" w:hAnsi="Times New Roman"/>
          <w:sz w:val="18"/>
          <w:szCs w:val="18"/>
          <w:color w:val="494849"/>
        </w:rPr>
        <w:t xml:space="preserve"> </w:t>
      </w:r>
      <w:r>
        <w:rPr>
          <w:rFonts w:ascii="Times New Roman" w:cs="Times New Roman" w:eastAsia="Times New Roman" w:hAnsi="Times New Roman"/>
          <w:sz w:val="18"/>
          <w:szCs w:val="18"/>
          <w:color w:val="262628"/>
        </w:rPr>
        <w:t>the</w:t>
      </w:r>
      <w:r>
        <w:rPr>
          <w:rFonts w:ascii="Times New Roman" w:cs="Times New Roman" w:eastAsia="Times New Roman" w:hAnsi="Times New Roman"/>
          <w:sz w:val="18"/>
          <w:szCs w:val="18"/>
          <w:color w:val="494849"/>
        </w:rPr>
        <w:t xml:space="preserve"> </w:t>
      </w:r>
      <w:r>
        <w:rPr>
          <w:rFonts w:ascii="Times New Roman" w:cs="Times New Roman" w:eastAsia="Times New Roman" w:hAnsi="Times New Roman"/>
          <w:sz w:val="18"/>
          <w:szCs w:val="18"/>
          <w:color w:val="363638"/>
        </w:rPr>
        <w:t>Agreement</w:t>
      </w:r>
      <w:r>
        <w:rPr>
          <w:rFonts w:ascii="Times New Roman" w:cs="Times New Roman" w:eastAsia="Times New Roman" w:hAnsi="Times New Roman"/>
          <w:sz w:val="18"/>
          <w:szCs w:val="18"/>
          <w:color w:val="595759"/>
        </w:rPr>
        <w:t>,</w:t>
      </w:r>
      <w:r>
        <w:rPr>
          <w:rFonts w:ascii="Times New Roman" w:cs="Times New Roman" w:eastAsia="Times New Roman" w:hAnsi="Times New Roman"/>
          <w:sz w:val="18"/>
          <w:szCs w:val="18"/>
          <w:color w:val="494849"/>
        </w:rPr>
        <w:t xml:space="preserve"> </w:t>
      </w:r>
      <w:r>
        <w:rPr>
          <w:rFonts w:ascii="Times New Roman" w:cs="Times New Roman" w:eastAsia="Times New Roman" w:hAnsi="Times New Roman"/>
          <w:sz w:val="18"/>
          <w:szCs w:val="18"/>
          <w:color w:val="262628"/>
        </w:rPr>
        <w:t>including the</w:t>
      </w:r>
      <w:r>
        <w:rPr>
          <w:rFonts w:ascii="Times New Roman" w:cs="Times New Roman" w:eastAsia="Times New Roman" w:hAnsi="Times New Roman"/>
          <w:sz w:val="18"/>
          <w:szCs w:val="18"/>
          <w:color w:val="494849"/>
        </w:rPr>
        <w:t xml:space="preserve"> </w:t>
      </w:r>
      <w:r>
        <w:rPr>
          <w:rFonts w:ascii="Times New Roman" w:cs="Times New Roman" w:eastAsia="Times New Roman" w:hAnsi="Times New Roman"/>
          <w:sz w:val="18"/>
          <w:szCs w:val="18"/>
          <w:u w:val="single" w:color="auto"/>
          <w:color w:val="262628"/>
        </w:rPr>
        <w:t>Waiver of Class</w:t>
      </w:r>
      <w:r>
        <w:rPr>
          <w:rFonts w:ascii="Times New Roman" w:cs="Times New Roman" w:eastAsia="Times New Roman" w:hAnsi="Times New Roman"/>
          <w:sz w:val="18"/>
          <w:szCs w:val="18"/>
          <w:color w:val="494849"/>
        </w:rPr>
        <w:t xml:space="preserve"> </w:t>
      </w:r>
      <w:r>
        <w:rPr>
          <w:rFonts w:ascii="Times New Roman" w:cs="Times New Roman" w:eastAsia="Times New Roman" w:hAnsi="Times New Roman"/>
          <w:sz w:val="18"/>
          <w:szCs w:val="18"/>
          <w:u w:val="single" w:color="auto"/>
          <w:color w:val="363638"/>
        </w:rPr>
        <w:t>and Collective</w:t>
      </w:r>
      <w:r>
        <w:rPr>
          <w:rFonts w:ascii="Times New Roman" w:cs="Times New Roman" w:eastAsia="Times New Roman" w:hAnsi="Times New Roman"/>
          <w:sz w:val="18"/>
          <w:szCs w:val="18"/>
          <w:color w:val="494849"/>
        </w:rPr>
        <w:t xml:space="preserve"> </w:t>
      </w:r>
      <w:r>
        <w:rPr>
          <w:rFonts w:ascii="Times New Roman" w:cs="Times New Roman" w:eastAsia="Times New Roman" w:hAnsi="Times New Roman"/>
          <w:sz w:val="18"/>
          <w:szCs w:val="18"/>
          <w:u w:val="single" w:color="auto"/>
          <w:color w:val="262628"/>
        </w:rPr>
        <w:t>Claims</w:t>
      </w:r>
      <w:r>
        <w:rPr>
          <w:rFonts w:ascii="Times New Roman" w:cs="Times New Roman" w:eastAsia="Times New Roman" w:hAnsi="Times New Roman"/>
          <w:sz w:val="18"/>
          <w:szCs w:val="18"/>
          <w:color w:val="262628"/>
        </w:rPr>
        <w:t>. However</w:t>
      </w:r>
      <w:r>
        <w:rPr>
          <w:rFonts w:ascii="Times New Roman" w:cs="Times New Roman" w:eastAsia="Times New Roman" w:hAnsi="Times New Roman"/>
          <w:sz w:val="18"/>
          <w:szCs w:val="18"/>
          <w:color w:val="595759"/>
        </w:rPr>
        <w:t>,</w:t>
      </w:r>
      <w:r>
        <w:rPr>
          <w:rFonts w:ascii="Times New Roman" w:cs="Times New Roman" w:eastAsia="Times New Roman" w:hAnsi="Times New Roman"/>
          <w:sz w:val="18"/>
          <w:szCs w:val="18"/>
          <w:color w:val="494849"/>
        </w:rPr>
        <w:t xml:space="preserve"> </w:t>
      </w:r>
      <w:r>
        <w:rPr>
          <w:rFonts w:ascii="Times New Roman" w:cs="Times New Roman" w:eastAsia="Times New Roman" w:hAnsi="Times New Roman"/>
          <w:sz w:val="18"/>
          <w:szCs w:val="18"/>
          <w:color w:val="262628"/>
        </w:rPr>
        <w:t>if a party</w:t>
      </w:r>
      <w:r>
        <w:rPr>
          <w:rFonts w:ascii="Times New Roman" w:cs="Times New Roman" w:eastAsia="Times New Roman" w:hAnsi="Times New Roman"/>
          <w:sz w:val="18"/>
          <w:szCs w:val="18"/>
          <w:color w:val="494849"/>
        </w:rPr>
        <w:t xml:space="preserve"> </w:t>
      </w:r>
      <w:r>
        <w:rPr>
          <w:rFonts w:ascii="Times New Roman" w:cs="Times New Roman" w:eastAsia="Times New Roman" w:hAnsi="Times New Roman"/>
          <w:sz w:val="18"/>
          <w:szCs w:val="18"/>
          <w:color w:val="363638"/>
        </w:rPr>
        <w:t>complies with</w:t>
      </w:r>
      <w:r>
        <w:rPr>
          <w:rFonts w:ascii="Times New Roman" w:cs="Times New Roman" w:eastAsia="Times New Roman" w:hAnsi="Times New Roman"/>
          <w:sz w:val="18"/>
          <w:szCs w:val="18"/>
          <w:color w:val="494849"/>
        </w:rPr>
        <w:t xml:space="preserve"> </w:t>
      </w:r>
      <w:r>
        <w:rPr>
          <w:rFonts w:ascii="Times New Roman" w:cs="Times New Roman" w:eastAsia="Times New Roman" w:hAnsi="Times New Roman"/>
          <w:sz w:val="18"/>
          <w:szCs w:val="18"/>
          <w:color w:val="262628"/>
        </w:rPr>
        <w:t xml:space="preserve">this </w:t>
      </w:r>
      <w:r>
        <w:rPr>
          <w:rFonts w:ascii="Times New Roman" w:cs="Times New Roman" w:eastAsia="Times New Roman" w:hAnsi="Times New Roman"/>
          <w:sz w:val="18"/>
          <w:szCs w:val="18"/>
          <w:color w:val="363638"/>
        </w:rPr>
        <w:t>Agreement and</w:t>
      </w:r>
      <w:r>
        <w:rPr>
          <w:rFonts w:ascii="Times New Roman" w:cs="Times New Roman" w:eastAsia="Times New Roman" w:hAnsi="Times New Roman"/>
          <w:sz w:val="18"/>
          <w:szCs w:val="18"/>
          <w:color w:val="262628"/>
        </w:rPr>
        <w:t xml:space="preserve"> files </w:t>
      </w:r>
      <w:r>
        <w:rPr>
          <w:rFonts w:ascii="Times New Roman" w:cs="Times New Roman" w:eastAsia="Times New Roman" w:hAnsi="Times New Roman"/>
          <w:sz w:val="18"/>
          <w:szCs w:val="18"/>
          <w:color w:val="363638"/>
        </w:rPr>
        <w:t>for</w:t>
      </w:r>
      <w:r>
        <w:rPr>
          <w:rFonts w:ascii="Times New Roman" w:cs="Times New Roman" w:eastAsia="Times New Roman" w:hAnsi="Times New Roman"/>
          <w:sz w:val="18"/>
          <w:szCs w:val="18"/>
          <w:color w:val="262628"/>
        </w:rPr>
        <w:t xml:space="preserve"> arbitration without filing a complaint in </w:t>
      </w:r>
      <w:r>
        <w:rPr>
          <w:rFonts w:ascii="Times New Roman" w:cs="Times New Roman" w:eastAsia="Times New Roman" w:hAnsi="Times New Roman"/>
          <w:sz w:val="18"/>
          <w:szCs w:val="18"/>
          <w:color w:val="363638"/>
        </w:rPr>
        <w:t>a</w:t>
      </w:r>
      <w:r>
        <w:rPr>
          <w:rFonts w:ascii="Times New Roman" w:cs="Times New Roman" w:eastAsia="Times New Roman" w:hAnsi="Times New Roman"/>
          <w:sz w:val="18"/>
          <w:szCs w:val="18"/>
          <w:color w:val="262628"/>
        </w:rPr>
        <w:t xml:space="preserve"> court of </w:t>
      </w:r>
      <w:r>
        <w:rPr>
          <w:rFonts w:ascii="Times New Roman" w:cs="Times New Roman" w:eastAsia="Times New Roman" w:hAnsi="Times New Roman"/>
          <w:sz w:val="18"/>
          <w:szCs w:val="18"/>
          <w:color w:val="111113"/>
        </w:rPr>
        <w:t>l</w:t>
      </w:r>
      <w:r>
        <w:rPr>
          <w:rFonts w:ascii="Times New Roman" w:cs="Times New Roman" w:eastAsia="Times New Roman" w:hAnsi="Times New Roman"/>
          <w:sz w:val="18"/>
          <w:szCs w:val="18"/>
          <w:color w:val="363638"/>
        </w:rPr>
        <w:t>aw</w:t>
      </w:r>
      <w:r>
        <w:rPr>
          <w:rFonts w:ascii="Times New Roman" w:cs="Times New Roman" w:eastAsia="Times New Roman" w:hAnsi="Times New Roman"/>
          <w:sz w:val="18"/>
          <w:szCs w:val="18"/>
          <w:color w:val="595759"/>
        </w:rPr>
        <w:t>,</w:t>
      </w:r>
      <w:r>
        <w:rPr>
          <w:rFonts w:ascii="Times New Roman" w:cs="Times New Roman" w:eastAsia="Times New Roman" w:hAnsi="Times New Roman"/>
          <w:sz w:val="18"/>
          <w:szCs w:val="18"/>
          <w:color w:val="262628"/>
        </w:rPr>
        <w:t xml:space="preserve"> then the Arbitrator </w:t>
      </w:r>
      <w:r>
        <w:rPr>
          <w:rFonts w:ascii="Times New Roman" w:cs="Times New Roman" w:eastAsia="Times New Roman" w:hAnsi="Times New Roman"/>
          <w:sz w:val="18"/>
          <w:szCs w:val="18"/>
          <w:color w:val="363638"/>
        </w:rPr>
        <w:t>sha</w:t>
      </w:r>
      <w:r>
        <w:rPr>
          <w:rFonts w:ascii="Times New Roman" w:cs="Times New Roman" w:eastAsia="Times New Roman" w:hAnsi="Times New Roman"/>
          <w:sz w:val="18"/>
          <w:szCs w:val="18"/>
          <w:color w:val="111113"/>
        </w:rPr>
        <w:t>ll</w:t>
      </w:r>
      <w:r>
        <w:rPr>
          <w:rFonts w:ascii="Times New Roman" w:cs="Times New Roman" w:eastAsia="Times New Roman" w:hAnsi="Times New Roman"/>
          <w:sz w:val="18"/>
          <w:szCs w:val="18"/>
          <w:color w:val="262628"/>
        </w:rPr>
        <w:t xml:space="preserve"> have the </w:t>
      </w:r>
      <w:r>
        <w:rPr>
          <w:rFonts w:ascii="Times New Roman" w:cs="Times New Roman" w:eastAsia="Times New Roman" w:hAnsi="Times New Roman"/>
          <w:sz w:val="18"/>
          <w:szCs w:val="18"/>
          <w:color w:val="363638"/>
        </w:rPr>
        <w:t>authority</w:t>
      </w:r>
      <w:r>
        <w:rPr>
          <w:rFonts w:ascii="Times New Roman" w:cs="Times New Roman" w:eastAsia="Times New Roman" w:hAnsi="Times New Roman"/>
          <w:sz w:val="18"/>
          <w:szCs w:val="18"/>
          <w:color w:val="262628"/>
        </w:rPr>
        <w:t xml:space="preserve"> to </w:t>
      </w:r>
      <w:r>
        <w:rPr>
          <w:rFonts w:ascii="Times New Roman" w:cs="Times New Roman" w:eastAsia="Times New Roman" w:hAnsi="Times New Roman"/>
          <w:sz w:val="18"/>
          <w:szCs w:val="18"/>
          <w:color w:val="363638"/>
        </w:rPr>
        <w:t>resolve any</w:t>
      </w:r>
      <w:r>
        <w:rPr>
          <w:rFonts w:ascii="Times New Roman" w:cs="Times New Roman" w:eastAsia="Times New Roman" w:hAnsi="Times New Roman"/>
          <w:sz w:val="18"/>
          <w:szCs w:val="18"/>
          <w:color w:val="262628"/>
        </w:rPr>
        <w:t xml:space="preserve"> disputes </w:t>
      </w:r>
      <w:r>
        <w:rPr>
          <w:rFonts w:ascii="Times New Roman" w:cs="Times New Roman" w:eastAsia="Times New Roman" w:hAnsi="Times New Roman"/>
          <w:sz w:val="18"/>
          <w:szCs w:val="18"/>
          <w:color w:val="363638"/>
        </w:rPr>
        <w:t>about</w:t>
      </w:r>
      <w:r>
        <w:rPr>
          <w:rFonts w:ascii="Times New Roman" w:cs="Times New Roman" w:eastAsia="Times New Roman" w:hAnsi="Times New Roman"/>
          <w:sz w:val="18"/>
          <w:szCs w:val="18"/>
          <w:color w:val="262628"/>
        </w:rPr>
        <w:t xml:space="preserve"> the interpretation </w:t>
      </w:r>
      <w:r>
        <w:rPr>
          <w:rFonts w:ascii="Times New Roman" w:cs="Times New Roman" w:eastAsia="Times New Roman" w:hAnsi="Times New Roman"/>
          <w:sz w:val="18"/>
          <w:szCs w:val="18"/>
          <w:color w:val="363638"/>
        </w:rPr>
        <w:t>of</w:t>
      </w:r>
      <w:r>
        <w:rPr>
          <w:rFonts w:ascii="Times New Roman" w:cs="Times New Roman" w:eastAsia="Times New Roman" w:hAnsi="Times New Roman"/>
          <w:sz w:val="18"/>
          <w:szCs w:val="18"/>
          <w:color w:val="262628"/>
        </w:rPr>
        <w:t xml:space="preserve"> the </w:t>
      </w:r>
      <w:r>
        <w:rPr>
          <w:rFonts w:ascii="Times New Roman" w:cs="Times New Roman" w:eastAsia="Times New Roman" w:hAnsi="Times New Roman"/>
          <w:sz w:val="18"/>
          <w:szCs w:val="18"/>
          <w:color w:val="363638"/>
        </w:rPr>
        <w:t>Agreement</w:t>
      </w:r>
      <w:r>
        <w:rPr>
          <w:rFonts w:ascii="Times New Roman" w:cs="Times New Roman" w:eastAsia="Times New Roman" w:hAnsi="Times New Roman"/>
          <w:sz w:val="18"/>
          <w:szCs w:val="18"/>
          <w:color w:val="262628"/>
        </w:rPr>
        <w:t xml:space="preserve"> for purposes of discovery or the merits of the underlying </w:t>
      </w:r>
      <w:r>
        <w:rPr>
          <w:rFonts w:ascii="Times New Roman" w:cs="Times New Roman" w:eastAsia="Times New Roman" w:hAnsi="Times New Roman"/>
          <w:sz w:val="18"/>
          <w:szCs w:val="18"/>
          <w:color w:val="363638"/>
        </w:rPr>
        <w:t>claim,</w:t>
      </w:r>
      <w:r>
        <w:rPr>
          <w:rFonts w:ascii="Times New Roman" w:cs="Times New Roman" w:eastAsia="Times New Roman" w:hAnsi="Times New Roman"/>
          <w:sz w:val="18"/>
          <w:szCs w:val="18"/>
          <w:color w:val="262628"/>
        </w:rPr>
        <w:t xml:space="preserve"> but </w:t>
      </w:r>
      <w:r>
        <w:rPr>
          <w:rFonts w:ascii="Times New Roman" w:cs="Times New Roman" w:eastAsia="Times New Roman" w:hAnsi="Times New Roman"/>
          <w:sz w:val="18"/>
          <w:szCs w:val="18"/>
          <w:color w:val="363638"/>
        </w:rPr>
        <w:t>shall</w:t>
      </w:r>
      <w:r>
        <w:rPr>
          <w:rFonts w:ascii="Times New Roman" w:cs="Times New Roman" w:eastAsia="Times New Roman" w:hAnsi="Times New Roman"/>
          <w:sz w:val="18"/>
          <w:szCs w:val="18"/>
          <w:color w:val="262628"/>
        </w:rPr>
        <w:t xml:space="preserve"> have no </w:t>
      </w:r>
      <w:r>
        <w:rPr>
          <w:rFonts w:ascii="Times New Roman" w:cs="Times New Roman" w:eastAsia="Times New Roman" w:hAnsi="Times New Roman"/>
          <w:sz w:val="18"/>
          <w:szCs w:val="18"/>
          <w:color w:val="363638"/>
        </w:rPr>
        <w:t>author</w:t>
      </w:r>
      <w:r>
        <w:rPr>
          <w:rFonts w:ascii="Times New Roman" w:cs="Times New Roman" w:eastAsia="Times New Roman" w:hAnsi="Times New Roman"/>
          <w:sz w:val="18"/>
          <w:szCs w:val="18"/>
          <w:color w:val="111113"/>
        </w:rPr>
        <w:t>it</w:t>
      </w:r>
      <w:r>
        <w:rPr>
          <w:rFonts w:ascii="Times New Roman" w:cs="Times New Roman" w:eastAsia="Times New Roman" w:hAnsi="Times New Roman"/>
          <w:sz w:val="18"/>
          <w:szCs w:val="18"/>
          <w:color w:val="363638"/>
        </w:rPr>
        <w:t>y</w:t>
      </w:r>
      <w:r>
        <w:rPr>
          <w:rFonts w:ascii="Times New Roman" w:cs="Times New Roman" w:eastAsia="Times New Roman" w:hAnsi="Times New Roman"/>
          <w:sz w:val="18"/>
          <w:szCs w:val="18"/>
          <w:color w:val="262628"/>
        </w:rPr>
        <w:t xml:space="preserve"> to resolve any disputes </w:t>
      </w:r>
      <w:r>
        <w:rPr>
          <w:rFonts w:ascii="Times New Roman" w:cs="Times New Roman" w:eastAsia="Times New Roman" w:hAnsi="Times New Roman"/>
          <w:sz w:val="18"/>
          <w:szCs w:val="18"/>
          <w:color w:val="363638"/>
        </w:rPr>
        <w:t>about</w:t>
      </w:r>
      <w:r>
        <w:rPr>
          <w:rFonts w:ascii="Times New Roman" w:cs="Times New Roman" w:eastAsia="Times New Roman" w:hAnsi="Times New Roman"/>
          <w:sz w:val="18"/>
          <w:szCs w:val="18"/>
          <w:color w:val="262628"/>
        </w:rPr>
        <w:t xml:space="preserve"> the formation</w:t>
      </w:r>
      <w:r>
        <w:rPr>
          <w:rFonts w:ascii="Times New Roman" w:cs="Times New Roman" w:eastAsia="Times New Roman" w:hAnsi="Times New Roman"/>
          <w:sz w:val="18"/>
          <w:szCs w:val="18"/>
          <w:color w:val="595759"/>
        </w:rPr>
        <w:t>,</w:t>
      </w:r>
      <w:r>
        <w:rPr>
          <w:rFonts w:ascii="Times New Roman" w:cs="Times New Roman" w:eastAsia="Times New Roman" w:hAnsi="Times New Roman"/>
          <w:sz w:val="18"/>
          <w:szCs w:val="18"/>
          <w:color w:val="262628"/>
        </w:rPr>
        <w:t xml:space="preserve"> existence</w:t>
      </w:r>
      <w:r>
        <w:rPr>
          <w:rFonts w:ascii="Times New Roman" w:cs="Times New Roman" w:eastAsia="Times New Roman" w:hAnsi="Times New Roman"/>
          <w:sz w:val="18"/>
          <w:szCs w:val="18"/>
          <w:color w:val="494849"/>
        </w:rPr>
        <w:t>,</w:t>
      </w:r>
      <w:r>
        <w:rPr>
          <w:rFonts w:ascii="Times New Roman" w:cs="Times New Roman" w:eastAsia="Times New Roman" w:hAnsi="Times New Roman"/>
          <w:sz w:val="18"/>
          <w:szCs w:val="18"/>
          <w:color w:val="262628"/>
        </w:rPr>
        <w:t xml:space="preserve"> </w:t>
      </w:r>
      <w:r>
        <w:rPr>
          <w:rFonts w:ascii="Times New Roman" w:cs="Times New Roman" w:eastAsia="Times New Roman" w:hAnsi="Times New Roman"/>
          <w:sz w:val="18"/>
          <w:szCs w:val="18"/>
          <w:color w:val="363638"/>
        </w:rPr>
        <w:t>enforceability</w:t>
      </w:r>
      <w:r>
        <w:rPr>
          <w:rFonts w:ascii="Times New Roman" w:cs="Times New Roman" w:eastAsia="Times New Roman" w:hAnsi="Times New Roman"/>
          <w:sz w:val="18"/>
          <w:szCs w:val="18"/>
          <w:color w:val="595759"/>
        </w:rPr>
        <w:t>,</w:t>
      </w:r>
      <w:r>
        <w:rPr>
          <w:rFonts w:ascii="Times New Roman" w:cs="Times New Roman" w:eastAsia="Times New Roman" w:hAnsi="Times New Roman"/>
          <w:sz w:val="18"/>
          <w:szCs w:val="18"/>
          <w:color w:val="262628"/>
        </w:rPr>
        <w:t xml:space="preserve"> or validity of the </w:t>
      </w:r>
      <w:r>
        <w:rPr>
          <w:rFonts w:ascii="Times New Roman" w:cs="Times New Roman" w:eastAsia="Times New Roman" w:hAnsi="Times New Roman"/>
          <w:sz w:val="18"/>
          <w:szCs w:val="18"/>
          <w:color w:val="363638"/>
        </w:rPr>
        <w:t>Agreement</w:t>
      </w:r>
      <w:r>
        <w:rPr>
          <w:rFonts w:ascii="Times New Roman" w:cs="Times New Roman" w:eastAsia="Times New Roman" w:hAnsi="Times New Roman"/>
          <w:sz w:val="18"/>
          <w:szCs w:val="18"/>
          <w:color w:val="595759"/>
        </w:rPr>
        <w:t>,</w:t>
      </w:r>
      <w:r>
        <w:rPr>
          <w:rFonts w:ascii="Times New Roman" w:cs="Times New Roman" w:eastAsia="Times New Roman" w:hAnsi="Times New Roman"/>
          <w:sz w:val="18"/>
          <w:szCs w:val="18"/>
          <w:color w:val="262628"/>
        </w:rPr>
        <w:t xml:space="preserve"> including the Waiver of </w:t>
      </w:r>
      <w:r>
        <w:rPr>
          <w:rFonts w:ascii="Times New Roman" w:cs="Times New Roman" w:eastAsia="Times New Roman" w:hAnsi="Times New Roman"/>
          <w:sz w:val="18"/>
          <w:szCs w:val="18"/>
          <w:color w:val="363638"/>
        </w:rPr>
        <w:t>Class and</w:t>
      </w:r>
      <w:r>
        <w:rPr>
          <w:rFonts w:ascii="Times New Roman" w:cs="Times New Roman" w:eastAsia="Times New Roman" w:hAnsi="Times New Roman"/>
          <w:sz w:val="18"/>
          <w:szCs w:val="18"/>
          <w:color w:val="262628"/>
        </w:rPr>
        <w:t xml:space="preserve"> </w:t>
      </w:r>
      <w:r>
        <w:rPr>
          <w:rFonts w:ascii="Times New Roman" w:cs="Times New Roman" w:eastAsia="Times New Roman" w:hAnsi="Times New Roman"/>
          <w:sz w:val="18"/>
          <w:szCs w:val="18"/>
          <w:color w:val="363638"/>
        </w:rPr>
        <w:t>Collective Claims.</w:t>
      </w:r>
    </w:p>
    <w:p>
      <w:pPr>
        <w:spacing w:after="0" w:line="142" w:lineRule="exact"/>
        <w:rPr>
          <w:rFonts w:ascii="Times New Roman" w:cs="Times New Roman" w:eastAsia="Times New Roman" w:hAnsi="Times New Roman"/>
          <w:sz w:val="18"/>
          <w:szCs w:val="18"/>
          <w:color w:val="363638"/>
        </w:rPr>
      </w:pPr>
    </w:p>
    <w:p>
      <w:pPr>
        <w:jc w:val="both"/>
        <w:ind w:left="620" w:hanging="332"/>
        <w:spacing w:after="0" w:line="268" w:lineRule="auto"/>
        <w:tabs>
          <w:tab w:leader="none" w:pos="620" w:val="left"/>
        </w:tabs>
        <w:numPr>
          <w:ilvl w:val="3"/>
          <w:numId w:val="247"/>
        </w:numPr>
        <w:rPr>
          <w:rFonts w:ascii="Times New Roman" w:cs="Times New Roman" w:eastAsia="Times New Roman" w:hAnsi="Times New Roman"/>
          <w:sz w:val="18"/>
          <w:szCs w:val="18"/>
          <w:color w:val="363638"/>
        </w:rPr>
      </w:pPr>
      <w:r>
        <w:rPr>
          <w:rFonts w:ascii="Times New Roman" w:cs="Times New Roman" w:eastAsia="Times New Roman" w:hAnsi="Times New Roman"/>
          <w:sz w:val="18"/>
          <w:szCs w:val="18"/>
          <w:b w:val="1"/>
          <w:bCs w:val="1"/>
          <w:color w:val="262628"/>
        </w:rPr>
        <w:t xml:space="preserve">Costs. </w:t>
      </w:r>
      <w:r>
        <w:rPr>
          <w:rFonts w:ascii="Times New Roman" w:cs="Times New Roman" w:eastAsia="Times New Roman" w:hAnsi="Times New Roman"/>
          <w:sz w:val="18"/>
          <w:szCs w:val="18"/>
          <w:color w:val="262628"/>
        </w:rPr>
        <w:t>For</w:t>
      </w:r>
      <w:r>
        <w:rPr>
          <w:rFonts w:ascii="Times New Roman" w:cs="Times New Roman" w:eastAsia="Times New Roman" w:hAnsi="Times New Roman"/>
          <w:sz w:val="18"/>
          <w:szCs w:val="18"/>
          <w:b w:val="1"/>
          <w:bCs w:val="1"/>
          <w:color w:val="262628"/>
        </w:rPr>
        <w:t xml:space="preserve"> </w:t>
      </w:r>
      <w:r>
        <w:rPr>
          <w:rFonts w:ascii="Times New Roman" w:cs="Times New Roman" w:eastAsia="Times New Roman" w:hAnsi="Times New Roman"/>
          <w:sz w:val="18"/>
          <w:szCs w:val="18"/>
          <w:color w:val="363638"/>
        </w:rPr>
        <w:t>statutory emp</w:t>
      </w:r>
      <w:r>
        <w:rPr>
          <w:rFonts w:ascii="Times New Roman" w:cs="Times New Roman" w:eastAsia="Times New Roman" w:hAnsi="Times New Roman"/>
          <w:sz w:val="18"/>
          <w:szCs w:val="18"/>
          <w:color w:val="111113"/>
        </w:rPr>
        <w:t>lo</w:t>
      </w:r>
      <w:r>
        <w:rPr>
          <w:rFonts w:ascii="Times New Roman" w:cs="Times New Roman" w:eastAsia="Times New Roman" w:hAnsi="Times New Roman"/>
          <w:sz w:val="18"/>
          <w:szCs w:val="18"/>
          <w:color w:val="363638"/>
        </w:rPr>
        <w:t>yment claims,</w:t>
      </w:r>
      <w:r>
        <w:rPr>
          <w:rFonts w:ascii="Times New Roman" w:cs="Times New Roman" w:eastAsia="Times New Roman" w:hAnsi="Times New Roman"/>
          <w:sz w:val="18"/>
          <w:szCs w:val="18"/>
          <w:b w:val="1"/>
          <w:bCs w:val="1"/>
          <w:color w:val="262628"/>
        </w:rPr>
        <w:t xml:space="preserve"> </w:t>
      </w:r>
      <w:r>
        <w:rPr>
          <w:rFonts w:ascii="Times New Roman" w:cs="Times New Roman" w:eastAsia="Times New Roman" w:hAnsi="Times New Roman"/>
          <w:sz w:val="18"/>
          <w:szCs w:val="18"/>
          <w:color w:val="262628"/>
        </w:rPr>
        <w:t>the</w:t>
      </w:r>
      <w:r>
        <w:rPr>
          <w:rFonts w:ascii="Times New Roman" w:cs="Times New Roman" w:eastAsia="Times New Roman" w:hAnsi="Times New Roman"/>
          <w:sz w:val="18"/>
          <w:szCs w:val="18"/>
          <w:b w:val="1"/>
          <w:bCs w:val="1"/>
          <w:color w:val="262628"/>
        </w:rPr>
        <w:t xml:space="preserve"> </w:t>
      </w:r>
      <w:r>
        <w:rPr>
          <w:rFonts w:ascii="Times New Roman" w:cs="Times New Roman" w:eastAsia="Times New Roman" w:hAnsi="Times New Roman"/>
          <w:sz w:val="18"/>
          <w:szCs w:val="18"/>
          <w:color w:val="363638"/>
        </w:rPr>
        <w:t>Employer</w:t>
      </w:r>
      <w:r>
        <w:rPr>
          <w:rFonts w:ascii="Times New Roman" w:cs="Times New Roman" w:eastAsia="Times New Roman" w:hAnsi="Times New Roman"/>
          <w:sz w:val="18"/>
          <w:szCs w:val="18"/>
          <w:b w:val="1"/>
          <w:bCs w:val="1"/>
          <w:color w:val="262628"/>
        </w:rPr>
        <w:t xml:space="preserve"> </w:t>
      </w:r>
      <w:r>
        <w:rPr>
          <w:rFonts w:ascii="Times New Roman" w:cs="Times New Roman" w:eastAsia="Times New Roman" w:hAnsi="Times New Roman"/>
          <w:sz w:val="18"/>
          <w:szCs w:val="18"/>
          <w:color w:val="262628"/>
        </w:rPr>
        <w:t>will pay</w:t>
      </w:r>
      <w:r>
        <w:rPr>
          <w:rFonts w:ascii="Times New Roman" w:cs="Times New Roman" w:eastAsia="Times New Roman" w:hAnsi="Times New Roman"/>
          <w:sz w:val="18"/>
          <w:szCs w:val="18"/>
          <w:b w:val="1"/>
          <w:bCs w:val="1"/>
          <w:color w:val="262628"/>
        </w:rPr>
        <w:t xml:space="preserve"> </w:t>
      </w:r>
      <w:r>
        <w:rPr>
          <w:rFonts w:ascii="Times New Roman" w:cs="Times New Roman" w:eastAsia="Times New Roman" w:hAnsi="Times New Roman"/>
          <w:sz w:val="18"/>
          <w:szCs w:val="18"/>
          <w:color w:val="363638"/>
        </w:rPr>
        <w:t>all</w:t>
      </w:r>
      <w:r>
        <w:rPr>
          <w:rFonts w:ascii="Times New Roman" w:cs="Times New Roman" w:eastAsia="Times New Roman" w:hAnsi="Times New Roman"/>
          <w:sz w:val="18"/>
          <w:szCs w:val="18"/>
          <w:b w:val="1"/>
          <w:bCs w:val="1"/>
          <w:color w:val="262628"/>
        </w:rPr>
        <w:t xml:space="preserve"> </w:t>
      </w:r>
      <w:r>
        <w:rPr>
          <w:rFonts w:ascii="Times New Roman" w:cs="Times New Roman" w:eastAsia="Times New Roman" w:hAnsi="Times New Roman"/>
          <w:sz w:val="18"/>
          <w:szCs w:val="18"/>
          <w:color w:val="262628"/>
        </w:rPr>
        <w:t>costs that</w:t>
      </w:r>
      <w:r>
        <w:rPr>
          <w:rFonts w:ascii="Times New Roman" w:cs="Times New Roman" w:eastAsia="Times New Roman" w:hAnsi="Times New Roman"/>
          <w:sz w:val="18"/>
          <w:szCs w:val="18"/>
          <w:b w:val="1"/>
          <w:bCs w:val="1"/>
          <w:color w:val="262628"/>
        </w:rPr>
        <w:t xml:space="preserve"> </w:t>
      </w:r>
      <w:r>
        <w:rPr>
          <w:rFonts w:ascii="Times New Roman" w:cs="Times New Roman" w:eastAsia="Times New Roman" w:hAnsi="Times New Roman"/>
          <w:sz w:val="18"/>
          <w:szCs w:val="18"/>
          <w:color w:val="363638"/>
        </w:rPr>
        <w:t>are</w:t>
      </w:r>
      <w:r>
        <w:rPr>
          <w:rFonts w:ascii="Times New Roman" w:cs="Times New Roman" w:eastAsia="Times New Roman" w:hAnsi="Times New Roman"/>
          <w:sz w:val="18"/>
          <w:szCs w:val="18"/>
          <w:b w:val="1"/>
          <w:bCs w:val="1"/>
          <w:color w:val="262628"/>
        </w:rPr>
        <w:t xml:space="preserve"> </w:t>
      </w:r>
      <w:r>
        <w:rPr>
          <w:rFonts w:ascii="Times New Roman" w:cs="Times New Roman" w:eastAsia="Times New Roman" w:hAnsi="Times New Roman"/>
          <w:sz w:val="18"/>
          <w:szCs w:val="18"/>
          <w:color w:val="262628"/>
        </w:rPr>
        <w:t>unique to</w:t>
      </w:r>
      <w:r>
        <w:rPr>
          <w:rFonts w:ascii="Times New Roman" w:cs="Times New Roman" w:eastAsia="Times New Roman" w:hAnsi="Times New Roman"/>
          <w:sz w:val="18"/>
          <w:szCs w:val="18"/>
          <w:b w:val="1"/>
          <w:bCs w:val="1"/>
          <w:color w:val="262628"/>
        </w:rPr>
        <w:t xml:space="preserve"> </w:t>
      </w:r>
      <w:r>
        <w:rPr>
          <w:rFonts w:ascii="Times New Roman" w:cs="Times New Roman" w:eastAsia="Times New Roman" w:hAnsi="Times New Roman"/>
          <w:sz w:val="18"/>
          <w:szCs w:val="18"/>
          <w:color w:val="363638"/>
        </w:rPr>
        <w:t>arbitration</w:t>
      </w:r>
      <w:r>
        <w:rPr>
          <w:rFonts w:ascii="Times New Roman" w:cs="Times New Roman" w:eastAsia="Times New Roman" w:hAnsi="Times New Roman"/>
          <w:sz w:val="18"/>
          <w:szCs w:val="18"/>
          <w:color w:val="595759"/>
        </w:rPr>
        <w:t>,</w:t>
      </w:r>
      <w:r>
        <w:rPr>
          <w:rFonts w:ascii="Times New Roman" w:cs="Times New Roman" w:eastAsia="Times New Roman" w:hAnsi="Times New Roman"/>
          <w:sz w:val="18"/>
          <w:szCs w:val="18"/>
          <w:b w:val="1"/>
          <w:bCs w:val="1"/>
          <w:color w:val="262628"/>
        </w:rPr>
        <w:t xml:space="preserve"> </w:t>
      </w:r>
      <w:r>
        <w:rPr>
          <w:rFonts w:ascii="Times New Roman" w:cs="Times New Roman" w:eastAsia="Times New Roman" w:hAnsi="Times New Roman"/>
          <w:sz w:val="18"/>
          <w:szCs w:val="18"/>
          <w:color w:val="262628"/>
        </w:rPr>
        <w:t>including the Arbitrator</w:t>
      </w:r>
      <w:r>
        <w:rPr>
          <w:rFonts w:ascii="Times New Roman" w:cs="Times New Roman" w:eastAsia="Times New Roman" w:hAnsi="Times New Roman"/>
          <w:sz w:val="18"/>
          <w:szCs w:val="18"/>
          <w:color w:val="494849"/>
        </w:rPr>
        <w:t>'</w:t>
      </w:r>
      <w:r>
        <w:rPr>
          <w:rFonts w:ascii="Times New Roman" w:cs="Times New Roman" w:eastAsia="Times New Roman" w:hAnsi="Times New Roman"/>
          <w:sz w:val="18"/>
          <w:szCs w:val="18"/>
          <w:color w:val="262628"/>
        </w:rPr>
        <w:t>s</w:t>
      </w:r>
      <w:r>
        <w:rPr>
          <w:rFonts w:ascii="Times New Roman" w:cs="Times New Roman" w:eastAsia="Times New Roman" w:hAnsi="Times New Roman"/>
          <w:sz w:val="18"/>
          <w:szCs w:val="18"/>
          <w:b w:val="1"/>
          <w:bCs w:val="1"/>
          <w:color w:val="262628"/>
        </w:rPr>
        <w:t xml:space="preserve"> </w:t>
      </w:r>
      <w:r>
        <w:rPr>
          <w:rFonts w:ascii="Times New Roman" w:cs="Times New Roman" w:eastAsia="Times New Roman" w:hAnsi="Times New Roman"/>
          <w:sz w:val="18"/>
          <w:szCs w:val="18"/>
          <w:color w:val="363638"/>
        </w:rPr>
        <w:t>fees</w:t>
      </w:r>
      <w:r>
        <w:rPr>
          <w:rFonts w:ascii="Times New Roman" w:cs="Times New Roman" w:eastAsia="Times New Roman" w:hAnsi="Times New Roman"/>
          <w:sz w:val="18"/>
          <w:szCs w:val="18"/>
          <w:b w:val="1"/>
          <w:bCs w:val="1"/>
          <w:color w:val="262628"/>
        </w:rPr>
        <w:t xml:space="preserve"> </w:t>
      </w:r>
      <w:r>
        <w:rPr>
          <w:rFonts w:ascii="Times New Roman" w:cs="Times New Roman" w:eastAsia="Times New Roman" w:hAnsi="Times New Roman"/>
          <w:sz w:val="18"/>
          <w:szCs w:val="18"/>
          <w:color w:val="262628"/>
        </w:rPr>
        <w:t>and the</w:t>
      </w:r>
      <w:r>
        <w:rPr>
          <w:rFonts w:ascii="Times New Roman" w:cs="Times New Roman" w:eastAsia="Times New Roman" w:hAnsi="Times New Roman"/>
          <w:sz w:val="18"/>
          <w:szCs w:val="18"/>
          <w:b w:val="1"/>
          <w:bCs w:val="1"/>
          <w:color w:val="262628"/>
        </w:rPr>
        <w:t xml:space="preserve"> </w:t>
      </w:r>
      <w:r>
        <w:rPr>
          <w:rFonts w:ascii="Times New Roman" w:cs="Times New Roman" w:eastAsia="Times New Roman" w:hAnsi="Times New Roman"/>
          <w:sz w:val="18"/>
          <w:szCs w:val="18"/>
          <w:color w:val="262628"/>
        </w:rPr>
        <w:t xml:space="preserve">arbitration filing </w:t>
      </w:r>
      <w:r>
        <w:rPr>
          <w:rFonts w:ascii="Times New Roman" w:cs="Times New Roman" w:eastAsia="Times New Roman" w:hAnsi="Times New Roman"/>
          <w:sz w:val="18"/>
          <w:szCs w:val="18"/>
          <w:color w:val="363638"/>
        </w:rPr>
        <w:t>and administrative fees</w:t>
      </w:r>
      <w:r>
        <w:rPr>
          <w:rFonts w:ascii="Times New Roman" w:cs="Times New Roman" w:eastAsia="Times New Roman" w:hAnsi="Times New Roman"/>
          <w:sz w:val="18"/>
          <w:szCs w:val="18"/>
          <w:color w:val="595759"/>
        </w:rPr>
        <w:t>,</w:t>
      </w:r>
      <w:r>
        <w:rPr>
          <w:rFonts w:ascii="Times New Roman" w:cs="Times New Roman" w:eastAsia="Times New Roman" w:hAnsi="Times New Roman"/>
          <w:sz w:val="18"/>
          <w:szCs w:val="18"/>
          <w:color w:val="262628"/>
        </w:rPr>
        <w:t xml:space="preserve"> </w:t>
      </w:r>
      <w:r>
        <w:rPr>
          <w:rFonts w:ascii="Times New Roman" w:cs="Times New Roman" w:eastAsia="Times New Roman" w:hAnsi="Times New Roman"/>
          <w:sz w:val="18"/>
          <w:szCs w:val="18"/>
          <w:color w:val="363638"/>
        </w:rPr>
        <w:t>other</w:t>
      </w:r>
      <w:r>
        <w:rPr>
          <w:rFonts w:ascii="Times New Roman" w:cs="Times New Roman" w:eastAsia="Times New Roman" w:hAnsi="Times New Roman"/>
          <w:sz w:val="18"/>
          <w:szCs w:val="18"/>
          <w:color w:val="262628"/>
        </w:rPr>
        <w:t xml:space="preserve"> than the initial filing fee </w:t>
      </w:r>
      <w:r>
        <w:rPr>
          <w:rFonts w:ascii="Times New Roman" w:cs="Times New Roman" w:eastAsia="Times New Roman" w:hAnsi="Times New Roman"/>
          <w:sz w:val="18"/>
          <w:szCs w:val="18"/>
          <w:color w:val="363638"/>
        </w:rPr>
        <w:t>as</w:t>
      </w:r>
      <w:r>
        <w:rPr>
          <w:rFonts w:ascii="Times New Roman" w:cs="Times New Roman" w:eastAsia="Times New Roman" w:hAnsi="Times New Roman"/>
          <w:sz w:val="18"/>
          <w:szCs w:val="18"/>
          <w:color w:val="262628"/>
        </w:rPr>
        <w:t xml:space="preserve"> described in Section 7i. For alleged breach of </w:t>
      </w:r>
      <w:r>
        <w:rPr>
          <w:rFonts w:ascii="Times New Roman" w:cs="Times New Roman" w:eastAsia="Times New Roman" w:hAnsi="Times New Roman"/>
          <w:sz w:val="18"/>
          <w:szCs w:val="18"/>
          <w:color w:val="363638"/>
        </w:rPr>
        <w:t>your</w:t>
      </w:r>
      <w:r>
        <w:rPr>
          <w:rFonts w:ascii="Times New Roman" w:cs="Times New Roman" w:eastAsia="Times New Roman" w:hAnsi="Times New Roman"/>
          <w:sz w:val="18"/>
          <w:szCs w:val="18"/>
          <w:color w:val="262628"/>
        </w:rPr>
        <w:t xml:space="preserve"> Executive </w:t>
      </w:r>
      <w:r>
        <w:rPr>
          <w:rFonts w:ascii="Times New Roman" w:cs="Times New Roman" w:eastAsia="Times New Roman" w:hAnsi="Times New Roman"/>
          <w:sz w:val="18"/>
          <w:szCs w:val="18"/>
          <w:color w:val="363638"/>
        </w:rPr>
        <w:t xml:space="preserve">Employment </w:t>
      </w:r>
      <w:r>
        <w:rPr>
          <w:rFonts w:ascii="Times New Roman" w:cs="Times New Roman" w:eastAsia="Times New Roman" w:hAnsi="Times New Roman"/>
          <w:sz w:val="18"/>
          <w:szCs w:val="18"/>
          <w:color w:val="262628"/>
        </w:rPr>
        <w:t>Agreement</w:t>
      </w:r>
      <w:r>
        <w:rPr>
          <w:rFonts w:ascii="Times New Roman" w:cs="Times New Roman" w:eastAsia="Times New Roman" w:hAnsi="Times New Roman"/>
          <w:sz w:val="18"/>
          <w:szCs w:val="18"/>
          <w:color w:val="595759"/>
        </w:rPr>
        <w:t>,</w:t>
      </w:r>
      <w:r>
        <w:rPr>
          <w:rFonts w:ascii="Times New Roman" w:cs="Times New Roman" w:eastAsia="Times New Roman" w:hAnsi="Times New Roman"/>
          <w:sz w:val="18"/>
          <w:szCs w:val="18"/>
          <w:color w:val="363638"/>
        </w:rPr>
        <w:t xml:space="preserve"> you and </w:t>
      </w:r>
      <w:r>
        <w:rPr>
          <w:rFonts w:ascii="Times New Roman" w:cs="Times New Roman" w:eastAsia="Times New Roman" w:hAnsi="Times New Roman"/>
          <w:sz w:val="18"/>
          <w:szCs w:val="18"/>
          <w:color w:val="262628"/>
        </w:rPr>
        <w:t>the</w:t>
      </w:r>
      <w:r>
        <w:rPr>
          <w:rFonts w:ascii="Times New Roman" w:cs="Times New Roman" w:eastAsia="Times New Roman" w:hAnsi="Times New Roman"/>
          <w:sz w:val="18"/>
          <w:szCs w:val="18"/>
          <w:color w:val="363638"/>
        </w:rPr>
        <w:t xml:space="preserve"> Company wi</w:t>
      </w:r>
      <w:r>
        <w:rPr>
          <w:rFonts w:ascii="Times New Roman" w:cs="Times New Roman" w:eastAsia="Times New Roman" w:hAnsi="Times New Roman"/>
          <w:sz w:val="18"/>
          <w:szCs w:val="18"/>
          <w:color w:val="111113"/>
        </w:rPr>
        <w:t>ll</w:t>
      </w:r>
      <w:r>
        <w:rPr>
          <w:rFonts w:ascii="Times New Roman" w:cs="Times New Roman" w:eastAsia="Times New Roman" w:hAnsi="Times New Roman"/>
          <w:sz w:val="18"/>
          <w:szCs w:val="18"/>
          <w:color w:val="363638"/>
        </w:rPr>
        <w:t xml:space="preserve"> share </w:t>
      </w:r>
      <w:r>
        <w:rPr>
          <w:rFonts w:ascii="Times New Roman" w:cs="Times New Roman" w:eastAsia="Times New Roman" w:hAnsi="Times New Roman"/>
          <w:sz w:val="18"/>
          <w:szCs w:val="18"/>
          <w:color w:val="262628"/>
        </w:rPr>
        <w:t>costs as provided by JAMS rules.</w:t>
      </w:r>
    </w:p>
    <w:p>
      <w:pPr>
        <w:spacing w:after="0" w:line="130" w:lineRule="exact"/>
        <w:rPr>
          <w:rFonts w:ascii="Times New Roman" w:cs="Times New Roman" w:eastAsia="Times New Roman" w:hAnsi="Times New Roman"/>
          <w:sz w:val="18"/>
          <w:szCs w:val="18"/>
          <w:color w:val="363638"/>
        </w:rPr>
      </w:pPr>
    </w:p>
    <w:p>
      <w:pPr>
        <w:ind w:left="600" w:right="40" w:hanging="343"/>
        <w:spacing w:after="0" w:line="286" w:lineRule="auto"/>
        <w:tabs>
          <w:tab w:leader="none" w:pos="600" w:val="left"/>
        </w:tabs>
        <w:numPr>
          <w:ilvl w:val="1"/>
          <w:numId w:val="248"/>
        </w:numPr>
        <w:rPr>
          <w:rFonts w:ascii="Times New Roman" w:cs="Times New Roman" w:eastAsia="Times New Roman" w:hAnsi="Times New Roman"/>
          <w:sz w:val="18"/>
          <w:szCs w:val="18"/>
          <w:color w:val="363638"/>
        </w:rPr>
      </w:pPr>
      <w:r>
        <w:rPr>
          <w:rFonts w:ascii="Times New Roman" w:cs="Times New Roman" w:eastAsia="Times New Roman" w:hAnsi="Times New Roman"/>
          <w:sz w:val="18"/>
          <w:szCs w:val="18"/>
          <w:b w:val="1"/>
          <w:bCs w:val="1"/>
          <w:color w:val="262628"/>
        </w:rPr>
        <w:t xml:space="preserve">Location. </w:t>
      </w:r>
      <w:r>
        <w:rPr>
          <w:rFonts w:ascii="Times New Roman" w:cs="Times New Roman" w:eastAsia="Times New Roman" w:hAnsi="Times New Roman"/>
          <w:sz w:val="18"/>
          <w:szCs w:val="18"/>
          <w:color w:val="262628"/>
        </w:rPr>
        <w:t>The arbitration shall take place at</w:t>
      </w:r>
      <w:r>
        <w:rPr>
          <w:rFonts w:ascii="Times New Roman" w:cs="Times New Roman" w:eastAsia="Times New Roman" w:hAnsi="Times New Roman"/>
          <w:sz w:val="18"/>
          <w:szCs w:val="18"/>
          <w:b w:val="1"/>
          <w:bCs w:val="1"/>
          <w:color w:val="262628"/>
        </w:rPr>
        <w:t xml:space="preserve"> </w:t>
      </w:r>
      <w:r>
        <w:rPr>
          <w:rFonts w:ascii="Times New Roman" w:cs="Times New Roman" w:eastAsia="Times New Roman" w:hAnsi="Times New Roman"/>
          <w:sz w:val="18"/>
          <w:szCs w:val="18"/>
          <w:color w:val="363638"/>
        </w:rPr>
        <w:t>a</w:t>
      </w:r>
      <w:r>
        <w:rPr>
          <w:rFonts w:ascii="Times New Roman" w:cs="Times New Roman" w:eastAsia="Times New Roman" w:hAnsi="Times New Roman"/>
          <w:sz w:val="18"/>
          <w:szCs w:val="18"/>
          <w:b w:val="1"/>
          <w:bCs w:val="1"/>
          <w:color w:val="262628"/>
        </w:rPr>
        <w:t xml:space="preserve"> </w:t>
      </w:r>
      <w:r>
        <w:rPr>
          <w:rFonts w:ascii="Times New Roman" w:cs="Times New Roman" w:eastAsia="Times New Roman" w:hAnsi="Times New Roman"/>
          <w:sz w:val="18"/>
          <w:szCs w:val="18"/>
          <w:color w:val="262628"/>
        </w:rPr>
        <w:t>mutually convenient location in the state</w:t>
      </w:r>
      <w:r>
        <w:rPr>
          <w:rFonts w:ascii="Times New Roman" w:cs="Times New Roman" w:eastAsia="Times New Roman" w:hAnsi="Times New Roman"/>
          <w:sz w:val="18"/>
          <w:szCs w:val="18"/>
          <w:b w:val="1"/>
          <w:bCs w:val="1"/>
          <w:color w:val="262628"/>
        </w:rPr>
        <w:t xml:space="preserve"> </w:t>
      </w:r>
      <w:r>
        <w:rPr>
          <w:rFonts w:ascii="Times New Roman" w:cs="Times New Roman" w:eastAsia="Times New Roman" w:hAnsi="Times New Roman"/>
          <w:sz w:val="18"/>
          <w:szCs w:val="18"/>
          <w:color w:val="363638"/>
        </w:rPr>
        <w:t>where you</w:t>
      </w:r>
      <w:r>
        <w:rPr>
          <w:rFonts w:ascii="Times New Roman" w:cs="Times New Roman" w:eastAsia="Times New Roman" w:hAnsi="Times New Roman"/>
          <w:sz w:val="18"/>
          <w:szCs w:val="18"/>
          <w:b w:val="1"/>
          <w:bCs w:val="1"/>
          <w:color w:val="262628"/>
        </w:rPr>
        <w:t xml:space="preserve"> </w:t>
      </w:r>
      <w:r>
        <w:rPr>
          <w:rFonts w:ascii="Times New Roman" w:cs="Times New Roman" w:eastAsia="Times New Roman" w:hAnsi="Times New Roman"/>
          <w:sz w:val="18"/>
          <w:szCs w:val="18"/>
          <w:color w:val="262628"/>
        </w:rPr>
        <w:t>work(ed) for Employer</w:t>
      </w:r>
      <w:r>
        <w:rPr>
          <w:rFonts w:ascii="Times New Roman" w:cs="Times New Roman" w:eastAsia="Times New Roman" w:hAnsi="Times New Roman"/>
          <w:sz w:val="18"/>
          <w:szCs w:val="18"/>
          <w:color w:val="494849"/>
        </w:rPr>
        <w:t>,</w:t>
      </w:r>
      <w:r>
        <w:rPr>
          <w:rFonts w:ascii="Times New Roman" w:cs="Times New Roman" w:eastAsia="Times New Roman" w:hAnsi="Times New Roman"/>
          <w:sz w:val="18"/>
          <w:szCs w:val="18"/>
          <w:b w:val="1"/>
          <w:bCs w:val="1"/>
          <w:color w:val="262628"/>
        </w:rPr>
        <w:t xml:space="preserve"> </w:t>
      </w:r>
      <w:r>
        <w:rPr>
          <w:rFonts w:ascii="Times New Roman" w:cs="Times New Roman" w:eastAsia="Times New Roman" w:hAnsi="Times New Roman"/>
          <w:sz w:val="18"/>
          <w:szCs w:val="18"/>
          <w:color w:val="262628"/>
        </w:rPr>
        <w:t>unless the parties</w:t>
      </w:r>
      <w:r>
        <w:rPr>
          <w:rFonts w:ascii="Times New Roman" w:cs="Times New Roman" w:eastAsia="Times New Roman" w:hAnsi="Times New Roman"/>
          <w:sz w:val="18"/>
          <w:szCs w:val="18"/>
          <w:b w:val="1"/>
          <w:bCs w:val="1"/>
          <w:color w:val="262628"/>
        </w:rPr>
        <w:t xml:space="preserve"> </w:t>
      </w:r>
      <w:r>
        <w:rPr>
          <w:rFonts w:ascii="Times New Roman" w:cs="Times New Roman" w:eastAsia="Times New Roman" w:hAnsi="Times New Roman"/>
          <w:sz w:val="18"/>
          <w:szCs w:val="18"/>
          <w:color w:val="262628"/>
        </w:rPr>
        <w:t>mutually agree to an alternative location.</w:t>
      </w:r>
    </w:p>
    <w:p>
      <w:pPr>
        <w:spacing w:after="0" w:line="127" w:lineRule="exact"/>
        <w:rPr>
          <w:rFonts w:ascii="Times New Roman" w:cs="Times New Roman" w:eastAsia="Times New Roman" w:hAnsi="Times New Roman"/>
          <w:sz w:val="18"/>
          <w:szCs w:val="18"/>
          <w:color w:val="363638"/>
        </w:rPr>
      </w:pPr>
    </w:p>
    <w:p>
      <w:pPr>
        <w:ind w:left="600" w:hanging="358"/>
        <w:spacing w:after="0"/>
        <w:tabs>
          <w:tab w:leader="none" w:pos="600" w:val="left"/>
        </w:tabs>
        <w:numPr>
          <w:ilvl w:val="1"/>
          <w:numId w:val="248"/>
        </w:numPr>
        <w:rPr>
          <w:rFonts w:ascii="Times New Roman" w:cs="Times New Roman" w:eastAsia="Times New Roman" w:hAnsi="Times New Roman"/>
          <w:sz w:val="18"/>
          <w:szCs w:val="18"/>
          <w:color w:val="363638"/>
        </w:rPr>
      </w:pPr>
      <w:r>
        <w:rPr>
          <w:rFonts w:ascii="Times New Roman" w:cs="Times New Roman" w:eastAsia="Times New Roman" w:hAnsi="Times New Roman"/>
          <w:sz w:val="18"/>
          <w:szCs w:val="18"/>
          <w:b w:val="1"/>
          <w:bCs w:val="1"/>
          <w:color w:val="262628"/>
        </w:rPr>
        <w:t xml:space="preserve">Selecting an Arbitrator. </w:t>
      </w:r>
      <w:r>
        <w:rPr>
          <w:rFonts w:ascii="Times New Roman" w:cs="Times New Roman" w:eastAsia="Times New Roman" w:hAnsi="Times New Roman"/>
          <w:sz w:val="18"/>
          <w:szCs w:val="18"/>
          <w:color w:val="363638"/>
        </w:rPr>
        <w:t>A</w:t>
      </w:r>
      <w:r>
        <w:rPr>
          <w:rFonts w:ascii="Times New Roman" w:cs="Times New Roman" w:eastAsia="Times New Roman" w:hAnsi="Times New Roman"/>
          <w:sz w:val="18"/>
          <w:szCs w:val="18"/>
          <w:b w:val="1"/>
          <w:bCs w:val="1"/>
          <w:color w:val="262628"/>
        </w:rPr>
        <w:t xml:space="preserve"> </w:t>
      </w:r>
      <w:r>
        <w:rPr>
          <w:rFonts w:ascii="Times New Roman" w:cs="Times New Roman" w:eastAsia="Times New Roman" w:hAnsi="Times New Roman"/>
          <w:sz w:val="18"/>
          <w:szCs w:val="18"/>
          <w:color w:val="262628"/>
        </w:rPr>
        <w:t>list of nine (9) potential arbitrators</w:t>
      </w:r>
      <w:r>
        <w:rPr>
          <w:rFonts w:ascii="Times New Roman" w:cs="Times New Roman" w:eastAsia="Times New Roman" w:hAnsi="Times New Roman"/>
          <w:sz w:val="18"/>
          <w:szCs w:val="18"/>
          <w:b w:val="1"/>
          <w:bCs w:val="1"/>
          <w:color w:val="262628"/>
        </w:rPr>
        <w:t xml:space="preserve"> </w:t>
      </w:r>
      <w:r>
        <w:rPr>
          <w:rFonts w:ascii="Times New Roman" w:cs="Times New Roman" w:eastAsia="Times New Roman" w:hAnsi="Times New Roman"/>
          <w:sz w:val="18"/>
          <w:szCs w:val="18"/>
          <w:color w:val="363638"/>
        </w:rPr>
        <w:t>will</w:t>
      </w:r>
      <w:r>
        <w:rPr>
          <w:rFonts w:ascii="Times New Roman" w:cs="Times New Roman" w:eastAsia="Times New Roman" w:hAnsi="Times New Roman"/>
          <w:sz w:val="18"/>
          <w:szCs w:val="18"/>
          <w:b w:val="1"/>
          <w:bCs w:val="1"/>
          <w:color w:val="262628"/>
        </w:rPr>
        <w:t xml:space="preserve"> </w:t>
      </w:r>
      <w:r>
        <w:rPr>
          <w:rFonts w:ascii="Times New Roman" w:cs="Times New Roman" w:eastAsia="Times New Roman" w:hAnsi="Times New Roman"/>
          <w:sz w:val="18"/>
          <w:szCs w:val="18"/>
          <w:color w:val="262628"/>
        </w:rPr>
        <w:t>be submitted to the parties</w:t>
      </w:r>
    </w:p>
    <w:p>
      <w:pPr>
        <w:spacing w:after="0" w:line="188" w:lineRule="exact"/>
        <w:rPr>
          <w:rFonts w:ascii="Times New Roman" w:cs="Times New Roman" w:eastAsia="Times New Roman" w:hAnsi="Times New Roman"/>
          <w:sz w:val="18"/>
          <w:szCs w:val="18"/>
          <w:color w:val="363638"/>
        </w:rPr>
      </w:pPr>
    </w:p>
    <w:p>
      <w:pPr>
        <w:ind w:left="600" w:right="60" w:firstLine="12"/>
        <w:spacing w:after="0" w:line="282" w:lineRule="auto"/>
        <w:rPr>
          <w:rFonts w:ascii="Times New Roman" w:cs="Times New Roman" w:eastAsia="Times New Roman" w:hAnsi="Times New Roman"/>
          <w:sz w:val="18"/>
          <w:szCs w:val="18"/>
          <w:color w:val="363638"/>
        </w:rPr>
      </w:pPr>
      <w:r>
        <w:rPr>
          <w:rFonts w:ascii="Times New Roman" w:cs="Times New Roman" w:eastAsia="Times New Roman" w:hAnsi="Times New Roman"/>
          <w:sz w:val="18"/>
          <w:szCs w:val="18"/>
          <w:color w:val="262628"/>
        </w:rPr>
        <w:t>by JAMS. From that list</w:t>
      </w:r>
      <w:r>
        <w:rPr>
          <w:rFonts w:ascii="Times New Roman" w:cs="Times New Roman" w:eastAsia="Times New Roman" w:hAnsi="Times New Roman"/>
          <w:sz w:val="18"/>
          <w:szCs w:val="18"/>
          <w:color w:val="595759"/>
        </w:rPr>
        <w:t>,</w:t>
      </w:r>
      <w:r>
        <w:rPr>
          <w:rFonts w:ascii="Times New Roman" w:cs="Times New Roman" w:eastAsia="Times New Roman" w:hAnsi="Times New Roman"/>
          <w:sz w:val="18"/>
          <w:szCs w:val="18"/>
          <w:color w:val="262628"/>
        </w:rPr>
        <w:t xml:space="preserve"> Employer </w:t>
      </w:r>
      <w:r>
        <w:rPr>
          <w:rFonts w:ascii="Times New Roman" w:cs="Times New Roman" w:eastAsia="Times New Roman" w:hAnsi="Times New Roman"/>
          <w:sz w:val="18"/>
          <w:szCs w:val="18"/>
          <w:color w:val="363638"/>
        </w:rPr>
        <w:t>and you</w:t>
      </w:r>
      <w:r>
        <w:rPr>
          <w:rFonts w:ascii="Times New Roman" w:cs="Times New Roman" w:eastAsia="Times New Roman" w:hAnsi="Times New Roman"/>
          <w:sz w:val="18"/>
          <w:szCs w:val="18"/>
          <w:color w:val="262628"/>
        </w:rPr>
        <w:t xml:space="preserve"> will each have the opportunity to strike up to three names and </w:t>
      </w:r>
      <w:r>
        <w:rPr>
          <w:rFonts w:ascii="Times New Roman" w:cs="Times New Roman" w:eastAsia="Times New Roman" w:hAnsi="Times New Roman"/>
          <w:sz w:val="18"/>
          <w:szCs w:val="18"/>
          <w:color w:val="494849"/>
        </w:rPr>
        <w:t>"</w:t>
      </w:r>
      <w:r>
        <w:rPr>
          <w:rFonts w:ascii="Times New Roman" w:cs="Times New Roman" w:eastAsia="Times New Roman" w:hAnsi="Times New Roman"/>
          <w:sz w:val="18"/>
          <w:szCs w:val="18"/>
          <w:color w:val="262628"/>
        </w:rPr>
        <w:t>rank</w:t>
      </w:r>
      <w:r>
        <w:rPr>
          <w:rFonts w:ascii="Times New Roman" w:cs="Times New Roman" w:eastAsia="Times New Roman" w:hAnsi="Times New Roman"/>
          <w:sz w:val="18"/>
          <w:szCs w:val="18"/>
          <w:color w:val="494849"/>
        </w:rPr>
        <w:t>"</w:t>
      </w:r>
      <w:r>
        <w:rPr>
          <w:rFonts w:ascii="Times New Roman" w:cs="Times New Roman" w:eastAsia="Times New Roman" w:hAnsi="Times New Roman"/>
          <w:sz w:val="18"/>
          <w:szCs w:val="18"/>
          <w:color w:val="262628"/>
        </w:rPr>
        <w:t xml:space="preserve"> our preference for the remaining names</w:t>
      </w:r>
      <w:r>
        <w:rPr>
          <w:rFonts w:ascii="Times New Roman" w:cs="Times New Roman" w:eastAsia="Times New Roman" w:hAnsi="Times New Roman"/>
          <w:sz w:val="18"/>
          <w:szCs w:val="18"/>
          <w:color w:val="595759"/>
        </w:rPr>
        <w:t>,</w:t>
      </w:r>
      <w:r>
        <w:rPr>
          <w:rFonts w:ascii="Times New Roman" w:cs="Times New Roman" w:eastAsia="Times New Roman" w:hAnsi="Times New Roman"/>
          <w:sz w:val="18"/>
          <w:szCs w:val="18"/>
          <w:color w:val="262628"/>
        </w:rPr>
        <w:t xml:space="preserve"> and JAMS </w:t>
      </w:r>
      <w:r>
        <w:rPr>
          <w:rFonts w:ascii="Times New Roman" w:cs="Times New Roman" w:eastAsia="Times New Roman" w:hAnsi="Times New Roman"/>
          <w:sz w:val="18"/>
          <w:szCs w:val="18"/>
          <w:color w:val="363638"/>
        </w:rPr>
        <w:t>shal</w:t>
      </w:r>
      <w:r>
        <w:rPr>
          <w:rFonts w:ascii="Times New Roman" w:cs="Times New Roman" w:eastAsia="Times New Roman" w:hAnsi="Times New Roman"/>
          <w:sz w:val="18"/>
          <w:szCs w:val="18"/>
          <w:color w:val="111113"/>
        </w:rPr>
        <w:t>l</w:t>
      </w:r>
      <w:r>
        <w:rPr>
          <w:rFonts w:ascii="Times New Roman" w:cs="Times New Roman" w:eastAsia="Times New Roman" w:hAnsi="Times New Roman"/>
          <w:sz w:val="18"/>
          <w:szCs w:val="18"/>
          <w:color w:val="262628"/>
        </w:rPr>
        <w:t xml:space="preserve"> </w:t>
      </w:r>
      <w:r>
        <w:rPr>
          <w:rFonts w:ascii="Times New Roman" w:cs="Times New Roman" w:eastAsia="Times New Roman" w:hAnsi="Times New Roman"/>
          <w:sz w:val="18"/>
          <w:szCs w:val="18"/>
          <w:color w:val="363638"/>
        </w:rPr>
        <w:t>select</w:t>
      </w:r>
      <w:r>
        <w:rPr>
          <w:rFonts w:ascii="Times New Roman" w:cs="Times New Roman" w:eastAsia="Times New Roman" w:hAnsi="Times New Roman"/>
          <w:sz w:val="18"/>
          <w:szCs w:val="18"/>
          <w:color w:val="262628"/>
        </w:rPr>
        <w:t xml:space="preserve"> a neutral </w:t>
      </w:r>
      <w:r>
        <w:rPr>
          <w:rFonts w:ascii="Times New Roman" w:cs="Times New Roman" w:eastAsia="Times New Roman" w:hAnsi="Times New Roman"/>
          <w:sz w:val="18"/>
          <w:szCs w:val="18"/>
          <w:color w:val="363638"/>
        </w:rPr>
        <w:t>arbitrator</w:t>
      </w:r>
      <w:r>
        <w:rPr>
          <w:rFonts w:ascii="Times New Roman" w:cs="Times New Roman" w:eastAsia="Times New Roman" w:hAnsi="Times New Roman"/>
          <w:sz w:val="18"/>
          <w:szCs w:val="18"/>
          <w:color w:val="262628"/>
        </w:rPr>
        <w:t xml:space="preserve"> that is highest </w:t>
      </w:r>
      <w:r>
        <w:rPr>
          <w:rFonts w:ascii="Times New Roman" w:cs="Times New Roman" w:eastAsia="Times New Roman" w:hAnsi="Times New Roman"/>
          <w:sz w:val="18"/>
          <w:szCs w:val="18"/>
          <w:color w:val="363638"/>
        </w:rPr>
        <w:t>ranked</w:t>
      </w:r>
      <w:r>
        <w:rPr>
          <w:rFonts w:ascii="Times New Roman" w:cs="Times New Roman" w:eastAsia="Times New Roman" w:hAnsi="Times New Roman"/>
          <w:sz w:val="18"/>
          <w:szCs w:val="18"/>
          <w:color w:val="262628"/>
        </w:rPr>
        <w:t xml:space="preserve"> b</w:t>
      </w:r>
      <w:r>
        <w:rPr>
          <w:rFonts w:ascii="Times New Roman" w:cs="Times New Roman" w:eastAsia="Times New Roman" w:hAnsi="Times New Roman"/>
          <w:sz w:val="18"/>
          <w:szCs w:val="18"/>
          <w:color w:val="494849"/>
        </w:rPr>
        <w:t>y</w:t>
      </w:r>
      <w:r>
        <w:rPr>
          <w:rFonts w:ascii="Times New Roman" w:cs="Times New Roman" w:eastAsia="Times New Roman" w:hAnsi="Times New Roman"/>
          <w:sz w:val="18"/>
          <w:szCs w:val="18"/>
          <w:color w:val="262628"/>
        </w:rPr>
        <w:t xml:space="preserve"> both parties and not </w:t>
      </w:r>
      <w:r>
        <w:rPr>
          <w:rFonts w:ascii="Times New Roman" w:cs="Times New Roman" w:eastAsia="Times New Roman" w:hAnsi="Times New Roman"/>
          <w:sz w:val="18"/>
          <w:szCs w:val="18"/>
          <w:color w:val="363638"/>
        </w:rPr>
        <w:t>stricken</w:t>
      </w:r>
      <w:r>
        <w:rPr>
          <w:rFonts w:ascii="Times New Roman" w:cs="Times New Roman" w:eastAsia="Times New Roman" w:hAnsi="Times New Roman"/>
          <w:sz w:val="18"/>
          <w:szCs w:val="18"/>
          <w:color w:val="262628"/>
        </w:rPr>
        <w:t xml:space="preserve"> by </w:t>
      </w:r>
      <w:r>
        <w:rPr>
          <w:rFonts w:ascii="Times New Roman" w:cs="Times New Roman" w:eastAsia="Times New Roman" w:hAnsi="Times New Roman"/>
          <w:sz w:val="18"/>
          <w:szCs w:val="18"/>
          <w:color w:val="363638"/>
        </w:rPr>
        <w:t>either</w:t>
      </w:r>
      <w:r>
        <w:rPr>
          <w:rFonts w:ascii="Times New Roman" w:cs="Times New Roman" w:eastAsia="Times New Roman" w:hAnsi="Times New Roman"/>
          <w:sz w:val="18"/>
          <w:szCs w:val="18"/>
          <w:color w:val="262628"/>
        </w:rPr>
        <w:t xml:space="preserve"> part</w:t>
      </w:r>
      <w:r>
        <w:rPr>
          <w:rFonts w:ascii="Times New Roman" w:cs="Times New Roman" w:eastAsia="Times New Roman" w:hAnsi="Times New Roman"/>
          <w:sz w:val="18"/>
          <w:szCs w:val="18"/>
          <w:color w:val="494849"/>
        </w:rPr>
        <w:t>y.</w:t>
      </w:r>
    </w:p>
    <w:p>
      <w:pPr>
        <w:spacing w:after="0" w:line="117" w:lineRule="exact"/>
        <w:rPr>
          <w:rFonts w:ascii="Times New Roman" w:cs="Times New Roman" w:eastAsia="Times New Roman" w:hAnsi="Times New Roman"/>
          <w:sz w:val="18"/>
          <w:szCs w:val="18"/>
          <w:color w:val="363638"/>
        </w:rPr>
      </w:pPr>
    </w:p>
    <w:p>
      <w:pPr>
        <w:ind w:left="580" w:hanging="352"/>
        <w:spacing w:after="0" w:line="286" w:lineRule="auto"/>
        <w:tabs>
          <w:tab w:leader="none" w:pos="580" w:val="left"/>
        </w:tabs>
        <w:numPr>
          <w:ilvl w:val="0"/>
          <w:numId w:val="249"/>
        </w:numPr>
        <w:rPr>
          <w:rFonts w:ascii="Times New Roman" w:cs="Times New Roman" w:eastAsia="Times New Roman" w:hAnsi="Times New Roman"/>
          <w:sz w:val="18"/>
          <w:szCs w:val="18"/>
          <w:color w:val="363638"/>
        </w:rPr>
      </w:pPr>
      <w:r>
        <w:rPr>
          <w:rFonts w:ascii="Times New Roman" w:cs="Times New Roman" w:eastAsia="Times New Roman" w:hAnsi="Times New Roman"/>
          <w:sz w:val="18"/>
          <w:szCs w:val="18"/>
          <w:b w:val="1"/>
          <w:bCs w:val="1"/>
          <w:color w:val="262628"/>
        </w:rPr>
        <w:t xml:space="preserve">Discovery. </w:t>
      </w:r>
      <w:r>
        <w:rPr>
          <w:rFonts w:ascii="Times New Roman" w:cs="Times New Roman" w:eastAsia="Times New Roman" w:hAnsi="Times New Roman"/>
          <w:sz w:val="18"/>
          <w:szCs w:val="18"/>
          <w:color w:val="262628"/>
        </w:rPr>
        <w:t>Due to the</w:t>
      </w:r>
      <w:r>
        <w:rPr>
          <w:rFonts w:ascii="Times New Roman" w:cs="Times New Roman" w:eastAsia="Times New Roman" w:hAnsi="Times New Roman"/>
          <w:sz w:val="18"/>
          <w:szCs w:val="18"/>
          <w:b w:val="1"/>
          <w:bCs w:val="1"/>
          <w:color w:val="262628"/>
        </w:rPr>
        <w:t xml:space="preserve"> </w:t>
      </w:r>
      <w:r>
        <w:rPr>
          <w:rFonts w:ascii="Times New Roman" w:cs="Times New Roman" w:eastAsia="Times New Roman" w:hAnsi="Times New Roman"/>
          <w:sz w:val="18"/>
          <w:szCs w:val="18"/>
          <w:color w:val="363638"/>
        </w:rPr>
        <w:t>simplicity</w:t>
      </w:r>
      <w:r>
        <w:rPr>
          <w:rFonts w:ascii="Times New Roman" w:cs="Times New Roman" w:eastAsia="Times New Roman" w:hAnsi="Times New Roman"/>
          <w:sz w:val="18"/>
          <w:szCs w:val="18"/>
          <w:color w:val="525252"/>
        </w:rPr>
        <w:t>,</w:t>
      </w:r>
      <w:r>
        <w:rPr>
          <w:rFonts w:ascii="Times New Roman" w:cs="Times New Roman" w:eastAsia="Times New Roman" w:hAnsi="Times New Roman"/>
          <w:sz w:val="18"/>
          <w:szCs w:val="18"/>
          <w:b w:val="1"/>
          <w:bCs w:val="1"/>
          <w:color w:val="262628"/>
        </w:rPr>
        <w:t xml:space="preserve"> </w:t>
      </w:r>
      <w:r>
        <w:rPr>
          <w:rFonts w:ascii="Times New Roman" w:cs="Times New Roman" w:eastAsia="Times New Roman" w:hAnsi="Times New Roman"/>
          <w:sz w:val="18"/>
          <w:szCs w:val="18"/>
          <w:color w:val="262628"/>
        </w:rPr>
        <w:t>informality</w:t>
      </w:r>
      <w:r>
        <w:rPr>
          <w:rFonts w:ascii="Times New Roman" w:cs="Times New Roman" w:eastAsia="Times New Roman" w:hAnsi="Times New Roman"/>
          <w:sz w:val="18"/>
          <w:szCs w:val="18"/>
          <w:color w:val="525252"/>
        </w:rPr>
        <w:t>,</w:t>
      </w:r>
      <w:r>
        <w:rPr>
          <w:rFonts w:ascii="Times New Roman" w:cs="Times New Roman" w:eastAsia="Times New Roman" w:hAnsi="Times New Roman"/>
          <w:sz w:val="18"/>
          <w:szCs w:val="18"/>
          <w:b w:val="1"/>
          <w:bCs w:val="1"/>
          <w:color w:val="262628"/>
        </w:rPr>
        <w:t xml:space="preserve"> </w:t>
      </w:r>
      <w:r>
        <w:rPr>
          <w:rFonts w:ascii="Times New Roman" w:cs="Times New Roman" w:eastAsia="Times New Roman" w:hAnsi="Times New Roman"/>
          <w:sz w:val="18"/>
          <w:szCs w:val="18"/>
          <w:color w:val="262628"/>
        </w:rPr>
        <w:t>and</w:t>
      </w:r>
      <w:r>
        <w:rPr>
          <w:rFonts w:ascii="Times New Roman" w:cs="Times New Roman" w:eastAsia="Times New Roman" w:hAnsi="Times New Roman"/>
          <w:sz w:val="18"/>
          <w:szCs w:val="18"/>
          <w:b w:val="1"/>
          <w:bCs w:val="1"/>
          <w:color w:val="262628"/>
        </w:rPr>
        <w:t xml:space="preserve"> </w:t>
      </w:r>
      <w:r>
        <w:rPr>
          <w:rFonts w:ascii="Times New Roman" w:cs="Times New Roman" w:eastAsia="Times New Roman" w:hAnsi="Times New Roman"/>
          <w:sz w:val="18"/>
          <w:szCs w:val="18"/>
          <w:color w:val="363638"/>
        </w:rPr>
        <w:t>exped</w:t>
      </w:r>
      <w:r>
        <w:rPr>
          <w:rFonts w:ascii="Times New Roman" w:cs="Times New Roman" w:eastAsia="Times New Roman" w:hAnsi="Times New Roman"/>
          <w:sz w:val="18"/>
          <w:szCs w:val="18"/>
          <w:color w:val="111113"/>
        </w:rPr>
        <w:t>ited</w:t>
      </w:r>
      <w:r>
        <w:rPr>
          <w:rFonts w:ascii="Times New Roman" w:cs="Times New Roman" w:eastAsia="Times New Roman" w:hAnsi="Times New Roman"/>
          <w:sz w:val="18"/>
          <w:szCs w:val="18"/>
          <w:b w:val="1"/>
          <w:bCs w:val="1"/>
          <w:color w:val="262628"/>
        </w:rPr>
        <w:t xml:space="preserve"> </w:t>
      </w:r>
      <w:r>
        <w:rPr>
          <w:rFonts w:ascii="Times New Roman" w:cs="Times New Roman" w:eastAsia="Times New Roman" w:hAnsi="Times New Roman"/>
          <w:sz w:val="18"/>
          <w:szCs w:val="18"/>
          <w:color w:val="262628"/>
        </w:rPr>
        <w:t>nature of arbitration proceedings,</w:t>
      </w:r>
      <w:r>
        <w:rPr>
          <w:rFonts w:ascii="Times New Roman" w:cs="Times New Roman" w:eastAsia="Times New Roman" w:hAnsi="Times New Roman"/>
          <w:sz w:val="18"/>
          <w:szCs w:val="18"/>
          <w:b w:val="1"/>
          <w:bCs w:val="1"/>
          <w:color w:val="262628"/>
        </w:rPr>
        <w:t xml:space="preserve"> </w:t>
      </w:r>
      <w:r>
        <w:rPr>
          <w:rFonts w:ascii="Times New Roman" w:cs="Times New Roman" w:eastAsia="Times New Roman" w:hAnsi="Times New Roman"/>
          <w:sz w:val="18"/>
          <w:szCs w:val="18"/>
          <w:color w:val="363638"/>
        </w:rPr>
        <w:t>absent a showing</w:t>
      </w:r>
      <w:r>
        <w:rPr>
          <w:rFonts w:ascii="Times New Roman" w:cs="Times New Roman" w:eastAsia="Times New Roman" w:hAnsi="Times New Roman"/>
          <w:sz w:val="18"/>
          <w:szCs w:val="18"/>
          <w:b w:val="1"/>
          <w:bCs w:val="1"/>
          <w:color w:val="262628"/>
        </w:rPr>
        <w:t xml:space="preserve"> </w:t>
      </w:r>
      <w:r>
        <w:rPr>
          <w:rFonts w:ascii="Times New Roman" w:cs="Times New Roman" w:eastAsia="Times New Roman" w:hAnsi="Times New Roman"/>
          <w:sz w:val="18"/>
          <w:szCs w:val="18"/>
          <w:color w:val="262628"/>
        </w:rPr>
        <w:t>of compelling need</w:t>
      </w:r>
      <w:r>
        <w:rPr>
          <w:rFonts w:ascii="Times New Roman" w:cs="Times New Roman" w:eastAsia="Times New Roman" w:hAnsi="Times New Roman"/>
          <w:sz w:val="18"/>
          <w:szCs w:val="18"/>
          <w:color w:val="606062"/>
        </w:rPr>
        <w:t>,</w:t>
      </w:r>
      <w:r>
        <w:rPr>
          <w:rFonts w:ascii="Times New Roman" w:cs="Times New Roman" w:eastAsia="Times New Roman" w:hAnsi="Times New Roman"/>
          <w:sz w:val="18"/>
          <w:szCs w:val="18"/>
          <w:b w:val="1"/>
          <w:bCs w:val="1"/>
          <w:color w:val="262628"/>
        </w:rPr>
        <w:t xml:space="preserve"> </w:t>
      </w:r>
      <w:r>
        <w:rPr>
          <w:rFonts w:ascii="Times New Roman" w:cs="Times New Roman" w:eastAsia="Times New Roman" w:hAnsi="Times New Roman"/>
          <w:sz w:val="18"/>
          <w:szCs w:val="18"/>
          <w:color w:val="262628"/>
        </w:rPr>
        <w:t>the</w:t>
      </w:r>
      <w:r>
        <w:rPr>
          <w:rFonts w:ascii="Times New Roman" w:cs="Times New Roman" w:eastAsia="Times New Roman" w:hAnsi="Times New Roman"/>
          <w:sz w:val="18"/>
          <w:szCs w:val="18"/>
          <w:b w:val="1"/>
          <w:bCs w:val="1"/>
          <w:color w:val="262628"/>
        </w:rPr>
        <w:t xml:space="preserve"> </w:t>
      </w:r>
      <w:r>
        <w:rPr>
          <w:rFonts w:ascii="Times New Roman" w:cs="Times New Roman" w:eastAsia="Times New Roman" w:hAnsi="Times New Roman"/>
          <w:sz w:val="18"/>
          <w:szCs w:val="18"/>
          <w:color w:val="262628"/>
        </w:rPr>
        <w:t xml:space="preserve">parties </w:t>
      </w:r>
      <w:r>
        <w:rPr>
          <w:rFonts w:ascii="Times New Roman" w:cs="Times New Roman" w:eastAsia="Times New Roman" w:hAnsi="Times New Roman"/>
          <w:sz w:val="18"/>
          <w:szCs w:val="18"/>
          <w:color w:val="363638"/>
        </w:rPr>
        <w:t>shall</w:t>
      </w:r>
      <w:r>
        <w:rPr>
          <w:rFonts w:ascii="Times New Roman" w:cs="Times New Roman" w:eastAsia="Times New Roman" w:hAnsi="Times New Roman"/>
          <w:sz w:val="18"/>
          <w:szCs w:val="18"/>
          <w:color w:val="262628"/>
        </w:rPr>
        <w:t xml:space="preserve"> engage only in limited discovery</w:t>
      </w:r>
      <w:r>
        <w:rPr>
          <w:rFonts w:ascii="Times New Roman" w:cs="Times New Roman" w:eastAsia="Times New Roman" w:hAnsi="Times New Roman"/>
          <w:sz w:val="18"/>
          <w:szCs w:val="18"/>
          <w:color w:val="606062"/>
        </w:rPr>
        <w:t>,</w:t>
      </w:r>
      <w:r>
        <w:rPr>
          <w:rFonts w:ascii="Times New Roman" w:cs="Times New Roman" w:eastAsia="Times New Roman" w:hAnsi="Times New Roman"/>
          <w:sz w:val="18"/>
          <w:szCs w:val="18"/>
          <w:color w:val="262628"/>
        </w:rPr>
        <w:t xml:space="preserve"> </w:t>
      </w:r>
      <w:r>
        <w:rPr>
          <w:rFonts w:ascii="Times New Roman" w:cs="Times New Roman" w:eastAsia="Times New Roman" w:hAnsi="Times New Roman"/>
          <w:sz w:val="18"/>
          <w:szCs w:val="18"/>
          <w:color w:val="363638"/>
        </w:rPr>
        <w:t>as</w:t>
      </w:r>
      <w:r>
        <w:rPr>
          <w:rFonts w:ascii="Times New Roman" w:cs="Times New Roman" w:eastAsia="Times New Roman" w:hAnsi="Times New Roman"/>
          <w:sz w:val="18"/>
          <w:szCs w:val="18"/>
          <w:color w:val="262628"/>
        </w:rPr>
        <w:t xml:space="preserve"> follows:</w:t>
      </w:r>
    </w:p>
    <w:p>
      <w:pPr>
        <w:spacing w:after="0" w:line="131" w:lineRule="exact"/>
        <w:rPr>
          <w:rFonts w:ascii="Times New Roman" w:cs="Times New Roman" w:eastAsia="Times New Roman" w:hAnsi="Times New Roman"/>
          <w:sz w:val="18"/>
          <w:szCs w:val="18"/>
          <w:color w:val="363638"/>
        </w:rPr>
      </w:pPr>
    </w:p>
    <w:p>
      <w:pPr>
        <w:ind w:left="1420" w:right="220" w:hanging="369"/>
        <w:spacing w:after="0" w:line="256" w:lineRule="auto"/>
        <w:tabs>
          <w:tab w:leader="none" w:pos="1420" w:val="left"/>
        </w:tabs>
        <w:numPr>
          <w:ilvl w:val="4"/>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62628"/>
        </w:rPr>
        <w:t xml:space="preserve">Each party </w:t>
      </w:r>
      <w:r>
        <w:rPr>
          <w:rFonts w:ascii="Times New Roman" w:cs="Times New Roman" w:eastAsia="Times New Roman" w:hAnsi="Times New Roman"/>
          <w:sz w:val="18"/>
          <w:szCs w:val="18"/>
          <w:color w:val="363638"/>
        </w:rPr>
        <w:t>sha</w:t>
      </w:r>
      <w:r>
        <w:rPr>
          <w:rFonts w:ascii="Times New Roman" w:cs="Times New Roman" w:eastAsia="Times New Roman" w:hAnsi="Times New Roman"/>
          <w:sz w:val="18"/>
          <w:szCs w:val="18"/>
          <w:color w:val="111113"/>
        </w:rPr>
        <w:t>ll</w:t>
      </w:r>
      <w:r>
        <w:rPr>
          <w:rFonts w:ascii="Times New Roman" w:cs="Times New Roman" w:eastAsia="Times New Roman" w:hAnsi="Times New Roman"/>
          <w:sz w:val="18"/>
          <w:szCs w:val="18"/>
          <w:color w:val="262628"/>
        </w:rPr>
        <w:t xml:space="preserve"> avoid broad or widespread collection</w:t>
      </w:r>
      <w:r>
        <w:rPr>
          <w:rFonts w:ascii="Times New Roman" w:cs="Times New Roman" w:eastAsia="Times New Roman" w:hAnsi="Times New Roman"/>
          <w:sz w:val="18"/>
          <w:szCs w:val="18"/>
          <w:color w:val="606062"/>
        </w:rPr>
        <w:t>,</w:t>
      </w:r>
      <w:r>
        <w:rPr>
          <w:rFonts w:ascii="Times New Roman" w:cs="Times New Roman" w:eastAsia="Times New Roman" w:hAnsi="Times New Roman"/>
          <w:sz w:val="18"/>
          <w:szCs w:val="18"/>
          <w:color w:val="262628"/>
        </w:rPr>
        <w:t xml:space="preserve"> </w:t>
      </w:r>
      <w:r>
        <w:rPr>
          <w:rFonts w:ascii="Times New Roman" w:cs="Times New Roman" w:eastAsia="Times New Roman" w:hAnsi="Times New Roman"/>
          <w:sz w:val="18"/>
          <w:szCs w:val="18"/>
          <w:color w:val="363638"/>
        </w:rPr>
        <w:t>search,</w:t>
      </w:r>
      <w:r>
        <w:rPr>
          <w:rFonts w:ascii="Times New Roman" w:cs="Times New Roman" w:eastAsia="Times New Roman" w:hAnsi="Times New Roman"/>
          <w:sz w:val="18"/>
          <w:szCs w:val="18"/>
          <w:color w:val="262628"/>
        </w:rPr>
        <w:t xml:space="preserve"> and production of documents</w:t>
      </w:r>
      <w:r>
        <w:rPr>
          <w:rFonts w:ascii="Times New Roman" w:cs="Times New Roman" w:eastAsia="Times New Roman" w:hAnsi="Times New Roman"/>
          <w:sz w:val="18"/>
          <w:szCs w:val="18"/>
          <w:color w:val="525252"/>
        </w:rPr>
        <w:t>,</w:t>
      </w:r>
      <w:r>
        <w:rPr>
          <w:rFonts w:ascii="Times New Roman" w:cs="Times New Roman" w:eastAsia="Times New Roman" w:hAnsi="Times New Roman"/>
          <w:sz w:val="18"/>
          <w:szCs w:val="18"/>
          <w:color w:val="262628"/>
        </w:rPr>
        <w:t xml:space="preserve"> </w:t>
      </w:r>
      <w:r>
        <w:rPr>
          <w:rFonts w:ascii="Times New Roman" w:cs="Times New Roman" w:eastAsia="Times New Roman" w:hAnsi="Times New Roman"/>
          <w:sz w:val="18"/>
          <w:szCs w:val="18"/>
          <w:color w:val="111113"/>
        </w:rPr>
        <w:t>includin</w:t>
      </w:r>
      <w:r>
        <w:rPr>
          <w:rFonts w:ascii="Times New Roman" w:cs="Times New Roman" w:eastAsia="Times New Roman" w:hAnsi="Times New Roman"/>
          <w:sz w:val="18"/>
          <w:szCs w:val="18"/>
          <w:color w:val="363638"/>
        </w:rPr>
        <w:t>g</w:t>
      </w:r>
      <w:r>
        <w:rPr>
          <w:rFonts w:ascii="Times New Roman" w:cs="Times New Roman" w:eastAsia="Times New Roman" w:hAnsi="Times New Roman"/>
          <w:sz w:val="18"/>
          <w:szCs w:val="18"/>
          <w:color w:val="262628"/>
        </w:rPr>
        <w:t xml:space="preserve"> electronically </w:t>
      </w:r>
      <w:r>
        <w:rPr>
          <w:rFonts w:ascii="Times New Roman" w:cs="Times New Roman" w:eastAsia="Times New Roman" w:hAnsi="Times New Roman"/>
          <w:sz w:val="18"/>
          <w:szCs w:val="18"/>
          <w:color w:val="363638"/>
        </w:rPr>
        <w:t>stored</w:t>
      </w:r>
      <w:r>
        <w:rPr>
          <w:rFonts w:ascii="Times New Roman" w:cs="Times New Roman" w:eastAsia="Times New Roman" w:hAnsi="Times New Roman"/>
          <w:sz w:val="18"/>
          <w:szCs w:val="18"/>
          <w:color w:val="262628"/>
        </w:rPr>
        <w:t xml:space="preserve"> information </w:t>
      </w:r>
      <w:r>
        <w:rPr>
          <w:rFonts w:ascii="Times New Roman" w:cs="Times New Roman" w:eastAsia="Times New Roman" w:hAnsi="Times New Roman"/>
          <w:sz w:val="18"/>
          <w:szCs w:val="18"/>
          <w:color w:val="363638"/>
        </w:rPr>
        <w:t>("ES!</w:t>
      </w:r>
      <w:r>
        <w:rPr>
          <w:rFonts w:ascii="Times New Roman" w:cs="Times New Roman" w:eastAsia="Times New Roman" w:hAnsi="Times New Roman"/>
          <w:sz w:val="18"/>
          <w:szCs w:val="18"/>
          <w:color w:val="525252"/>
        </w:rPr>
        <w:t>"</w:t>
      </w:r>
      <w:r>
        <w:rPr>
          <w:rFonts w:ascii="Times New Roman" w:cs="Times New Roman" w:eastAsia="Times New Roman" w:hAnsi="Times New Roman"/>
          <w:sz w:val="18"/>
          <w:szCs w:val="18"/>
          <w:color w:val="363638"/>
        </w:rPr>
        <w:t>).</w:t>
      </w:r>
      <w:r>
        <w:rPr>
          <w:rFonts w:ascii="Times New Roman" w:cs="Times New Roman" w:eastAsia="Times New Roman" w:hAnsi="Times New Roman"/>
          <w:sz w:val="18"/>
          <w:szCs w:val="18"/>
          <w:color w:val="262628"/>
        </w:rPr>
        <w:t xml:space="preserve"> If </w:t>
      </w:r>
      <w:r>
        <w:rPr>
          <w:rFonts w:ascii="Times New Roman" w:cs="Times New Roman" w:eastAsia="Times New Roman" w:hAnsi="Times New Roman"/>
          <w:sz w:val="18"/>
          <w:szCs w:val="18"/>
          <w:color w:val="363638"/>
        </w:rPr>
        <w:t>compelling</w:t>
      </w:r>
      <w:r>
        <w:rPr>
          <w:rFonts w:ascii="Times New Roman" w:cs="Times New Roman" w:eastAsia="Times New Roman" w:hAnsi="Times New Roman"/>
          <w:sz w:val="18"/>
          <w:szCs w:val="18"/>
          <w:color w:val="262628"/>
        </w:rPr>
        <w:t xml:space="preserve"> need is demonstrated by the requesting party</w:t>
      </w:r>
      <w:r>
        <w:rPr>
          <w:rFonts w:ascii="Times New Roman" w:cs="Times New Roman" w:eastAsia="Times New Roman" w:hAnsi="Times New Roman"/>
          <w:sz w:val="18"/>
          <w:szCs w:val="18"/>
          <w:color w:val="525252"/>
        </w:rPr>
        <w:t>,</w:t>
      </w:r>
      <w:r>
        <w:rPr>
          <w:rFonts w:ascii="Times New Roman" w:cs="Times New Roman" w:eastAsia="Times New Roman" w:hAnsi="Times New Roman"/>
          <w:sz w:val="18"/>
          <w:szCs w:val="18"/>
          <w:color w:val="262628"/>
        </w:rPr>
        <w:t xml:space="preserve"> the production shall: </w:t>
      </w:r>
      <w:r>
        <w:rPr>
          <w:rFonts w:ascii="Times New Roman" w:cs="Times New Roman" w:eastAsia="Times New Roman" w:hAnsi="Times New Roman"/>
          <w:sz w:val="18"/>
          <w:szCs w:val="18"/>
          <w:color w:val="363638"/>
        </w:rPr>
        <w:t>(i)</w:t>
      </w:r>
      <w:r>
        <w:rPr>
          <w:rFonts w:ascii="Times New Roman" w:cs="Times New Roman" w:eastAsia="Times New Roman" w:hAnsi="Times New Roman"/>
          <w:sz w:val="18"/>
          <w:szCs w:val="18"/>
          <w:color w:val="262628"/>
        </w:rPr>
        <w:t xml:space="preserve"> be narrowly tailored in scope; (ii) only come from </w:t>
      </w:r>
      <w:r>
        <w:rPr>
          <w:rFonts w:ascii="Times New Roman" w:cs="Times New Roman" w:eastAsia="Times New Roman" w:hAnsi="Times New Roman"/>
          <w:sz w:val="18"/>
          <w:szCs w:val="18"/>
          <w:color w:val="363638"/>
        </w:rPr>
        <w:t>so</w:t>
      </w:r>
      <w:r>
        <w:rPr>
          <w:rFonts w:ascii="Times New Roman" w:cs="Times New Roman" w:eastAsia="Times New Roman" w:hAnsi="Times New Roman"/>
          <w:sz w:val="18"/>
          <w:szCs w:val="18"/>
          <w:color w:val="111113"/>
        </w:rPr>
        <w:t>urce</w:t>
      </w:r>
      <w:r>
        <w:rPr>
          <w:rFonts w:ascii="Times New Roman" w:cs="Times New Roman" w:eastAsia="Times New Roman" w:hAnsi="Times New Roman"/>
          <w:sz w:val="18"/>
          <w:szCs w:val="18"/>
          <w:color w:val="363638"/>
        </w:rPr>
        <w:t>s</w:t>
      </w:r>
      <w:r>
        <w:rPr>
          <w:rFonts w:ascii="Times New Roman" w:cs="Times New Roman" w:eastAsia="Times New Roman" w:hAnsi="Times New Roman"/>
          <w:sz w:val="18"/>
          <w:szCs w:val="18"/>
          <w:color w:val="262628"/>
        </w:rPr>
        <w:t xml:space="preserve"> that </w:t>
      </w:r>
      <w:r>
        <w:rPr>
          <w:rFonts w:ascii="Times New Roman" w:cs="Times New Roman" w:eastAsia="Times New Roman" w:hAnsi="Times New Roman"/>
          <w:sz w:val="18"/>
          <w:szCs w:val="18"/>
          <w:color w:val="363638"/>
        </w:rPr>
        <w:t>are</w:t>
      </w:r>
      <w:r>
        <w:rPr>
          <w:rFonts w:ascii="Times New Roman" w:cs="Times New Roman" w:eastAsia="Times New Roman" w:hAnsi="Times New Roman"/>
          <w:sz w:val="18"/>
          <w:szCs w:val="18"/>
          <w:color w:val="262628"/>
        </w:rPr>
        <w:t xml:space="preserve"> reasonably </w:t>
      </w:r>
      <w:r>
        <w:rPr>
          <w:rFonts w:ascii="Times New Roman" w:cs="Times New Roman" w:eastAsia="Times New Roman" w:hAnsi="Times New Roman"/>
          <w:sz w:val="18"/>
          <w:szCs w:val="18"/>
          <w:color w:val="363638"/>
        </w:rPr>
        <w:t>accessible without</w:t>
      </w:r>
      <w:r>
        <w:rPr>
          <w:rFonts w:ascii="Times New Roman" w:cs="Times New Roman" w:eastAsia="Times New Roman" w:hAnsi="Times New Roman"/>
          <w:sz w:val="18"/>
          <w:szCs w:val="18"/>
          <w:color w:val="262628"/>
        </w:rPr>
        <w:t xml:space="preserve"> undue burden or cost; </w:t>
      </w:r>
      <w:r>
        <w:rPr>
          <w:rFonts w:ascii="Times New Roman" w:cs="Times New Roman" w:eastAsia="Times New Roman" w:hAnsi="Times New Roman"/>
          <w:sz w:val="18"/>
          <w:szCs w:val="18"/>
          <w:color w:val="363638"/>
        </w:rPr>
        <w:t>(iii)</w:t>
      </w:r>
      <w:r>
        <w:rPr>
          <w:rFonts w:ascii="Times New Roman" w:cs="Times New Roman" w:eastAsia="Times New Roman" w:hAnsi="Times New Roman"/>
          <w:sz w:val="18"/>
          <w:szCs w:val="18"/>
          <w:color w:val="262628"/>
        </w:rPr>
        <w:t xml:space="preserve"> be produced in </w:t>
      </w:r>
      <w:r>
        <w:rPr>
          <w:rFonts w:ascii="Times New Roman" w:cs="Times New Roman" w:eastAsia="Times New Roman" w:hAnsi="Times New Roman"/>
          <w:sz w:val="18"/>
          <w:szCs w:val="18"/>
          <w:color w:val="363638"/>
        </w:rPr>
        <w:t>a searchable</w:t>
      </w:r>
      <w:r>
        <w:rPr>
          <w:rFonts w:ascii="Times New Roman" w:cs="Times New Roman" w:eastAsia="Times New Roman" w:hAnsi="Times New Roman"/>
          <w:sz w:val="18"/>
          <w:szCs w:val="18"/>
          <w:color w:val="262628"/>
        </w:rPr>
        <w:t xml:space="preserve"> </w:t>
      </w:r>
      <w:r>
        <w:rPr>
          <w:rFonts w:ascii="Times New Roman" w:cs="Times New Roman" w:eastAsia="Times New Roman" w:hAnsi="Times New Roman"/>
          <w:sz w:val="18"/>
          <w:szCs w:val="18"/>
          <w:color w:val="363638"/>
        </w:rPr>
        <w:t xml:space="preserve">format </w:t>
      </w:r>
      <w:r>
        <w:rPr>
          <w:rFonts w:ascii="Times New Roman" w:cs="Times New Roman" w:eastAsia="Times New Roman" w:hAnsi="Times New Roman"/>
          <w:sz w:val="18"/>
          <w:szCs w:val="18"/>
          <w:color w:val="262628"/>
        </w:rPr>
        <w:t>if</w:t>
      </w:r>
      <w:r>
        <w:rPr>
          <w:rFonts w:ascii="Times New Roman" w:cs="Times New Roman" w:eastAsia="Times New Roman" w:hAnsi="Times New Roman"/>
          <w:sz w:val="18"/>
          <w:szCs w:val="18"/>
          <w:color w:val="363638"/>
        </w:rPr>
        <w:t xml:space="preserve"> ESI </w:t>
      </w:r>
      <w:r>
        <w:rPr>
          <w:rFonts w:ascii="Times New Roman" w:cs="Times New Roman" w:eastAsia="Times New Roman" w:hAnsi="Times New Roman"/>
          <w:sz w:val="18"/>
          <w:szCs w:val="18"/>
          <w:color w:val="262628"/>
        </w:rPr>
        <w:t>and</w:t>
      </w:r>
      <w:r>
        <w:rPr>
          <w:rFonts w:ascii="Times New Roman" w:cs="Times New Roman" w:eastAsia="Times New Roman" w:hAnsi="Times New Roman"/>
          <w:sz w:val="18"/>
          <w:szCs w:val="18"/>
          <w:color w:val="363638"/>
        </w:rPr>
        <w:t xml:space="preserve"> which </w:t>
      </w:r>
      <w:r>
        <w:rPr>
          <w:rFonts w:ascii="Times New Roman" w:cs="Times New Roman" w:eastAsia="Times New Roman" w:hAnsi="Times New Roman"/>
          <w:sz w:val="18"/>
          <w:szCs w:val="18"/>
          <w:color w:val="111113"/>
        </w:rPr>
        <w:t>is</w:t>
      </w:r>
      <w:r>
        <w:rPr>
          <w:rFonts w:ascii="Times New Roman" w:cs="Times New Roman" w:eastAsia="Times New Roman" w:hAnsi="Times New Roman"/>
          <w:sz w:val="18"/>
          <w:szCs w:val="18"/>
          <w:color w:val="363638"/>
        </w:rPr>
        <w:t xml:space="preserve"> </w:t>
      </w:r>
      <w:r>
        <w:rPr>
          <w:rFonts w:ascii="Times New Roman" w:cs="Times New Roman" w:eastAsia="Times New Roman" w:hAnsi="Times New Roman"/>
          <w:sz w:val="18"/>
          <w:szCs w:val="18"/>
          <w:color w:val="262628"/>
        </w:rPr>
        <w:t>usable by the receiving party</w:t>
      </w:r>
      <w:r>
        <w:rPr>
          <w:rFonts w:ascii="Times New Roman" w:cs="Times New Roman" w:eastAsia="Times New Roman" w:hAnsi="Times New Roman"/>
          <w:sz w:val="18"/>
          <w:szCs w:val="18"/>
          <w:color w:val="363638"/>
        </w:rPr>
        <w:t xml:space="preserve"> and </w:t>
      </w:r>
      <w:r>
        <w:rPr>
          <w:rFonts w:ascii="Times New Roman" w:cs="Times New Roman" w:eastAsia="Times New Roman" w:hAnsi="Times New Roman"/>
          <w:sz w:val="18"/>
          <w:szCs w:val="18"/>
          <w:color w:val="262628"/>
        </w:rPr>
        <w:t>convenient and economical for the producing party</w:t>
      </w:r>
      <w:r>
        <w:rPr>
          <w:rFonts w:ascii="Times New Roman" w:cs="Times New Roman" w:eastAsia="Times New Roman" w:hAnsi="Times New Roman"/>
          <w:sz w:val="18"/>
          <w:szCs w:val="18"/>
          <w:color w:val="525252"/>
        </w:rPr>
        <w:t>;</w:t>
      </w:r>
      <w:r>
        <w:rPr>
          <w:rFonts w:ascii="Times New Roman" w:cs="Times New Roman" w:eastAsia="Times New Roman" w:hAnsi="Times New Roman"/>
          <w:sz w:val="18"/>
          <w:szCs w:val="18"/>
          <w:color w:val="363638"/>
        </w:rPr>
        <w:t xml:space="preserve"> and </w:t>
      </w:r>
      <w:r>
        <w:rPr>
          <w:rFonts w:ascii="Times New Roman" w:cs="Times New Roman" w:eastAsia="Times New Roman" w:hAnsi="Times New Roman"/>
          <w:sz w:val="18"/>
          <w:szCs w:val="18"/>
          <w:color w:val="262628"/>
        </w:rPr>
        <w:t>(iv) not</w:t>
      </w:r>
      <w:r>
        <w:rPr>
          <w:rFonts w:ascii="Times New Roman" w:cs="Times New Roman" w:eastAsia="Times New Roman" w:hAnsi="Times New Roman"/>
          <w:sz w:val="18"/>
          <w:szCs w:val="18"/>
          <w:color w:val="363638"/>
        </w:rPr>
        <w:t xml:space="preserve"> </w:t>
      </w:r>
      <w:r>
        <w:rPr>
          <w:rFonts w:ascii="Times New Roman" w:cs="Times New Roman" w:eastAsia="Times New Roman" w:hAnsi="Times New Roman"/>
          <w:sz w:val="18"/>
          <w:szCs w:val="18"/>
          <w:color w:val="262628"/>
        </w:rPr>
        <w:t xml:space="preserve">require electronic metadata. Where the costs </w:t>
      </w:r>
      <w:r>
        <w:rPr>
          <w:rFonts w:ascii="Times New Roman" w:cs="Times New Roman" w:eastAsia="Times New Roman" w:hAnsi="Times New Roman"/>
          <w:sz w:val="18"/>
          <w:szCs w:val="18"/>
          <w:color w:val="363638"/>
        </w:rPr>
        <w:t>and</w:t>
      </w:r>
      <w:r>
        <w:rPr>
          <w:rFonts w:ascii="Times New Roman" w:cs="Times New Roman" w:eastAsia="Times New Roman" w:hAnsi="Times New Roman"/>
          <w:sz w:val="18"/>
          <w:szCs w:val="18"/>
          <w:color w:val="262628"/>
        </w:rPr>
        <w:t xml:space="preserve"> burdens of the requested discovery outweighs its </w:t>
      </w:r>
      <w:r>
        <w:rPr>
          <w:rFonts w:ascii="Times New Roman" w:cs="Times New Roman" w:eastAsia="Times New Roman" w:hAnsi="Times New Roman"/>
          <w:sz w:val="18"/>
          <w:szCs w:val="18"/>
          <w:color w:val="111113"/>
        </w:rPr>
        <w:t>likel</w:t>
      </w:r>
      <w:r>
        <w:rPr>
          <w:rFonts w:ascii="Times New Roman" w:cs="Times New Roman" w:eastAsia="Times New Roman" w:hAnsi="Times New Roman"/>
          <w:sz w:val="18"/>
          <w:szCs w:val="18"/>
          <w:color w:val="363638"/>
        </w:rPr>
        <w:t>y</w:t>
      </w:r>
      <w:r>
        <w:rPr>
          <w:rFonts w:ascii="Times New Roman" w:cs="Times New Roman" w:eastAsia="Times New Roman" w:hAnsi="Times New Roman"/>
          <w:sz w:val="18"/>
          <w:szCs w:val="18"/>
          <w:color w:val="262628"/>
        </w:rPr>
        <w:t xml:space="preserve"> benefit</w:t>
      </w:r>
      <w:r>
        <w:rPr>
          <w:rFonts w:ascii="Times New Roman" w:cs="Times New Roman" w:eastAsia="Times New Roman" w:hAnsi="Times New Roman"/>
          <w:sz w:val="18"/>
          <w:szCs w:val="18"/>
          <w:color w:val="525252"/>
        </w:rPr>
        <w:t>,</w:t>
      </w:r>
      <w:r>
        <w:rPr>
          <w:rFonts w:ascii="Times New Roman" w:cs="Times New Roman" w:eastAsia="Times New Roman" w:hAnsi="Times New Roman"/>
          <w:sz w:val="18"/>
          <w:szCs w:val="18"/>
          <w:color w:val="262628"/>
        </w:rPr>
        <w:t xml:space="preserve"> considering the needs of the case,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62628"/>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76200</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400" w:top="513" w:right="619" w:bottom="1440" w:gutter="0" w:footer="0" w:header="0"/>
        </w:sectPr>
      </w:pPr>
    </w:p>
    <w:bookmarkStart w:id="184" w:name="page185"/>
    <w:bookmarkEnd w:id="184"/>
    <w:p>
      <w:pPr>
        <w:ind w:left="1420" w:right="320"/>
        <w:spacing w:after="0" w:line="266" w:lineRule="auto"/>
        <w:rPr>
          <w:sz w:val="20"/>
          <w:szCs w:val="20"/>
          <w:color w:val="auto"/>
        </w:rPr>
      </w:pPr>
      <w:r>
        <w:rPr>
          <w:rFonts w:ascii="Times New Roman" w:cs="Times New Roman" w:eastAsia="Times New Roman" w:hAnsi="Times New Roman"/>
          <w:sz w:val="18"/>
          <w:szCs w:val="18"/>
          <w:color w:val="262628"/>
        </w:rPr>
        <w:t xml:space="preserve">the </w:t>
      </w:r>
      <w:r>
        <w:rPr>
          <w:rFonts w:ascii="Times New Roman" w:cs="Times New Roman" w:eastAsia="Times New Roman" w:hAnsi="Times New Roman"/>
          <w:sz w:val="18"/>
          <w:szCs w:val="18"/>
          <w:color w:val="363638"/>
        </w:rPr>
        <w:t>amount</w:t>
      </w:r>
      <w:r>
        <w:rPr>
          <w:rFonts w:ascii="Times New Roman" w:cs="Times New Roman" w:eastAsia="Times New Roman" w:hAnsi="Times New Roman"/>
          <w:sz w:val="18"/>
          <w:szCs w:val="18"/>
          <w:color w:val="262628"/>
        </w:rPr>
        <w:t xml:space="preserve"> in controversy</w:t>
      </w:r>
      <w:r>
        <w:rPr>
          <w:rFonts w:ascii="Times New Roman" w:cs="Times New Roman" w:eastAsia="Times New Roman" w:hAnsi="Times New Roman"/>
          <w:sz w:val="18"/>
          <w:szCs w:val="18"/>
          <w:color w:val="525252"/>
        </w:rPr>
        <w:t>,</w:t>
      </w:r>
      <w:r>
        <w:rPr>
          <w:rFonts w:ascii="Times New Roman" w:cs="Times New Roman" w:eastAsia="Times New Roman" w:hAnsi="Times New Roman"/>
          <w:sz w:val="18"/>
          <w:szCs w:val="18"/>
          <w:color w:val="262628"/>
        </w:rPr>
        <w:t xml:space="preserve"> </w:t>
      </w:r>
      <w:r>
        <w:rPr>
          <w:rFonts w:ascii="Times New Roman" w:cs="Times New Roman" w:eastAsia="Times New Roman" w:hAnsi="Times New Roman"/>
          <w:sz w:val="18"/>
          <w:szCs w:val="18"/>
          <w:color w:val="363638"/>
        </w:rPr>
        <w:t>and</w:t>
      </w:r>
      <w:r>
        <w:rPr>
          <w:rFonts w:ascii="Times New Roman" w:cs="Times New Roman" w:eastAsia="Times New Roman" w:hAnsi="Times New Roman"/>
          <w:sz w:val="18"/>
          <w:szCs w:val="18"/>
          <w:color w:val="262628"/>
        </w:rPr>
        <w:t xml:space="preserve"> the importance of the discovery in resolving the issues</w:t>
      </w:r>
      <w:r>
        <w:rPr>
          <w:rFonts w:ascii="Times New Roman" w:cs="Times New Roman" w:eastAsia="Times New Roman" w:hAnsi="Times New Roman"/>
          <w:sz w:val="18"/>
          <w:szCs w:val="18"/>
          <w:color w:val="525252"/>
        </w:rPr>
        <w:t>,</w:t>
      </w:r>
      <w:r>
        <w:rPr>
          <w:rFonts w:ascii="Times New Roman" w:cs="Times New Roman" w:eastAsia="Times New Roman" w:hAnsi="Times New Roman"/>
          <w:sz w:val="18"/>
          <w:szCs w:val="18"/>
          <w:color w:val="262628"/>
        </w:rPr>
        <w:t xml:space="preserve"> the Arbitrator will deny </w:t>
      </w:r>
      <w:r>
        <w:rPr>
          <w:rFonts w:ascii="Times New Roman" w:cs="Times New Roman" w:eastAsia="Times New Roman" w:hAnsi="Times New Roman"/>
          <w:sz w:val="18"/>
          <w:szCs w:val="18"/>
          <w:color w:val="363638"/>
        </w:rPr>
        <w:t>such</w:t>
      </w:r>
      <w:r>
        <w:rPr>
          <w:rFonts w:ascii="Times New Roman" w:cs="Times New Roman" w:eastAsia="Times New Roman" w:hAnsi="Times New Roman"/>
          <w:sz w:val="18"/>
          <w:szCs w:val="18"/>
          <w:color w:val="262628"/>
        </w:rPr>
        <w:t xml:space="preserve"> requests </w:t>
      </w:r>
      <w:r>
        <w:rPr>
          <w:rFonts w:ascii="Times New Roman" w:cs="Times New Roman" w:eastAsia="Times New Roman" w:hAnsi="Times New Roman"/>
          <w:sz w:val="18"/>
          <w:szCs w:val="18"/>
          <w:color w:val="363638"/>
        </w:rPr>
        <w:t>or</w:t>
      </w:r>
      <w:r>
        <w:rPr>
          <w:rFonts w:ascii="Times New Roman" w:cs="Times New Roman" w:eastAsia="Times New Roman" w:hAnsi="Times New Roman"/>
          <w:sz w:val="18"/>
          <w:szCs w:val="18"/>
          <w:color w:val="262628"/>
        </w:rPr>
        <w:t xml:space="preserve"> </w:t>
      </w:r>
      <w:r>
        <w:rPr>
          <w:rFonts w:ascii="Times New Roman" w:cs="Times New Roman" w:eastAsia="Times New Roman" w:hAnsi="Times New Roman"/>
          <w:sz w:val="18"/>
          <w:szCs w:val="18"/>
          <w:color w:val="363638"/>
        </w:rPr>
        <w:t xml:space="preserve">order </w:t>
      </w:r>
      <w:r>
        <w:rPr>
          <w:rFonts w:ascii="Times New Roman" w:cs="Times New Roman" w:eastAsia="Times New Roman" w:hAnsi="Times New Roman"/>
          <w:sz w:val="18"/>
          <w:szCs w:val="18"/>
          <w:color w:val="262628"/>
        </w:rPr>
        <w:t>production on condition that the requesting party</w:t>
      </w:r>
      <w:r>
        <w:rPr>
          <w:rFonts w:ascii="Times New Roman" w:cs="Times New Roman" w:eastAsia="Times New Roman" w:hAnsi="Times New Roman"/>
          <w:sz w:val="18"/>
          <w:szCs w:val="18"/>
          <w:color w:val="363638"/>
        </w:rPr>
        <w:t xml:space="preserve"> advance </w:t>
      </w:r>
      <w:r>
        <w:rPr>
          <w:rFonts w:ascii="Times New Roman" w:cs="Times New Roman" w:eastAsia="Times New Roman" w:hAnsi="Times New Roman"/>
          <w:sz w:val="18"/>
          <w:szCs w:val="18"/>
          <w:color w:val="262628"/>
        </w:rPr>
        <w:t>to the producing party the reasonable costs involved in making the</w:t>
      </w:r>
      <w:r>
        <w:rPr>
          <w:rFonts w:ascii="Times New Roman" w:cs="Times New Roman" w:eastAsia="Times New Roman" w:hAnsi="Times New Roman"/>
          <w:sz w:val="18"/>
          <w:szCs w:val="18"/>
          <w:color w:val="363638"/>
        </w:rPr>
        <w:t xml:space="preserve"> </w:t>
      </w:r>
      <w:r>
        <w:rPr>
          <w:rFonts w:ascii="Times New Roman" w:cs="Times New Roman" w:eastAsia="Times New Roman" w:hAnsi="Times New Roman"/>
          <w:sz w:val="18"/>
          <w:szCs w:val="18"/>
          <w:color w:val="262628"/>
        </w:rPr>
        <w:t xml:space="preserve">production, subject to the </w:t>
      </w:r>
      <w:r>
        <w:rPr>
          <w:rFonts w:ascii="Times New Roman" w:cs="Times New Roman" w:eastAsia="Times New Roman" w:hAnsi="Times New Roman"/>
          <w:sz w:val="18"/>
          <w:szCs w:val="18"/>
          <w:color w:val="363638"/>
        </w:rPr>
        <w:t>a</w:t>
      </w:r>
      <w:r>
        <w:rPr>
          <w:rFonts w:ascii="Times New Roman" w:cs="Times New Roman" w:eastAsia="Times New Roman" w:hAnsi="Times New Roman"/>
          <w:sz w:val="18"/>
          <w:szCs w:val="18"/>
          <w:color w:val="111113"/>
        </w:rPr>
        <w:t>lloc</w:t>
      </w:r>
      <w:r>
        <w:rPr>
          <w:rFonts w:ascii="Times New Roman" w:cs="Times New Roman" w:eastAsia="Times New Roman" w:hAnsi="Times New Roman"/>
          <w:sz w:val="18"/>
          <w:szCs w:val="18"/>
          <w:color w:val="363638"/>
        </w:rPr>
        <w:t>ation</w:t>
      </w:r>
      <w:r>
        <w:rPr>
          <w:rFonts w:ascii="Times New Roman" w:cs="Times New Roman" w:eastAsia="Times New Roman" w:hAnsi="Times New Roman"/>
          <w:sz w:val="18"/>
          <w:szCs w:val="18"/>
          <w:color w:val="262628"/>
        </w:rPr>
        <w:t xml:space="preserve"> of costs in the final award.</w:t>
      </w:r>
    </w:p>
    <w:p>
      <w:pPr>
        <w:spacing w:after="0" w:line="149" w:lineRule="exact"/>
        <w:rPr>
          <w:sz w:val="20"/>
          <w:szCs w:val="20"/>
          <w:color w:val="auto"/>
        </w:rPr>
      </w:pPr>
    </w:p>
    <w:p>
      <w:pPr>
        <w:ind w:left="1420" w:right="280" w:hanging="369"/>
        <w:spacing w:after="0" w:line="282" w:lineRule="auto"/>
        <w:tabs>
          <w:tab w:leader="none" w:pos="142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62628"/>
        </w:rPr>
        <w:t xml:space="preserve">Each party </w:t>
      </w:r>
      <w:r>
        <w:rPr>
          <w:rFonts w:ascii="Times New Roman" w:cs="Times New Roman" w:eastAsia="Times New Roman" w:hAnsi="Times New Roman"/>
          <w:sz w:val="18"/>
          <w:szCs w:val="18"/>
          <w:color w:val="363638"/>
        </w:rPr>
        <w:t>shall</w:t>
      </w:r>
      <w:r>
        <w:rPr>
          <w:rFonts w:ascii="Times New Roman" w:cs="Times New Roman" w:eastAsia="Times New Roman" w:hAnsi="Times New Roman"/>
          <w:sz w:val="18"/>
          <w:szCs w:val="18"/>
          <w:color w:val="262628"/>
        </w:rPr>
        <w:t xml:space="preserve"> be </w:t>
      </w:r>
      <w:r>
        <w:rPr>
          <w:rFonts w:ascii="Times New Roman" w:cs="Times New Roman" w:eastAsia="Times New Roman" w:hAnsi="Times New Roman"/>
          <w:sz w:val="18"/>
          <w:szCs w:val="18"/>
          <w:color w:val="363638"/>
        </w:rPr>
        <w:t>entit</w:t>
      </w:r>
      <w:r>
        <w:rPr>
          <w:rFonts w:ascii="Times New Roman" w:cs="Times New Roman" w:eastAsia="Times New Roman" w:hAnsi="Times New Roman"/>
          <w:sz w:val="18"/>
          <w:szCs w:val="18"/>
          <w:color w:val="111113"/>
        </w:rPr>
        <w:t>l</w:t>
      </w:r>
      <w:r>
        <w:rPr>
          <w:rFonts w:ascii="Times New Roman" w:cs="Times New Roman" w:eastAsia="Times New Roman" w:hAnsi="Times New Roman"/>
          <w:sz w:val="18"/>
          <w:szCs w:val="18"/>
          <w:color w:val="363638"/>
        </w:rPr>
        <w:t>ed</w:t>
      </w:r>
      <w:r>
        <w:rPr>
          <w:rFonts w:ascii="Times New Roman" w:cs="Times New Roman" w:eastAsia="Times New Roman" w:hAnsi="Times New Roman"/>
          <w:sz w:val="18"/>
          <w:szCs w:val="18"/>
          <w:color w:val="262628"/>
        </w:rPr>
        <w:t xml:space="preserve"> to only one interrogatory limited to the identification of potential </w:t>
      </w:r>
      <w:r>
        <w:rPr>
          <w:rFonts w:ascii="Times New Roman" w:cs="Times New Roman" w:eastAsia="Times New Roman" w:hAnsi="Times New Roman"/>
          <w:sz w:val="18"/>
          <w:szCs w:val="18"/>
          <w:color w:val="363638"/>
        </w:rPr>
        <w:t>witnesses,</w:t>
      </w:r>
      <w:r>
        <w:rPr>
          <w:rFonts w:ascii="Times New Roman" w:cs="Times New Roman" w:eastAsia="Times New Roman" w:hAnsi="Times New Roman"/>
          <w:sz w:val="18"/>
          <w:szCs w:val="18"/>
          <w:color w:val="262628"/>
        </w:rPr>
        <w:t xml:space="preserve"> in a form consistent with Rule 33 </w:t>
      </w:r>
      <w:r>
        <w:rPr>
          <w:rFonts w:ascii="Times New Roman" w:cs="Times New Roman" w:eastAsia="Times New Roman" w:hAnsi="Times New Roman"/>
          <w:sz w:val="18"/>
          <w:szCs w:val="18"/>
          <w:color w:val="363638"/>
        </w:rPr>
        <w:t>of</w:t>
      </w:r>
      <w:r>
        <w:rPr>
          <w:rFonts w:ascii="Times New Roman" w:cs="Times New Roman" w:eastAsia="Times New Roman" w:hAnsi="Times New Roman"/>
          <w:sz w:val="18"/>
          <w:szCs w:val="18"/>
          <w:color w:val="262628"/>
        </w:rPr>
        <w:t xml:space="preserve"> the </w:t>
      </w:r>
      <w:r>
        <w:rPr>
          <w:rFonts w:ascii="Times New Roman" w:cs="Times New Roman" w:eastAsia="Times New Roman" w:hAnsi="Times New Roman"/>
          <w:sz w:val="18"/>
          <w:szCs w:val="18"/>
          <w:color w:val="363638"/>
        </w:rPr>
        <w:t>Federa</w:t>
      </w:r>
      <w:r>
        <w:rPr>
          <w:rFonts w:ascii="Times New Roman" w:cs="Times New Roman" w:eastAsia="Times New Roman" w:hAnsi="Times New Roman"/>
          <w:sz w:val="18"/>
          <w:szCs w:val="18"/>
          <w:color w:val="111113"/>
        </w:rPr>
        <w:t>l</w:t>
      </w:r>
      <w:r>
        <w:rPr>
          <w:rFonts w:ascii="Times New Roman" w:cs="Times New Roman" w:eastAsia="Times New Roman" w:hAnsi="Times New Roman"/>
          <w:sz w:val="18"/>
          <w:szCs w:val="18"/>
          <w:color w:val="262628"/>
        </w:rPr>
        <w:t xml:space="preserve"> Rules of Civil Procedures </w:t>
      </w:r>
      <w:r>
        <w:rPr>
          <w:rFonts w:ascii="Times New Roman" w:cs="Times New Roman" w:eastAsia="Times New Roman" w:hAnsi="Times New Roman"/>
          <w:sz w:val="18"/>
          <w:szCs w:val="18"/>
          <w:color w:val="363638"/>
        </w:rPr>
        <w:t>("FRCP</w:t>
      </w:r>
      <w:r>
        <w:rPr>
          <w:rFonts w:ascii="Times New Roman" w:cs="Times New Roman" w:eastAsia="Times New Roman" w:hAnsi="Times New Roman"/>
          <w:sz w:val="18"/>
          <w:szCs w:val="18"/>
          <w:color w:val="525252"/>
        </w:rPr>
        <w:t>"</w:t>
      </w:r>
      <w:r>
        <w:rPr>
          <w:rFonts w:ascii="Times New Roman" w:cs="Times New Roman" w:eastAsia="Times New Roman" w:hAnsi="Times New Roman"/>
          <w:sz w:val="18"/>
          <w:szCs w:val="18"/>
          <w:color w:val="363638"/>
        </w:rPr>
        <w:t>).</w:t>
      </w:r>
    </w:p>
    <w:p>
      <w:pPr>
        <w:spacing w:after="0" w:line="121" w:lineRule="exact"/>
        <w:rPr>
          <w:rFonts w:ascii="Times New Roman" w:cs="Times New Roman" w:eastAsia="Times New Roman" w:hAnsi="Times New Roman"/>
          <w:sz w:val="18"/>
          <w:szCs w:val="18"/>
          <w:color w:val="auto"/>
        </w:rPr>
      </w:pPr>
    </w:p>
    <w:p>
      <w:pPr>
        <w:ind w:left="1420" w:hanging="369"/>
        <w:spacing w:after="0"/>
        <w:tabs>
          <w:tab w:leader="none" w:pos="142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62628"/>
        </w:rPr>
        <w:t xml:space="preserve">Each party </w:t>
      </w:r>
      <w:r>
        <w:rPr>
          <w:rFonts w:ascii="Times New Roman" w:cs="Times New Roman" w:eastAsia="Times New Roman" w:hAnsi="Times New Roman"/>
          <w:sz w:val="18"/>
          <w:szCs w:val="18"/>
          <w:color w:val="363638"/>
        </w:rPr>
        <w:t>sha</w:t>
      </w:r>
      <w:r>
        <w:rPr>
          <w:rFonts w:ascii="Times New Roman" w:cs="Times New Roman" w:eastAsia="Times New Roman" w:hAnsi="Times New Roman"/>
          <w:sz w:val="18"/>
          <w:szCs w:val="18"/>
          <w:color w:val="111113"/>
        </w:rPr>
        <w:t>ll</w:t>
      </w:r>
      <w:r>
        <w:rPr>
          <w:rFonts w:ascii="Times New Roman" w:cs="Times New Roman" w:eastAsia="Times New Roman" w:hAnsi="Times New Roman"/>
          <w:sz w:val="18"/>
          <w:szCs w:val="18"/>
          <w:color w:val="262628"/>
        </w:rPr>
        <w:t xml:space="preserve"> be entitled to only 25 requests for production of documents, in a form consistent with Rule </w:t>
      </w:r>
      <w:r>
        <w:rPr>
          <w:rFonts w:ascii="Times New Roman" w:cs="Times New Roman" w:eastAsia="Times New Roman" w:hAnsi="Times New Roman"/>
          <w:sz w:val="18"/>
          <w:szCs w:val="18"/>
          <w:color w:val="363638"/>
        </w:rPr>
        <w:t>34 of</w:t>
      </w:r>
      <w:r>
        <w:rPr>
          <w:rFonts w:ascii="Times New Roman" w:cs="Times New Roman" w:eastAsia="Times New Roman" w:hAnsi="Times New Roman"/>
          <w:sz w:val="18"/>
          <w:szCs w:val="18"/>
          <w:color w:val="262628"/>
        </w:rPr>
        <w:t xml:space="preserve"> the FRCP.</w:t>
      </w:r>
    </w:p>
    <w:p>
      <w:pPr>
        <w:spacing w:after="0" w:line="184" w:lineRule="exact"/>
        <w:rPr>
          <w:rFonts w:ascii="Times New Roman" w:cs="Times New Roman" w:eastAsia="Times New Roman" w:hAnsi="Times New Roman"/>
          <w:sz w:val="18"/>
          <w:szCs w:val="18"/>
          <w:color w:val="auto"/>
        </w:rPr>
      </w:pPr>
    </w:p>
    <w:p>
      <w:pPr>
        <w:ind w:left="1420" w:right="280" w:hanging="369"/>
        <w:spacing w:after="0" w:line="282" w:lineRule="auto"/>
        <w:tabs>
          <w:tab w:leader="none" w:pos="142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62628"/>
        </w:rPr>
        <w:t xml:space="preserve">Each party </w:t>
      </w:r>
      <w:r>
        <w:rPr>
          <w:rFonts w:ascii="Times New Roman" w:cs="Times New Roman" w:eastAsia="Times New Roman" w:hAnsi="Times New Roman"/>
          <w:sz w:val="18"/>
          <w:szCs w:val="18"/>
          <w:color w:val="363638"/>
        </w:rPr>
        <w:t>shall</w:t>
      </w:r>
      <w:r>
        <w:rPr>
          <w:rFonts w:ascii="Times New Roman" w:cs="Times New Roman" w:eastAsia="Times New Roman" w:hAnsi="Times New Roman"/>
          <w:sz w:val="18"/>
          <w:szCs w:val="18"/>
          <w:color w:val="262628"/>
        </w:rPr>
        <w:t xml:space="preserve"> be </w:t>
      </w:r>
      <w:r>
        <w:rPr>
          <w:rFonts w:ascii="Times New Roman" w:cs="Times New Roman" w:eastAsia="Times New Roman" w:hAnsi="Times New Roman"/>
          <w:sz w:val="18"/>
          <w:szCs w:val="18"/>
          <w:color w:val="363638"/>
        </w:rPr>
        <w:t>entitled</w:t>
      </w:r>
      <w:r>
        <w:rPr>
          <w:rFonts w:ascii="Times New Roman" w:cs="Times New Roman" w:eastAsia="Times New Roman" w:hAnsi="Times New Roman"/>
          <w:sz w:val="18"/>
          <w:szCs w:val="18"/>
          <w:color w:val="262628"/>
        </w:rPr>
        <w:t xml:space="preserve"> to a maximum of two (2) eight hour days of depositions of </w:t>
      </w:r>
      <w:r>
        <w:rPr>
          <w:rFonts w:ascii="Times New Roman" w:cs="Times New Roman" w:eastAsia="Times New Roman" w:hAnsi="Times New Roman"/>
          <w:sz w:val="18"/>
          <w:szCs w:val="18"/>
          <w:color w:val="363638"/>
        </w:rPr>
        <w:t>witnesses</w:t>
      </w:r>
      <w:r>
        <w:rPr>
          <w:rFonts w:ascii="Times New Roman" w:cs="Times New Roman" w:eastAsia="Times New Roman" w:hAnsi="Times New Roman"/>
          <w:sz w:val="18"/>
          <w:szCs w:val="18"/>
          <w:color w:val="262628"/>
        </w:rPr>
        <w:t xml:space="preserve"> in a form consistent </w:t>
      </w:r>
      <w:r>
        <w:rPr>
          <w:rFonts w:ascii="Times New Roman" w:cs="Times New Roman" w:eastAsia="Times New Roman" w:hAnsi="Times New Roman"/>
          <w:sz w:val="18"/>
          <w:szCs w:val="18"/>
          <w:color w:val="363638"/>
        </w:rPr>
        <w:t>with</w:t>
      </w:r>
      <w:r>
        <w:rPr>
          <w:rFonts w:ascii="Times New Roman" w:cs="Times New Roman" w:eastAsia="Times New Roman" w:hAnsi="Times New Roman"/>
          <w:sz w:val="18"/>
          <w:szCs w:val="18"/>
          <w:color w:val="262628"/>
        </w:rPr>
        <w:t xml:space="preserve"> Rule </w:t>
      </w:r>
      <w:r>
        <w:rPr>
          <w:rFonts w:ascii="Times New Roman" w:cs="Times New Roman" w:eastAsia="Times New Roman" w:hAnsi="Times New Roman"/>
          <w:sz w:val="18"/>
          <w:szCs w:val="18"/>
          <w:color w:val="363638"/>
        </w:rPr>
        <w:t>30</w:t>
      </w:r>
      <w:r>
        <w:rPr>
          <w:rFonts w:ascii="Times New Roman" w:cs="Times New Roman" w:eastAsia="Times New Roman" w:hAnsi="Times New Roman"/>
          <w:sz w:val="18"/>
          <w:szCs w:val="18"/>
          <w:color w:val="262628"/>
        </w:rPr>
        <w:t xml:space="preserve"> of the FRCP.</w:t>
      </w:r>
    </w:p>
    <w:p>
      <w:pPr>
        <w:spacing w:after="0" w:line="200" w:lineRule="exact"/>
        <w:rPr>
          <w:rFonts w:ascii="Times New Roman" w:cs="Times New Roman" w:eastAsia="Times New Roman" w:hAnsi="Times New Roman"/>
          <w:sz w:val="18"/>
          <w:szCs w:val="18"/>
          <w:color w:val="auto"/>
        </w:rPr>
      </w:pPr>
    </w:p>
    <w:p>
      <w:pPr>
        <w:spacing w:after="0" w:line="308" w:lineRule="exact"/>
        <w:rPr>
          <w:rFonts w:ascii="Times New Roman" w:cs="Times New Roman" w:eastAsia="Times New Roman" w:hAnsi="Times New Roman"/>
          <w:sz w:val="18"/>
          <w:szCs w:val="18"/>
          <w:color w:val="auto"/>
        </w:rPr>
      </w:pPr>
    </w:p>
    <w:p>
      <w:pPr>
        <w:ind w:left="580" w:hanging="352"/>
        <w:spacing w:after="0"/>
        <w:tabs>
          <w:tab w:leader="none" w:pos="580" w:val="left"/>
        </w:tabs>
        <w:numPr>
          <w:ilvl w:val="0"/>
          <w:numId w:val="251"/>
        </w:numPr>
        <w:rPr>
          <w:rFonts w:ascii="Times New Roman" w:cs="Times New Roman" w:eastAsia="Times New Roman" w:hAnsi="Times New Roman"/>
          <w:sz w:val="18"/>
          <w:szCs w:val="18"/>
          <w:color w:val="363638"/>
        </w:rPr>
      </w:pPr>
      <w:r>
        <w:rPr>
          <w:rFonts w:ascii="Times New Roman" w:cs="Times New Roman" w:eastAsia="Times New Roman" w:hAnsi="Times New Roman"/>
          <w:sz w:val="18"/>
          <w:szCs w:val="18"/>
          <w:b w:val="1"/>
          <w:bCs w:val="1"/>
          <w:color w:val="363638"/>
        </w:rPr>
        <w:t xml:space="preserve">Arbitrator's </w:t>
      </w:r>
      <w:r>
        <w:rPr>
          <w:rFonts w:ascii="Times New Roman" w:cs="Times New Roman" w:eastAsia="Times New Roman" w:hAnsi="Times New Roman"/>
          <w:sz w:val="18"/>
          <w:szCs w:val="18"/>
          <w:b w:val="1"/>
          <w:bCs w:val="1"/>
          <w:color w:val="262628"/>
        </w:rPr>
        <w:t>Authority.</w:t>
      </w:r>
    </w:p>
    <w:p>
      <w:pPr>
        <w:spacing w:after="0" w:line="188" w:lineRule="exact"/>
        <w:rPr>
          <w:rFonts w:ascii="Times New Roman" w:cs="Times New Roman" w:eastAsia="Times New Roman" w:hAnsi="Times New Roman"/>
          <w:sz w:val="18"/>
          <w:szCs w:val="18"/>
          <w:color w:val="363638"/>
        </w:rPr>
      </w:pPr>
    </w:p>
    <w:p>
      <w:pPr>
        <w:ind w:left="1420" w:right="260" w:hanging="369"/>
        <w:spacing w:after="0" w:line="282" w:lineRule="auto"/>
        <w:tabs>
          <w:tab w:leader="none" w:pos="1420" w:val="left"/>
        </w:tabs>
        <w:numPr>
          <w:ilvl w:val="1"/>
          <w:numId w:val="251"/>
        </w:numPr>
        <w:rPr>
          <w:rFonts w:ascii="Times New Roman" w:cs="Times New Roman" w:eastAsia="Times New Roman" w:hAnsi="Times New Roman"/>
          <w:sz w:val="18"/>
          <w:szCs w:val="18"/>
          <w:color w:val="262628"/>
        </w:rPr>
      </w:pPr>
      <w:r>
        <w:rPr>
          <w:rFonts w:ascii="Times New Roman" w:cs="Times New Roman" w:eastAsia="Times New Roman" w:hAnsi="Times New Roman"/>
          <w:sz w:val="18"/>
          <w:szCs w:val="18"/>
          <w:color w:val="262628"/>
        </w:rPr>
        <w:t xml:space="preserve">The Arbitrator </w:t>
      </w:r>
      <w:r>
        <w:rPr>
          <w:rFonts w:ascii="Times New Roman" w:cs="Times New Roman" w:eastAsia="Times New Roman" w:hAnsi="Times New Roman"/>
          <w:sz w:val="18"/>
          <w:szCs w:val="18"/>
          <w:color w:val="363638"/>
        </w:rPr>
        <w:t>shall</w:t>
      </w:r>
      <w:r>
        <w:rPr>
          <w:rFonts w:ascii="Times New Roman" w:cs="Times New Roman" w:eastAsia="Times New Roman" w:hAnsi="Times New Roman"/>
          <w:sz w:val="18"/>
          <w:szCs w:val="18"/>
          <w:color w:val="262628"/>
        </w:rPr>
        <w:t xml:space="preserve"> have the </w:t>
      </w:r>
      <w:r>
        <w:rPr>
          <w:rFonts w:ascii="Times New Roman" w:cs="Times New Roman" w:eastAsia="Times New Roman" w:hAnsi="Times New Roman"/>
          <w:sz w:val="18"/>
          <w:szCs w:val="18"/>
          <w:color w:val="363638"/>
        </w:rPr>
        <w:t>authority</w:t>
      </w:r>
      <w:r>
        <w:rPr>
          <w:rFonts w:ascii="Times New Roman" w:cs="Times New Roman" w:eastAsia="Times New Roman" w:hAnsi="Times New Roman"/>
          <w:sz w:val="18"/>
          <w:szCs w:val="18"/>
          <w:color w:val="262628"/>
        </w:rPr>
        <w:t xml:space="preserve"> to issue </w:t>
      </w:r>
      <w:r>
        <w:rPr>
          <w:rFonts w:ascii="Times New Roman" w:cs="Times New Roman" w:eastAsia="Times New Roman" w:hAnsi="Times New Roman"/>
          <w:sz w:val="18"/>
          <w:szCs w:val="18"/>
          <w:color w:val="363638"/>
        </w:rPr>
        <w:t>an award</w:t>
      </w:r>
      <w:r>
        <w:rPr>
          <w:rFonts w:ascii="Times New Roman" w:cs="Times New Roman" w:eastAsia="Times New Roman" w:hAnsi="Times New Roman"/>
          <w:sz w:val="18"/>
          <w:szCs w:val="18"/>
          <w:color w:val="262628"/>
        </w:rPr>
        <w:t xml:space="preserve"> or partial </w:t>
      </w:r>
      <w:r>
        <w:rPr>
          <w:rFonts w:ascii="Times New Roman" w:cs="Times New Roman" w:eastAsia="Times New Roman" w:hAnsi="Times New Roman"/>
          <w:sz w:val="18"/>
          <w:szCs w:val="18"/>
          <w:color w:val="363638"/>
        </w:rPr>
        <w:t>award without conducting a</w:t>
      </w:r>
      <w:r>
        <w:rPr>
          <w:rFonts w:ascii="Times New Roman" w:cs="Times New Roman" w:eastAsia="Times New Roman" w:hAnsi="Times New Roman"/>
          <w:sz w:val="18"/>
          <w:szCs w:val="18"/>
          <w:color w:val="262628"/>
        </w:rPr>
        <w:t xml:space="preserve"> </w:t>
      </w:r>
      <w:r>
        <w:rPr>
          <w:rFonts w:ascii="Times New Roman" w:cs="Times New Roman" w:eastAsia="Times New Roman" w:hAnsi="Times New Roman"/>
          <w:sz w:val="18"/>
          <w:szCs w:val="18"/>
          <w:color w:val="111113"/>
        </w:rPr>
        <w:t>h</w:t>
      </w:r>
      <w:r>
        <w:rPr>
          <w:rFonts w:ascii="Times New Roman" w:cs="Times New Roman" w:eastAsia="Times New Roman" w:hAnsi="Times New Roman"/>
          <w:sz w:val="18"/>
          <w:szCs w:val="18"/>
          <w:color w:val="363638"/>
        </w:rPr>
        <w:t>earing</w:t>
      </w:r>
      <w:r>
        <w:rPr>
          <w:rFonts w:ascii="Times New Roman" w:cs="Times New Roman" w:eastAsia="Times New Roman" w:hAnsi="Times New Roman"/>
          <w:sz w:val="18"/>
          <w:szCs w:val="18"/>
          <w:color w:val="262628"/>
        </w:rPr>
        <w:t xml:space="preserve"> on the </w:t>
      </w:r>
      <w:r>
        <w:rPr>
          <w:rFonts w:ascii="Times New Roman" w:cs="Times New Roman" w:eastAsia="Times New Roman" w:hAnsi="Times New Roman"/>
          <w:sz w:val="18"/>
          <w:szCs w:val="18"/>
          <w:color w:val="363638"/>
        </w:rPr>
        <w:t>grounds</w:t>
      </w:r>
      <w:r>
        <w:rPr>
          <w:rFonts w:ascii="Times New Roman" w:cs="Times New Roman" w:eastAsia="Times New Roman" w:hAnsi="Times New Roman"/>
          <w:sz w:val="18"/>
          <w:szCs w:val="18"/>
          <w:color w:val="262628"/>
        </w:rPr>
        <w:t xml:space="preserve"> that there is no claim on </w:t>
      </w:r>
      <w:r>
        <w:rPr>
          <w:rFonts w:ascii="Times New Roman" w:cs="Times New Roman" w:eastAsia="Times New Roman" w:hAnsi="Times New Roman"/>
          <w:sz w:val="18"/>
          <w:szCs w:val="18"/>
          <w:color w:val="363638"/>
        </w:rPr>
        <w:t>which</w:t>
      </w:r>
      <w:r>
        <w:rPr>
          <w:rFonts w:ascii="Times New Roman" w:cs="Times New Roman" w:eastAsia="Times New Roman" w:hAnsi="Times New Roman"/>
          <w:sz w:val="18"/>
          <w:szCs w:val="18"/>
          <w:color w:val="262628"/>
        </w:rPr>
        <w:t xml:space="preserve"> relief </w:t>
      </w:r>
      <w:r>
        <w:rPr>
          <w:rFonts w:ascii="Times New Roman" w:cs="Times New Roman" w:eastAsia="Times New Roman" w:hAnsi="Times New Roman"/>
          <w:sz w:val="18"/>
          <w:szCs w:val="18"/>
          <w:color w:val="363638"/>
        </w:rPr>
        <w:t>can</w:t>
      </w:r>
      <w:r>
        <w:rPr>
          <w:rFonts w:ascii="Times New Roman" w:cs="Times New Roman" w:eastAsia="Times New Roman" w:hAnsi="Times New Roman"/>
          <w:sz w:val="18"/>
          <w:szCs w:val="18"/>
          <w:color w:val="262628"/>
        </w:rPr>
        <w:t xml:space="preserve"> be </w:t>
      </w:r>
      <w:r>
        <w:rPr>
          <w:rFonts w:ascii="Times New Roman" w:cs="Times New Roman" w:eastAsia="Times New Roman" w:hAnsi="Times New Roman"/>
          <w:sz w:val="18"/>
          <w:szCs w:val="18"/>
          <w:color w:val="363638"/>
        </w:rPr>
        <w:t>granted</w:t>
      </w:r>
      <w:r>
        <w:rPr>
          <w:rFonts w:ascii="Times New Roman" w:cs="Times New Roman" w:eastAsia="Times New Roman" w:hAnsi="Times New Roman"/>
          <w:sz w:val="18"/>
          <w:szCs w:val="18"/>
          <w:color w:val="262628"/>
        </w:rPr>
        <w:t xml:space="preserve"> or that there is no </w:t>
      </w:r>
      <w:r>
        <w:rPr>
          <w:rFonts w:ascii="Times New Roman" w:cs="Times New Roman" w:eastAsia="Times New Roman" w:hAnsi="Times New Roman"/>
          <w:sz w:val="18"/>
          <w:szCs w:val="18"/>
          <w:color w:val="363638"/>
        </w:rPr>
        <w:t>genuine</w:t>
      </w:r>
      <w:r>
        <w:rPr>
          <w:rFonts w:ascii="Times New Roman" w:cs="Times New Roman" w:eastAsia="Times New Roman" w:hAnsi="Times New Roman"/>
          <w:sz w:val="18"/>
          <w:szCs w:val="18"/>
          <w:color w:val="262628"/>
        </w:rPr>
        <w:t xml:space="preserve"> issue of material fact to resolve at </w:t>
      </w:r>
      <w:r>
        <w:rPr>
          <w:rFonts w:ascii="Times New Roman" w:cs="Times New Roman" w:eastAsia="Times New Roman" w:hAnsi="Times New Roman"/>
          <w:sz w:val="18"/>
          <w:szCs w:val="18"/>
          <w:color w:val="363638"/>
        </w:rPr>
        <w:t>a</w:t>
      </w:r>
      <w:r>
        <w:rPr>
          <w:rFonts w:ascii="Times New Roman" w:cs="Times New Roman" w:eastAsia="Times New Roman" w:hAnsi="Times New Roman"/>
          <w:sz w:val="18"/>
          <w:szCs w:val="18"/>
          <w:color w:val="262628"/>
        </w:rPr>
        <w:t xml:space="preserve"> hearing</w:t>
      </w:r>
      <w:r>
        <w:rPr>
          <w:rFonts w:ascii="Times New Roman" w:cs="Times New Roman" w:eastAsia="Times New Roman" w:hAnsi="Times New Roman"/>
          <w:sz w:val="18"/>
          <w:szCs w:val="18"/>
          <w:color w:val="525252"/>
        </w:rPr>
        <w:t>;</w:t>
      </w:r>
    </w:p>
    <w:p>
      <w:pPr>
        <w:spacing w:after="0" w:line="134" w:lineRule="exact"/>
        <w:rPr>
          <w:rFonts w:ascii="Times New Roman" w:cs="Times New Roman" w:eastAsia="Times New Roman" w:hAnsi="Times New Roman"/>
          <w:sz w:val="18"/>
          <w:szCs w:val="18"/>
          <w:color w:val="262628"/>
        </w:rPr>
      </w:pPr>
    </w:p>
    <w:p>
      <w:pPr>
        <w:jc w:val="both"/>
        <w:ind w:left="1420" w:right="260" w:hanging="369"/>
        <w:spacing w:after="0" w:line="266" w:lineRule="auto"/>
        <w:tabs>
          <w:tab w:leader="none" w:pos="1420" w:val="left"/>
        </w:tabs>
        <w:numPr>
          <w:ilvl w:val="1"/>
          <w:numId w:val="251"/>
        </w:numPr>
        <w:rPr>
          <w:rFonts w:ascii="Times New Roman" w:cs="Times New Roman" w:eastAsia="Times New Roman" w:hAnsi="Times New Roman"/>
          <w:sz w:val="18"/>
          <w:szCs w:val="18"/>
          <w:color w:val="262628"/>
        </w:rPr>
      </w:pPr>
      <w:r>
        <w:rPr>
          <w:rFonts w:ascii="Times New Roman" w:cs="Times New Roman" w:eastAsia="Times New Roman" w:hAnsi="Times New Roman"/>
          <w:sz w:val="18"/>
          <w:szCs w:val="18"/>
          <w:color w:val="262628"/>
        </w:rPr>
        <w:t xml:space="preserve">The Arbitrator </w:t>
      </w:r>
      <w:r>
        <w:rPr>
          <w:rFonts w:ascii="Times New Roman" w:cs="Times New Roman" w:eastAsia="Times New Roman" w:hAnsi="Times New Roman"/>
          <w:sz w:val="18"/>
          <w:szCs w:val="18"/>
          <w:color w:val="363638"/>
        </w:rPr>
        <w:t>shall</w:t>
      </w:r>
      <w:r>
        <w:rPr>
          <w:rFonts w:ascii="Times New Roman" w:cs="Times New Roman" w:eastAsia="Times New Roman" w:hAnsi="Times New Roman"/>
          <w:sz w:val="18"/>
          <w:szCs w:val="18"/>
          <w:color w:val="262628"/>
        </w:rPr>
        <w:t xml:space="preserve"> decide </w:t>
      </w:r>
      <w:r>
        <w:rPr>
          <w:rFonts w:ascii="Times New Roman" w:cs="Times New Roman" w:eastAsia="Times New Roman" w:hAnsi="Times New Roman"/>
          <w:sz w:val="18"/>
          <w:szCs w:val="18"/>
          <w:color w:val="363638"/>
        </w:rPr>
        <w:t>all</w:t>
      </w:r>
      <w:r>
        <w:rPr>
          <w:rFonts w:ascii="Times New Roman" w:cs="Times New Roman" w:eastAsia="Times New Roman" w:hAnsi="Times New Roman"/>
          <w:sz w:val="18"/>
          <w:szCs w:val="18"/>
          <w:color w:val="262628"/>
        </w:rPr>
        <w:t xml:space="preserve"> disputes related to discovery and to the </w:t>
      </w:r>
      <w:r>
        <w:rPr>
          <w:rFonts w:ascii="Times New Roman" w:cs="Times New Roman" w:eastAsia="Times New Roman" w:hAnsi="Times New Roman"/>
          <w:sz w:val="18"/>
          <w:szCs w:val="18"/>
          <w:color w:val="363638"/>
        </w:rPr>
        <w:t>agreed</w:t>
      </w:r>
      <w:r>
        <w:rPr>
          <w:rFonts w:ascii="Times New Roman" w:cs="Times New Roman" w:eastAsia="Times New Roman" w:hAnsi="Times New Roman"/>
          <w:sz w:val="18"/>
          <w:szCs w:val="18"/>
          <w:color w:val="262628"/>
        </w:rPr>
        <w:t xml:space="preserve"> limits on discovery and may allow </w:t>
      </w:r>
      <w:r>
        <w:rPr>
          <w:rFonts w:ascii="Times New Roman" w:cs="Times New Roman" w:eastAsia="Times New Roman" w:hAnsi="Times New Roman"/>
          <w:sz w:val="18"/>
          <w:szCs w:val="18"/>
          <w:color w:val="363638"/>
        </w:rPr>
        <w:t>addit</w:t>
      </w:r>
      <w:r>
        <w:rPr>
          <w:rFonts w:ascii="Times New Roman" w:cs="Times New Roman" w:eastAsia="Times New Roman" w:hAnsi="Times New Roman"/>
          <w:sz w:val="18"/>
          <w:szCs w:val="18"/>
          <w:color w:val="111113"/>
        </w:rPr>
        <w:t>ional</w:t>
      </w:r>
      <w:r>
        <w:rPr>
          <w:rFonts w:ascii="Times New Roman" w:cs="Times New Roman" w:eastAsia="Times New Roman" w:hAnsi="Times New Roman"/>
          <w:sz w:val="18"/>
          <w:szCs w:val="18"/>
          <w:color w:val="262628"/>
        </w:rPr>
        <w:t xml:space="preserve"> discovery upon </w:t>
      </w:r>
      <w:r>
        <w:rPr>
          <w:rFonts w:ascii="Times New Roman" w:cs="Times New Roman" w:eastAsia="Times New Roman" w:hAnsi="Times New Roman"/>
          <w:sz w:val="18"/>
          <w:szCs w:val="18"/>
          <w:color w:val="363638"/>
        </w:rPr>
        <w:t>a showing</w:t>
      </w:r>
      <w:r>
        <w:rPr>
          <w:rFonts w:ascii="Times New Roman" w:cs="Times New Roman" w:eastAsia="Times New Roman" w:hAnsi="Times New Roman"/>
          <w:sz w:val="18"/>
          <w:szCs w:val="18"/>
          <w:color w:val="262628"/>
        </w:rPr>
        <w:t xml:space="preserve"> of </w:t>
      </w:r>
      <w:r>
        <w:rPr>
          <w:rFonts w:ascii="Times New Roman" w:cs="Times New Roman" w:eastAsia="Times New Roman" w:hAnsi="Times New Roman"/>
          <w:sz w:val="18"/>
          <w:szCs w:val="18"/>
          <w:color w:val="363638"/>
        </w:rPr>
        <w:t>substantial</w:t>
      </w:r>
      <w:r>
        <w:rPr>
          <w:rFonts w:ascii="Times New Roman" w:cs="Times New Roman" w:eastAsia="Times New Roman" w:hAnsi="Times New Roman"/>
          <w:sz w:val="18"/>
          <w:szCs w:val="18"/>
          <w:color w:val="262628"/>
        </w:rPr>
        <w:t xml:space="preserve"> need by </w:t>
      </w:r>
      <w:r>
        <w:rPr>
          <w:rFonts w:ascii="Times New Roman" w:cs="Times New Roman" w:eastAsia="Times New Roman" w:hAnsi="Times New Roman"/>
          <w:sz w:val="18"/>
          <w:szCs w:val="18"/>
          <w:color w:val="363638"/>
        </w:rPr>
        <w:t>either</w:t>
      </w:r>
      <w:r>
        <w:rPr>
          <w:rFonts w:ascii="Times New Roman" w:cs="Times New Roman" w:eastAsia="Times New Roman" w:hAnsi="Times New Roman"/>
          <w:sz w:val="18"/>
          <w:szCs w:val="18"/>
          <w:color w:val="262628"/>
        </w:rPr>
        <w:t xml:space="preserve"> party </w:t>
      </w:r>
      <w:r>
        <w:rPr>
          <w:rFonts w:ascii="Times New Roman" w:cs="Times New Roman" w:eastAsia="Times New Roman" w:hAnsi="Times New Roman"/>
          <w:sz w:val="18"/>
          <w:szCs w:val="18"/>
          <w:color w:val="363638"/>
        </w:rPr>
        <w:t>or</w:t>
      </w:r>
      <w:r>
        <w:rPr>
          <w:rFonts w:ascii="Times New Roman" w:cs="Times New Roman" w:eastAsia="Times New Roman" w:hAnsi="Times New Roman"/>
          <w:sz w:val="18"/>
          <w:szCs w:val="18"/>
          <w:color w:val="262628"/>
        </w:rPr>
        <w:t xml:space="preserve"> upon </w:t>
      </w:r>
      <w:r>
        <w:rPr>
          <w:rFonts w:ascii="Times New Roman" w:cs="Times New Roman" w:eastAsia="Times New Roman" w:hAnsi="Times New Roman"/>
          <w:sz w:val="18"/>
          <w:szCs w:val="18"/>
          <w:color w:val="363638"/>
        </w:rPr>
        <w:t>a showing</w:t>
      </w:r>
      <w:r>
        <w:rPr>
          <w:rFonts w:ascii="Times New Roman" w:cs="Times New Roman" w:eastAsia="Times New Roman" w:hAnsi="Times New Roman"/>
          <w:sz w:val="18"/>
          <w:szCs w:val="18"/>
          <w:color w:val="262628"/>
        </w:rPr>
        <w:t xml:space="preserve"> of </w:t>
      </w:r>
      <w:r>
        <w:rPr>
          <w:rFonts w:ascii="Times New Roman" w:cs="Times New Roman" w:eastAsia="Times New Roman" w:hAnsi="Times New Roman"/>
          <w:sz w:val="18"/>
          <w:szCs w:val="18"/>
          <w:color w:val="363638"/>
        </w:rPr>
        <w:t>an</w:t>
      </w:r>
      <w:r>
        <w:rPr>
          <w:rFonts w:ascii="Times New Roman" w:cs="Times New Roman" w:eastAsia="Times New Roman" w:hAnsi="Times New Roman"/>
          <w:sz w:val="18"/>
          <w:szCs w:val="18"/>
          <w:color w:val="262628"/>
        </w:rPr>
        <w:t xml:space="preserve"> inability to pursue or defend certain claims </w:t>
      </w:r>
      <w:r>
        <w:rPr>
          <w:rFonts w:ascii="Times New Roman" w:cs="Times New Roman" w:eastAsia="Times New Roman" w:hAnsi="Times New Roman"/>
          <w:sz w:val="18"/>
          <w:szCs w:val="18"/>
          <w:color w:val="363638"/>
        </w:rPr>
        <w:t xml:space="preserve">without </w:t>
      </w:r>
      <w:r>
        <w:rPr>
          <w:rFonts w:ascii="Times New Roman" w:cs="Times New Roman" w:eastAsia="Times New Roman" w:hAnsi="Times New Roman"/>
          <w:sz w:val="18"/>
          <w:szCs w:val="18"/>
          <w:color w:val="262628"/>
        </w:rPr>
        <w:t>such</w:t>
      </w:r>
      <w:r>
        <w:rPr>
          <w:rFonts w:ascii="Times New Roman" w:cs="Times New Roman" w:eastAsia="Times New Roman" w:hAnsi="Times New Roman"/>
          <w:sz w:val="18"/>
          <w:szCs w:val="18"/>
          <w:color w:val="363638"/>
        </w:rPr>
        <w:t xml:space="preserve"> additional </w:t>
      </w:r>
      <w:r>
        <w:rPr>
          <w:rFonts w:ascii="Times New Roman" w:cs="Times New Roman" w:eastAsia="Times New Roman" w:hAnsi="Times New Roman"/>
          <w:sz w:val="18"/>
          <w:szCs w:val="18"/>
          <w:color w:val="262628"/>
        </w:rPr>
        <w:t>discovery</w:t>
      </w:r>
      <w:r>
        <w:rPr>
          <w:rFonts w:ascii="Times New Roman" w:cs="Times New Roman" w:eastAsia="Times New Roman" w:hAnsi="Times New Roman"/>
          <w:sz w:val="18"/>
          <w:szCs w:val="18"/>
          <w:color w:val="606062"/>
        </w:rPr>
        <w:t>;</w:t>
      </w:r>
    </w:p>
    <w:p>
      <w:pPr>
        <w:spacing w:after="0" w:line="135" w:lineRule="exact"/>
        <w:rPr>
          <w:rFonts w:ascii="Times New Roman" w:cs="Times New Roman" w:eastAsia="Times New Roman" w:hAnsi="Times New Roman"/>
          <w:sz w:val="18"/>
          <w:szCs w:val="18"/>
          <w:color w:val="262628"/>
        </w:rPr>
      </w:pPr>
    </w:p>
    <w:p>
      <w:pPr>
        <w:jc w:val="both"/>
        <w:ind w:left="1420" w:hanging="369"/>
        <w:spacing w:after="0" w:line="261" w:lineRule="auto"/>
        <w:tabs>
          <w:tab w:leader="none" w:pos="1420" w:val="left"/>
        </w:tabs>
        <w:numPr>
          <w:ilvl w:val="1"/>
          <w:numId w:val="251"/>
        </w:numPr>
        <w:rPr>
          <w:rFonts w:ascii="Times New Roman" w:cs="Times New Roman" w:eastAsia="Times New Roman" w:hAnsi="Times New Roman"/>
          <w:sz w:val="18"/>
          <w:szCs w:val="18"/>
          <w:color w:val="262628"/>
        </w:rPr>
      </w:pPr>
      <w:r>
        <w:rPr>
          <w:rFonts w:ascii="Times New Roman" w:cs="Times New Roman" w:eastAsia="Times New Roman" w:hAnsi="Times New Roman"/>
          <w:sz w:val="18"/>
          <w:szCs w:val="18"/>
          <w:color w:val="262628"/>
        </w:rPr>
        <w:t xml:space="preserve">For discovery purposes only, the Arbitrator may consolidate claims filed by multiple individual </w:t>
      </w:r>
      <w:r>
        <w:rPr>
          <w:rFonts w:ascii="Times New Roman" w:cs="Times New Roman" w:eastAsia="Times New Roman" w:hAnsi="Times New Roman"/>
          <w:sz w:val="18"/>
          <w:szCs w:val="18"/>
          <w:color w:val="363638"/>
        </w:rPr>
        <w:t>employees</w:t>
      </w:r>
      <w:r>
        <w:rPr>
          <w:rFonts w:ascii="Times New Roman" w:cs="Times New Roman" w:eastAsia="Times New Roman" w:hAnsi="Times New Roman"/>
          <w:sz w:val="18"/>
          <w:szCs w:val="18"/>
          <w:color w:val="525252"/>
        </w:rPr>
        <w:t>,</w:t>
      </w:r>
      <w:r>
        <w:rPr>
          <w:rFonts w:ascii="Times New Roman" w:cs="Times New Roman" w:eastAsia="Times New Roman" w:hAnsi="Times New Roman"/>
          <w:sz w:val="18"/>
          <w:szCs w:val="18"/>
          <w:color w:val="262628"/>
        </w:rPr>
        <w:t xml:space="preserve"> </w:t>
      </w:r>
      <w:r>
        <w:rPr>
          <w:rFonts w:ascii="Times New Roman" w:cs="Times New Roman" w:eastAsia="Times New Roman" w:hAnsi="Times New Roman"/>
          <w:sz w:val="18"/>
          <w:szCs w:val="18"/>
          <w:color w:val="363638"/>
        </w:rPr>
        <w:t>each</w:t>
      </w:r>
      <w:r>
        <w:rPr>
          <w:rFonts w:ascii="Times New Roman" w:cs="Times New Roman" w:eastAsia="Times New Roman" w:hAnsi="Times New Roman"/>
          <w:sz w:val="18"/>
          <w:szCs w:val="18"/>
          <w:color w:val="262628"/>
        </w:rPr>
        <w:t xml:space="preserve"> on their own behalf</w:t>
      </w:r>
      <w:r>
        <w:rPr>
          <w:rFonts w:ascii="Times New Roman" w:cs="Times New Roman" w:eastAsia="Times New Roman" w:hAnsi="Times New Roman"/>
          <w:sz w:val="18"/>
          <w:szCs w:val="18"/>
          <w:color w:val="606062"/>
        </w:rPr>
        <w:t>,</w:t>
      </w:r>
      <w:r>
        <w:rPr>
          <w:rFonts w:ascii="Times New Roman" w:cs="Times New Roman" w:eastAsia="Times New Roman" w:hAnsi="Times New Roman"/>
          <w:sz w:val="18"/>
          <w:szCs w:val="18"/>
          <w:color w:val="262628"/>
        </w:rPr>
        <w:t xml:space="preserve"> in </w:t>
      </w:r>
      <w:r>
        <w:rPr>
          <w:rFonts w:ascii="Times New Roman" w:cs="Times New Roman" w:eastAsia="Times New Roman" w:hAnsi="Times New Roman"/>
          <w:sz w:val="18"/>
          <w:szCs w:val="18"/>
          <w:color w:val="363638"/>
        </w:rPr>
        <w:t>a single arbitration</w:t>
      </w:r>
      <w:r>
        <w:rPr>
          <w:rFonts w:ascii="Times New Roman" w:cs="Times New Roman" w:eastAsia="Times New Roman" w:hAnsi="Times New Roman"/>
          <w:sz w:val="18"/>
          <w:szCs w:val="18"/>
          <w:color w:val="262628"/>
        </w:rPr>
        <w:t xml:space="preserve"> proceeding</w:t>
      </w:r>
      <w:r>
        <w:rPr>
          <w:rFonts w:ascii="Times New Roman" w:cs="Times New Roman" w:eastAsia="Times New Roman" w:hAnsi="Times New Roman"/>
          <w:sz w:val="18"/>
          <w:szCs w:val="18"/>
          <w:color w:val="525252"/>
        </w:rPr>
        <w:t>,</w:t>
      </w:r>
      <w:r>
        <w:rPr>
          <w:rFonts w:ascii="Times New Roman" w:cs="Times New Roman" w:eastAsia="Times New Roman" w:hAnsi="Times New Roman"/>
          <w:sz w:val="18"/>
          <w:szCs w:val="18"/>
          <w:color w:val="262628"/>
        </w:rPr>
        <w:t xml:space="preserve"> or may conduct </w:t>
      </w:r>
      <w:r>
        <w:rPr>
          <w:rFonts w:ascii="Times New Roman" w:cs="Times New Roman" w:eastAsia="Times New Roman" w:hAnsi="Times New Roman"/>
          <w:sz w:val="18"/>
          <w:szCs w:val="18"/>
          <w:color w:val="363638"/>
        </w:rPr>
        <w:t>a</w:t>
      </w:r>
      <w:r>
        <w:rPr>
          <w:rFonts w:ascii="Times New Roman" w:cs="Times New Roman" w:eastAsia="Times New Roman" w:hAnsi="Times New Roman"/>
          <w:sz w:val="18"/>
          <w:szCs w:val="18"/>
          <w:color w:val="262628"/>
        </w:rPr>
        <w:t xml:space="preserve"> joint hearing </w:t>
      </w:r>
      <w:r>
        <w:rPr>
          <w:rFonts w:ascii="Times New Roman" w:cs="Times New Roman" w:eastAsia="Times New Roman" w:hAnsi="Times New Roman"/>
          <w:sz w:val="18"/>
          <w:szCs w:val="18"/>
          <w:color w:val="363638"/>
        </w:rPr>
        <w:t>for effic</w:t>
      </w:r>
      <w:r>
        <w:rPr>
          <w:rFonts w:ascii="Times New Roman" w:cs="Times New Roman" w:eastAsia="Times New Roman" w:hAnsi="Times New Roman"/>
          <w:sz w:val="18"/>
          <w:szCs w:val="18"/>
          <w:color w:val="111113"/>
        </w:rPr>
        <w:t>i</w:t>
      </w:r>
      <w:r>
        <w:rPr>
          <w:rFonts w:ascii="Times New Roman" w:cs="Times New Roman" w:eastAsia="Times New Roman" w:hAnsi="Times New Roman"/>
          <w:sz w:val="18"/>
          <w:szCs w:val="18"/>
          <w:color w:val="363638"/>
        </w:rPr>
        <w:t>ency</w:t>
      </w:r>
      <w:r>
        <w:rPr>
          <w:rFonts w:ascii="Times New Roman" w:cs="Times New Roman" w:eastAsia="Times New Roman" w:hAnsi="Times New Roman"/>
          <w:sz w:val="18"/>
          <w:szCs w:val="18"/>
          <w:color w:val="262628"/>
        </w:rPr>
        <w:t xml:space="preserve"> purposes</w:t>
      </w:r>
      <w:r>
        <w:rPr>
          <w:rFonts w:ascii="Times New Roman" w:cs="Times New Roman" w:eastAsia="Times New Roman" w:hAnsi="Times New Roman"/>
          <w:sz w:val="18"/>
          <w:szCs w:val="18"/>
          <w:color w:val="525252"/>
        </w:rPr>
        <w:t>,</w:t>
      </w:r>
      <w:r>
        <w:rPr>
          <w:rFonts w:ascii="Times New Roman" w:cs="Times New Roman" w:eastAsia="Times New Roman" w:hAnsi="Times New Roman"/>
          <w:sz w:val="18"/>
          <w:szCs w:val="18"/>
          <w:color w:val="262628"/>
        </w:rPr>
        <w:t xml:space="preserve"> </w:t>
      </w:r>
      <w:r>
        <w:rPr>
          <w:rFonts w:ascii="Times New Roman" w:cs="Times New Roman" w:eastAsia="Times New Roman" w:hAnsi="Times New Roman"/>
          <w:sz w:val="18"/>
          <w:szCs w:val="18"/>
          <w:color w:val="363638"/>
        </w:rPr>
        <w:t>so</w:t>
      </w:r>
      <w:r>
        <w:rPr>
          <w:rFonts w:ascii="Times New Roman" w:cs="Times New Roman" w:eastAsia="Times New Roman" w:hAnsi="Times New Roman"/>
          <w:sz w:val="18"/>
          <w:szCs w:val="18"/>
          <w:color w:val="262628"/>
        </w:rPr>
        <w:t xml:space="preserve"> long </w:t>
      </w:r>
      <w:r>
        <w:rPr>
          <w:rFonts w:ascii="Times New Roman" w:cs="Times New Roman" w:eastAsia="Times New Roman" w:hAnsi="Times New Roman"/>
          <w:sz w:val="18"/>
          <w:szCs w:val="18"/>
          <w:color w:val="363638"/>
        </w:rPr>
        <w:t>as</w:t>
      </w:r>
      <w:r>
        <w:rPr>
          <w:rFonts w:ascii="Times New Roman" w:cs="Times New Roman" w:eastAsia="Times New Roman" w:hAnsi="Times New Roman"/>
          <w:sz w:val="18"/>
          <w:szCs w:val="18"/>
          <w:color w:val="262628"/>
        </w:rPr>
        <w:t xml:space="preserve"> the Arbitrator does not certify </w:t>
      </w:r>
      <w:r>
        <w:rPr>
          <w:rFonts w:ascii="Times New Roman" w:cs="Times New Roman" w:eastAsia="Times New Roman" w:hAnsi="Times New Roman"/>
          <w:sz w:val="18"/>
          <w:szCs w:val="18"/>
          <w:color w:val="363638"/>
        </w:rPr>
        <w:t xml:space="preserve">(conditionally </w:t>
      </w:r>
      <w:r>
        <w:rPr>
          <w:rFonts w:ascii="Times New Roman" w:cs="Times New Roman" w:eastAsia="Times New Roman" w:hAnsi="Times New Roman"/>
          <w:sz w:val="18"/>
          <w:szCs w:val="18"/>
          <w:color w:val="262628"/>
        </w:rPr>
        <w:t>or otherwise)</w:t>
      </w:r>
      <w:r>
        <w:rPr>
          <w:rFonts w:ascii="Times New Roman" w:cs="Times New Roman" w:eastAsia="Times New Roman" w:hAnsi="Times New Roman"/>
          <w:sz w:val="18"/>
          <w:szCs w:val="18"/>
          <w:color w:val="363638"/>
        </w:rPr>
        <w:t xml:space="preserve"> a </w:t>
      </w:r>
      <w:r>
        <w:rPr>
          <w:rFonts w:ascii="Times New Roman" w:cs="Times New Roman" w:eastAsia="Times New Roman" w:hAnsi="Times New Roman"/>
          <w:sz w:val="18"/>
          <w:szCs w:val="18"/>
          <w:color w:val="262628"/>
        </w:rPr>
        <w:t>collective</w:t>
      </w:r>
      <w:r>
        <w:rPr>
          <w:rFonts w:ascii="Times New Roman" w:cs="Times New Roman" w:eastAsia="Times New Roman" w:hAnsi="Times New Roman"/>
          <w:sz w:val="18"/>
          <w:szCs w:val="18"/>
          <w:color w:val="606062"/>
        </w:rPr>
        <w:t>,</w:t>
      </w:r>
      <w:r>
        <w:rPr>
          <w:rFonts w:ascii="Times New Roman" w:cs="Times New Roman" w:eastAsia="Times New Roman" w:hAnsi="Times New Roman"/>
          <w:sz w:val="18"/>
          <w:szCs w:val="18"/>
          <w:color w:val="363638"/>
        </w:rPr>
        <w:t xml:space="preserve"> </w:t>
      </w:r>
      <w:r>
        <w:rPr>
          <w:rFonts w:ascii="Times New Roman" w:cs="Times New Roman" w:eastAsia="Times New Roman" w:hAnsi="Times New Roman"/>
          <w:sz w:val="18"/>
          <w:szCs w:val="18"/>
          <w:color w:val="262628"/>
        </w:rPr>
        <w:t>class</w:t>
      </w:r>
      <w:r>
        <w:rPr>
          <w:rFonts w:ascii="Times New Roman" w:cs="Times New Roman" w:eastAsia="Times New Roman" w:hAnsi="Times New Roman"/>
          <w:sz w:val="18"/>
          <w:szCs w:val="18"/>
          <w:color w:val="525252"/>
        </w:rPr>
        <w:t>,</w:t>
      </w:r>
      <w:r>
        <w:rPr>
          <w:rFonts w:ascii="Times New Roman" w:cs="Times New Roman" w:eastAsia="Times New Roman" w:hAnsi="Times New Roman"/>
          <w:sz w:val="18"/>
          <w:szCs w:val="18"/>
          <w:color w:val="363638"/>
        </w:rPr>
        <w:t xml:space="preserve"> </w:t>
      </w:r>
      <w:r>
        <w:rPr>
          <w:rFonts w:ascii="Times New Roman" w:cs="Times New Roman" w:eastAsia="Times New Roman" w:hAnsi="Times New Roman"/>
          <w:sz w:val="18"/>
          <w:szCs w:val="18"/>
          <w:color w:val="262628"/>
        </w:rPr>
        <w:t>or representative</w:t>
      </w:r>
      <w:r>
        <w:rPr>
          <w:rFonts w:ascii="Times New Roman" w:cs="Times New Roman" w:eastAsia="Times New Roman" w:hAnsi="Times New Roman"/>
          <w:sz w:val="18"/>
          <w:szCs w:val="18"/>
          <w:color w:val="363638"/>
        </w:rPr>
        <w:t xml:space="preserve"> action </w:t>
      </w:r>
      <w:r>
        <w:rPr>
          <w:rFonts w:ascii="Times New Roman" w:cs="Times New Roman" w:eastAsia="Times New Roman" w:hAnsi="Times New Roman"/>
          <w:sz w:val="18"/>
          <w:szCs w:val="18"/>
          <w:color w:val="262628"/>
        </w:rPr>
        <w:t>that includes individuals</w:t>
      </w:r>
      <w:r>
        <w:rPr>
          <w:rFonts w:ascii="Times New Roman" w:cs="Times New Roman" w:eastAsia="Times New Roman" w:hAnsi="Times New Roman"/>
          <w:sz w:val="18"/>
          <w:szCs w:val="18"/>
          <w:color w:val="363638"/>
        </w:rPr>
        <w:t xml:space="preserve"> who </w:t>
      </w:r>
      <w:r>
        <w:rPr>
          <w:rFonts w:ascii="Times New Roman" w:cs="Times New Roman" w:eastAsia="Times New Roman" w:hAnsi="Times New Roman"/>
          <w:sz w:val="18"/>
          <w:szCs w:val="18"/>
          <w:color w:val="262628"/>
        </w:rPr>
        <w:t>have not themselves</w:t>
      </w:r>
      <w:r>
        <w:rPr>
          <w:rFonts w:ascii="Times New Roman" w:cs="Times New Roman" w:eastAsia="Times New Roman" w:hAnsi="Times New Roman"/>
          <w:sz w:val="18"/>
          <w:szCs w:val="18"/>
          <w:color w:val="363638"/>
        </w:rPr>
        <w:t xml:space="preserve"> already submitted </w:t>
      </w:r>
      <w:r>
        <w:rPr>
          <w:rFonts w:ascii="Times New Roman" w:cs="Times New Roman" w:eastAsia="Times New Roman" w:hAnsi="Times New Roman"/>
          <w:sz w:val="18"/>
          <w:szCs w:val="18"/>
          <w:color w:val="262628"/>
        </w:rPr>
        <w:t>their own individual</w:t>
      </w:r>
      <w:r>
        <w:rPr>
          <w:rFonts w:ascii="Times New Roman" w:cs="Times New Roman" w:eastAsia="Times New Roman" w:hAnsi="Times New Roman"/>
          <w:sz w:val="18"/>
          <w:szCs w:val="18"/>
          <w:color w:val="363638"/>
        </w:rPr>
        <w:t xml:space="preserve"> claims;</w:t>
      </w:r>
    </w:p>
    <w:p>
      <w:pPr>
        <w:spacing w:after="0" w:line="139" w:lineRule="exact"/>
        <w:rPr>
          <w:rFonts w:ascii="Times New Roman" w:cs="Times New Roman" w:eastAsia="Times New Roman" w:hAnsi="Times New Roman"/>
          <w:sz w:val="18"/>
          <w:szCs w:val="18"/>
          <w:color w:val="262628"/>
        </w:rPr>
      </w:pPr>
    </w:p>
    <w:p>
      <w:pPr>
        <w:ind w:left="1420" w:right="280" w:hanging="369"/>
        <w:spacing w:after="0" w:line="282" w:lineRule="auto"/>
        <w:tabs>
          <w:tab w:leader="none" w:pos="1420" w:val="left"/>
        </w:tabs>
        <w:numPr>
          <w:ilvl w:val="1"/>
          <w:numId w:val="251"/>
        </w:numPr>
        <w:rPr>
          <w:rFonts w:ascii="Times New Roman" w:cs="Times New Roman" w:eastAsia="Times New Roman" w:hAnsi="Times New Roman"/>
          <w:sz w:val="18"/>
          <w:szCs w:val="18"/>
          <w:color w:val="262628"/>
        </w:rPr>
      </w:pPr>
      <w:r>
        <w:rPr>
          <w:rFonts w:ascii="Times New Roman" w:cs="Times New Roman" w:eastAsia="Times New Roman" w:hAnsi="Times New Roman"/>
          <w:sz w:val="18"/>
          <w:szCs w:val="18"/>
          <w:color w:val="262628"/>
        </w:rPr>
        <w:t xml:space="preserve">The Arbitrator must issue </w:t>
      </w:r>
      <w:r>
        <w:rPr>
          <w:rFonts w:ascii="Times New Roman" w:cs="Times New Roman" w:eastAsia="Times New Roman" w:hAnsi="Times New Roman"/>
          <w:sz w:val="18"/>
          <w:szCs w:val="18"/>
          <w:color w:val="363638"/>
        </w:rPr>
        <w:t>a</w:t>
      </w:r>
      <w:r>
        <w:rPr>
          <w:rFonts w:ascii="Times New Roman" w:cs="Times New Roman" w:eastAsia="Times New Roman" w:hAnsi="Times New Roman"/>
          <w:sz w:val="18"/>
          <w:szCs w:val="18"/>
          <w:color w:val="262628"/>
        </w:rPr>
        <w:t xml:space="preserve"> decision in </w:t>
      </w:r>
      <w:r>
        <w:rPr>
          <w:rFonts w:ascii="Times New Roman" w:cs="Times New Roman" w:eastAsia="Times New Roman" w:hAnsi="Times New Roman"/>
          <w:sz w:val="18"/>
          <w:szCs w:val="18"/>
          <w:color w:val="363638"/>
        </w:rPr>
        <w:t>writing</w:t>
      </w:r>
      <w:r>
        <w:rPr>
          <w:rFonts w:ascii="Times New Roman" w:cs="Times New Roman" w:eastAsia="Times New Roman" w:hAnsi="Times New Roman"/>
          <w:sz w:val="18"/>
          <w:szCs w:val="18"/>
          <w:color w:val="606062"/>
        </w:rPr>
        <w:t>,</w:t>
      </w:r>
      <w:r>
        <w:rPr>
          <w:rFonts w:ascii="Times New Roman" w:cs="Times New Roman" w:eastAsia="Times New Roman" w:hAnsi="Times New Roman"/>
          <w:sz w:val="18"/>
          <w:szCs w:val="18"/>
          <w:color w:val="262628"/>
        </w:rPr>
        <w:t xml:space="preserve"> </w:t>
      </w:r>
      <w:r>
        <w:rPr>
          <w:rFonts w:ascii="Times New Roman" w:cs="Times New Roman" w:eastAsia="Times New Roman" w:hAnsi="Times New Roman"/>
          <w:sz w:val="18"/>
          <w:szCs w:val="18"/>
          <w:color w:val="363638"/>
        </w:rPr>
        <w:t>setting</w:t>
      </w:r>
      <w:r>
        <w:rPr>
          <w:rFonts w:ascii="Times New Roman" w:cs="Times New Roman" w:eastAsia="Times New Roman" w:hAnsi="Times New Roman"/>
          <w:sz w:val="18"/>
          <w:szCs w:val="18"/>
          <w:color w:val="262628"/>
        </w:rPr>
        <w:t xml:space="preserve"> forth in </w:t>
      </w:r>
      <w:r>
        <w:rPr>
          <w:rFonts w:ascii="Times New Roman" w:cs="Times New Roman" w:eastAsia="Times New Roman" w:hAnsi="Times New Roman"/>
          <w:sz w:val="18"/>
          <w:szCs w:val="18"/>
          <w:color w:val="363638"/>
        </w:rPr>
        <w:t>summary</w:t>
      </w:r>
      <w:r>
        <w:rPr>
          <w:rFonts w:ascii="Times New Roman" w:cs="Times New Roman" w:eastAsia="Times New Roman" w:hAnsi="Times New Roman"/>
          <w:sz w:val="18"/>
          <w:szCs w:val="18"/>
          <w:color w:val="262628"/>
        </w:rPr>
        <w:t xml:space="preserve"> form the </w:t>
      </w:r>
      <w:r>
        <w:rPr>
          <w:rFonts w:ascii="Times New Roman" w:cs="Times New Roman" w:eastAsia="Times New Roman" w:hAnsi="Times New Roman"/>
          <w:sz w:val="18"/>
          <w:szCs w:val="18"/>
          <w:color w:val="363638"/>
        </w:rPr>
        <w:t>reasons for</w:t>
      </w:r>
      <w:r>
        <w:rPr>
          <w:rFonts w:ascii="Times New Roman" w:cs="Times New Roman" w:eastAsia="Times New Roman" w:hAnsi="Times New Roman"/>
          <w:sz w:val="18"/>
          <w:szCs w:val="18"/>
          <w:color w:val="262628"/>
        </w:rPr>
        <w:t xml:space="preserve"> the Arbitrator</w:t>
      </w:r>
      <w:r>
        <w:rPr>
          <w:rFonts w:ascii="Times New Roman" w:cs="Times New Roman" w:eastAsia="Times New Roman" w:hAnsi="Times New Roman"/>
          <w:sz w:val="18"/>
          <w:szCs w:val="18"/>
          <w:color w:val="525252"/>
        </w:rPr>
        <w:t>'</w:t>
      </w:r>
      <w:r>
        <w:rPr>
          <w:rFonts w:ascii="Times New Roman" w:cs="Times New Roman" w:eastAsia="Times New Roman" w:hAnsi="Times New Roman"/>
          <w:sz w:val="18"/>
          <w:szCs w:val="18"/>
          <w:color w:val="363638"/>
        </w:rPr>
        <w:t>s</w:t>
      </w:r>
      <w:r>
        <w:rPr>
          <w:rFonts w:ascii="Times New Roman" w:cs="Times New Roman" w:eastAsia="Times New Roman" w:hAnsi="Times New Roman"/>
          <w:sz w:val="18"/>
          <w:szCs w:val="18"/>
          <w:color w:val="262628"/>
        </w:rPr>
        <w:t xml:space="preserve"> determination </w:t>
      </w:r>
      <w:r>
        <w:rPr>
          <w:rFonts w:ascii="Times New Roman" w:cs="Times New Roman" w:eastAsia="Times New Roman" w:hAnsi="Times New Roman"/>
          <w:sz w:val="18"/>
          <w:szCs w:val="18"/>
          <w:color w:val="363638"/>
        </w:rPr>
        <w:t>and</w:t>
      </w:r>
      <w:r>
        <w:rPr>
          <w:rFonts w:ascii="Times New Roman" w:cs="Times New Roman" w:eastAsia="Times New Roman" w:hAnsi="Times New Roman"/>
          <w:sz w:val="18"/>
          <w:szCs w:val="18"/>
          <w:color w:val="262628"/>
        </w:rPr>
        <w:t xml:space="preserve"> the legal basis therefor; </w:t>
      </w:r>
      <w:r>
        <w:rPr>
          <w:rFonts w:ascii="Times New Roman" w:cs="Times New Roman" w:eastAsia="Times New Roman" w:hAnsi="Times New Roman"/>
          <w:sz w:val="18"/>
          <w:szCs w:val="18"/>
          <w:color w:val="363638"/>
        </w:rPr>
        <w:t>and</w:t>
      </w:r>
    </w:p>
    <w:p>
      <w:pPr>
        <w:spacing w:after="0" w:line="134" w:lineRule="exact"/>
        <w:rPr>
          <w:rFonts w:ascii="Times New Roman" w:cs="Times New Roman" w:eastAsia="Times New Roman" w:hAnsi="Times New Roman"/>
          <w:sz w:val="18"/>
          <w:szCs w:val="18"/>
          <w:color w:val="262628"/>
        </w:rPr>
      </w:pPr>
    </w:p>
    <w:p>
      <w:pPr>
        <w:jc w:val="both"/>
        <w:ind w:left="1420" w:right="260" w:hanging="369"/>
        <w:spacing w:after="0" w:line="266" w:lineRule="auto"/>
        <w:tabs>
          <w:tab w:leader="none" w:pos="1420" w:val="left"/>
        </w:tabs>
        <w:numPr>
          <w:ilvl w:val="1"/>
          <w:numId w:val="251"/>
        </w:numPr>
        <w:rPr>
          <w:rFonts w:ascii="Times New Roman" w:cs="Times New Roman" w:eastAsia="Times New Roman" w:hAnsi="Times New Roman"/>
          <w:sz w:val="18"/>
          <w:szCs w:val="18"/>
          <w:color w:val="262628"/>
        </w:rPr>
      </w:pPr>
      <w:r>
        <w:rPr>
          <w:rFonts w:ascii="Times New Roman" w:cs="Times New Roman" w:eastAsia="Times New Roman" w:hAnsi="Times New Roman"/>
          <w:sz w:val="18"/>
          <w:szCs w:val="18"/>
          <w:color w:val="262628"/>
        </w:rPr>
        <w:t xml:space="preserve">The </w:t>
      </w:r>
      <w:r>
        <w:rPr>
          <w:rFonts w:ascii="Times New Roman" w:cs="Times New Roman" w:eastAsia="Times New Roman" w:hAnsi="Times New Roman"/>
          <w:sz w:val="18"/>
          <w:szCs w:val="18"/>
          <w:color w:val="363638"/>
        </w:rPr>
        <w:t>Arbitrator's authority sha</w:t>
      </w:r>
      <w:r>
        <w:rPr>
          <w:rFonts w:ascii="Times New Roman" w:cs="Times New Roman" w:eastAsia="Times New Roman" w:hAnsi="Times New Roman"/>
          <w:sz w:val="18"/>
          <w:szCs w:val="18"/>
          <w:color w:val="111113"/>
        </w:rPr>
        <w:t>ll</w:t>
      </w:r>
      <w:r>
        <w:rPr>
          <w:rFonts w:ascii="Times New Roman" w:cs="Times New Roman" w:eastAsia="Times New Roman" w:hAnsi="Times New Roman"/>
          <w:sz w:val="18"/>
          <w:szCs w:val="18"/>
          <w:color w:val="262628"/>
        </w:rPr>
        <w:t xml:space="preserve"> be limited to deciding the case </w:t>
      </w:r>
      <w:r>
        <w:rPr>
          <w:rFonts w:ascii="Times New Roman" w:cs="Times New Roman" w:eastAsia="Times New Roman" w:hAnsi="Times New Roman"/>
          <w:sz w:val="18"/>
          <w:szCs w:val="18"/>
          <w:color w:val="363638"/>
        </w:rPr>
        <w:t>submitted</w:t>
      </w:r>
      <w:r>
        <w:rPr>
          <w:rFonts w:ascii="Times New Roman" w:cs="Times New Roman" w:eastAsia="Times New Roman" w:hAnsi="Times New Roman"/>
          <w:sz w:val="18"/>
          <w:szCs w:val="18"/>
          <w:color w:val="262628"/>
        </w:rPr>
        <w:t xml:space="preserve"> by the parties to </w:t>
      </w:r>
      <w:r>
        <w:rPr>
          <w:rFonts w:ascii="Times New Roman" w:cs="Times New Roman" w:eastAsia="Times New Roman" w:hAnsi="Times New Roman"/>
          <w:sz w:val="18"/>
          <w:szCs w:val="18"/>
          <w:color w:val="363638"/>
        </w:rPr>
        <w:t>the arbitration.</w:t>
      </w:r>
      <w:r>
        <w:rPr>
          <w:rFonts w:ascii="Times New Roman" w:cs="Times New Roman" w:eastAsia="Times New Roman" w:hAnsi="Times New Roman"/>
          <w:sz w:val="18"/>
          <w:szCs w:val="18"/>
          <w:color w:val="262628"/>
        </w:rPr>
        <w:t xml:space="preserve"> Therefore, no decision by </w:t>
      </w:r>
      <w:r>
        <w:rPr>
          <w:rFonts w:ascii="Times New Roman" w:cs="Times New Roman" w:eastAsia="Times New Roman" w:hAnsi="Times New Roman"/>
          <w:sz w:val="18"/>
          <w:szCs w:val="18"/>
          <w:color w:val="363638"/>
        </w:rPr>
        <w:t xml:space="preserve">any arbitrator </w:t>
      </w:r>
      <w:r>
        <w:rPr>
          <w:rFonts w:ascii="Times New Roman" w:cs="Times New Roman" w:eastAsia="Times New Roman" w:hAnsi="Times New Roman"/>
          <w:sz w:val="18"/>
          <w:szCs w:val="18"/>
          <w:color w:val="262628"/>
        </w:rPr>
        <w:t>shall</w:t>
      </w:r>
      <w:r>
        <w:rPr>
          <w:rFonts w:ascii="Times New Roman" w:cs="Times New Roman" w:eastAsia="Times New Roman" w:hAnsi="Times New Roman"/>
          <w:sz w:val="18"/>
          <w:szCs w:val="18"/>
          <w:color w:val="363638"/>
        </w:rPr>
        <w:t xml:space="preserve"> serve as </w:t>
      </w:r>
      <w:r>
        <w:rPr>
          <w:rFonts w:ascii="Times New Roman" w:cs="Times New Roman" w:eastAsia="Times New Roman" w:hAnsi="Times New Roman"/>
          <w:sz w:val="18"/>
          <w:szCs w:val="18"/>
          <w:color w:val="262628"/>
        </w:rPr>
        <w:t>precedent in other</w:t>
      </w:r>
      <w:r>
        <w:rPr>
          <w:rFonts w:ascii="Times New Roman" w:cs="Times New Roman" w:eastAsia="Times New Roman" w:hAnsi="Times New Roman"/>
          <w:sz w:val="18"/>
          <w:szCs w:val="18"/>
          <w:color w:val="363638"/>
        </w:rPr>
        <w:t xml:space="preserve"> arbitrations except </w:t>
      </w:r>
      <w:r>
        <w:rPr>
          <w:rFonts w:ascii="Times New Roman" w:cs="Times New Roman" w:eastAsia="Times New Roman" w:hAnsi="Times New Roman"/>
          <w:sz w:val="18"/>
          <w:szCs w:val="18"/>
          <w:color w:val="262628"/>
        </w:rPr>
        <w:t>to preclude the same claim from being re-arbitrated between the</w:t>
      </w:r>
      <w:r>
        <w:rPr>
          <w:rFonts w:ascii="Times New Roman" w:cs="Times New Roman" w:eastAsia="Times New Roman" w:hAnsi="Times New Roman"/>
          <w:sz w:val="18"/>
          <w:szCs w:val="18"/>
          <w:color w:val="363638"/>
        </w:rPr>
        <w:t xml:space="preserve"> </w:t>
      </w:r>
      <w:r>
        <w:rPr>
          <w:rFonts w:ascii="Times New Roman" w:cs="Times New Roman" w:eastAsia="Times New Roman" w:hAnsi="Times New Roman"/>
          <w:sz w:val="18"/>
          <w:szCs w:val="18"/>
          <w:color w:val="262628"/>
        </w:rPr>
        <w:t>same parties.</w:t>
      </w:r>
    </w:p>
    <w:p>
      <w:pPr>
        <w:spacing w:after="0" w:line="200" w:lineRule="exact"/>
        <w:rPr>
          <w:sz w:val="20"/>
          <w:szCs w:val="20"/>
          <w:color w:val="auto"/>
        </w:rPr>
      </w:pPr>
    </w:p>
    <w:p>
      <w:pPr>
        <w:spacing w:after="0" w:line="313" w:lineRule="exact"/>
        <w:rPr>
          <w:sz w:val="20"/>
          <w:szCs w:val="20"/>
          <w:color w:val="auto"/>
        </w:rPr>
      </w:pPr>
    </w:p>
    <w:p>
      <w:pPr>
        <w:jc w:val="both"/>
        <w:ind w:left="220" w:right="300" w:firstLine="8"/>
        <w:spacing w:after="0" w:line="256" w:lineRule="auto"/>
        <w:tabs>
          <w:tab w:leader="none" w:pos="748" w:val="left"/>
        </w:tabs>
        <w:numPr>
          <w:ilvl w:val="0"/>
          <w:numId w:val="252"/>
        </w:numPr>
        <w:rPr>
          <w:rFonts w:ascii="Times New Roman" w:cs="Times New Roman" w:eastAsia="Times New Roman" w:hAnsi="Times New Roman"/>
          <w:sz w:val="18"/>
          <w:szCs w:val="18"/>
          <w:color w:val="262628"/>
        </w:rPr>
      </w:pPr>
      <w:r>
        <w:rPr>
          <w:rFonts w:ascii="Times New Roman" w:cs="Times New Roman" w:eastAsia="Times New Roman" w:hAnsi="Times New Roman"/>
          <w:sz w:val="18"/>
          <w:szCs w:val="18"/>
          <w:u w:val="single" w:color="auto"/>
          <w:color w:val="363638"/>
        </w:rPr>
        <w:t>Confidentiality</w:t>
      </w:r>
      <w:r>
        <w:rPr>
          <w:rFonts w:ascii="Times New Roman" w:cs="Times New Roman" w:eastAsia="Times New Roman" w:hAnsi="Times New Roman"/>
          <w:sz w:val="18"/>
          <w:szCs w:val="18"/>
          <w:color w:val="363638"/>
        </w:rPr>
        <w:t xml:space="preserve">. Arbitration </w:t>
      </w:r>
      <w:r>
        <w:rPr>
          <w:rFonts w:ascii="Times New Roman" w:cs="Times New Roman" w:eastAsia="Times New Roman" w:hAnsi="Times New Roman"/>
          <w:sz w:val="18"/>
          <w:szCs w:val="18"/>
          <w:color w:val="262628"/>
        </w:rPr>
        <w:t>proceedings</w:t>
      </w:r>
      <w:r>
        <w:rPr>
          <w:rFonts w:ascii="Times New Roman" w:cs="Times New Roman" w:eastAsia="Times New Roman" w:hAnsi="Times New Roman"/>
          <w:sz w:val="18"/>
          <w:szCs w:val="18"/>
          <w:color w:val="363638"/>
        </w:rPr>
        <w:t xml:space="preserve"> are </w:t>
      </w:r>
      <w:r>
        <w:rPr>
          <w:rFonts w:ascii="Times New Roman" w:cs="Times New Roman" w:eastAsia="Times New Roman" w:hAnsi="Times New Roman"/>
          <w:sz w:val="18"/>
          <w:szCs w:val="18"/>
          <w:color w:val="262628"/>
        </w:rPr>
        <w:t>non-public, and the parties</w:t>
      </w:r>
      <w:r>
        <w:rPr>
          <w:rFonts w:ascii="Times New Roman" w:cs="Times New Roman" w:eastAsia="Times New Roman" w:hAnsi="Times New Roman"/>
          <w:sz w:val="18"/>
          <w:szCs w:val="18"/>
          <w:color w:val="363638"/>
        </w:rPr>
        <w:t xml:space="preserve"> and </w:t>
      </w:r>
      <w:r>
        <w:rPr>
          <w:rFonts w:ascii="Times New Roman" w:cs="Times New Roman" w:eastAsia="Times New Roman" w:hAnsi="Times New Roman"/>
          <w:sz w:val="18"/>
          <w:szCs w:val="18"/>
          <w:color w:val="262628"/>
        </w:rPr>
        <w:t>the Arbitrator shall be</w:t>
      </w:r>
      <w:r>
        <w:rPr>
          <w:rFonts w:ascii="Times New Roman" w:cs="Times New Roman" w:eastAsia="Times New Roman" w:hAnsi="Times New Roman"/>
          <w:sz w:val="18"/>
          <w:szCs w:val="18"/>
          <w:color w:val="363638"/>
        </w:rPr>
        <w:t xml:space="preserve"> empowered </w:t>
      </w:r>
      <w:r>
        <w:rPr>
          <w:rFonts w:ascii="Times New Roman" w:cs="Times New Roman" w:eastAsia="Times New Roman" w:hAnsi="Times New Roman"/>
          <w:sz w:val="18"/>
          <w:szCs w:val="18"/>
          <w:color w:val="262628"/>
        </w:rPr>
        <w:t>to maintain the confidential</w:t>
      </w:r>
      <w:r>
        <w:rPr>
          <w:rFonts w:ascii="Times New Roman" w:cs="Times New Roman" w:eastAsia="Times New Roman" w:hAnsi="Times New Roman"/>
          <w:sz w:val="18"/>
          <w:szCs w:val="18"/>
          <w:color w:val="363638"/>
        </w:rPr>
        <w:t xml:space="preserve"> </w:t>
      </w:r>
      <w:r>
        <w:rPr>
          <w:rFonts w:ascii="Times New Roman" w:cs="Times New Roman" w:eastAsia="Times New Roman" w:hAnsi="Times New Roman"/>
          <w:sz w:val="18"/>
          <w:szCs w:val="18"/>
          <w:color w:val="262628"/>
        </w:rPr>
        <w:t>nature of the arbitration proceeding</w:t>
      </w:r>
      <w:r>
        <w:rPr>
          <w:rFonts w:ascii="Times New Roman" w:cs="Times New Roman" w:eastAsia="Times New Roman" w:hAnsi="Times New Roman"/>
          <w:sz w:val="18"/>
          <w:szCs w:val="18"/>
          <w:color w:val="525252"/>
        </w:rPr>
        <w:t>,</w:t>
      </w:r>
      <w:r>
        <w:rPr>
          <w:rFonts w:ascii="Times New Roman" w:cs="Times New Roman" w:eastAsia="Times New Roman" w:hAnsi="Times New Roman"/>
          <w:sz w:val="18"/>
          <w:szCs w:val="18"/>
          <w:color w:val="262628"/>
        </w:rPr>
        <w:t xml:space="preserve"> testimony</w:t>
      </w:r>
      <w:r>
        <w:rPr>
          <w:rFonts w:ascii="Times New Roman" w:cs="Times New Roman" w:eastAsia="Times New Roman" w:hAnsi="Times New Roman"/>
          <w:sz w:val="18"/>
          <w:szCs w:val="18"/>
          <w:color w:val="606062"/>
        </w:rPr>
        <w:t>,</w:t>
      </w:r>
      <w:r>
        <w:rPr>
          <w:rFonts w:ascii="Times New Roman" w:cs="Times New Roman" w:eastAsia="Times New Roman" w:hAnsi="Times New Roman"/>
          <w:sz w:val="18"/>
          <w:szCs w:val="18"/>
          <w:color w:val="262628"/>
        </w:rPr>
        <w:t xml:space="preserve"> </w:t>
      </w:r>
      <w:r>
        <w:rPr>
          <w:rFonts w:ascii="Times New Roman" w:cs="Times New Roman" w:eastAsia="Times New Roman" w:hAnsi="Times New Roman"/>
          <w:sz w:val="18"/>
          <w:szCs w:val="18"/>
          <w:color w:val="363638"/>
        </w:rPr>
        <w:t>and</w:t>
      </w:r>
      <w:r>
        <w:rPr>
          <w:rFonts w:ascii="Times New Roman" w:cs="Times New Roman" w:eastAsia="Times New Roman" w:hAnsi="Times New Roman"/>
          <w:sz w:val="18"/>
          <w:szCs w:val="18"/>
          <w:color w:val="262628"/>
        </w:rPr>
        <w:t xml:space="preserve"> hearing. The </w:t>
      </w:r>
      <w:r>
        <w:rPr>
          <w:rFonts w:ascii="Times New Roman" w:cs="Times New Roman" w:eastAsia="Times New Roman" w:hAnsi="Times New Roman"/>
          <w:sz w:val="18"/>
          <w:szCs w:val="18"/>
          <w:color w:val="363638"/>
        </w:rPr>
        <w:t>Arbitrator</w:t>
      </w:r>
      <w:r>
        <w:rPr>
          <w:rFonts w:ascii="Times New Roman" w:cs="Times New Roman" w:eastAsia="Times New Roman" w:hAnsi="Times New Roman"/>
          <w:sz w:val="18"/>
          <w:szCs w:val="18"/>
          <w:color w:val="262628"/>
        </w:rPr>
        <w:t xml:space="preserve"> must allow persons to </w:t>
      </w:r>
      <w:r>
        <w:rPr>
          <w:rFonts w:ascii="Times New Roman" w:cs="Times New Roman" w:eastAsia="Times New Roman" w:hAnsi="Times New Roman"/>
          <w:sz w:val="18"/>
          <w:szCs w:val="18"/>
          <w:color w:val="363638"/>
        </w:rPr>
        <w:t>attend</w:t>
      </w:r>
      <w:r>
        <w:rPr>
          <w:rFonts w:ascii="Times New Roman" w:cs="Times New Roman" w:eastAsia="Times New Roman" w:hAnsi="Times New Roman"/>
          <w:sz w:val="18"/>
          <w:szCs w:val="18"/>
          <w:color w:val="262628"/>
        </w:rPr>
        <w:t xml:space="preserve"> the hearing </w:t>
      </w:r>
      <w:r>
        <w:rPr>
          <w:rFonts w:ascii="Times New Roman" w:cs="Times New Roman" w:eastAsia="Times New Roman" w:hAnsi="Times New Roman"/>
          <w:sz w:val="18"/>
          <w:szCs w:val="18"/>
          <w:color w:val="363638"/>
        </w:rPr>
        <w:t>who</w:t>
      </w:r>
      <w:r>
        <w:rPr>
          <w:rFonts w:ascii="Times New Roman" w:cs="Times New Roman" w:eastAsia="Times New Roman" w:hAnsi="Times New Roman"/>
          <w:sz w:val="18"/>
          <w:szCs w:val="18"/>
          <w:color w:val="262628"/>
        </w:rPr>
        <w:t xml:space="preserve"> have </w:t>
      </w:r>
      <w:r>
        <w:rPr>
          <w:rFonts w:ascii="Times New Roman" w:cs="Times New Roman" w:eastAsia="Times New Roman" w:hAnsi="Times New Roman"/>
          <w:sz w:val="18"/>
          <w:szCs w:val="18"/>
          <w:color w:val="363638"/>
        </w:rPr>
        <w:t>a</w:t>
      </w:r>
      <w:r>
        <w:rPr>
          <w:rFonts w:ascii="Times New Roman" w:cs="Times New Roman" w:eastAsia="Times New Roman" w:hAnsi="Times New Roman"/>
          <w:sz w:val="18"/>
          <w:szCs w:val="18"/>
          <w:color w:val="262628"/>
        </w:rPr>
        <w:t xml:space="preserve"> direct role or interest in the hearing, but </w:t>
      </w:r>
      <w:r>
        <w:rPr>
          <w:rFonts w:ascii="Times New Roman" w:cs="Times New Roman" w:eastAsia="Times New Roman" w:hAnsi="Times New Roman"/>
          <w:sz w:val="18"/>
          <w:szCs w:val="18"/>
          <w:color w:val="363638"/>
        </w:rPr>
        <w:t>shall</w:t>
      </w:r>
      <w:r>
        <w:rPr>
          <w:rFonts w:ascii="Times New Roman" w:cs="Times New Roman" w:eastAsia="Times New Roman" w:hAnsi="Times New Roman"/>
          <w:sz w:val="18"/>
          <w:szCs w:val="18"/>
          <w:color w:val="262628"/>
        </w:rPr>
        <w:t xml:space="preserve"> have the </w:t>
      </w:r>
      <w:r>
        <w:rPr>
          <w:rFonts w:ascii="Times New Roman" w:cs="Times New Roman" w:eastAsia="Times New Roman" w:hAnsi="Times New Roman"/>
          <w:sz w:val="18"/>
          <w:szCs w:val="18"/>
          <w:color w:val="363638"/>
        </w:rPr>
        <w:t>authority</w:t>
      </w:r>
      <w:r>
        <w:rPr>
          <w:rFonts w:ascii="Times New Roman" w:cs="Times New Roman" w:eastAsia="Times New Roman" w:hAnsi="Times New Roman"/>
          <w:sz w:val="18"/>
          <w:szCs w:val="18"/>
          <w:color w:val="262628"/>
        </w:rPr>
        <w:t xml:space="preserve"> to safeguard confidentiality such as by </w:t>
      </w:r>
      <w:r>
        <w:rPr>
          <w:rFonts w:ascii="Times New Roman" w:cs="Times New Roman" w:eastAsia="Times New Roman" w:hAnsi="Times New Roman"/>
          <w:sz w:val="18"/>
          <w:szCs w:val="18"/>
          <w:color w:val="363638"/>
        </w:rPr>
        <w:t>exc</w:t>
      </w:r>
      <w:r>
        <w:rPr>
          <w:rFonts w:ascii="Times New Roman" w:cs="Times New Roman" w:eastAsia="Times New Roman" w:hAnsi="Times New Roman"/>
          <w:sz w:val="18"/>
          <w:szCs w:val="18"/>
          <w:color w:val="111113"/>
        </w:rPr>
        <w:t>ludin</w:t>
      </w:r>
      <w:r>
        <w:rPr>
          <w:rFonts w:ascii="Times New Roman" w:cs="Times New Roman" w:eastAsia="Times New Roman" w:hAnsi="Times New Roman"/>
          <w:sz w:val="18"/>
          <w:szCs w:val="18"/>
          <w:color w:val="363638"/>
        </w:rPr>
        <w:t>g</w:t>
      </w:r>
      <w:r>
        <w:rPr>
          <w:rFonts w:ascii="Times New Roman" w:cs="Times New Roman" w:eastAsia="Times New Roman" w:hAnsi="Times New Roman"/>
          <w:sz w:val="18"/>
          <w:szCs w:val="18"/>
          <w:color w:val="262628"/>
        </w:rPr>
        <w:t xml:space="preserve"> </w:t>
      </w:r>
      <w:r>
        <w:rPr>
          <w:rFonts w:ascii="Times New Roman" w:cs="Times New Roman" w:eastAsia="Times New Roman" w:hAnsi="Times New Roman"/>
          <w:sz w:val="18"/>
          <w:szCs w:val="18"/>
          <w:color w:val="111113"/>
        </w:rPr>
        <w:t>non-e</w:t>
      </w:r>
      <w:r>
        <w:rPr>
          <w:rFonts w:ascii="Times New Roman" w:cs="Times New Roman" w:eastAsia="Times New Roman" w:hAnsi="Times New Roman"/>
          <w:sz w:val="18"/>
          <w:szCs w:val="18"/>
          <w:color w:val="363638"/>
        </w:rPr>
        <w:t>ssent</w:t>
      </w:r>
      <w:r>
        <w:rPr>
          <w:rFonts w:ascii="Times New Roman" w:cs="Times New Roman" w:eastAsia="Times New Roman" w:hAnsi="Times New Roman"/>
          <w:sz w:val="18"/>
          <w:szCs w:val="18"/>
          <w:color w:val="111113"/>
        </w:rPr>
        <w:t>ial</w:t>
      </w:r>
      <w:r>
        <w:rPr>
          <w:rFonts w:ascii="Times New Roman" w:cs="Times New Roman" w:eastAsia="Times New Roman" w:hAnsi="Times New Roman"/>
          <w:sz w:val="18"/>
          <w:szCs w:val="18"/>
          <w:color w:val="262628"/>
        </w:rPr>
        <w:t xml:space="preserve"> persons from the hearing</w:t>
      </w:r>
      <w:r>
        <w:rPr>
          <w:rFonts w:ascii="Times New Roman" w:cs="Times New Roman" w:eastAsia="Times New Roman" w:hAnsi="Times New Roman"/>
          <w:sz w:val="18"/>
          <w:szCs w:val="18"/>
          <w:color w:val="606062"/>
        </w:rPr>
        <w:t>,</w:t>
      </w:r>
      <w:r>
        <w:rPr>
          <w:rFonts w:ascii="Times New Roman" w:cs="Times New Roman" w:eastAsia="Times New Roman" w:hAnsi="Times New Roman"/>
          <w:sz w:val="18"/>
          <w:szCs w:val="18"/>
          <w:color w:val="262628"/>
        </w:rPr>
        <w:t xml:space="preserve"> and by issuing orders to protect the confidentiality of proprietary information</w:t>
      </w:r>
      <w:r>
        <w:rPr>
          <w:rFonts w:ascii="Times New Roman" w:cs="Times New Roman" w:eastAsia="Times New Roman" w:hAnsi="Times New Roman"/>
          <w:sz w:val="18"/>
          <w:szCs w:val="18"/>
          <w:color w:val="525252"/>
        </w:rPr>
        <w:t>,</w:t>
      </w:r>
      <w:r>
        <w:rPr>
          <w:rFonts w:ascii="Times New Roman" w:cs="Times New Roman" w:eastAsia="Times New Roman" w:hAnsi="Times New Roman"/>
          <w:sz w:val="18"/>
          <w:szCs w:val="18"/>
          <w:color w:val="262628"/>
        </w:rPr>
        <w:t xml:space="preserve"> trade </w:t>
      </w:r>
      <w:r>
        <w:rPr>
          <w:rFonts w:ascii="Times New Roman" w:cs="Times New Roman" w:eastAsia="Times New Roman" w:hAnsi="Times New Roman"/>
          <w:sz w:val="18"/>
          <w:szCs w:val="18"/>
          <w:color w:val="363638"/>
        </w:rPr>
        <w:t>secrets</w:t>
      </w:r>
      <w:r>
        <w:rPr>
          <w:rFonts w:ascii="Times New Roman" w:cs="Times New Roman" w:eastAsia="Times New Roman" w:hAnsi="Times New Roman"/>
          <w:sz w:val="18"/>
          <w:szCs w:val="18"/>
          <w:color w:val="262628"/>
        </w:rPr>
        <w:t xml:space="preserve"> or other </w:t>
      </w:r>
      <w:r>
        <w:rPr>
          <w:rFonts w:ascii="Times New Roman" w:cs="Times New Roman" w:eastAsia="Times New Roman" w:hAnsi="Times New Roman"/>
          <w:sz w:val="18"/>
          <w:szCs w:val="18"/>
          <w:color w:val="363638"/>
        </w:rPr>
        <w:t>sensitive</w:t>
      </w:r>
      <w:r>
        <w:rPr>
          <w:rFonts w:ascii="Times New Roman" w:cs="Times New Roman" w:eastAsia="Times New Roman" w:hAnsi="Times New Roman"/>
          <w:sz w:val="18"/>
          <w:szCs w:val="18"/>
          <w:color w:val="262628"/>
        </w:rPr>
        <w:t xml:space="preserve"> information. This confidentiality provision shall not restrain or prohibit </w:t>
      </w:r>
      <w:r>
        <w:rPr>
          <w:rFonts w:ascii="Times New Roman" w:cs="Times New Roman" w:eastAsia="Times New Roman" w:hAnsi="Times New Roman"/>
          <w:sz w:val="18"/>
          <w:szCs w:val="18"/>
          <w:color w:val="363638"/>
        </w:rPr>
        <w:t>a</w:t>
      </w:r>
      <w:r>
        <w:rPr>
          <w:rFonts w:ascii="Times New Roman" w:cs="Times New Roman" w:eastAsia="Times New Roman" w:hAnsi="Times New Roman"/>
          <w:sz w:val="18"/>
          <w:szCs w:val="18"/>
          <w:color w:val="262628"/>
        </w:rPr>
        <w:t xml:space="preserve"> party from investigating</w:t>
      </w:r>
      <w:r>
        <w:rPr>
          <w:rFonts w:ascii="Times New Roman" w:cs="Times New Roman" w:eastAsia="Times New Roman" w:hAnsi="Times New Roman"/>
          <w:sz w:val="18"/>
          <w:szCs w:val="18"/>
          <w:color w:val="525252"/>
        </w:rPr>
        <w:t>,</w:t>
      </w:r>
      <w:r>
        <w:rPr>
          <w:rFonts w:ascii="Times New Roman" w:cs="Times New Roman" w:eastAsia="Times New Roman" w:hAnsi="Times New Roman"/>
          <w:sz w:val="18"/>
          <w:szCs w:val="18"/>
          <w:color w:val="262628"/>
        </w:rPr>
        <w:t xml:space="preserve"> preparing for, or presenting or defending </w:t>
      </w:r>
      <w:r>
        <w:rPr>
          <w:rFonts w:ascii="Times New Roman" w:cs="Times New Roman" w:eastAsia="Times New Roman" w:hAnsi="Times New Roman"/>
          <w:sz w:val="18"/>
          <w:szCs w:val="18"/>
          <w:color w:val="363638"/>
        </w:rPr>
        <w:t>aga</w:t>
      </w:r>
      <w:r>
        <w:rPr>
          <w:rFonts w:ascii="Times New Roman" w:cs="Times New Roman" w:eastAsia="Times New Roman" w:hAnsi="Times New Roman"/>
          <w:sz w:val="18"/>
          <w:szCs w:val="18"/>
          <w:color w:val="111113"/>
        </w:rPr>
        <w:t>inst</w:t>
      </w:r>
      <w:r>
        <w:rPr>
          <w:rFonts w:ascii="Times New Roman" w:cs="Times New Roman" w:eastAsia="Times New Roman" w:hAnsi="Times New Roman"/>
          <w:sz w:val="18"/>
          <w:szCs w:val="18"/>
          <w:color w:val="262628"/>
        </w:rPr>
        <w:t xml:space="preserve"> Covered Claims</w:t>
      </w:r>
      <w:r>
        <w:rPr>
          <w:rFonts w:ascii="Times New Roman" w:cs="Times New Roman" w:eastAsia="Times New Roman" w:hAnsi="Times New Roman"/>
          <w:sz w:val="18"/>
          <w:szCs w:val="18"/>
          <w:color w:val="525252"/>
        </w:rPr>
        <w:t>,</w:t>
      </w:r>
      <w:r>
        <w:rPr>
          <w:rFonts w:ascii="Times New Roman" w:cs="Times New Roman" w:eastAsia="Times New Roman" w:hAnsi="Times New Roman"/>
          <w:sz w:val="18"/>
          <w:szCs w:val="18"/>
          <w:color w:val="262628"/>
        </w:rPr>
        <w:t xml:space="preserve"> and does not </w:t>
      </w:r>
      <w:r>
        <w:rPr>
          <w:rFonts w:ascii="Times New Roman" w:cs="Times New Roman" w:eastAsia="Times New Roman" w:hAnsi="Times New Roman"/>
          <w:sz w:val="18"/>
          <w:szCs w:val="18"/>
          <w:color w:val="363638"/>
        </w:rPr>
        <w:t>app</w:t>
      </w:r>
      <w:r>
        <w:rPr>
          <w:rFonts w:ascii="Times New Roman" w:cs="Times New Roman" w:eastAsia="Times New Roman" w:hAnsi="Times New Roman"/>
          <w:sz w:val="18"/>
          <w:szCs w:val="18"/>
          <w:color w:val="111113"/>
        </w:rPr>
        <w:t>l</w:t>
      </w:r>
      <w:r>
        <w:rPr>
          <w:rFonts w:ascii="Times New Roman" w:cs="Times New Roman" w:eastAsia="Times New Roman" w:hAnsi="Times New Roman"/>
          <w:sz w:val="18"/>
          <w:szCs w:val="18"/>
          <w:color w:val="363638"/>
        </w:rPr>
        <w:t>y</w:t>
      </w:r>
      <w:r>
        <w:rPr>
          <w:rFonts w:ascii="Times New Roman" w:cs="Times New Roman" w:eastAsia="Times New Roman" w:hAnsi="Times New Roman"/>
          <w:sz w:val="18"/>
          <w:szCs w:val="18"/>
          <w:color w:val="262628"/>
        </w:rPr>
        <w:t xml:space="preserve"> to a </w:t>
      </w:r>
      <w:r>
        <w:rPr>
          <w:rFonts w:ascii="Times New Roman" w:cs="Times New Roman" w:eastAsia="Times New Roman" w:hAnsi="Times New Roman"/>
          <w:sz w:val="18"/>
          <w:szCs w:val="18"/>
          <w:color w:val="212123"/>
        </w:rPr>
        <w:t xml:space="preserve">judicial </w:t>
      </w:r>
      <w:r>
        <w:rPr>
          <w:rFonts w:ascii="Times New Roman" w:cs="Times New Roman" w:eastAsia="Times New Roman" w:hAnsi="Times New Roman"/>
          <w:sz w:val="18"/>
          <w:szCs w:val="18"/>
          <w:color w:val="312F33"/>
        </w:rPr>
        <w:t>challenge</w:t>
      </w:r>
      <w:r>
        <w:rPr>
          <w:rFonts w:ascii="Times New Roman" w:cs="Times New Roman" w:eastAsia="Times New Roman" w:hAnsi="Times New Roman"/>
          <w:sz w:val="18"/>
          <w:szCs w:val="18"/>
          <w:color w:val="212123"/>
        </w:rPr>
        <w:t xml:space="preserve"> to </w:t>
      </w:r>
      <w:r>
        <w:rPr>
          <w:rFonts w:ascii="Times New Roman" w:cs="Times New Roman" w:eastAsia="Times New Roman" w:hAnsi="Times New Roman"/>
          <w:sz w:val="18"/>
          <w:szCs w:val="18"/>
          <w:color w:val="312F33"/>
        </w:rPr>
        <w:t>or enforcement</w:t>
      </w:r>
      <w:r>
        <w:rPr>
          <w:rFonts w:ascii="Times New Roman" w:cs="Times New Roman" w:eastAsia="Times New Roman" w:hAnsi="Times New Roman"/>
          <w:sz w:val="18"/>
          <w:szCs w:val="18"/>
          <w:color w:val="212123"/>
        </w:rPr>
        <w:t xml:space="preserve"> of </w:t>
      </w:r>
      <w:r>
        <w:rPr>
          <w:rFonts w:ascii="Times New Roman" w:cs="Times New Roman" w:eastAsia="Times New Roman" w:hAnsi="Times New Roman"/>
          <w:sz w:val="18"/>
          <w:szCs w:val="18"/>
          <w:color w:val="312F33"/>
        </w:rPr>
        <w:t>an award, or</w:t>
      </w:r>
      <w:r>
        <w:rPr>
          <w:rFonts w:ascii="Times New Roman" w:cs="Times New Roman" w:eastAsia="Times New Roman" w:hAnsi="Times New Roman"/>
          <w:sz w:val="18"/>
          <w:szCs w:val="18"/>
          <w:color w:val="212123"/>
        </w:rPr>
        <w:t xml:space="preserve"> to disclosures </w:t>
      </w:r>
      <w:r>
        <w:rPr>
          <w:rFonts w:ascii="Times New Roman" w:cs="Times New Roman" w:eastAsia="Times New Roman" w:hAnsi="Times New Roman"/>
          <w:sz w:val="18"/>
          <w:szCs w:val="18"/>
          <w:color w:val="312F33"/>
        </w:rPr>
        <w:t>required or authorized</w:t>
      </w:r>
      <w:r>
        <w:rPr>
          <w:rFonts w:ascii="Times New Roman" w:cs="Times New Roman" w:eastAsia="Times New Roman" w:hAnsi="Times New Roman"/>
          <w:sz w:val="18"/>
          <w:szCs w:val="18"/>
          <w:color w:val="212123"/>
        </w:rPr>
        <w:t xml:space="preserve"> by law </w:t>
      </w:r>
      <w:r>
        <w:rPr>
          <w:rFonts w:ascii="Times New Roman" w:cs="Times New Roman" w:eastAsia="Times New Roman" w:hAnsi="Times New Roman"/>
          <w:sz w:val="18"/>
          <w:szCs w:val="18"/>
          <w:color w:val="312F33"/>
        </w:rPr>
        <w:t>or</w:t>
      </w:r>
      <w:r>
        <w:rPr>
          <w:rFonts w:ascii="Times New Roman" w:cs="Times New Roman" w:eastAsia="Times New Roman" w:hAnsi="Times New Roman"/>
          <w:sz w:val="18"/>
          <w:szCs w:val="18"/>
          <w:color w:val="212123"/>
        </w:rPr>
        <w:t xml:space="preserve"> judicial </w:t>
      </w:r>
      <w:r>
        <w:rPr>
          <w:rFonts w:ascii="Times New Roman" w:cs="Times New Roman" w:eastAsia="Times New Roman" w:hAnsi="Times New Roman"/>
          <w:sz w:val="18"/>
          <w:szCs w:val="18"/>
          <w:color w:val="312F33"/>
        </w:rPr>
        <w:t>decision</w:t>
      </w:r>
      <w:r>
        <w:rPr>
          <w:rFonts w:ascii="Times New Roman" w:cs="Times New Roman" w:eastAsia="Times New Roman" w:hAnsi="Times New Roman"/>
          <w:sz w:val="18"/>
          <w:szCs w:val="18"/>
          <w:color w:val="565456"/>
        </w:rPr>
        <w:t>.</w:t>
      </w:r>
    </w:p>
    <w:p>
      <w:pPr>
        <w:spacing w:after="0" w:line="160" w:lineRule="exact"/>
        <w:rPr>
          <w:rFonts w:ascii="Times New Roman" w:cs="Times New Roman" w:eastAsia="Times New Roman" w:hAnsi="Times New Roman"/>
          <w:sz w:val="18"/>
          <w:szCs w:val="18"/>
          <w:color w:val="262628"/>
        </w:rPr>
      </w:pPr>
    </w:p>
    <w:p>
      <w:pPr>
        <w:ind w:left="220" w:right="320" w:firstLine="8"/>
        <w:spacing w:after="0" w:line="282" w:lineRule="auto"/>
        <w:tabs>
          <w:tab w:leader="none" w:pos="748" w:val="left"/>
        </w:tabs>
        <w:numPr>
          <w:ilvl w:val="0"/>
          <w:numId w:val="252"/>
        </w:numPr>
        <w:rPr>
          <w:rFonts w:ascii="Times New Roman" w:cs="Times New Roman" w:eastAsia="Times New Roman" w:hAnsi="Times New Roman"/>
          <w:sz w:val="18"/>
          <w:szCs w:val="18"/>
          <w:color w:val="262628"/>
        </w:rPr>
      </w:pPr>
      <w:r>
        <w:rPr>
          <w:rFonts w:ascii="Times New Roman" w:cs="Times New Roman" w:eastAsia="Times New Roman" w:hAnsi="Times New Roman"/>
          <w:sz w:val="18"/>
          <w:szCs w:val="18"/>
          <w:u w:val="single" w:color="auto"/>
          <w:color w:val="212123"/>
        </w:rPr>
        <w:t>Right to Representation</w:t>
      </w:r>
      <w:r>
        <w:rPr>
          <w:rFonts w:ascii="Times New Roman" w:cs="Times New Roman" w:eastAsia="Times New Roman" w:hAnsi="Times New Roman"/>
          <w:sz w:val="18"/>
          <w:szCs w:val="18"/>
          <w:color w:val="212123"/>
        </w:rPr>
        <w:t xml:space="preserve">. </w:t>
      </w:r>
      <w:r>
        <w:rPr>
          <w:rFonts w:ascii="Times New Roman" w:cs="Times New Roman" w:eastAsia="Times New Roman" w:hAnsi="Times New Roman"/>
          <w:sz w:val="18"/>
          <w:szCs w:val="18"/>
          <w:color w:val="312F33"/>
        </w:rPr>
        <w:t>Each</w:t>
      </w:r>
      <w:r>
        <w:rPr>
          <w:rFonts w:ascii="Times New Roman" w:cs="Times New Roman" w:eastAsia="Times New Roman" w:hAnsi="Times New Roman"/>
          <w:sz w:val="18"/>
          <w:szCs w:val="18"/>
          <w:color w:val="212123"/>
        </w:rPr>
        <w:t xml:space="preserve"> party to </w:t>
      </w:r>
      <w:r>
        <w:rPr>
          <w:rFonts w:ascii="Times New Roman" w:cs="Times New Roman" w:eastAsia="Times New Roman" w:hAnsi="Times New Roman"/>
          <w:sz w:val="18"/>
          <w:szCs w:val="18"/>
          <w:color w:val="312F33"/>
        </w:rPr>
        <w:t>arbitration</w:t>
      </w:r>
      <w:r>
        <w:rPr>
          <w:rFonts w:ascii="Times New Roman" w:cs="Times New Roman" w:eastAsia="Times New Roman" w:hAnsi="Times New Roman"/>
          <w:sz w:val="18"/>
          <w:szCs w:val="18"/>
          <w:color w:val="212123"/>
        </w:rPr>
        <w:t xml:space="preserve"> has </w:t>
      </w:r>
      <w:r>
        <w:rPr>
          <w:rFonts w:ascii="Times New Roman" w:cs="Times New Roman" w:eastAsia="Times New Roman" w:hAnsi="Times New Roman"/>
          <w:sz w:val="18"/>
          <w:szCs w:val="18"/>
          <w:color w:val="312F33"/>
        </w:rPr>
        <w:t>a</w:t>
      </w:r>
      <w:r>
        <w:rPr>
          <w:rFonts w:ascii="Times New Roman" w:cs="Times New Roman" w:eastAsia="Times New Roman" w:hAnsi="Times New Roman"/>
          <w:sz w:val="18"/>
          <w:szCs w:val="18"/>
          <w:color w:val="212123"/>
        </w:rPr>
        <w:t xml:space="preserve"> right to </w:t>
      </w:r>
      <w:r>
        <w:rPr>
          <w:rFonts w:ascii="Times New Roman" w:cs="Times New Roman" w:eastAsia="Times New Roman" w:hAnsi="Times New Roman"/>
          <w:sz w:val="18"/>
          <w:szCs w:val="18"/>
          <w:color w:val="312F33"/>
        </w:rPr>
        <w:t>be represented</w:t>
      </w:r>
      <w:r>
        <w:rPr>
          <w:rFonts w:ascii="Times New Roman" w:cs="Times New Roman" w:eastAsia="Times New Roman" w:hAnsi="Times New Roman"/>
          <w:sz w:val="18"/>
          <w:szCs w:val="18"/>
          <w:color w:val="212123"/>
        </w:rPr>
        <w:t xml:space="preserve"> by </w:t>
      </w:r>
      <w:r>
        <w:rPr>
          <w:rFonts w:ascii="Times New Roman" w:cs="Times New Roman" w:eastAsia="Times New Roman" w:hAnsi="Times New Roman"/>
          <w:sz w:val="18"/>
          <w:szCs w:val="18"/>
          <w:color w:val="312F33"/>
        </w:rPr>
        <w:t>an attorney</w:t>
      </w:r>
      <w:r>
        <w:rPr>
          <w:rFonts w:ascii="Times New Roman" w:cs="Times New Roman" w:eastAsia="Times New Roman" w:hAnsi="Times New Roman"/>
          <w:sz w:val="18"/>
          <w:szCs w:val="18"/>
          <w:color w:val="212123"/>
        </w:rPr>
        <w:t xml:space="preserve"> in </w:t>
      </w:r>
      <w:r>
        <w:rPr>
          <w:rFonts w:ascii="Times New Roman" w:cs="Times New Roman" w:eastAsia="Times New Roman" w:hAnsi="Times New Roman"/>
          <w:sz w:val="18"/>
          <w:szCs w:val="18"/>
          <w:color w:val="312F33"/>
        </w:rPr>
        <w:t>arbitration.</w:t>
      </w:r>
      <w:r>
        <w:rPr>
          <w:rFonts w:ascii="Times New Roman" w:cs="Times New Roman" w:eastAsia="Times New Roman" w:hAnsi="Times New Roman"/>
          <w:sz w:val="18"/>
          <w:szCs w:val="18"/>
          <w:color w:val="212123"/>
        </w:rPr>
        <w:t xml:space="preserve"> Neither </w:t>
      </w:r>
      <w:r>
        <w:rPr>
          <w:rFonts w:ascii="Times New Roman" w:cs="Times New Roman" w:eastAsia="Times New Roman" w:hAnsi="Times New Roman"/>
          <w:sz w:val="18"/>
          <w:szCs w:val="18"/>
          <w:color w:val="312F33"/>
        </w:rPr>
        <w:t>side</w:t>
      </w:r>
      <w:r>
        <w:rPr>
          <w:rFonts w:ascii="Times New Roman" w:cs="Times New Roman" w:eastAsia="Times New Roman" w:hAnsi="Times New Roman"/>
          <w:sz w:val="18"/>
          <w:szCs w:val="18"/>
          <w:color w:val="212123"/>
        </w:rPr>
        <w:t xml:space="preserve"> is </w:t>
      </w:r>
      <w:r>
        <w:rPr>
          <w:rFonts w:ascii="Times New Roman" w:cs="Times New Roman" w:eastAsia="Times New Roman" w:hAnsi="Times New Roman"/>
          <w:sz w:val="18"/>
          <w:szCs w:val="18"/>
          <w:color w:val="312F33"/>
        </w:rPr>
        <w:t>entitled</w:t>
      </w:r>
      <w:r>
        <w:rPr>
          <w:rFonts w:ascii="Times New Roman" w:cs="Times New Roman" w:eastAsia="Times New Roman" w:hAnsi="Times New Roman"/>
          <w:sz w:val="18"/>
          <w:szCs w:val="18"/>
          <w:color w:val="212123"/>
        </w:rPr>
        <w:t xml:space="preserve"> to its </w:t>
      </w:r>
      <w:r>
        <w:rPr>
          <w:rFonts w:ascii="Times New Roman" w:cs="Times New Roman" w:eastAsia="Times New Roman" w:hAnsi="Times New Roman"/>
          <w:sz w:val="18"/>
          <w:szCs w:val="18"/>
          <w:color w:val="312F33"/>
        </w:rPr>
        <w:t>attorneys</w:t>
      </w:r>
      <w:r>
        <w:rPr>
          <w:rFonts w:ascii="Times New Roman" w:cs="Times New Roman" w:eastAsia="Times New Roman" w:hAnsi="Times New Roman"/>
          <w:sz w:val="18"/>
          <w:szCs w:val="18"/>
          <w:color w:val="565456"/>
        </w:rPr>
        <w:t>'</w:t>
      </w:r>
      <w:r>
        <w:rPr>
          <w:rFonts w:ascii="Times New Roman" w:cs="Times New Roman" w:eastAsia="Times New Roman" w:hAnsi="Times New Roman"/>
          <w:sz w:val="18"/>
          <w:szCs w:val="18"/>
          <w:color w:val="312F33"/>
        </w:rPr>
        <w:t xml:space="preserve"> fees</w:t>
      </w:r>
      <w:r>
        <w:rPr>
          <w:rFonts w:ascii="Times New Roman" w:cs="Times New Roman" w:eastAsia="Times New Roman" w:hAnsi="Times New Roman"/>
          <w:sz w:val="18"/>
          <w:szCs w:val="18"/>
          <w:color w:val="565456"/>
        </w:rPr>
        <w:t>,</w:t>
      </w:r>
      <w:r>
        <w:rPr>
          <w:rFonts w:ascii="Times New Roman" w:cs="Times New Roman" w:eastAsia="Times New Roman" w:hAnsi="Times New Roman"/>
          <w:sz w:val="18"/>
          <w:szCs w:val="18"/>
          <w:color w:val="312F33"/>
        </w:rPr>
        <w:t xml:space="preserve"> except as </w:t>
      </w:r>
      <w:r>
        <w:rPr>
          <w:rFonts w:ascii="Times New Roman" w:cs="Times New Roman" w:eastAsia="Times New Roman" w:hAnsi="Times New Roman"/>
          <w:sz w:val="18"/>
          <w:szCs w:val="18"/>
          <w:color w:val="212123"/>
        </w:rPr>
        <w:t>may be</w:t>
      </w:r>
      <w:r>
        <w:rPr>
          <w:rFonts w:ascii="Times New Roman" w:cs="Times New Roman" w:eastAsia="Times New Roman" w:hAnsi="Times New Roman"/>
          <w:sz w:val="18"/>
          <w:szCs w:val="18"/>
          <w:color w:val="312F33"/>
        </w:rPr>
        <w:t xml:space="preserve"> awarded </w:t>
      </w:r>
      <w:r>
        <w:rPr>
          <w:rFonts w:ascii="Times New Roman" w:cs="Times New Roman" w:eastAsia="Times New Roman" w:hAnsi="Times New Roman"/>
          <w:sz w:val="18"/>
          <w:szCs w:val="18"/>
          <w:color w:val="212123"/>
        </w:rPr>
        <w:t>in</w:t>
      </w:r>
      <w:r>
        <w:rPr>
          <w:rFonts w:ascii="Times New Roman" w:cs="Times New Roman" w:eastAsia="Times New Roman" w:hAnsi="Times New Roman"/>
          <w:sz w:val="18"/>
          <w:szCs w:val="18"/>
          <w:color w:val="312F33"/>
        </w:rPr>
        <w:t xml:space="preserve"> a </w:t>
      </w:r>
      <w:r>
        <w:rPr>
          <w:rFonts w:ascii="Times New Roman" w:cs="Times New Roman" w:eastAsia="Times New Roman" w:hAnsi="Times New Roman"/>
          <w:sz w:val="18"/>
          <w:szCs w:val="18"/>
          <w:color w:val="212123"/>
        </w:rPr>
        <w:t>matter</w:t>
      </w:r>
      <w:r>
        <w:rPr>
          <w:rFonts w:ascii="Times New Roman" w:cs="Times New Roman" w:eastAsia="Times New Roman" w:hAnsi="Times New Roman"/>
          <w:sz w:val="18"/>
          <w:szCs w:val="18"/>
          <w:color w:val="312F33"/>
        </w:rPr>
        <w:t xml:space="preserve"> authorized </w:t>
      </w:r>
      <w:r>
        <w:rPr>
          <w:rFonts w:ascii="Times New Roman" w:cs="Times New Roman" w:eastAsia="Times New Roman" w:hAnsi="Times New Roman"/>
          <w:sz w:val="18"/>
          <w:szCs w:val="18"/>
          <w:color w:val="212123"/>
        </w:rPr>
        <w:t>by</w:t>
      </w:r>
      <w:r>
        <w:rPr>
          <w:rFonts w:ascii="Times New Roman" w:cs="Times New Roman" w:eastAsia="Times New Roman" w:hAnsi="Times New Roman"/>
          <w:sz w:val="18"/>
          <w:szCs w:val="18"/>
          <w:color w:val="312F33"/>
        </w:rPr>
        <w:t xml:space="preserve"> and consistent with this Agreement and applicable </w:t>
      </w:r>
      <w:r>
        <w:rPr>
          <w:rFonts w:ascii="Times New Roman" w:cs="Times New Roman" w:eastAsia="Times New Roman" w:hAnsi="Times New Roman"/>
          <w:sz w:val="18"/>
          <w:szCs w:val="18"/>
          <w:color w:val="212123"/>
        </w:rPr>
        <w:t>law.</w:t>
      </w:r>
    </w:p>
    <w:p>
      <w:pPr>
        <w:spacing w:after="0" w:line="121" w:lineRule="exact"/>
        <w:rPr>
          <w:rFonts w:ascii="Times New Roman" w:cs="Times New Roman" w:eastAsia="Times New Roman" w:hAnsi="Times New Roman"/>
          <w:sz w:val="18"/>
          <w:szCs w:val="18"/>
          <w:color w:val="262628"/>
        </w:rPr>
      </w:pPr>
    </w:p>
    <w:p>
      <w:pPr>
        <w:ind w:left="520" w:hanging="292"/>
        <w:spacing w:after="0"/>
        <w:tabs>
          <w:tab w:leader="none" w:pos="520" w:val="left"/>
        </w:tabs>
        <w:numPr>
          <w:ilvl w:val="0"/>
          <w:numId w:val="252"/>
        </w:numPr>
        <w:rPr>
          <w:rFonts w:ascii="Times New Roman" w:cs="Times New Roman" w:eastAsia="Times New Roman" w:hAnsi="Times New Roman"/>
          <w:sz w:val="18"/>
          <w:szCs w:val="18"/>
          <w:color w:val="262628"/>
        </w:rPr>
      </w:pP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xml:space="preserve"> The parties may settle any dispute on a mutual basis without involvement of the Arbitrator.</w:t>
      </w:r>
    </w:p>
    <w:p>
      <w:pPr>
        <w:spacing w:after="0" w:line="184" w:lineRule="exact"/>
        <w:rPr>
          <w:rFonts w:ascii="Times New Roman" w:cs="Times New Roman" w:eastAsia="Times New Roman" w:hAnsi="Times New Roman"/>
          <w:sz w:val="18"/>
          <w:szCs w:val="18"/>
          <w:color w:val="262628"/>
        </w:rPr>
      </w:pPr>
    </w:p>
    <w:p>
      <w:pPr>
        <w:ind w:left="520" w:hanging="263"/>
        <w:spacing w:after="0"/>
        <w:tabs>
          <w:tab w:leader="none" w:pos="520"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Employer and you may enter into a revised agreement in writing with immediate effect if signed by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62628"/>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76200</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00" w:top="513" w:right="359" w:bottom="1440" w:gutter="0" w:footer="0" w:header="0"/>
        </w:sectPr>
      </w:pPr>
    </w:p>
    <w:bookmarkStart w:id="185" w:name="page186"/>
    <w:bookmarkEnd w:id="185"/>
    <w:p>
      <w:pPr>
        <w:jc w:val="both"/>
        <w:ind w:left="260"/>
        <w:spacing w:after="0" w:line="266" w:lineRule="auto"/>
        <w:rPr>
          <w:sz w:val="20"/>
          <w:szCs w:val="20"/>
          <w:color w:val="auto"/>
        </w:rPr>
      </w:pPr>
      <w:r>
        <w:rPr>
          <w:rFonts w:ascii="Times New Roman" w:cs="Times New Roman" w:eastAsia="Times New Roman" w:hAnsi="Times New Roman"/>
          <w:sz w:val="18"/>
          <w:szCs w:val="18"/>
          <w:color w:val="auto"/>
        </w:rPr>
        <w:t>both parties. In addition, you understand and agree that the Employer may change or terminate this agreement after giving you 60 days' written or electronic notice, but such change or termination shall not apply to a pending claim nor to any claim that accrued or was known to you prior the amendment, except as may be required by applicable law.</w:t>
      </w:r>
    </w:p>
    <w:p>
      <w:pPr>
        <w:spacing w:after="0" w:line="149" w:lineRule="exact"/>
        <w:rPr>
          <w:sz w:val="20"/>
          <w:szCs w:val="20"/>
          <w:color w:val="auto"/>
        </w:rPr>
      </w:pPr>
    </w:p>
    <w:p>
      <w:pPr>
        <w:ind w:left="260" w:right="140" w:hanging="3"/>
        <w:spacing w:after="0" w:line="258" w:lineRule="auto"/>
        <w:tabs>
          <w:tab w:leader="none" w:pos="53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Savings Clause &amp; Conformity Clause.</w:t>
      </w:r>
      <w:r>
        <w:rPr>
          <w:rFonts w:ascii="Times New Roman" w:cs="Times New Roman" w:eastAsia="Times New Roman" w:hAnsi="Times New Roman"/>
          <w:sz w:val="18"/>
          <w:szCs w:val="18"/>
          <w:color w:val="auto"/>
        </w:rPr>
        <w:t xml:space="preserve"> If any provision of this Agreement is determined to be unenforceable or in conflict with a mandatory provision of applicable law, it shall be construed to incorporate any mandatory provision, or the unenforceable or conflicting provision shall be automatically severed and the remainder of the Agreement shall not be affected. Provided, however, that if the Waiver of Class and Collective Claims is found to be unenforceable, then any claim brought on a class, collective, or representative action basis must be filed in a court of competent jurisdiction, and such court shall be the exclusive forum for such claims.</w:t>
      </w:r>
    </w:p>
    <w:p>
      <w:pPr>
        <w:spacing w:after="0" w:line="142" w:lineRule="exact"/>
        <w:rPr>
          <w:rFonts w:ascii="Times New Roman" w:cs="Times New Roman" w:eastAsia="Times New Roman" w:hAnsi="Times New Roman"/>
          <w:sz w:val="18"/>
          <w:szCs w:val="18"/>
          <w:color w:val="auto"/>
        </w:rPr>
      </w:pPr>
    </w:p>
    <w:p>
      <w:pPr>
        <w:ind w:left="260" w:right="20" w:hanging="3"/>
        <w:spacing w:after="0" w:line="282" w:lineRule="auto"/>
        <w:tabs>
          <w:tab w:leader="none" w:pos="53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Controlling Law.</w:t>
      </w:r>
      <w:r>
        <w:rPr>
          <w:rFonts w:ascii="Times New Roman" w:cs="Times New Roman" w:eastAsia="Times New Roman" w:hAnsi="Times New Roman"/>
          <w:sz w:val="18"/>
          <w:szCs w:val="18"/>
          <w:color w:val="auto"/>
        </w:rPr>
        <w:t xml:space="preserve"> You agree that this agreement is made pursuant to and shall be governed under the Federal Arbitration Act. In the event a court of competent jurisdiction rules that the Federal Arbitration Act is inapplicable to this Agreement, the Illinois Uniform Arbitration Act shall control.</w:t>
      </w:r>
    </w:p>
    <w:p>
      <w:pPr>
        <w:spacing w:after="0" w:line="117" w:lineRule="exact"/>
        <w:rPr>
          <w:sz w:val="20"/>
          <w:szCs w:val="20"/>
          <w:color w:val="auto"/>
        </w:rPr>
      </w:pPr>
    </w:p>
    <w:tbl>
      <w:tblPr>
        <w:tblLayout w:type="fixed"/>
        <w:tblInd w:w="240" w:type="dxa"/>
        <w:tblCellMar>
          <w:top w:w="0" w:type="dxa"/>
          <w:left w:w="0" w:type="dxa"/>
          <w:bottom w:w="0" w:type="dxa"/>
          <w:right w:w="0" w:type="dxa"/>
        </w:tblCellMar>
      </w:tblPr>
      <w:tr>
        <w:trPr>
          <w:trHeight w:val="238"/>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312F33"/>
              </w:rPr>
              <w:t>Executive</w:t>
            </w:r>
          </w:p>
        </w:tc>
        <w:tc>
          <w:tcPr>
            <w:tcW w:w="38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312F33"/>
              </w:rPr>
              <w:t>Employer</w:t>
            </w:r>
          </w:p>
        </w:tc>
      </w:tr>
      <w:tr>
        <w:trPr>
          <w:trHeight w:val="743"/>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312F33"/>
              </w:rPr>
              <w:t>Signed:  ___________________________</w:t>
            </w:r>
          </w:p>
        </w:tc>
        <w:tc>
          <w:tcPr>
            <w:tcW w:w="3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312F33"/>
              </w:rPr>
              <w:t>Signed: __________________________________</w:t>
            </w:r>
          </w:p>
        </w:tc>
      </w:tr>
      <w:tr>
        <w:trPr>
          <w:trHeight w:val="20"/>
        </w:trPr>
        <w:tc>
          <w:tcPr>
            <w:tcW w:w="540" w:type="dxa"/>
            <w:vAlign w:val="bottom"/>
          </w:tcPr>
          <w:p>
            <w:pPr>
              <w:spacing w:after="0" w:line="20" w:lineRule="exact"/>
              <w:rPr>
                <w:sz w:val="1"/>
                <w:szCs w:val="1"/>
                <w:color w:val="auto"/>
              </w:rPr>
            </w:pPr>
          </w:p>
        </w:tc>
        <w:tc>
          <w:tcPr>
            <w:tcW w:w="2600" w:type="dxa"/>
            <w:vAlign w:val="bottom"/>
            <w:shd w:val="clear" w:color="auto" w:fill="312F3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100" w:type="dxa"/>
            <w:vAlign w:val="bottom"/>
            <w:shd w:val="clear" w:color="auto" w:fill="312F33"/>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40"/>
        <w:spacing w:after="0"/>
        <w:tabs>
          <w:tab w:leader="none" w:pos="880" w:val="left"/>
          <w:tab w:leader="none" w:pos="3500" w:val="left"/>
          <w:tab w:leader="none" w:pos="4180" w:val="left"/>
        </w:tabs>
        <w:rPr>
          <w:sz w:val="20"/>
          <w:szCs w:val="20"/>
          <w:color w:val="auto"/>
        </w:rPr>
      </w:pPr>
      <w:r>
        <w:rPr>
          <w:rFonts w:ascii="Times New Roman" w:cs="Times New Roman" w:eastAsia="Times New Roman" w:hAnsi="Times New Roman"/>
          <w:sz w:val="18"/>
          <w:szCs w:val="18"/>
          <w:color w:val="212123"/>
        </w:rPr>
        <w:t>Name:</w:t>
        <w:tab/>
        <w:t>___________________________</w:t>
        <w:tab/>
        <w:t>Date:</w:t>
      </w:r>
      <w:r>
        <w:rPr>
          <w:sz w:val="20"/>
          <w:szCs w:val="20"/>
          <w:color w:val="auto"/>
        </w:rPr>
        <w:tab/>
      </w:r>
      <w:r>
        <w:rPr>
          <w:rFonts w:ascii="Times New Roman" w:cs="Times New Roman" w:eastAsia="Times New Roman" w:hAnsi="Times New Roman"/>
          <w:sz w:val="18"/>
          <w:szCs w:val="18"/>
          <w:color w:val="212123"/>
        </w:rPr>
        <w:t>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-7620</wp:posOffset>
            </wp:positionV>
            <wp:extent cx="9525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5">
                      <a:extLst>
                        <a:ext uri="{28A0092B-C50C-407E-A947-70E740481C1C}"/>
                      </a:extLst>
                    </a:blip>
                    <a:srcRect/>
                    <a:stretch>
                      <a:fillRect/>
                    </a:stretch>
                  </pic:blipFill>
                  <pic:spPr bwMode="auto">
                    <a:xfrm>
                      <a:off x="0" y="0"/>
                      <a:ext cx="95250" cy="8890"/>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-7620</wp:posOffset>
            </wp:positionV>
            <wp:extent cx="1143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6">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62628"/>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76200</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513" w:right="339" w:bottom="1440" w:gutter="0" w:footer="0" w:header="0"/>
        </w:sectPr>
      </w:pPr>
    </w:p>
    <w:bookmarkStart w:id="186" w:name="page187"/>
    <w:bookmarkEnd w:id="186"/>
    <w:p>
      <w:pPr>
        <w:jc w:val="both"/>
        <w:ind w:left="140" w:hanging="1"/>
        <w:spacing w:after="0" w:line="268" w:lineRule="auto"/>
        <w:rPr>
          <w:sz w:val="20"/>
          <w:szCs w:val="20"/>
          <w:color w:val="auto"/>
        </w:rPr>
      </w:pPr>
      <w:r>
        <w:rPr>
          <w:rFonts w:ascii="Times New Roman" w:cs="Times New Roman" w:eastAsia="Times New Roman" w:hAnsi="Times New Roman"/>
          <w:sz w:val="18"/>
          <w:szCs w:val="18"/>
          <w:b w:val="1"/>
          <w:bCs w:val="1"/>
          <w:color w:val="28282A"/>
        </w:rPr>
        <w:t xml:space="preserve">CAUTION </w:t>
      </w:r>
      <w:r>
        <w:rPr>
          <w:rFonts w:ascii="Times New Roman" w:cs="Times New Roman" w:eastAsia="Times New Roman" w:hAnsi="Times New Roman"/>
          <w:sz w:val="18"/>
          <w:szCs w:val="18"/>
          <w:color w:val="28282A"/>
        </w:rPr>
        <w:t>-</w:t>
      </w:r>
      <w:r>
        <w:rPr>
          <w:rFonts w:ascii="Times New Roman" w:cs="Times New Roman" w:eastAsia="Times New Roman" w:hAnsi="Times New Roman"/>
          <w:sz w:val="18"/>
          <w:szCs w:val="18"/>
          <w:b w:val="1"/>
          <w:bCs w:val="1"/>
          <w:color w:val="28282A"/>
        </w:rPr>
        <w:t xml:space="preserve"> READ BEFORE SIGNING; THIS IS A BINDING LEGAL DOCUMENT. BY SIGNING BELOW, YOU AGREE THAT YOU HAVE VOLUNTARILY AND KNOWINGLY ENTERED INTO THIS AGREEMENT, AGREEING TO BE BOUND BY ALL OF ITS TERMS AND CONDITIONS.</w:t>
      </w:r>
    </w:p>
    <w:p>
      <w:pPr>
        <w:spacing w:after="0" w:line="1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28282A"/>
        </w:rPr>
        <w:t>EMPLOYER</w:t>
      </w:r>
    </w:p>
    <w:p>
      <w:pPr>
        <w:spacing w:after="0" w:line="175"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3620" w:type="dxa"/>
            <w:vAlign w:val="bottom"/>
            <w:gridSpan w:val="9"/>
          </w:tcPr>
          <w:p>
            <w:pPr>
              <w:spacing w:after="0"/>
              <w:rPr>
                <w:sz w:val="20"/>
                <w:szCs w:val="20"/>
                <w:color w:val="auto"/>
              </w:rPr>
            </w:pPr>
            <w:r>
              <w:rPr>
                <w:rFonts w:ascii="Times New Roman" w:cs="Times New Roman" w:eastAsia="Times New Roman" w:hAnsi="Times New Roman"/>
                <w:sz w:val="18"/>
                <w:szCs w:val="18"/>
                <w:color w:val="28282A"/>
              </w:rPr>
              <w:t>By:  ___________________________________</w:t>
            </w:r>
          </w:p>
        </w:tc>
        <w:tc>
          <w:tcPr>
            <w:tcW w:w="680" w:type="dxa"/>
            <w:vAlign w:val="bottom"/>
          </w:tcPr>
          <w:p>
            <w:pPr>
              <w:spacing w:after="0"/>
              <w:rPr>
                <w:sz w:val="17"/>
                <w:szCs w:val="17"/>
                <w:color w:val="auto"/>
              </w:rPr>
            </w:pPr>
          </w:p>
        </w:tc>
      </w:tr>
      <w:tr>
        <w:trPr>
          <w:trHeight w:val="20"/>
        </w:trPr>
        <w:tc>
          <w:tcPr>
            <w:tcW w:w="260" w:type="dxa"/>
            <w:vAlign w:val="bottom"/>
          </w:tcPr>
          <w:p>
            <w:pPr>
              <w:spacing w:after="0" w:line="20" w:lineRule="exact"/>
              <w:rPr>
                <w:sz w:val="1"/>
                <w:szCs w:val="1"/>
                <w:color w:val="auto"/>
              </w:rPr>
            </w:pPr>
          </w:p>
        </w:tc>
        <w:tc>
          <w:tcPr>
            <w:tcW w:w="100" w:type="dxa"/>
            <w:vAlign w:val="bottom"/>
            <w:shd w:val="clear" w:color="auto" w:fill="28282A"/>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763"/>
        </w:trPr>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28282A"/>
              </w:rPr>
              <w:t>Name:</w:t>
            </w:r>
          </w:p>
        </w:tc>
        <w:tc>
          <w:tcPr>
            <w:tcW w:w="2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28282A"/>
              </w:rPr>
              <w:t>_______________________</w:t>
            </w:r>
          </w:p>
        </w:tc>
        <w:tc>
          <w:tcPr>
            <w:tcW w:w="260" w:type="dxa"/>
            <w:vAlign w:val="bottom"/>
            <w:tcBorders>
              <w:bottom w:val="single" w:sz="8" w:color="28282A"/>
            </w:tcBorders>
          </w:tcPr>
          <w:p>
            <w:pPr>
              <w:spacing w:after="0"/>
              <w:rPr>
                <w:sz w:val="24"/>
                <w:szCs w:val="24"/>
                <w:color w:val="auto"/>
              </w:rPr>
            </w:pPr>
          </w:p>
        </w:tc>
        <w:tc>
          <w:tcPr>
            <w:tcW w:w="120" w:type="dxa"/>
            <w:vAlign w:val="bottom"/>
            <w:tcBorders>
              <w:bottom w:val="single" w:sz="8" w:color="28282A"/>
            </w:tcBorders>
          </w:tcPr>
          <w:p>
            <w:pPr>
              <w:spacing w:after="0"/>
              <w:rPr>
                <w:sz w:val="24"/>
                <w:szCs w:val="24"/>
                <w:color w:val="auto"/>
              </w:rPr>
            </w:pPr>
          </w:p>
        </w:tc>
        <w:tc>
          <w:tcPr>
            <w:tcW w:w="120" w:type="dxa"/>
            <w:vAlign w:val="bottom"/>
            <w:tcBorders>
              <w:bottom w:val="single" w:sz="8" w:color="28282A"/>
            </w:tcBorders>
          </w:tcPr>
          <w:p>
            <w:pPr>
              <w:spacing w:after="0"/>
              <w:rPr>
                <w:sz w:val="24"/>
                <w:szCs w:val="24"/>
                <w:color w:val="auto"/>
              </w:rPr>
            </w:pPr>
          </w:p>
        </w:tc>
        <w:tc>
          <w:tcPr>
            <w:tcW w:w="680" w:type="dxa"/>
            <w:vAlign w:val="bottom"/>
            <w:tcBorders>
              <w:bottom w:val="single" w:sz="8" w:color="28282A"/>
            </w:tcBorders>
          </w:tcPr>
          <w:p>
            <w:pPr>
              <w:spacing w:after="0"/>
              <w:rPr>
                <w:sz w:val="24"/>
                <w:szCs w:val="24"/>
                <w:color w:val="auto"/>
              </w:rPr>
            </w:pPr>
          </w:p>
        </w:tc>
      </w:tr>
      <w:tr>
        <w:trPr>
          <w:trHeight w:val="196"/>
        </w:trPr>
        <w:tc>
          <w:tcPr>
            <w:tcW w:w="36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28282A"/>
              </w:rPr>
              <w:t>Title:_________________________</w:t>
            </w:r>
          </w:p>
        </w:tc>
        <w:tc>
          <w:tcPr>
            <w:tcW w:w="68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28282A"/>
                <w:w w:val="92"/>
              </w:rPr>
              <w:t>Date:</w:t>
            </w:r>
          </w:p>
        </w:tc>
      </w:tr>
      <w:tr>
        <w:trPr>
          <w:trHeight w:val="237"/>
        </w:trPr>
        <w:tc>
          <w:tcPr>
            <w:tcW w:w="2620" w:type="dxa"/>
            <w:vAlign w:val="bottom"/>
            <w:gridSpan w:val="5"/>
          </w:tcPr>
          <w:p>
            <w:pPr>
              <w:spacing w:after="0"/>
              <w:rPr>
                <w:sz w:val="20"/>
                <w:szCs w:val="20"/>
                <w:color w:val="auto"/>
              </w:rPr>
            </w:pPr>
            <w:r>
              <w:rPr>
                <w:rFonts w:ascii="Times New Roman" w:cs="Times New Roman" w:eastAsia="Times New Roman" w:hAnsi="Times New Roman"/>
                <w:sz w:val="18"/>
                <w:szCs w:val="18"/>
                <w:color w:val="28282A"/>
              </w:rPr>
              <w:t>________________________</w:t>
            </w:r>
          </w:p>
        </w:tc>
        <w:tc>
          <w:tcPr>
            <w:tcW w:w="500" w:type="dxa"/>
            <w:vAlign w:val="bottom"/>
            <w:tcBorders>
              <w:top w:val="single" w:sz="8" w:color="28282A"/>
            </w:tcBorders>
          </w:tcPr>
          <w:p>
            <w:pPr>
              <w:spacing w:after="0"/>
              <w:rPr>
                <w:sz w:val="20"/>
                <w:szCs w:val="20"/>
                <w:color w:val="auto"/>
              </w:rPr>
            </w:pPr>
          </w:p>
        </w:tc>
        <w:tc>
          <w:tcPr>
            <w:tcW w:w="260" w:type="dxa"/>
            <w:vAlign w:val="bottom"/>
            <w:tcBorders>
              <w:top w:val="single" w:sz="8" w:color="28282A"/>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770"/>
        </w:trPr>
        <w:tc>
          <w:tcPr>
            <w:tcW w:w="36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28282A"/>
              </w:rPr>
              <w:t>EXECUTIVE</w:t>
            </w:r>
          </w:p>
        </w:tc>
        <w:tc>
          <w:tcPr>
            <w:tcW w:w="680" w:type="dxa"/>
            <w:vAlign w:val="bottom"/>
          </w:tcPr>
          <w:p>
            <w:pPr>
              <w:spacing w:after="0"/>
              <w:rPr>
                <w:sz w:val="24"/>
                <w:szCs w:val="24"/>
                <w:color w:val="auto"/>
              </w:rPr>
            </w:pPr>
          </w:p>
        </w:tc>
      </w:tr>
      <w:tr>
        <w:trPr>
          <w:trHeight w:val="405"/>
        </w:trPr>
        <w:tc>
          <w:tcPr>
            <w:tcW w:w="3620" w:type="dxa"/>
            <w:vAlign w:val="bottom"/>
            <w:gridSpan w:val="9"/>
          </w:tcPr>
          <w:p>
            <w:pPr>
              <w:ind w:left="40"/>
              <w:spacing w:after="0"/>
              <w:rPr>
                <w:sz w:val="20"/>
                <w:szCs w:val="20"/>
                <w:color w:val="auto"/>
              </w:rPr>
            </w:pPr>
            <w:r>
              <w:rPr>
                <w:rFonts w:ascii="Times New Roman" w:cs="Times New Roman" w:eastAsia="Times New Roman" w:hAnsi="Times New Roman"/>
                <w:sz w:val="18"/>
                <w:szCs w:val="18"/>
                <w:color w:val="28282A"/>
              </w:rPr>
              <w:t>By: _________________________</w:t>
            </w:r>
          </w:p>
        </w:tc>
        <w:tc>
          <w:tcPr>
            <w:tcW w:w="680" w:type="dxa"/>
            <w:vAlign w:val="bottom"/>
          </w:tcPr>
          <w:p>
            <w:pPr>
              <w:spacing w:after="0"/>
              <w:rPr>
                <w:sz w:val="24"/>
                <w:szCs w:val="24"/>
                <w:color w:val="auto"/>
              </w:rPr>
            </w:pPr>
          </w:p>
        </w:tc>
      </w:tr>
      <w:tr>
        <w:trPr>
          <w:trHeight w:val="351"/>
        </w:trPr>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28282A"/>
              </w:rPr>
              <w:t>Name: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28282A"/>
              </w:rPr>
              <w:t>______________</w:t>
            </w:r>
          </w:p>
        </w:tc>
        <w:tc>
          <w:tcPr>
            <w:tcW w:w="520" w:type="dxa"/>
            <w:vAlign w:val="bottom"/>
            <w:tcBorders>
              <w:bottom w:val="single" w:sz="8" w:color="28282A"/>
            </w:tcBorders>
          </w:tcPr>
          <w:p>
            <w:pPr>
              <w:spacing w:after="0"/>
              <w:rPr>
                <w:sz w:val="24"/>
                <w:szCs w:val="24"/>
                <w:color w:val="auto"/>
              </w:rPr>
            </w:pPr>
          </w:p>
        </w:tc>
        <w:tc>
          <w:tcPr>
            <w:tcW w:w="500" w:type="dxa"/>
            <w:vAlign w:val="bottom"/>
            <w:tcBorders>
              <w:bottom w:val="single" w:sz="8" w:color="28282A"/>
            </w:tcBorders>
          </w:tcPr>
          <w:p>
            <w:pPr>
              <w:spacing w:after="0"/>
              <w:rPr>
                <w:sz w:val="24"/>
                <w:szCs w:val="24"/>
                <w:color w:val="auto"/>
              </w:rPr>
            </w:pPr>
          </w:p>
        </w:tc>
        <w:tc>
          <w:tcPr>
            <w:tcW w:w="260" w:type="dxa"/>
            <w:vAlign w:val="bottom"/>
            <w:tcBorders>
              <w:bottom w:val="single" w:sz="8" w:color="28282A"/>
            </w:tcBorders>
          </w:tcPr>
          <w:p>
            <w:pPr>
              <w:spacing w:after="0"/>
              <w:rPr>
                <w:sz w:val="24"/>
                <w:szCs w:val="24"/>
                <w:color w:val="auto"/>
              </w:rPr>
            </w:pPr>
          </w:p>
        </w:tc>
        <w:tc>
          <w:tcPr>
            <w:tcW w:w="120" w:type="dxa"/>
            <w:vAlign w:val="bottom"/>
            <w:tcBorders>
              <w:bottom w:val="single" w:sz="8" w:color="28282A"/>
            </w:tcBorders>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28282A"/>
              </w:rPr>
              <w:t>Date:</w:t>
            </w:r>
          </w:p>
        </w:tc>
      </w:tr>
    </w:tbl>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28282A"/>
        </w:rPr>
        <w:t>_____________________</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62628"/>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76200</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00" w:top="509" w:right="47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8"/>
          <w:szCs w:val="18"/>
          <w:color w:val="auto"/>
        </w:rPr>
        <w:t>Exhibit 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17145</wp:posOffset>
            </wp:positionV>
            <wp:extent cx="1868805" cy="3600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9">
                      <a:extLst>
                        <a:ext uri="{28A0092B-C50C-407E-A947-70E740481C1C}"/>
                      </a:extLst>
                    </a:blip>
                    <a:srcRect/>
                    <a:stretch>
                      <a:fillRect/>
                    </a:stretch>
                  </pic:blipFill>
                  <pic:spPr bwMode="auto">
                    <a:xfrm>
                      <a:off x="0" y="0"/>
                      <a:ext cx="186880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May 13, 2021</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Mr. William Gruver, Audit Committee Chair Mr.</w:t>
      </w:r>
    </w:p>
    <w:p>
      <w:pPr>
        <w:spacing w:after="0" w:line="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Anthony Georgiadis, Chief Financial Officer</w:t>
      </w:r>
    </w:p>
    <w:p>
      <w:pPr>
        <w:ind w:left="980"/>
        <w:spacing w:after="0"/>
        <w:rPr>
          <w:sz w:val="20"/>
          <w:szCs w:val="20"/>
          <w:color w:val="auto"/>
        </w:rPr>
      </w:pPr>
      <w:r>
        <w:rPr>
          <w:rFonts w:ascii="Times New Roman" w:cs="Times New Roman" w:eastAsia="Times New Roman" w:hAnsi="Times New Roman"/>
          <w:sz w:val="20"/>
          <w:szCs w:val="20"/>
          <w:color w:val="auto"/>
        </w:rPr>
        <w:t>Green Thumb Industries, Inc.</w:t>
      </w:r>
    </w:p>
    <w:p>
      <w:pPr>
        <w:ind w:left="980"/>
        <w:spacing w:after="0"/>
        <w:rPr>
          <w:sz w:val="20"/>
          <w:szCs w:val="20"/>
          <w:color w:val="auto"/>
        </w:rPr>
      </w:pPr>
      <w:r>
        <w:rPr>
          <w:rFonts w:ascii="Times New Roman" w:cs="Times New Roman" w:eastAsia="Times New Roman" w:hAnsi="Times New Roman"/>
          <w:sz w:val="20"/>
          <w:szCs w:val="20"/>
          <w:color w:val="auto"/>
        </w:rPr>
        <w:t>Chicago, IL 60654</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Dear Mr. Gruver and Mr. Georgiadis:</w:t>
      </w:r>
    </w:p>
    <w:p>
      <w:pPr>
        <w:spacing w:after="0" w:line="229" w:lineRule="exact"/>
        <w:rPr>
          <w:sz w:val="20"/>
          <w:szCs w:val="20"/>
          <w:color w:val="auto"/>
        </w:rPr>
      </w:pPr>
    </w:p>
    <w:p>
      <w:pPr>
        <w:ind w:left="980" w:right="840"/>
        <w:spacing w:after="0" w:line="269" w:lineRule="auto"/>
        <w:rPr>
          <w:sz w:val="20"/>
          <w:szCs w:val="20"/>
          <w:color w:val="auto"/>
        </w:rPr>
      </w:pPr>
      <w:r>
        <w:rPr>
          <w:rFonts w:ascii="Times New Roman" w:cs="Times New Roman" w:eastAsia="Times New Roman" w:hAnsi="Times New Roman"/>
          <w:sz w:val="20"/>
          <w:szCs w:val="20"/>
          <w:color w:val="auto"/>
        </w:rPr>
        <w:t>This is to confirm that the client-auditor relationship between Green Thumb Industries, Inc. (Commission File Number 000-56132) and Macias Gini &amp; O’Connell, LLP has ceased.</w:t>
      </w:r>
    </w:p>
    <w:p>
      <w:pPr>
        <w:spacing w:after="0" w:line="18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160020</wp:posOffset>
            </wp:positionV>
            <wp:extent cx="2691765" cy="3771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0">
                      <a:extLst>
                        <a:ext uri="{28A0092B-C50C-407E-A947-70E740481C1C}"/>
                      </a:extLst>
                    </a:blip>
                    <a:srcRect/>
                    <a:stretch>
                      <a:fillRect/>
                    </a:stretch>
                  </pic:blipFill>
                  <pic:spPr bwMode="auto">
                    <a:xfrm>
                      <a:off x="0" y="0"/>
                      <a:ext cx="2691765" cy="3771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1"/>
          <w:szCs w:val="11"/>
          <w:color w:val="0071CE"/>
        </w:rPr>
        <w:t>Macias Gini &amp; O’Connell LLP</w:t>
      </w:r>
    </w:p>
    <w:p>
      <w:pPr>
        <w:spacing w:after="0" w:line="5" w:lineRule="exact"/>
        <w:rPr>
          <w:sz w:val="20"/>
          <w:szCs w:val="20"/>
          <w:color w:val="auto"/>
        </w:rPr>
      </w:pPr>
    </w:p>
    <w:p>
      <w:pPr>
        <w:spacing w:after="0"/>
        <w:rPr>
          <w:sz w:val="20"/>
          <w:szCs w:val="20"/>
          <w:color w:val="auto"/>
        </w:rPr>
      </w:pPr>
      <w:r>
        <w:rPr>
          <w:rFonts w:ascii="Arial" w:cs="Arial" w:eastAsia="Arial" w:hAnsi="Arial"/>
          <w:sz w:val="10"/>
          <w:szCs w:val="10"/>
          <w:color w:val="0071CE"/>
        </w:rPr>
        <w:t>101 California Street, Suite 3910</w:t>
      </w:r>
    </w:p>
    <w:p>
      <w:pPr>
        <w:spacing w:after="0" w:line="7" w:lineRule="exact"/>
        <w:rPr>
          <w:sz w:val="20"/>
          <w:szCs w:val="20"/>
          <w:color w:val="auto"/>
        </w:rPr>
      </w:pPr>
    </w:p>
    <w:p>
      <w:pPr>
        <w:spacing w:after="0"/>
        <w:rPr>
          <w:sz w:val="20"/>
          <w:szCs w:val="20"/>
          <w:color w:val="auto"/>
        </w:rPr>
      </w:pPr>
      <w:r>
        <w:rPr>
          <w:rFonts w:ascii="Arial" w:cs="Arial" w:eastAsia="Arial" w:hAnsi="Arial"/>
          <w:sz w:val="11"/>
          <w:szCs w:val="11"/>
          <w:color w:val="0071CE"/>
        </w:rPr>
        <w:t>San Francisco, CA 94111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4620"/>
        <w:spacing w:after="0"/>
        <w:rPr>
          <w:sz w:val="20"/>
          <w:szCs w:val="20"/>
          <w:color w:val="auto"/>
        </w:rPr>
      </w:pPr>
      <w:r>
        <w:rPr>
          <w:rFonts w:ascii="Arial" w:cs="Arial" w:eastAsia="Arial" w:hAnsi="Arial"/>
          <w:sz w:val="10"/>
          <w:szCs w:val="10"/>
          <w:color w:val="auto"/>
        </w:rPr>
        <w:t>www.mgocpa.com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282575</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040" w:space="720"/>
            <w:col w:w="5480"/>
          </w:cols>
          <w:pgMar w:left="320" w:top="121" w:right="339" w:bottom="1440" w:gutter="0" w:footer="0" w:header="0"/>
          <w:type w:val="continuous"/>
        </w:sectPr>
      </w:pPr>
    </w:p>
    <w:bookmarkStart w:id="188" w:name="page189"/>
    <w:bookmarkEnd w:id="188"/>
    <w:p>
      <w:pPr>
        <w:ind w:left="10280"/>
        <w:spacing w:after="0"/>
        <w:rPr>
          <w:sz w:val="20"/>
          <w:szCs w:val="20"/>
          <w:color w:val="auto"/>
        </w:rPr>
      </w:pPr>
      <w:r>
        <w:rPr>
          <w:rFonts w:ascii="Calibri" w:cs="Calibri" w:eastAsia="Calibri" w:hAnsi="Calibri"/>
          <w:sz w:val="20"/>
          <w:szCs w:val="20"/>
          <w:color w:val="auto"/>
        </w:rPr>
        <w:t>Exhibit 21.1</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Subsidiaries of Green Thumb Industries Inc.</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Entity Name</w:t>
            </w:r>
          </w:p>
        </w:tc>
        <w:tc>
          <w:tcPr>
            <w:tcW w:w="120" w:type="dxa"/>
            <w:vAlign w:val="bottom"/>
          </w:tcPr>
          <w:p>
            <w:pPr>
              <w:spacing w:after="0"/>
              <w:rPr>
                <w:sz w:val="13"/>
                <w:szCs w:val="13"/>
                <w:color w:val="auto"/>
              </w:rPr>
            </w:pPr>
          </w:p>
        </w:tc>
        <w:tc>
          <w:tcPr>
            <w:tcW w:w="2120" w:type="dxa"/>
            <w:vAlign w:val="bottom"/>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Formation</w:t>
            </w:r>
          </w:p>
        </w:tc>
        <w:tc>
          <w:tcPr>
            <w:tcW w:w="120" w:type="dxa"/>
            <w:vAlign w:val="bottom"/>
          </w:tcPr>
          <w:p>
            <w:pPr>
              <w:spacing w:after="0"/>
              <w:rPr>
                <w:sz w:val="13"/>
                <w:szCs w:val="13"/>
                <w:color w:val="auto"/>
              </w:rPr>
            </w:pPr>
          </w:p>
        </w:tc>
        <w:tc>
          <w:tcPr>
            <w:tcW w:w="214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Formation Date</w:t>
            </w:r>
          </w:p>
        </w:tc>
        <w:tc>
          <w:tcPr>
            <w:tcW w:w="120" w:type="dxa"/>
            <w:vAlign w:val="bottom"/>
          </w:tcPr>
          <w:p>
            <w:pPr>
              <w:spacing w:after="0"/>
              <w:rPr>
                <w:sz w:val="13"/>
                <w:szCs w:val="13"/>
                <w:color w:val="auto"/>
              </w:rPr>
            </w:pPr>
          </w:p>
        </w:tc>
        <w:tc>
          <w:tcPr>
            <w:tcW w:w="212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00" w:type="dxa"/>
            <w:vAlign w:val="bottom"/>
          </w:tcPr>
          <w:p>
            <w:pPr>
              <w:spacing w:after="0"/>
              <w:rPr>
                <w:sz w:val="13"/>
                <w:szCs w:val="13"/>
                <w:color w:val="auto"/>
              </w:rPr>
            </w:pP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GTI Ownership</w:t>
            </w:r>
          </w:p>
        </w:tc>
        <w:tc>
          <w:tcPr>
            <w:tcW w:w="0" w:type="dxa"/>
            <w:vAlign w:val="bottom"/>
          </w:tcPr>
          <w:p>
            <w:pPr>
              <w:spacing w:after="0"/>
              <w:rPr>
                <w:sz w:val="1"/>
                <w:szCs w:val="1"/>
                <w:color w:val="auto"/>
              </w:rPr>
            </w:pPr>
          </w:p>
        </w:tc>
      </w:tr>
      <w:tr>
        <w:trPr>
          <w:trHeight w:val="190"/>
        </w:trPr>
        <w:tc>
          <w:tcPr>
            <w:tcW w:w="2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Structure</w:t>
            </w:r>
          </w:p>
        </w:tc>
        <w:tc>
          <w:tcPr>
            <w:tcW w:w="100" w:type="dxa"/>
            <w:vAlign w:val="bottom"/>
          </w:tcPr>
          <w:p>
            <w:pPr>
              <w:spacing w:after="0"/>
              <w:rPr>
                <w:sz w:val="16"/>
                <w:szCs w:val="16"/>
                <w:color w:val="auto"/>
              </w:rPr>
            </w:pPr>
          </w:p>
        </w:tc>
        <w:tc>
          <w:tcPr>
            <w:tcW w:w="2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Green Thumb Industries Inc.</w:t>
            </w:r>
          </w:p>
        </w:tc>
        <w:tc>
          <w:tcPr>
            <w:tcW w:w="12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British Columbia, Canada</w:t>
            </w:r>
          </w:p>
        </w:tc>
        <w:tc>
          <w:tcPr>
            <w:tcW w:w="12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26, 1979</w:t>
            </w:r>
          </w:p>
        </w:tc>
        <w:tc>
          <w:tcPr>
            <w:tcW w:w="120" w:type="dxa"/>
            <w:vAlign w:val="bottom"/>
          </w:tcPr>
          <w:p>
            <w:pPr>
              <w:spacing w:after="0"/>
              <w:rPr>
                <w:sz w:val="19"/>
                <w:szCs w:val="19"/>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GTI Parent Company</w:t>
            </w: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454"/>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GTI23, Inc.</w:t>
            </w:r>
          </w:p>
        </w:tc>
        <w:tc>
          <w:tcPr>
            <w:tcW w:w="120" w:type="dxa"/>
            <w:vAlign w:val="bottom"/>
          </w:tcPr>
          <w:p>
            <w:pPr>
              <w:spacing w:after="0"/>
              <w:rPr>
                <w:sz w:val="24"/>
                <w:szCs w:val="24"/>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Delaware, USA</w:t>
            </w:r>
          </w:p>
        </w:tc>
        <w:tc>
          <w:tcPr>
            <w:tcW w:w="12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10, 2018</w:t>
            </w:r>
          </w:p>
        </w:tc>
        <w:tc>
          <w:tcPr>
            <w:tcW w:w="120" w:type="dxa"/>
            <w:vAlign w:val="bottom"/>
          </w:tcPr>
          <w:p>
            <w:pPr>
              <w:spacing w:after="0"/>
              <w:rPr>
                <w:sz w:val="24"/>
                <w:szCs w:val="24"/>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Parent Company</w:t>
            </w:r>
          </w:p>
        </w:tc>
        <w:tc>
          <w:tcPr>
            <w:tcW w:w="2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459"/>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VCP23, LLC</w:t>
            </w:r>
          </w:p>
        </w:tc>
        <w:tc>
          <w:tcPr>
            <w:tcW w:w="120" w:type="dxa"/>
            <w:vAlign w:val="bottom"/>
          </w:tcPr>
          <w:p>
            <w:pPr>
              <w:spacing w:after="0"/>
              <w:rPr>
                <w:sz w:val="24"/>
                <w:szCs w:val="24"/>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Delaware, USA</w:t>
            </w:r>
          </w:p>
        </w:tc>
        <w:tc>
          <w:tcPr>
            <w:tcW w:w="12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27, 2017</w:t>
            </w:r>
          </w:p>
        </w:tc>
        <w:tc>
          <w:tcPr>
            <w:tcW w:w="120" w:type="dxa"/>
            <w:vAlign w:val="bottom"/>
          </w:tcPr>
          <w:p>
            <w:pPr>
              <w:spacing w:after="0"/>
              <w:rPr>
                <w:sz w:val="24"/>
                <w:szCs w:val="24"/>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Owns GTI Core, LLC</w:t>
            </w:r>
          </w:p>
        </w:tc>
        <w:tc>
          <w:tcPr>
            <w:tcW w:w="2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441"/>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Vision Management Services,</w:t>
            </w:r>
          </w:p>
        </w:tc>
        <w:tc>
          <w:tcPr>
            <w:tcW w:w="120" w:type="dxa"/>
            <w:vAlign w:val="bottom"/>
          </w:tcPr>
          <w:p>
            <w:pPr>
              <w:spacing w:after="0"/>
              <w:rPr>
                <w:sz w:val="24"/>
                <w:szCs w:val="24"/>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Delaware, USA</w:t>
            </w:r>
          </w:p>
        </w:tc>
        <w:tc>
          <w:tcPr>
            <w:tcW w:w="12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11, 2016</w:t>
            </w:r>
          </w:p>
        </w:tc>
        <w:tc>
          <w:tcPr>
            <w:tcW w:w="120" w:type="dxa"/>
            <w:vAlign w:val="bottom"/>
          </w:tcPr>
          <w:p>
            <w:pPr>
              <w:spacing w:after="0"/>
              <w:rPr>
                <w:sz w:val="24"/>
                <w:szCs w:val="24"/>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Provides Management</w:t>
            </w:r>
          </w:p>
        </w:tc>
        <w:tc>
          <w:tcPr>
            <w:tcW w:w="2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 to GTI-</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Businesses</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VCP Real Estate Holdings,</w:t>
            </w: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Delaware, USA</w:t>
            </w:r>
          </w:p>
        </w:tc>
        <w:tc>
          <w:tcPr>
            <w:tcW w:w="12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4, 2017</w:t>
            </w:r>
          </w:p>
        </w:tc>
        <w:tc>
          <w:tcPr>
            <w:tcW w:w="120" w:type="dxa"/>
            <w:vAlign w:val="bottom"/>
          </w:tcPr>
          <w:p>
            <w:pPr>
              <w:spacing w:after="0"/>
              <w:rPr>
                <w:sz w:val="20"/>
                <w:szCs w:val="20"/>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Holds Certain GTI-Owned</w:t>
            </w:r>
          </w:p>
        </w:tc>
        <w:tc>
          <w:tcPr>
            <w:tcW w:w="2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4"/>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VCP IP Holdings, LLC</w:t>
            </w:r>
          </w:p>
        </w:tc>
        <w:tc>
          <w:tcPr>
            <w:tcW w:w="12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Delaware, USA</w:t>
            </w:r>
          </w:p>
        </w:tc>
        <w:tc>
          <w:tcPr>
            <w:tcW w:w="12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4, 2017</w:t>
            </w:r>
          </w:p>
        </w:tc>
        <w:tc>
          <w:tcPr>
            <w:tcW w:w="120" w:type="dxa"/>
            <w:vAlign w:val="bottom"/>
          </w:tcPr>
          <w:p>
            <w:pPr>
              <w:spacing w:after="0"/>
              <w:rPr>
                <w:sz w:val="19"/>
                <w:szCs w:val="19"/>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Holds Certain GTI-Owned</w:t>
            </w:r>
          </w:p>
        </w:tc>
        <w:tc>
          <w:tcPr>
            <w:tcW w:w="2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Intellectual Property</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TWD18, LLC</w:t>
            </w:r>
          </w:p>
        </w:tc>
        <w:tc>
          <w:tcPr>
            <w:tcW w:w="12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Delaware, USA</w:t>
            </w:r>
          </w:p>
        </w:tc>
        <w:tc>
          <w:tcPr>
            <w:tcW w:w="12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1, 2018</w:t>
            </w:r>
          </w:p>
        </w:tc>
        <w:tc>
          <w:tcPr>
            <w:tcW w:w="120" w:type="dxa"/>
            <w:vAlign w:val="bottom"/>
          </w:tcPr>
          <w:p>
            <w:pPr>
              <w:spacing w:after="0"/>
              <w:rPr>
                <w:sz w:val="19"/>
                <w:szCs w:val="19"/>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Holds Certain GTI</w:t>
            </w:r>
          </w:p>
        </w:tc>
        <w:tc>
          <w:tcPr>
            <w:tcW w:w="2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GTI Core, LLC</w:t>
            </w:r>
          </w:p>
        </w:tc>
        <w:tc>
          <w:tcPr>
            <w:tcW w:w="12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Delaware, USA</w:t>
            </w:r>
          </w:p>
        </w:tc>
        <w:tc>
          <w:tcPr>
            <w:tcW w:w="12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21, 2017</w:t>
            </w:r>
          </w:p>
        </w:tc>
        <w:tc>
          <w:tcPr>
            <w:tcW w:w="120" w:type="dxa"/>
            <w:vAlign w:val="bottom"/>
          </w:tcPr>
          <w:p>
            <w:pPr>
              <w:spacing w:after="0"/>
              <w:rPr>
                <w:sz w:val="19"/>
                <w:szCs w:val="19"/>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Owns GTI’s Interest in</w:t>
            </w:r>
          </w:p>
        </w:tc>
        <w:tc>
          <w:tcPr>
            <w:tcW w:w="2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State-Licensed Businesses</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GTI-Clinic Illinois Holdings,</w:t>
            </w:r>
          </w:p>
        </w:tc>
        <w:tc>
          <w:tcPr>
            <w:tcW w:w="12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Illinois, USA</w:t>
            </w:r>
          </w:p>
        </w:tc>
        <w:tc>
          <w:tcPr>
            <w:tcW w:w="12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26, 2014</w:t>
            </w:r>
          </w:p>
        </w:tc>
        <w:tc>
          <w:tcPr>
            <w:tcW w:w="120" w:type="dxa"/>
            <w:vAlign w:val="bottom"/>
          </w:tcPr>
          <w:p>
            <w:pPr>
              <w:spacing w:after="0"/>
              <w:rPr>
                <w:sz w:val="19"/>
                <w:szCs w:val="19"/>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Owns GTI’s Illinois</w:t>
            </w:r>
          </w:p>
        </w:tc>
        <w:tc>
          <w:tcPr>
            <w:tcW w:w="2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4"/>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Licensed Entities</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GTI Maryland, LLC</w:t>
            </w:r>
          </w:p>
        </w:tc>
        <w:tc>
          <w:tcPr>
            <w:tcW w:w="120" w:type="dxa"/>
            <w:vAlign w:val="bottom"/>
          </w:tcPr>
          <w:p>
            <w:pPr>
              <w:spacing w:after="0"/>
              <w:rPr>
                <w:sz w:val="21"/>
                <w:szCs w:val="21"/>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Maryland, USA</w:t>
            </w:r>
          </w:p>
        </w:tc>
        <w:tc>
          <w:tcPr>
            <w:tcW w:w="120" w:type="dxa"/>
            <w:vAlign w:val="bottom"/>
          </w:tcPr>
          <w:p>
            <w:pPr>
              <w:spacing w:after="0"/>
              <w:rPr>
                <w:sz w:val="21"/>
                <w:szCs w:val="21"/>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30, 2015</w:t>
            </w:r>
          </w:p>
        </w:tc>
        <w:tc>
          <w:tcPr>
            <w:tcW w:w="120" w:type="dxa"/>
            <w:vAlign w:val="bottom"/>
          </w:tcPr>
          <w:p>
            <w:pPr>
              <w:spacing w:after="0"/>
              <w:rPr>
                <w:sz w:val="21"/>
                <w:szCs w:val="21"/>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Holds Maryland Licenses</w:t>
            </w:r>
          </w:p>
        </w:tc>
        <w:tc>
          <w:tcPr>
            <w:tcW w:w="2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441"/>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JB17, LLC</w:t>
            </w:r>
          </w:p>
        </w:tc>
        <w:tc>
          <w:tcPr>
            <w:tcW w:w="120" w:type="dxa"/>
            <w:vAlign w:val="bottom"/>
          </w:tcPr>
          <w:p>
            <w:pPr>
              <w:spacing w:after="0"/>
              <w:rPr>
                <w:sz w:val="24"/>
                <w:szCs w:val="24"/>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Delaware, USA</w:t>
            </w:r>
          </w:p>
        </w:tc>
        <w:tc>
          <w:tcPr>
            <w:tcW w:w="12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26, 2017</w:t>
            </w:r>
          </w:p>
        </w:tc>
        <w:tc>
          <w:tcPr>
            <w:tcW w:w="120" w:type="dxa"/>
            <w:vAlign w:val="bottom"/>
          </w:tcPr>
          <w:p>
            <w:pPr>
              <w:spacing w:after="0"/>
              <w:rPr>
                <w:sz w:val="24"/>
                <w:szCs w:val="24"/>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Services</w:t>
            </w:r>
          </w:p>
        </w:tc>
        <w:tc>
          <w:tcPr>
            <w:tcW w:w="2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GTI Pennsylvania, LLC</w:t>
            </w:r>
          </w:p>
        </w:tc>
        <w:tc>
          <w:tcPr>
            <w:tcW w:w="12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Pennsylvania, USA</w:t>
            </w:r>
          </w:p>
        </w:tc>
        <w:tc>
          <w:tcPr>
            <w:tcW w:w="12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30, 2016</w:t>
            </w:r>
          </w:p>
        </w:tc>
        <w:tc>
          <w:tcPr>
            <w:tcW w:w="120" w:type="dxa"/>
            <w:vAlign w:val="bottom"/>
          </w:tcPr>
          <w:p>
            <w:pPr>
              <w:spacing w:after="0"/>
              <w:rPr>
                <w:sz w:val="19"/>
                <w:szCs w:val="19"/>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Holds Pennsylvania</w:t>
            </w:r>
          </w:p>
        </w:tc>
        <w:tc>
          <w:tcPr>
            <w:tcW w:w="2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GTI Nevada, LLC</w:t>
            </w:r>
          </w:p>
        </w:tc>
        <w:tc>
          <w:tcPr>
            <w:tcW w:w="120" w:type="dxa"/>
            <w:vAlign w:val="bottom"/>
          </w:tcPr>
          <w:p>
            <w:pPr>
              <w:spacing w:after="0"/>
              <w:rPr>
                <w:sz w:val="21"/>
                <w:szCs w:val="21"/>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Nevada, USA</w:t>
            </w:r>
          </w:p>
        </w:tc>
        <w:tc>
          <w:tcPr>
            <w:tcW w:w="120" w:type="dxa"/>
            <w:vAlign w:val="bottom"/>
          </w:tcPr>
          <w:p>
            <w:pPr>
              <w:spacing w:after="0"/>
              <w:rPr>
                <w:sz w:val="21"/>
                <w:szCs w:val="21"/>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21, 2016</w:t>
            </w:r>
          </w:p>
        </w:tc>
        <w:tc>
          <w:tcPr>
            <w:tcW w:w="120" w:type="dxa"/>
            <w:vAlign w:val="bottom"/>
          </w:tcPr>
          <w:p>
            <w:pPr>
              <w:spacing w:after="0"/>
              <w:rPr>
                <w:sz w:val="21"/>
                <w:szCs w:val="21"/>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Holds Nevada Licenses</w:t>
            </w:r>
          </w:p>
        </w:tc>
        <w:tc>
          <w:tcPr>
            <w:tcW w:w="2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441"/>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RISE Holdings, Inc.</w:t>
            </w:r>
          </w:p>
        </w:tc>
        <w:tc>
          <w:tcPr>
            <w:tcW w:w="120" w:type="dxa"/>
            <w:vAlign w:val="bottom"/>
          </w:tcPr>
          <w:p>
            <w:pPr>
              <w:spacing w:after="0"/>
              <w:rPr>
                <w:sz w:val="24"/>
                <w:szCs w:val="24"/>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Massachusetts, USA</w:t>
            </w:r>
          </w:p>
        </w:tc>
        <w:tc>
          <w:tcPr>
            <w:tcW w:w="12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25, 2018 (Converted</w:t>
            </w:r>
          </w:p>
        </w:tc>
        <w:tc>
          <w:tcPr>
            <w:tcW w:w="120" w:type="dxa"/>
            <w:vAlign w:val="bottom"/>
          </w:tcPr>
          <w:p>
            <w:pPr>
              <w:spacing w:after="0"/>
              <w:rPr>
                <w:sz w:val="24"/>
                <w:szCs w:val="24"/>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Holds Massachusetts</w:t>
            </w:r>
          </w:p>
        </w:tc>
        <w:tc>
          <w:tcPr>
            <w:tcW w:w="2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from Massachusetts Non-</w:t>
            </w:r>
          </w:p>
        </w:tc>
        <w:tc>
          <w:tcPr>
            <w:tcW w:w="120" w:type="dxa"/>
            <w:vAlign w:val="bottom"/>
          </w:tcPr>
          <w:p>
            <w:pPr>
              <w:spacing w:after="0"/>
              <w:rPr>
                <w:sz w:val="18"/>
                <w:szCs w:val="18"/>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 Investors 2017, LLC</w:t>
            </w:r>
          </w:p>
        </w:tc>
        <w:tc>
          <w:tcPr>
            <w:tcW w:w="12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Ohio, USA</w:t>
            </w:r>
          </w:p>
        </w:tc>
        <w:tc>
          <w:tcPr>
            <w:tcW w:w="12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22, 2017</w:t>
            </w:r>
          </w:p>
        </w:tc>
        <w:tc>
          <w:tcPr>
            <w:tcW w:w="120" w:type="dxa"/>
            <w:vAlign w:val="bottom"/>
          </w:tcPr>
          <w:p>
            <w:pPr>
              <w:spacing w:after="0"/>
              <w:rPr>
                <w:sz w:val="19"/>
                <w:szCs w:val="19"/>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 Joint Venture Entity</w:t>
            </w: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 Class A Units;</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 Class G Units</w:t>
            </w:r>
          </w:p>
        </w:tc>
        <w:tc>
          <w:tcPr>
            <w:tcW w:w="0" w:type="dxa"/>
            <w:vAlign w:val="bottom"/>
          </w:tcPr>
          <w:p>
            <w:pPr>
              <w:spacing w:after="0"/>
              <w:rPr>
                <w:sz w:val="1"/>
                <w:szCs w:val="1"/>
                <w:color w:val="auto"/>
              </w:rPr>
            </w:pPr>
          </w:p>
        </w:tc>
      </w:tr>
      <w:tr>
        <w:trPr>
          <w:trHeight w:val="24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GTI Ohio, LLC</w:t>
            </w:r>
          </w:p>
        </w:tc>
        <w:tc>
          <w:tcPr>
            <w:tcW w:w="120" w:type="dxa"/>
            <w:vAlign w:val="bottom"/>
          </w:tcPr>
          <w:p>
            <w:pPr>
              <w:spacing w:after="0"/>
              <w:rPr>
                <w:sz w:val="21"/>
                <w:szCs w:val="21"/>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Ohio, USA</w:t>
            </w:r>
          </w:p>
        </w:tc>
        <w:tc>
          <w:tcPr>
            <w:tcW w:w="120" w:type="dxa"/>
            <w:vAlign w:val="bottom"/>
          </w:tcPr>
          <w:p>
            <w:pPr>
              <w:spacing w:after="0"/>
              <w:rPr>
                <w:sz w:val="21"/>
                <w:szCs w:val="21"/>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7, 2017</w:t>
            </w:r>
          </w:p>
        </w:tc>
        <w:tc>
          <w:tcPr>
            <w:tcW w:w="120" w:type="dxa"/>
            <w:vAlign w:val="bottom"/>
          </w:tcPr>
          <w:p>
            <w:pPr>
              <w:spacing w:after="0"/>
              <w:rPr>
                <w:sz w:val="21"/>
                <w:szCs w:val="21"/>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Holds Ohio Licenses</w:t>
            </w:r>
          </w:p>
        </w:tc>
        <w:tc>
          <w:tcPr>
            <w:tcW w:w="2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445"/>
        </w:trPr>
        <w:tc>
          <w:tcPr>
            <w:tcW w:w="2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GTI New Jersey, LLC</w:t>
            </w:r>
          </w:p>
        </w:tc>
        <w:tc>
          <w:tcPr>
            <w:tcW w:w="1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New Jersey, USA</w:t>
            </w:r>
          </w:p>
        </w:tc>
        <w:tc>
          <w:tcPr>
            <w:tcW w:w="2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April 19, 2018</w:t>
            </w:r>
          </w:p>
        </w:tc>
        <w:tc>
          <w:tcPr>
            <w:tcW w:w="3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Holds New Jersey Licenses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459"/>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Advanced Grow Labs, LLC</w:t>
            </w:r>
          </w:p>
        </w:tc>
        <w:tc>
          <w:tcPr>
            <w:tcW w:w="1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Connecticut, USA</w:t>
            </w:r>
          </w:p>
        </w:tc>
        <w:tc>
          <w:tcPr>
            <w:tcW w:w="2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July 31, 2012</w:t>
            </w:r>
          </w:p>
        </w:tc>
        <w:tc>
          <w:tcPr>
            <w:tcW w:w="3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Holds Connecticut Licenses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441"/>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Bluepoint Apothecary, LLC</w:t>
            </w:r>
          </w:p>
        </w:tc>
        <w:tc>
          <w:tcPr>
            <w:tcW w:w="1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Connecticut, USA</w:t>
            </w:r>
          </w:p>
        </w:tc>
        <w:tc>
          <w:tcPr>
            <w:tcW w:w="2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July 26, 2013</w:t>
            </w:r>
          </w:p>
        </w:tc>
        <w:tc>
          <w:tcPr>
            <w:tcW w:w="3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Holds Connecticut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24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Bluepoint License</w:t>
            </w:r>
          </w:p>
        </w:tc>
        <w:tc>
          <w:tcPr>
            <w:tcW w:w="920" w:type="dxa"/>
            <w:vAlign w:val="bottom"/>
          </w:tcPr>
          <w:p>
            <w:pPr>
              <w:spacing w:after="0"/>
              <w:rPr>
                <w:sz w:val="20"/>
                <w:szCs w:val="20"/>
                <w:color w:val="auto"/>
              </w:rPr>
            </w:pPr>
          </w:p>
        </w:tc>
      </w:tr>
      <w:tr>
        <w:trPr>
          <w:trHeight w:val="225"/>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Integral Associates, LLC</w:t>
            </w:r>
          </w:p>
        </w:tc>
        <w:tc>
          <w:tcPr>
            <w:tcW w:w="1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Nevada, USA</w:t>
            </w:r>
          </w:p>
        </w:tc>
        <w:tc>
          <w:tcPr>
            <w:tcW w:w="2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April 9, 2014</w:t>
            </w:r>
          </w:p>
        </w:tc>
        <w:tc>
          <w:tcPr>
            <w:tcW w:w="3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Holds Integral Nevada</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24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Licenses</w:t>
            </w:r>
          </w:p>
        </w:tc>
        <w:tc>
          <w:tcPr>
            <w:tcW w:w="920" w:type="dxa"/>
            <w:vAlign w:val="bottom"/>
          </w:tcPr>
          <w:p>
            <w:pPr>
              <w:spacing w:after="0"/>
              <w:rPr>
                <w:sz w:val="20"/>
                <w:szCs w:val="20"/>
                <w:color w:val="auto"/>
              </w:rPr>
            </w:pPr>
          </w:p>
        </w:tc>
      </w:tr>
      <w:tr>
        <w:trPr>
          <w:trHeight w:val="225"/>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Integral Associates CA, LLC</w:t>
            </w:r>
          </w:p>
        </w:tc>
        <w:tc>
          <w:tcPr>
            <w:tcW w:w="1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California, USA</w:t>
            </w:r>
          </w:p>
        </w:tc>
        <w:tc>
          <w:tcPr>
            <w:tcW w:w="2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May 3, 2018</w:t>
            </w:r>
          </w:p>
        </w:tc>
        <w:tc>
          <w:tcPr>
            <w:tcW w:w="3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Holds Integral California</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24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Licenses</w:t>
            </w:r>
          </w:p>
        </w:tc>
        <w:tc>
          <w:tcPr>
            <w:tcW w:w="920" w:type="dxa"/>
            <w:vAlign w:val="bottom"/>
          </w:tcPr>
          <w:p>
            <w:pPr>
              <w:spacing w:after="0"/>
              <w:rPr>
                <w:sz w:val="20"/>
                <w:szCs w:val="20"/>
                <w:color w:val="auto"/>
              </w:rPr>
            </w:pPr>
          </w:p>
        </w:tc>
      </w:tr>
      <w:tr>
        <w:trPr>
          <w:trHeight w:val="225"/>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For Success Holdings Company</w:t>
            </w:r>
          </w:p>
        </w:tc>
        <w:tc>
          <w:tcPr>
            <w:tcW w:w="1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 USA</w:t>
            </w:r>
          </w:p>
        </w:tc>
        <w:tc>
          <w:tcPr>
            <w:tcW w:w="2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April 20, 2015</w:t>
            </w:r>
          </w:p>
        </w:tc>
        <w:tc>
          <w:tcPr>
            <w:tcW w:w="3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Holds Beboe-Related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24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Companies</w:t>
            </w:r>
          </w:p>
        </w:tc>
        <w:tc>
          <w:tcPr>
            <w:tcW w:w="920" w:type="dxa"/>
            <w:vAlign w:val="bottom"/>
          </w:tcPr>
          <w:p>
            <w:pPr>
              <w:spacing w:after="0"/>
              <w:rPr>
                <w:sz w:val="20"/>
                <w:szCs w:val="20"/>
                <w:color w:val="auto"/>
              </w:rPr>
            </w:pPr>
          </w:p>
        </w:tc>
      </w:tr>
    </w:tbl>
    <w:p>
      <w:pPr>
        <w:jc w:val="center"/>
        <w:spacing w:after="0" w:line="219" w:lineRule="auto"/>
        <w:rPr>
          <w:sz w:val="20"/>
          <w:szCs w:val="20"/>
          <w:color w:val="auto"/>
        </w:rPr>
      </w:pPr>
      <w:r>
        <w:rPr>
          <w:rFonts w:ascii="Calibri" w:cs="Calibri" w:eastAsia="Calibri" w:hAnsi="Calibri"/>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231775</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189" w:name="page190"/>
    <w:bookmarkEnd w:id="189"/>
    <w:tbl>
      <w:tblPr>
        <w:tblLayout w:type="fixed"/>
        <w:tblInd w:w="0" w:type="dxa"/>
        <w:tblCellMar>
          <w:top w:w="0" w:type="dxa"/>
          <w:left w:w="0" w:type="dxa"/>
          <w:bottom w:w="0" w:type="dxa"/>
          <w:right w:w="0" w:type="dxa"/>
        </w:tblCellMar>
      </w:tblPr>
      <w:tr>
        <w:trPr>
          <w:trHeight w:val="244"/>
        </w:trPr>
        <w:tc>
          <w:tcPr>
            <w:tcW w:w="23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Calibri" w:cs="Calibri" w:eastAsia="Calibri" w:hAnsi="Calibri"/>
                <w:sz w:val="20"/>
                <w:szCs w:val="20"/>
                <w:color w:val="auto"/>
              </w:rPr>
              <w:t>Exhibit 21.1</w:t>
            </w:r>
          </w:p>
        </w:tc>
      </w:tr>
      <w:tr>
        <w:trPr>
          <w:trHeight w:val="262"/>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GTI Florida, LLC</w:t>
            </w:r>
          </w:p>
        </w:tc>
        <w:tc>
          <w:tcPr>
            <w:tcW w:w="2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Florida, USA</w:t>
            </w:r>
          </w:p>
        </w:tc>
        <w:tc>
          <w:tcPr>
            <w:tcW w:w="2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July 26, 2017</w:t>
            </w:r>
          </w:p>
        </w:tc>
        <w:tc>
          <w:tcPr>
            <w:tcW w:w="29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Florida Holding Company</w:t>
            </w:r>
          </w:p>
        </w:tc>
        <w:tc>
          <w:tcPr>
            <w:tcW w:w="1760" w:type="dxa"/>
            <w:vAlign w:val="bottom"/>
          </w:tcPr>
          <w:p>
            <w:pPr>
              <w:jc w:val="right"/>
              <w:ind w:right="709"/>
              <w:spacing w:after="0"/>
              <w:rPr>
                <w:sz w:val="20"/>
                <w:szCs w:val="20"/>
                <w:color w:val="auto"/>
              </w:rPr>
            </w:pPr>
            <w:r>
              <w:rPr>
                <w:rFonts w:ascii="Times New Roman" w:cs="Times New Roman" w:eastAsia="Times New Roman" w:hAnsi="Times New Roman"/>
                <w:sz w:val="18"/>
                <w:szCs w:val="18"/>
                <w:color w:val="auto"/>
              </w:rPr>
              <w:t>100%</w:t>
            </w:r>
          </w:p>
        </w:tc>
      </w:tr>
      <w:tr>
        <w:trPr>
          <w:trHeight w:val="459"/>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KSGNF, LLC</w:t>
            </w:r>
          </w:p>
        </w:tc>
        <w:tc>
          <w:tcPr>
            <w:tcW w:w="2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Florida, USA</w:t>
            </w:r>
          </w:p>
        </w:tc>
        <w:tc>
          <w:tcPr>
            <w:tcW w:w="2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August 9, 2012</w:t>
            </w:r>
          </w:p>
        </w:tc>
        <w:tc>
          <w:tcPr>
            <w:tcW w:w="29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Holds Florida License</w:t>
            </w:r>
          </w:p>
        </w:tc>
        <w:tc>
          <w:tcPr>
            <w:tcW w:w="1760" w:type="dxa"/>
            <w:vAlign w:val="bottom"/>
          </w:tcPr>
          <w:p>
            <w:pPr>
              <w:jc w:val="right"/>
              <w:ind w:right="709"/>
              <w:spacing w:after="0"/>
              <w:rPr>
                <w:sz w:val="20"/>
                <w:szCs w:val="20"/>
                <w:color w:val="auto"/>
              </w:rPr>
            </w:pPr>
            <w:r>
              <w:rPr>
                <w:rFonts w:ascii="Times New Roman" w:cs="Times New Roman" w:eastAsia="Times New Roman" w:hAnsi="Times New Roman"/>
                <w:sz w:val="18"/>
                <w:szCs w:val="18"/>
                <w:color w:val="auto"/>
              </w:rPr>
              <w:t>100%</w:t>
            </w:r>
          </w:p>
        </w:tc>
      </w:tr>
      <w:tr>
        <w:trPr>
          <w:trHeight w:val="459"/>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Fiorello Pharmaceuticals, Inc.</w:t>
            </w:r>
          </w:p>
        </w:tc>
        <w:tc>
          <w:tcPr>
            <w:tcW w:w="2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New York, USA</w:t>
            </w:r>
          </w:p>
        </w:tc>
        <w:tc>
          <w:tcPr>
            <w:tcW w:w="2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May 27, 2014</w:t>
            </w:r>
          </w:p>
        </w:tc>
        <w:tc>
          <w:tcPr>
            <w:tcW w:w="29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Holds New York Licenses</w:t>
            </w:r>
          </w:p>
        </w:tc>
        <w:tc>
          <w:tcPr>
            <w:tcW w:w="1760" w:type="dxa"/>
            <w:vAlign w:val="bottom"/>
          </w:tcPr>
          <w:p>
            <w:pPr>
              <w:jc w:val="right"/>
              <w:ind w:right="709"/>
              <w:spacing w:after="0"/>
              <w:rPr>
                <w:sz w:val="20"/>
                <w:szCs w:val="20"/>
                <w:color w:val="auto"/>
              </w:rPr>
            </w:pPr>
            <w:r>
              <w:rPr>
                <w:rFonts w:ascii="Times New Roman" w:cs="Times New Roman" w:eastAsia="Times New Roman" w:hAnsi="Times New Roman"/>
                <w:sz w:val="18"/>
                <w:szCs w:val="18"/>
                <w:color w:val="auto"/>
              </w:rPr>
              <w:t>100%</w:t>
            </w:r>
          </w:p>
        </w:tc>
      </w:tr>
      <w:tr>
        <w:trPr>
          <w:trHeight w:val="459"/>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GTI Virginia, LLC</w:t>
            </w:r>
          </w:p>
        </w:tc>
        <w:tc>
          <w:tcPr>
            <w:tcW w:w="2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Virginia, USA</w:t>
            </w:r>
          </w:p>
        </w:tc>
        <w:tc>
          <w:tcPr>
            <w:tcW w:w="2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May 4, 2018</w:t>
            </w:r>
          </w:p>
        </w:tc>
        <w:tc>
          <w:tcPr>
            <w:tcW w:w="29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Holds Virginia Licenses</w:t>
            </w:r>
          </w:p>
        </w:tc>
        <w:tc>
          <w:tcPr>
            <w:tcW w:w="1760" w:type="dxa"/>
            <w:vAlign w:val="bottom"/>
          </w:tcPr>
          <w:p>
            <w:pPr>
              <w:jc w:val="right"/>
              <w:ind w:right="709"/>
              <w:spacing w:after="0"/>
              <w:rPr>
                <w:sz w:val="20"/>
                <w:szCs w:val="20"/>
                <w:color w:val="auto"/>
              </w:rPr>
            </w:pPr>
            <w:r>
              <w:rPr>
                <w:rFonts w:ascii="Times New Roman" w:cs="Times New Roman" w:eastAsia="Times New Roman" w:hAnsi="Times New Roman"/>
                <w:sz w:val="18"/>
                <w:szCs w:val="18"/>
                <w:color w:val="auto"/>
              </w:rPr>
              <w:t>100%</w:t>
            </w:r>
          </w:p>
        </w:tc>
      </w:tr>
      <w:tr>
        <w:trPr>
          <w:trHeight w:val="225"/>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GTI Rhode Island, LLC</w:t>
            </w:r>
          </w:p>
        </w:tc>
        <w:tc>
          <w:tcPr>
            <w:tcW w:w="2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Rhode Island, USA</w:t>
            </w:r>
          </w:p>
        </w:tc>
        <w:tc>
          <w:tcPr>
            <w:tcW w:w="2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January 15, 2021</w:t>
            </w:r>
          </w:p>
        </w:tc>
        <w:tc>
          <w:tcPr>
            <w:tcW w:w="29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Holds Rhode Island</w:t>
            </w:r>
          </w:p>
        </w:tc>
        <w:tc>
          <w:tcPr>
            <w:tcW w:w="1760" w:type="dxa"/>
            <w:vAlign w:val="bottom"/>
          </w:tcPr>
          <w:p>
            <w:pPr>
              <w:jc w:val="right"/>
              <w:ind w:right="709"/>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23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9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Licenses</w:t>
            </w:r>
          </w:p>
        </w:tc>
        <w:tc>
          <w:tcPr>
            <w:tcW w:w="1760" w:type="dxa"/>
            <w:vAlign w:val="bottom"/>
          </w:tcPr>
          <w:p>
            <w:pPr>
              <w:spacing w:after="0"/>
              <w:rPr>
                <w:sz w:val="20"/>
                <w:szCs w:val="20"/>
                <w:color w:val="auto"/>
              </w:rPr>
            </w:pPr>
          </w:p>
        </w:tc>
      </w:tr>
      <w:tr>
        <w:trPr>
          <w:trHeight w:val="232"/>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LeafLine Industries, LLC</w:t>
            </w:r>
          </w:p>
        </w:tc>
        <w:tc>
          <w:tcPr>
            <w:tcW w:w="2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Minnesota, USA</w:t>
            </w:r>
          </w:p>
        </w:tc>
        <w:tc>
          <w:tcPr>
            <w:tcW w:w="2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August 27, 2014</w:t>
            </w:r>
          </w:p>
        </w:tc>
        <w:tc>
          <w:tcPr>
            <w:tcW w:w="29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Holds Minnesota Licenses</w:t>
            </w:r>
          </w:p>
        </w:tc>
        <w:tc>
          <w:tcPr>
            <w:tcW w:w="1760" w:type="dxa"/>
            <w:vAlign w:val="bottom"/>
          </w:tcPr>
          <w:p>
            <w:pPr>
              <w:jc w:val="right"/>
              <w:ind w:right="709"/>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23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160" w:type="dxa"/>
            <w:vAlign w:val="bottom"/>
          </w:tcPr>
          <w:p>
            <w:pPr>
              <w:ind w:left="1240"/>
              <w:spacing w:after="0" w:line="234" w:lineRule="exact"/>
              <w:rPr>
                <w:sz w:val="20"/>
                <w:szCs w:val="20"/>
                <w:color w:val="auto"/>
              </w:rPr>
            </w:pPr>
            <w:r>
              <w:rPr>
                <w:rFonts w:ascii="Calibri" w:cs="Calibri" w:eastAsia="Calibri" w:hAnsi="Calibri"/>
                <w:sz w:val="20"/>
                <w:szCs w:val="20"/>
                <w:color w:val="auto"/>
              </w:rPr>
              <w:t>2</w:t>
            </w:r>
          </w:p>
        </w:tc>
        <w:tc>
          <w:tcPr>
            <w:tcW w:w="29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91"/>
        </w:trPr>
        <w:tc>
          <w:tcPr>
            <w:tcW w:w="234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26" w:lineRule="exact"/>
        <w:rPr>
          <w:sz w:val="20"/>
          <w:szCs w:val="20"/>
          <w:color w:val="auto"/>
        </w:rPr>
      </w:pPr>
    </w:p>
    <w:p>
      <w:pPr>
        <w:ind w:right="60"/>
        <w:spacing w:after="0" w:line="219" w:lineRule="exact"/>
        <w:rPr>
          <w:sz w:val="20"/>
          <w:szCs w:val="20"/>
          <w:color w:val="auto"/>
        </w:rPr>
      </w:pPr>
      <w:r>
        <w:rPr>
          <w:rFonts w:ascii="Arial" w:cs="Arial" w:eastAsia="Arial" w:hAnsi="Arial"/>
          <w:sz w:val="18"/>
          <w:szCs w:val="18"/>
          <w:color w:val="auto"/>
        </w:rPr>
        <w:t>We consent to the incorporation by reference in the Registration Statements on Form S</w:t>
      </w:r>
      <w:r>
        <w:rPr>
          <w:rFonts w:ascii="MS PGothic" w:cs="MS PGothic" w:eastAsia="MS PGothic" w:hAnsi="MS PGothic"/>
          <w:sz w:val="18"/>
          <w:szCs w:val="18"/>
          <w:color w:val="auto"/>
        </w:rPr>
        <w:t>‑</w:t>
      </w:r>
      <w:r>
        <w:rPr>
          <w:rFonts w:ascii="Arial" w:cs="Arial" w:eastAsia="Arial" w:hAnsi="Arial"/>
          <w:sz w:val="18"/>
          <w:szCs w:val="18"/>
          <w:color w:val="auto"/>
        </w:rPr>
        <w:t>3ASR (File No. 333</w:t>
      </w:r>
      <w:r>
        <w:rPr>
          <w:rFonts w:ascii="MS PGothic" w:cs="MS PGothic" w:eastAsia="MS PGothic" w:hAnsi="MS PGothic"/>
          <w:sz w:val="18"/>
          <w:szCs w:val="18"/>
          <w:color w:val="auto"/>
        </w:rPr>
        <w:t>‑</w:t>
      </w:r>
      <w:r>
        <w:rPr>
          <w:rFonts w:ascii="Arial" w:cs="Arial" w:eastAsia="Arial" w:hAnsi="Arial"/>
          <w:sz w:val="18"/>
          <w:szCs w:val="18"/>
          <w:color w:val="auto"/>
        </w:rPr>
        <w:t xml:space="preserve"> 254745) and Form S</w:t>
      </w:r>
      <w:r>
        <w:rPr>
          <w:rFonts w:ascii="MS PGothic" w:cs="MS PGothic" w:eastAsia="MS PGothic" w:hAnsi="MS PGothic"/>
          <w:sz w:val="18"/>
          <w:szCs w:val="18"/>
          <w:color w:val="auto"/>
        </w:rPr>
        <w:t>‑</w:t>
      </w:r>
      <w:r>
        <w:rPr>
          <w:rFonts w:ascii="Arial" w:cs="Arial" w:eastAsia="Arial" w:hAnsi="Arial"/>
          <w:sz w:val="18"/>
          <w:szCs w:val="18"/>
          <w:color w:val="auto"/>
        </w:rPr>
        <w:t>8 (File No. 333</w:t>
      </w:r>
      <w:r>
        <w:rPr>
          <w:rFonts w:ascii="MS PGothic" w:cs="MS PGothic" w:eastAsia="MS PGothic" w:hAnsi="MS PGothic"/>
          <w:sz w:val="18"/>
          <w:szCs w:val="18"/>
          <w:color w:val="auto"/>
        </w:rPr>
        <w:t>‑</w:t>
      </w:r>
      <w:r>
        <w:rPr>
          <w:rFonts w:ascii="Arial" w:cs="Arial" w:eastAsia="Arial" w:hAnsi="Arial"/>
          <w:sz w:val="18"/>
          <w:szCs w:val="18"/>
          <w:color w:val="auto"/>
        </w:rPr>
        <w:t>236522) of Green Thumb Industries, Inc. of our report dated March 1, 2023, relating to the consolidated financial statements and the effectiveness of internal control over financial reporting, which appears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2022.</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/s/ BAKER TILLY US,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of Green Thumb Industries Inc. on Form S8­ (No. 333-236522) and on Form S-3 (No. 333-254745) of our report dated March 18, 2021, relating to our audit of the consolidated financial statements of Green Thumb industries Inc. as of December 31, 2020 included in this Annual Report on Form 10-K filed with the U.S. Securities and Exchange Commission on March 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Macias Gini &amp; O’Connell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Walnut Creek,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2" w:name="page193"/>
    <w:bookmarkEnd w:id="192"/>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CERTIFICATE OF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Benjamin Kovler, certify that:</w:t>
      </w:r>
    </w:p>
    <w:p>
      <w:pPr>
        <w:spacing w:after="0" w:line="117" w:lineRule="exact"/>
        <w:rPr>
          <w:sz w:val="20"/>
          <w:szCs w:val="20"/>
          <w:color w:val="auto"/>
        </w:rPr>
      </w:pPr>
    </w:p>
    <w:p>
      <w:pPr>
        <w:ind w:left="1140" w:hanging="504"/>
        <w:spacing w:after="0"/>
        <w:tabs>
          <w:tab w:leader="none" w:pos="114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Green Thumb Industries Inc.;</w:t>
      </w:r>
    </w:p>
    <w:p>
      <w:pPr>
        <w:spacing w:after="0" w:line="117" w:lineRule="exact"/>
        <w:rPr>
          <w:rFonts w:ascii="Times New Roman" w:cs="Times New Roman" w:eastAsia="Times New Roman" w:hAnsi="Times New Roman"/>
          <w:sz w:val="18"/>
          <w:szCs w:val="18"/>
          <w:color w:val="auto"/>
        </w:rPr>
      </w:pPr>
    </w:p>
    <w:p>
      <w:pPr>
        <w:ind w:left="1140" w:right="100" w:hanging="504"/>
        <w:spacing w:after="0" w:line="266" w:lineRule="auto"/>
        <w:tabs>
          <w:tab w:leader="none" w:pos="114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140" w:right="380" w:hanging="504"/>
        <w:spacing w:after="0" w:line="312" w:lineRule="auto"/>
        <w:tabs>
          <w:tab w:leader="none" w:pos="1140" w:val="left"/>
        </w:tabs>
        <w:numPr>
          <w:ilvl w:val="0"/>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140" w:hanging="504"/>
        <w:spacing w:after="0" w:line="266" w:lineRule="auto"/>
        <w:tabs>
          <w:tab w:leader="none" w:pos="114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2300" w:right="160" w:hanging="511"/>
        <w:spacing w:after="0" w:line="289" w:lineRule="auto"/>
        <w:tabs>
          <w:tab w:leader="none" w:pos="2300" w:val="left"/>
        </w:tabs>
        <w:numPr>
          <w:ilvl w:val="1"/>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Times New Roman" w:cs="Times New Roman" w:eastAsia="Times New Roman" w:hAnsi="Times New Roman"/>
          <w:sz w:val="17"/>
          <w:szCs w:val="17"/>
          <w:color w:val="auto"/>
        </w:rPr>
      </w:pPr>
    </w:p>
    <w:p>
      <w:pPr>
        <w:ind w:left="2300" w:right="420" w:hanging="511"/>
        <w:spacing w:after="0" w:line="289" w:lineRule="auto"/>
        <w:tabs>
          <w:tab w:leader="none" w:pos="2300" w:val="left"/>
        </w:tabs>
        <w:numPr>
          <w:ilvl w:val="1"/>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2300" w:right="300" w:hanging="511"/>
        <w:spacing w:after="0" w:line="266" w:lineRule="auto"/>
        <w:tabs>
          <w:tab w:leader="none" w:pos="2300"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300" w:right="400" w:hanging="511"/>
        <w:spacing w:after="0" w:line="289" w:lineRule="auto"/>
        <w:tabs>
          <w:tab w:leader="none" w:pos="2300" w:val="left"/>
        </w:tabs>
        <w:numPr>
          <w:ilvl w:val="1"/>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9" w:lineRule="exact"/>
        <w:rPr>
          <w:rFonts w:ascii="Times New Roman" w:cs="Times New Roman" w:eastAsia="Times New Roman" w:hAnsi="Times New Roman"/>
          <w:sz w:val="17"/>
          <w:szCs w:val="17"/>
          <w:color w:val="auto"/>
        </w:rPr>
      </w:pPr>
    </w:p>
    <w:p>
      <w:pPr>
        <w:ind w:left="1140" w:right="300" w:hanging="504"/>
        <w:spacing w:after="0" w:line="266" w:lineRule="auto"/>
        <w:tabs>
          <w:tab w:leader="none" w:pos="114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2300" w:right="260" w:hanging="511"/>
        <w:spacing w:after="0" w:line="266" w:lineRule="auto"/>
        <w:tabs>
          <w:tab w:leader="none" w:pos="2300"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300" w:right="640" w:hanging="511"/>
        <w:spacing w:after="0" w:line="282" w:lineRule="auto"/>
        <w:tabs>
          <w:tab w:leader="none" w:pos="2300"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/s/Benjamin Kovler</w:t>
      </w: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Benjamin Kovler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3" w:name="page194"/>
    <w:bookmarkEnd w:id="193"/>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CERTIFICATE OF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Mathew Faulkner, certify that:</w:t>
      </w:r>
    </w:p>
    <w:p>
      <w:pPr>
        <w:spacing w:after="0" w:line="117" w:lineRule="exact"/>
        <w:rPr>
          <w:sz w:val="20"/>
          <w:szCs w:val="20"/>
          <w:color w:val="auto"/>
        </w:rPr>
      </w:pPr>
    </w:p>
    <w:p>
      <w:pPr>
        <w:ind w:left="1140" w:hanging="504"/>
        <w:spacing w:after="0"/>
        <w:tabs>
          <w:tab w:leader="none" w:pos="114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Green Thumb Industries Inc.;</w:t>
      </w:r>
    </w:p>
    <w:p>
      <w:pPr>
        <w:spacing w:after="0" w:line="117" w:lineRule="exact"/>
        <w:rPr>
          <w:rFonts w:ascii="Times New Roman" w:cs="Times New Roman" w:eastAsia="Times New Roman" w:hAnsi="Times New Roman"/>
          <w:sz w:val="18"/>
          <w:szCs w:val="18"/>
          <w:color w:val="auto"/>
        </w:rPr>
      </w:pPr>
    </w:p>
    <w:p>
      <w:pPr>
        <w:ind w:left="1140" w:right="100" w:hanging="504"/>
        <w:spacing w:after="0" w:line="266" w:lineRule="auto"/>
        <w:tabs>
          <w:tab w:leader="none" w:pos="114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140" w:right="380" w:hanging="504"/>
        <w:spacing w:after="0" w:line="312" w:lineRule="auto"/>
        <w:tabs>
          <w:tab w:leader="none" w:pos="1140" w:val="left"/>
        </w:tabs>
        <w:numPr>
          <w:ilvl w:val="0"/>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140" w:hanging="504"/>
        <w:spacing w:after="0" w:line="266" w:lineRule="auto"/>
        <w:tabs>
          <w:tab w:leader="none" w:pos="114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2300" w:right="160" w:hanging="511"/>
        <w:spacing w:after="0" w:line="289" w:lineRule="auto"/>
        <w:tabs>
          <w:tab w:leader="none" w:pos="2300" w:val="left"/>
        </w:tabs>
        <w:numPr>
          <w:ilvl w:val="1"/>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Times New Roman" w:cs="Times New Roman" w:eastAsia="Times New Roman" w:hAnsi="Times New Roman"/>
          <w:sz w:val="17"/>
          <w:szCs w:val="17"/>
          <w:color w:val="auto"/>
        </w:rPr>
      </w:pPr>
    </w:p>
    <w:p>
      <w:pPr>
        <w:ind w:left="2300" w:right="420" w:hanging="511"/>
        <w:spacing w:after="0" w:line="289" w:lineRule="auto"/>
        <w:tabs>
          <w:tab w:leader="none" w:pos="2300" w:val="left"/>
        </w:tabs>
        <w:numPr>
          <w:ilvl w:val="1"/>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2300" w:right="300" w:hanging="511"/>
        <w:spacing w:after="0" w:line="266" w:lineRule="auto"/>
        <w:tabs>
          <w:tab w:leader="none" w:pos="2300"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300" w:right="400" w:hanging="511"/>
        <w:spacing w:after="0" w:line="289" w:lineRule="auto"/>
        <w:tabs>
          <w:tab w:leader="none" w:pos="2300" w:val="left"/>
        </w:tabs>
        <w:numPr>
          <w:ilvl w:val="1"/>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9" w:lineRule="exact"/>
        <w:rPr>
          <w:rFonts w:ascii="Times New Roman" w:cs="Times New Roman" w:eastAsia="Times New Roman" w:hAnsi="Times New Roman"/>
          <w:sz w:val="17"/>
          <w:szCs w:val="17"/>
          <w:color w:val="auto"/>
        </w:rPr>
      </w:pPr>
    </w:p>
    <w:p>
      <w:pPr>
        <w:ind w:left="1140" w:right="300" w:hanging="504"/>
        <w:spacing w:after="0" w:line="266" w:lineRule="auto"/>
        <w:tabs>
          <w:tab w:leader="none" w:pos="114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2300" w:right="260" w:hanging="511"/>
        <w:spacing w:after="0" w:line="266" w:lineRule="auto"/>
        <w:tabs>
          <w:tab w:leader="none" w:pos="2300"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300" w:right="640" w:hanging="511"/>
        <w:spacing w:after="0" w:line="282" w:lineRule="auto"/>
        <w:tabs>
          <w:tab w:leader="none" w:pos="2300"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/s/Mathew Faulkner</w:t>
      </w: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Mathew Faulkner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of Green Thumb Industries Inc. (the “Company”) on Form 10-K for the fiscal year ended December 31, 2022 as filed with the Securities and Exchange Commission on the date hereof (the “Report”), I, Benjamin Kovler, Chief Executive Officer,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/s/Benjamin Kovler</w:t>
      </w: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Benjamin Kovler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95" w:name="page196"/>
    <w:bookmarkEnd w:id="195"/>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of Green Thumb Industries Inc. (the “Company”) on Form 10-K for the fiscal year ended December 31, 2022 as filed with the Securities and Exchange Commission on the date hereof (the “Report”), I, Anthony Georgiadis, Chief Financial Officer,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/s/Mathew Faulkner</w:t>
      </w: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Mathew Faulkner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96" w:name="page197"/>
    <w:bookmarkEnd w:id="19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46B5A9"/>
    <w:multiLevelType w:val="hybridMultilevel"/>
    <w:lvl w:ilvl="0">
      <w:lvlJc w:val="left"/>
      <w:lvlText w:val="☒"/>
      <w:numFmt w:val="bullet"/>
      <w:start w:val="1"/>
    </w:lvl>
  </w:abstractNum>
  <w:abstractNum w:abstractNumId="1">
    <w:nsid w:val="5D888A08"/>
    <w:multiLevelType w:val="hybridMultilevel"/>
    <w:lvl w:ilvl="0">
      <w:lvlJc w:val="left"/>
      <w:lvlText w:val="☐"/>
      <w:numFmt w:val="bullet"/>
      <w:start w:val="1"/>
    </w:lvl>
  </w:abstractNum>
  <w:abstractNum w:abstractNumId="2">
    <w:nsid w:val="2A082C70"/>
    <w:multiLevelType w:val="hybridMultilevel"/>
    <w:lvl w:ilvl="0">
      <w:lvlJc w:val="left"/>
      <w:lvlText w:val="•"/>
      <w:numFmt w:val="bullet"/>
      <w:start w:val="1"/>
    </w:lvl>
  </w:abstractNum>
  <w:abstractNum w:abstractNumId="3">
    <w:nsid w:val="5EC6AFD4"/>
    <w:multiLevelType w:val="hybridMultilevel"/>
    <w:lvl w:ilvl="0">
      <w:lvlJc w:val="left"/>
      <w:lvlText w:val="•"/>
      <w:numFmt w:val="bullet"/>
      <w:start w:val="1"/>
    </w:lvl>
  </w:abstractNum>
  <w:abstractNum w:abstractNumId="4">
    <w:nsid w:val="19E21BB2"/>
    <w:multiLevelType w:val="hybridMultilevel"/>
    <w:lvl w:ilvl="0">
      <w:lvlJc w:val="left"/>
      <w:lvlText w:val="•"/>
      <w:numFmt w:val="bullet"/>
      <w:start w:val="1"/>
    </w:lvl>
  </w:abstractNum>
  <w:abstractNum w:abstractNumId="5">
    <w:nsid w:val="75E0858A"/>
    <w:multiLevelType w:val="hybridMultilevel"/>
    <w:lvl w:ilvl="0">
      <w:lvlJc w:val="left"/>
      <w:lvlText w:val="(%1)"/>
      <w:numFmt w:val="lowerRoman"/>
      <w:start w:val="1"/>
    </w:lvl>
  </w:abstractNum>
  <w:abstractNum w:abstractNumId="6">
    <w:nsid w:val="57A61A29"/>
    <w:multiLevelType w:val="hybridMultilevel"/>
    <w:lvl w:ilvl="0">
      <w:lvlJc w:val="left"/>
      <w:lvlText w:val="•"/>
      <w:numFmt w:val="bullet"/>
      <w:start w:val="1"/>
    </w:lvl>
  </w:abstractNum>
  <w:abstractNum w:abstractNumId="7">
    <w:nsid w:val="5399C654"/>
    <w:multiLevelType w:val="hybridMultilevel"/>
    <w:lvl w:ilvl="0">
      <w:lvlJc w:val="left"/>
      <w:lvlText w:val="*"/>
      <w:numFmt w:val="bullet"/>
      <w:start w:val="1"/>
    </w:lvl>
  </w:abstractNum>
  <w:abstractNum w:abstractNumId="8">
    <w:nsid w:val="20EE1348"/>
    <w:multiLevelType w:val="hybridMultilevel"/>
    <w:lvl w:ilvl="0">
      <w:lvlJc w:val="left"/>
      <w:lvlText w:val="(%1)"/>
      <w:numFmt w:val="decimal"/>
      <w:start w:val="1"/>
    </w:lvl>
  </w:abstractNum>
  <w:abstractNum w:abstractNumId="9">
    <w:nsid w:val="4427069A"/>
    <w:multiLevelType w:val="hybridMultilevel"/>
    <w:lvl w:ilvl="0">
      <w:lvlJc w:val="left"/>
      <w:lvlText w:val="(%1)"/>
      <w:numFmt w:val="decimal"/>
      <w:start w:val="1"/>
    </w:lvl>
  </w:abstractNum>
  <w:abstractNum w:abstractNumId="10">
    <w:nsid w:val="B37E80A"/>
    <w:multiLevelType w:val="hybridMultilevel"/>
    <w:lvl w:ilvl="0">
      <w:lvlJc w:val="left"/>
      <w:lvlText w:val="(%1)"/>
      <w:numFmt w:val="lowerLetter"/>
      <w:start w:val="1"/>
    </w:lvl>
  </w:abstractNum>
  <w:abstractNum w:abstractNumId="11">
    <w:nsid w:val="2157F6BC"/>
    <w:multiLevelType w:val="hybridMultilevel"/>
    <w:lvl w:ilvl="0">
      <w:lvlJc w:val="left"/>
      <w:lvlText w:val="(%1)"/>
      <w:numFmt w:val="lowerLetter"/>
      <w:start w:val="1"/>
    </w:lvl>
  </w:abstractNum>
  <w:abstractNum w:abstractNumId="12">
    <w:nsid w:val="704E1DD5"/>
    <w:multiLevelType w:val="hybridMultilevel"/>
    <w:lvl w:ilvl="0">
      <w:lvlJc w:val="left"/>
      <w:lvlText w:val="(%1)"/>
      <w:numFmt w:val="lowerLetter"/>
      <w:start w:val="2"/>
    </w:lvl>
  </w:abstractNum>
  <w:abstractNum w:abstractNumId="13">
    <w:nsid w:val="57D2F10E"/>
    <w:multiLevelType w:val="hybridMultilevel"/>
    <w:lvl w:ilvl="0">
      <w:lvlJc w:val="left"/>
      <w:lvlText w:val="(%1)"/>
      <w:numFmt w:val="lowerLetter"/>
      <w:start w:val="3"/>
    </w:lvl>
  </w:abstractNum>
  <w:abstractNum w:abstractNumId="14">
    <w:nsid w:val="BFFAE18"/>
    <w:multiLevelType w:val="hybridMultilevel"/>
    <w:lvl w:ilvl="0">
      <w:lvlJc w:val="left"/>
      <w:lvlText w:val="*"/>
      <w:numFmt w:val="bullet"/>
      <w:start w:val="1"/>
    </w:lvl>
  </w:abstractNum>
  <w:abstractNum w:abstractNumId="15">
    <w:nsid w:val="E3E47A8"/>
    <w:multiLevelType w:val="hybridMultilevel"/>
    <w:lvl w:ilvl="0">
      <w:lvlJc w:val="left"/>
      <w:lvlText w:val="^"/>
      <w:numFmt w:val="bullet"/>
      <w:start w:val="1"/>
    </w:lvl>
  </w:abstractNum>
  <w:abstractNum w:abstractNumId="16">
    <w:nsid w:val="2E48F044"/>
    <w:multiLevelType w:val="hybridMultilevel"/>
    <w:lvl w:ilvl="0">
      <w:lvlJc w:val="left"/>
      <w:lvlText w:val="#"/>
      <w:numFmt w:val="bullet"/>
      <w:start w:val="1"/>
    </w:lvl>
  </w:abstractNum>
  <w:abstractNum w:abstractNumId="17">
    <w:nsid w:val="49D0FEAC"/>
    <w:multiLevelType w:val="hybridMultilevel"/>
    <w:lvl w:ilvl="0">
      <w:lvlJc w:val="left"/>
      <w:lvlText w:val="+"/>
      <w:numFmt w:val="bullet"/>
      <w:start w:val="1"/>
    </w:lvl>
  </w:abstractNum>
  <w:abstractNum w:abstractNumId="18">
    <w:nsid w:val="4BEE5A5B"/>
    <w:multiLevelType w:val="hybridMultilevel"/>
    <w:lvl w:ilvl="0">
      <w:lvlJc w:val="left"/>
      <w:lvlText w:val="*"/>
      <w:numFmt w:val="bullet"/>
      <w:start w:val="1"/>
    </w:lvl>
  </w:abstractNum>
  <w:abstractNum w:abstractNumId="19">
    <w:nsid w:val="5551B9F3"/>
    <w:multiLevelType w:val="hybridMultilevel"/>
    <w:lvl w:ilvl="0">
      <w:lvlJc w:val="left"/>
      <w:lvlText w:val="%1."/>
      <w:numFmt w:val="decimal"/>
      <w:start w:val="1"/>
    </w:lvl>
  </w:abstractNum>
  <w:abstractNum w:abstractNumId="20">
    <w:nsid w:val="24F6AB8E"/>
    <w:multiLevelType w:val="hybridMultilevel"/>
    <w:lvl w:ilvl="0">
      <w:lvlJc w:val="left"/>
      <w:lvlText w:val="%1."/>
      <w:numFmt w:val="decimal"/>
      <w:start w:val="2"/>
    </w:lvl>
  </w:abstractNum>
  <w:abstractNum w:abstractNumId="21">
    <w:nsid w:val="634C574C"/>
    <w:multiLevelType w:val="hybridMultilevel"/>
    <w:lvl w:ilvl="0">
      <w:lvlJc w:val="left"/>
      <w:lvlText w:val="(%1)"/>
      <w:numFmt w:val="lowerLetter"/>
      <w:start w:val="1"/>
    </w:lvl>
  </w:abstractNum>
  <w:abstractNum w:abstractNumId="22">
    <w:nsid w:val="24E99DD7"/>
    <w:multiLevelType w:val="hybridMultilevel"/>
    <w:lvl w:ilvl="0">
      <w:lvlJc w:val="left"/>
      <w:lvlText w:val="(%1)"/>
      <w:numFmt w:val="lowerLetter"/>
      <w:start w:val="2"/>
    </w:lvl>
  </w:abstractNum>
  <w:abstractNum w:abstractNumId="23">
    <w:nsid w:val="2A31B62D"/>
    <w:multiLevelType w:val="hybridMultilevel"/>
    <w:lvl w:ilvl="0">
      <w:lvlJc w:val="left"/>
      <w:lvlText w:val="(%1)"/>
      <w:numFmt w:val="lowerLetter"/>
      <w:start w:val="3"/>
    </w:lvl>
  </w:abstractNum>
  <w:abstractNum w:abstractNumId="24">
    <w:nsid w:val="1849C29B"/>
    <w:multiLevelType w:val="hybridMultilevel"/>
    <w:lvl w:ilvl="0">
      <w:lvlJc w:val="left"/>
      <w:lvlText w:val="(%1)"/>
      <w:numFmt w:val="lowerLetter"/>
      <w:start w:val="4"/>
    </w:lvl>
  </w:abstractNum>
  <w:abstractNum w:abstractNumId="25">
    <w:nsid w:val="7DFF9D09"/>
    <w:multiLevelType w:val="hybridMultilevel"/>
    <w:lvl w:ilvl="0">
      <w:lvlJc w:val="left"/>
      <w:lvlText w:val="%1."/>
      <w:numFmt w:val="decimal"/>
      <w:start w:val="2"/>
    </w:lvl>
  </w:abstractNum>
  <w:abstractNum w:abstractNumId="26">
    <w:nsid w:val="754342"/>
    <w:multiLevelType w:val="hybridMultilevel"/>
    <w:lvl w:ilvl="0">
      <w:lvlJc w:val="left"/>
      <w:lvlText w:val="(%1)"/>
      <w:numFmt w:val="lowerLetter"/>
      <w:start w:val="4"/>
    </w:lvl>
  </w:abstractNum>
  <w:abstractNum w:abstractNumId="27">
    <w:nsid w:val="69E7F3E5"/>
    <w:multiLevelType w:val="hybridMultilevel"/>
    <w:lvl w:ilvl="0">
      <w:lvlJc w:val="left"/>
      <w:lvlText w:val="%1."/>
      <w:numFmt w:val="decimal"/>
      <w:start w:val="2"/>
    </w:lvl>
  </w:abstractNum>
  <w:abstractNum w:abstractNumId="28">
    <w:nsid w:val="2A6DE806"/>
    <w:multiLevelType w:val="hybridMultilevel"/>
    <w:lvl w:ilvl="0">
      <w:lvlJc w:val="left"/>
      <w:lvlText w:val="(%1)"/>
      <w:numFmt w:val="lowerLetter"/>
      <w:start w:val="5"/>
    </w:lvl>
  </w:abstractNum>
  <w:abstractNum w:abstractNumId="29">
    <w:nsid w:val="1816F8C4"/>
    <w:multiLevelType w:val="hybridMultilevel"/>
    <w:lvl w:ilvl="0">
      <w:lvlJc w:val="left"/>
      <w:lvlText w:val="(%1)"/>
      <w:numFmt w:val="lowerLetter"/>
      <w:start w:val="6"/>
    </w:lvl>
  </w:abstractNum>
  <w:abstractNum w:abstractNumId="30">
    <w:nsid w:val="37DF2233"/>
    <w:multiLevelType w:val="hybridMultilevel"/>
    <w:lvl w:ilvl="0">
      <w:lvlJc w:val="left"/>
      <w:lvlText w:val="(%1)"/>
      <w:numFmt w:val="lowerLetter"/>
      <w:start w:val="7"/>
    </w:lvl>
  </w:abstractNum>
  <w:abstractNum w:abstractNumId="31">
    <w:nsid w:val="7AB49DAF"/>
    <w:multiLevelType w:val="hybridMultilevel"/>
    <w:lvl w:ilvl="0">
      <w:lvlJc w:val="left"/>
      <w:lvlText w:val="(%1)"/>
      <w:numFmt w:val="lowerLetter"/>
      <w:start w:val="8"/>
    </w:lvl>
  </w:abstractNum>
  <w:abstractNum w:abstractNumId="32">
    <w:nsid w:val="759F82CD"/>
    <w:multiLevelType w:val="hybridMultilevel"/>
    <w:lvl w:ilvl="0">
      <w:lvlJc w:val="left"/>
      <w:lvlText w:val="(%1)"/>
      <w:numFmt w:val="lowerRoman"/>
      <w:start w:val="1"/>
    </w:lvl>
  </w:abstractNum>
  <w:abstractNum w:abstractNumId="33">
    <w:nsid w:val="61E74EA3"/>
    <w:multiLevelType w:val="hybridMultilevel"/>
    <w:lvl w:ilvl="0">
      <w:lvlJc w:val="left"/>
      <w:lvlText w:val="%1."/>
      <w:numFmt w:val="decimal"/>
      <w:start w:val="2"/>
    </w:lvl>
  </w:abstractNum>
  <w:abstractNum w:abstractNumId="34">
    <w:nsid w:val="597B4D84"/>
    <w:multiLevelType w:val="hybridMultilevel"/>
    <w:lvl w:ilvl="0">
      <w:lvlJc w:val="left"/>
      <w:lvlText w:val="(%1)"/>
      <w:numFmt w:val="lowerLetter"/>
      <w:start w:val="10"/>
    </w:lvl>
  </w:abstractNum>
  <w:abstractNum w:abstractNumId="35">
    <w:nsid w:val="F819E7F"/>
    <w:multiLevelType w:val="hybridMultilevel"/>
    <w:lvl w:ilvl="0">
      <w:lvlJc w:val="left"/>
      <w:lvlText w:val="(%1)"/>
      <w:numFmt w:val="lowerLetter"/>
      <w:start w:val="11"/>
    </w:lvl>
  </w:abstractNum>
  <w:abstractNum w:abstractNumId="36">
    <w:nsid w:val="57C7D42D"/>
    <w:multiLevelType w:val="hybridMultilevel"/>
    <w:lvl w:ilvl="0">
      <w:lvlJc w:val="left"/>
      <w:lvlText w:val="%1."/>
      <w:numFmt w:val="decimal"/>
      <w:start w:val="2"/>
    </w:lvl>
  </w:abstractNum>
  <w:abstractNum w:abstractNumId="37">
    <w:nsid w:val="312167AD"/>
    <w:multiLevelType w:val="hybridMultilevel"/>
    <w:lvl w:ilvl="0">
      <w:lvlJc w:val="left"/>
      <w:lvlText w:val="(%1)"/>
      <w:numFmt w:val="lowerLetter"/>
      <w:start w:val="12"/>
    </w:lvl>
  </w:abstractNum>
  <w:abstractNum w:abstractNumId="38">
    <w:nsid w:val="631B64D4"/>
    <w:multiLevelType w:val="hybridMultilevel"/>
    <w:lvl w:ilvl="0">
      <w:lvlJc w:val="left"/>
      <w:lvlText w:val="(%1)"/>
      <w:numFmt w:val="lowerLetter"/>
      <w:start w:val="13"/>
    </w:lvl>
  </w:abstractNum>
  <w:abstractNum w:abstractNumId="39">
    <w:nsid w:val="78B5E776"/>
    <w:multiLevelType w:val="hybridMultilevel"/>
    <w:lvl w:ilvl="0">
      <w:lvlJc w:val="left"/>
      <w:lvlText w:val="%1."/>
      <w:numFmt w:val="decimal"/>
      <w:start w:val="2"/>
    </w:lvl>
    <w:lvl w:ilvl="1">
      <w:lvlJc w:val="left"/>
      <w:lvlText w:val="(%2)"/>
      <w:numFmt w:val="lowerLetter"/>
      <w:start w:val="13"/>
    </w:lvl>
  </w:abstractNum>
  <w:abstractNum w:abstractNumId="40">
    <w:nsid w:val="75486E47"/>
    <w:multiLevelType w:val="hybridMultilevel"/>
    <w:lvl w:ilvl="0">
      <w:lvlJc w:val="left"/>
      <w:lvlText w:val="(%1)"/>
      <w:numFmt w:val="lowerLetter"/>
      <w:start w:val="14"/>
    </w:lvl>
  </w:abstractNum>
  <w:abstractNum w:abstractNumId="41">
    <w:nsid w:val="6E534CDE"/>
    <w:multiLevelType w:val="hybridMultilevel"/>
    <w:lvl w:ilvl="0">
      <w:lvlJc w:val="left"/>
      <w:lvlText w:val="(%1)"/>
      <w:numFmt w:val="lowerLetter"/>
      <w:start w:val="15"/>
    </w:lvl>
  </w:abstractNum>
  <w:abstractNum w:abstractNumId="42">
    <w:nsid w:val="1A0DDE32"/>
    <w:multiLevelType w:val="hybridMultilevel"/>
    <w:lvl w:ilvl="0">
      <w:lvlJc w:val="left"/>
      <w:lvlText w:val="•"/>
      <w:numFmt w:val="bullet"/>
      <w:start w:val="1"/>
    </w:lvl>
    <w:lvl w:ilvl="1">
      <w:lvlJc w:val="left"/>
      <w:lvlText w:val="•"/>
      <w:numFmt w:val="bullet"/>
      <w:start w:val="1"/>
    </w:lvl>
  </w:abstractNum>
  <w:abstractNum w:abstractNumId="43">
    <w:nsid w:val="65968C1C"/>
    <w:multiLevelType w:val="hybridMultilevel"/>
    <w:lvl w:ilvl="0">
      <w:lvlJc w:val="left"/>
      <w:lvlText w:val="%1."/>
      <w:numFmt w:val="decimal"/>
      <w:start w:val="2"/>
    </w:lvl>
  </w:abstractNum>
  <w:abstractNum w:abstractNumId="44">
    <w:nsid w:val="46263DEC"/>
    <w:multiLevelType w:val="hybridMultilevel"/>
    <w:lvl w:ilvl="0">
      <w:lvlJc w:val="left"/>
      <w:lvlText w:val="(%1)"/>
      <w:numFmt w:val="lowerLetter"/>
      <w:start w:val="15"/>
    </w:lvl>
  </w:abstractNum>
  <w:abstractNum w:abstractNumId="45">
    <w:nsid w:val="260D8C4A"/>
    <w:multiLevelType w:val="hybridMultilevel"/>
    <w:lvl w:ilvl="0">
      <w:lvlJc w:val="left"/>
      <w:lvlText w:val="(%1)"/>
      <w:numFmt w:val="lowerLetter"/>
      <w:start w:val="16"/>
    </w:lvl>
  </w:abstractNum>
  <w:abstractNum w:abstractNumId="46">
    <w:nsid w:val="73D4D3C4"/>
    <w:multiLevelType w:val="hybridMultilevel"/>
    <w:lvl w:ilvl="0">
      <w:lvlJc w:val="left"/>
      <w:lvlText w:val="(%1)"/>
      <w:numFmt w:val="lowerLetter"/>
      <w:start w:val="17"/>
    </w:lvl>
  </w:abstractNum>
  <w:abstractNum w:abstractNumId="47">
    <w:nsid w:val="746F2E30"/>
    <w:multiLevelType w:val="hybridMultilevel"/>
    <w:lvl w:ilvl="0">
      <w:lvlJc w:val="left"/>
      <w:lvlText w:val="%1."/>
      <w:numFmt w:val="decimal"/>
      <w:start w:val="2"/>
    </w:lvl>
  </w:abstractNum>
  <w:abstractNum w:abstractNumId="48">
    <w:nsid w:val="6FDE8AF6"/>
    <w:multiLevelType w:val="hybridMultilevel"/>
    <w:lvl w:ilvl="0">
      <w:lvlJc w:val="left"/>
      <w:lvlText w:val="(%1)"/>
      <w:numFmt w:val="lowerLetter"/>
      <w:start w:val="17"/>
    </w:lvl>
  </w:abstractNum>
  <w:abstractNum w:abstractNumId="49">
    <w:nsid w:val="3FC32E20"/>
    <w:multiLevelType w:val="hybridMultilevel"/>
    <w:lvl w:ilvl="0">
      <w:lvlJc w:val="left"/>
      <w:lvlText w:val="(%1)"/>
      <w:numFmt w:val="lowerLetter"/>
      <w:start w:val="18"/>
    </w:lvl>
  </w:abstractNum>
  <w:abstractNum w:abstractNumId="50">
    <w:nsid w:val="49C0E823"/>
    <w:multiLevelType w:val="hybridMultilevel"/>
    <w:lvl w:ilvl="0">
      <w:lvlJc w:val="left"/>
      <w:lvlText w:val="(%1)"/>
      <w:numFmt w:val="lowerLetter"/>
      <w:start w:val="19"/>
    </w:lvl>
  </w:abstractNum>
  <w:abstractNum w:abstractNumId="51">
    <w:nsid w:val="14D53685"/>
    <w:multiLevelType w:val="hybridMultilevel"/>
    <w:lvl w:ilvl="0">
      <w:lvlJc w:val="left"/>
      <w:lvlText w:val="(%1)"/>
      <w:numFmt w:val="lowerLetter"/>
      <w:start w:val="20"/>
    </w:lvl>
  </w:abstractNum>
  <w:abstractNum w:abstractNumId="52">
    <w:nsid w:val="230F856C"/>
    <w:multiLevelType w:val="hybridMultilevel"/>
    <w:lvl w:ilvl="0">
      <w:lvlJc w:val="left"/>
      <w:lvlText w:val="%1."/>
      <w:numFmt w:val="decimal"/>
      <w:start w:val="2"/>
    </w:lvl>
  </w:abstractNum>
  <w:abstractNum w:abstractNumId="53">
    <w:nsid w:val="6EAA85FB"/>
    <w:multiLevelType w:val="hybridMultilevel"/>
    <w:lvl w:ilvl="0">
      <w:lvlJc w:val="left"/>
      <w:lvlText w:val="(%1)"/>
      <w:numFmt w:val="lowerLetter"/>
      <w:start w:val="20"/>
    </w:lvl>
  </w:abstractNum>
  <w:abstractNum w:abstractNumId="54">
    <w:nsid w:val="3F06ECB2"/>
    <w:multiLevelType w:val="hybridMultilevel"/>
    <w:lvl w:ilvl="0">
      <w:lvlJc w:val="left"/>
      <w:lvlText w:val="(%1)"/>
      <w:numFmt w:val="lowerLetter"/>
      <w:start w:val="21"/>
    </w:lvl>
  </w:abstractNum>
  <w:abstractNum w:abstractNumId="55">
    <w:nsid w:val="3B594807"/>
    <w:multiLevelType w:val="hybridMultilevel"/>
    <w:lvl w:ilvl="0">
      <w:lvlJc w:val="left"/>
      <w:lvlText w:val="(%1)"/>
      <w:numFmt w:val="lowerRoman"/>
      <w:start w:val="5"/>
    </w:lvl>
  </w:abstractNum>
  <w:abstractNum w:abstractNumId="56">
    <w:nsid w:val="6CAA2304"/>
    <w:multiLevelType w:val="hybridMultilevel"/>
    <w:lvl w:ilvl="0">
      <w:lvlJc w:val="left"/>
      <w:lvlText w:val="(%1)"/>
      <w:numFmt w:val="lowerLetter"/>
      <w:start w:val="23"/>
    </w:lvl>
  </w:abstractNum>
  <w:abstractNum w:abstractNumId="57">
    <w:nsid w:val="3F7C2FF4"/>
    <w:multiLevelType w:val="hybridMultilevel"/>
    <w:lvl w:ilvl="0">
      <w:lvlJc w:val="left"/>
      <w:lvlText w:val="%1."/>
      <w:numFmt w:val="decimal"/>
      <w:start w:val="2"/>
    </w:lvl>
  </w:abstractNum>
  <w:abstractNum w:abstractNumId="58">
    <w:nsid w:val="25413BEC"/>
    <w:multiLevelType w:val="hybridMultilevel"/>
    <w:lvl w:ilvl="0">
      <w:lvlJc w:val="left"/>
      <w:lvlText w:val="(%1)"/>
      <w:numFmt w:val="lowerRoman"/>
      <w:start w:val="10"/>
    </w:lvl>
  </w:abstractNum>
  <w:abstractNum w:abstractNumId="59">
    <w:nsid w:val="17180B0B"/>
    <w:multiLevelType w:val="hybridMultilevel"/>
    <w:lvl w:ilvl="0">
      <w:lvlJc w:val="left"/>
      <w:lvlText w:val="(%1)"/>
      <w:numFmt w:val="lowerRoman"/>
      <w:start w:val="1"/>
    </w:lvl>
  </w:abstractNum>
  <w:abstractNum w:abstractNumId="60">
    <w:nsid w:val="579328B9"/>
    <w:multiLevelType w:val="hybridMultilevel"/>
    <w:lvl w:ilvl="0">
      <w:lvlJc w:val="left"/>
      <w:lvlText w:val="(%1)"/>
      <w:numFmt w:val="lowerRoman"/>
      <w:start w:val="2"/>
    </w:lvl>
  </w:abstractNum>
  <w:abstractNum w:abstractNumId="61">
    <w:nsid w:val="5D205E20"/>
    <w:multiLevelType w:val="hybridMultilevel"/>
    <w:lvl w:ilvl="0">
      <w:lvlJc w:val="left"/>
      <w:lvlText w:val="(%1)"/>
      <w:numFmt w:val="lowerRoman"/>
      <w:start w:val="4"/>
    </w:lvl>
  </w:abstractNum>
  <w:abstractNum w:abstractNumId="62">
    <w:nsid w:val="11CCA8BA"/>
    <w:multiLevelType w:val="hybridMultilevel"/>
    <w:lvl w:ilvl="0">
      <w:lvlJc w:val="left"/>
      <w:lvlText w:val="%1."/>
      <w:numFmt w:val="decimal"/>
      <w:start w:val="2"/>
    </w:lvl>
  </w:abstractNum>
  <w:abstractNum w:abstractNumId="63">
    <w:nsid w:val="4D32AB86"/>
    <w:multiLevelType w:val="hybridMultilevel"/>
    <w:lvl w:ilvl="0">
      <w:lvlJc w:val="left"/>
      <w:lvlText w:val="(%1)"/>
      <w:numFmt w:val="lowerRoman"/>
      <w:start w:val="10"/>
    </w:lvl>
    <w:lvl w:ilvl="1">
      <w:lvlJc w:val="left"/>
      <w:lvlText w:val="(%2)"/>
      <w:numFmt w:val="lowerRoman"/>
      <w:start w:val="5"/>
    </w:lvl>
  </w:abstractNum>
  <w:abstractNum w:abstractNumId="64">
    <w:nsid w:val="3F07ACC3"/>
    <w:multiLevelType w:val="hybridMultilevel"/>
    <w:lvl w:ilvl="0">
      <w:lvlJc w:val="left"/>
      <w:lvlText w:val="(%1)"/>
      <w:numFmt w:val="lowerRoman"/>
      <w:start w:val="6"/>
    </w:lvl>
  </w:abstractNum>
  <w:abstractNum w:abstractNumId="65">
    <w:nsid w:val="6B47F63E"/>
    <w:multiLevelType w:val="hybridMultilevel"/>
    <w:lvl w:ilvl="0">
      <w:lvlJc w:val="left"/>
      <w:lvlText w:val="%1."/>
      <w:numFmt w:val="decimal"/>
      <w:start w:val="2"/>
    </w:lvl>
  </w:abstractNum>
  <w:abstractNum w:abstractNumId="66">
    <w:nsid w:val="5CB44A05"/>
    <w:multiLevelType w:val="hybridMultilevel"/>
    <w:lvl w:ilvl="0">
      <w:lvlJc w:val="left"/>
      <w:lvlText w:val="(%1)"/>
      <w:numFmt w:val="lowerRoman"/>
      <w:start w:val="10"/>
    </w:lvl>
    <w:lvl w:ilvl="1">
      <w:lvlJc w:val="left"/>
      <w:lvlText w:val="(%2)"/>
      <w:numFmt w:val="lowerRoman"/>
      <w:start w:val="7"/>
    </w:lvl>
  </w:abstractNum>
  <w:abstractNum w:abstractNumId="67">
    <w:nsid w:val="16CF80F1"/>
    <w:multiLevelType w:val="hybridMultilevel"/>
    <w:lvl w:ilvl="0">
      <w:lvlJc w:val="left"/>
      <w:lvlText w:val="(%1)"/>
      <w:numFmt w:val="lowerRoman"/>
      <w:start w:val="8"/>
    </w:lvl>
  </w:abstractNum>
  <w:abstractNum w:abstractNumId="68">
    <w:nsid w:val="1C695DEC"/>
    <w:multiLevelType w:val="hybridMultilevel"/>
    <w:lvl w:ilvl="0">
      <w:lvlJc w:val="left"/>
      <w:lvlText w:val="(%1)"/>
      <w:numFmt w:val="lowerRoman"/>
      <w:start w:val="9"/>
    </w:lvl>
  </w:abstractNum>
  <w:abstractNum w:abstractNumId="69">
    <w:nsid w:val="3FCFAED9"/>
    <w:multiLevelType w:val="hybridMultilevel"/>
    <w:lvl w:ilvl="0">
      <w:lvlJc w:val="left"/>
      <w:lvlText w:val="(%1)"/>
      <w:numFmt w:val="lowerRoman"/>
      <w:start w:val="10"/>
    </w:lvl>
  </w:abstractNum>
  <w:abstractNum w:abstractNumId="70">
    <w:nsid w:val="F856867"/>
    <w:multiLevelType w:val="hybridMultilevel"/>
    <w:lvl w:ilvl="0">
      <w:lvlJc w:val="left"/>
      <w:lvlText w:val="(%1)"/>
      <w:numFmt w:val="lowerLetter"/>
      <w:start w:val="25"/>
    </w:lvl>
    <w:lvl w:ilvl="1">
      <w:lvlJc w:val="left"/>
      <w:lvlText w:val="(%2)"/>
      <w:numFmt w:val="lowerRoman"/>
      <w:start w:val="1"/>
    </w:lvl>
  </w:abstractNum>
  <w:abstractNum w:abstractNumId="71">
    <w:nsid w:val="11B1CC33"/>
    <w:multiLevelType w:val="hybridMultilevel"/>
    <w:lvl w:ilvl="0">
      <w:lvlJc w:val="left"/>
      <w:lvlText w:val="%1."/>
      <w:numFmt w:val="decimal"/>
      <w:start w:val="2"/>
    </w:lvl>
    <w:lvl w:ilvl="1">
      <w:lvlJc w:val="left"/>
      <w:lvlText w:val="(%2)"/>
      <w:numFmt w:val="lowerLetter"/>
      <w:start w:val="25"/>
    </w:lvl>
    <w:lvl w:ilvl="2">
      <w:lvlJc w:val="left"/>
      <w:lvlText w:val="(%3)"/>
      <w:numFmt w:val="lowerRoman"/>
      <w:start w:val="3"/>
    </w:lvl>
  </w:abstractNum>
  <w:abstractNum w:abstractNumId="72">
    <w:nsid w:val="2E22FBB7"/>
    <w:multiLevelType w:val="hybridMultilevel"/>
    <w:lvl w:ilvl="0">
      <w:lvlJc w:val="left"/>
      <w:lvlText w:val="%1."/>
      <w:numFmt w:val="decimal"/>
      <w:start w:val="3"/>
    </w:lvl>
  </w:abstractNum>
  <w:abstractNum w:abstractNumId="73">
    <w:nsid w:val="29934699"/>
    <w:multiLevelType w:val="hybridMultilevel"/>
    <w:lvl w:ilvl="0">
      <w:lvlJc w:val="left"/>
      <w:lvlText w:val="%1."/>
      <w:numFmt w:val="decimal"/>
      <w:start w:val="4"/>
    </w:lvl>
  </w:abstractNum>
  <w:abstractNum w:abstractNumId="74">
    <w:nsid w:val="77485850"/>
    <w:multiLevelType w:val="hybridMultilevel"/>
    <w:lvl w:ilvl="0">
      <w:lvlJc w:val="left"/>
      <w:lvlText w:val="%1."/>
      <w:numFmt w:val="decimal"/>
      <w:start w:val="5"/>
    </w:lvl>
  </w:abstractNum>
  <w:abstractNum w:abstractNumId="75">
    <w:nsid w:val="744939A3"/>
    <w:multiLevelType w:val="hybridMultilevel"/>
    <w:lvl w:ilvl="0">
      <w:lvlJc w:val="left"/>
      <w:lvlText w:val="(%1)"/>
      <w:numFmt w:val="lowerLetter"/>
      <w:start w:val="1"/>
    </w:lvl>
  </w:abstractNum>
  <w:abstractNum w:abstractNumId="76">
    <w:nsid w:val="4FA0D2E3"/>
    <w:multiLevelType w:val="hybridMultilevel"/>
    <w:lvl w:ilvl="0">
      <w:lvlJc w:val="left"/>
      <w:lvlText w:val="%1."/>
      <w:numFmt w:val="decimal"/>
      <w:start w:val="5"/>
    </w:lvl>
  </w:abstractNum>
  <w:abstractNum w:abstractNumId="77">
    <w:nsid w:val="6B1D2C14"/>
    <w:multiLevelType w:val="hybridMultilevel"/>
    <w:lvl w:ilvl="0">
      <w:lvlJc w:val="left"/>
      <w:lvlText w:val="(%1)"/>
      <w:numFmt w:val="lowerLetter"/>
      <w:start w:val="2"/>
    </w:lvl>
  </w:abstractNum>
  <w:abstractNum w:abstractNumId="78">
    <w:nsid w:val="68B867D3"/>
    <w:multiLevelType w:val="hybridMultilevel"/>
    <w:lvl w:ilvl="0">
      <w:lvlJc w:val="left"/>
      <w:lvlText w:val="%1."/>
      <w:numFmt w:val="decimal"/>
      <w:start w:val="5"/>
    </w:lvl>
    <w:lvl w:ilvl="1">
      <w:lvlJc w:val="left"/>
      <w:lvlText w:val="(%2)"/>
      <w:numFmt w:val="lowerLetter"/>
      <w:start w:val="2"/>
    </w:lvl>
  </w:abstractNum>
  <w:abstractNum w:abstractNumId="79">
    <w:nsid w:val="3F7F5DD9"/>
    <w:multiLevelType w:val="hybridMultilevel"/>
    <w:lvl w:ilvl="0">
      <w:lvlJc w:val="left"/>
      <w:lvlText w:val="(%1)"/>
      <w:numFmt w:val="lowerRoman"/>
      <w:start w:val="1"/>
    </w:lvl>
  </w:abstractNum>
  <w:abstractNum w:abstractNumId="80">
    <w:nsid w:val="2AE05A34"/>
    <w:multiLevelType w:val="hybridMultilevel"/>
    <w:lvl w:ilvl="0">
      <w:lvlJc w:val="left"/>
      <w:lvlText w:val="(%1)"/>
      <w:numFmt w:val="lowerRoman"/>
      <w:start w:val="2"/>
    </w:lvl>
  </w:abstractNum>
  <w:abstractNum w:abstractNumId="81">
    <w:nsid w:val="32794FF7"/>
    <w:multiLevelType w:val="hybridMultilevel"/>
    <w:lvl w:ilvl="0">
      <w:lvlJc w:val="left"/>
      <w:lvlText w:val="(%1)"/>
      <w:numFmt w:val="lowerRoman"/>
      <w:start w:val="3"/>
    </w:lvl>
  </w:abstractNum>
  <w:abstractNum w:abstractNumId="82">
    <w:nsid w:val="5454945E"/>
    <w:multiLevelType w:val="hybridMultilevel"/>
    <w:lvl w:ilvl="0">
      <w:lvlJc w:val="left"/>
      <w:lvlText w:val="(%1)"/>
      <w:numFmt w:val="lowerRoman"/>
      <w:start w:val="4"/>
    </w:lvl>
  </w:abstractNum>
  <w:abstractNum w:abstractNumId="83">
    <w:nsid w:val="4DEFDFA0"/>
    <w:multiLevelType w:val="hybridMultilevel"/>
    <w:lvl w:ilvl="0">
      <w:lvlJc w:val="left"/>
      <w:lvlText w:val="%1."/>
      <w:numFmt w:val="decimal"/>
      <w:start w:val="6"/>
    </w:lvl>
  </w:abstractNum>
  <w:abstractNum w:abstractNumId="84">
    <w:nsid w:val="2123D5F2"/>
    <w:multiLevelType w:val="hybridMultilevel"/>
    <w:lvl w:ilvl="0">
      <w:lvlJc w:val="left"/>
      <w:lvlText w:val="(%1)"/>
      <w:numFmt w:val="lowerLetter"/>
      <w:start w:val="1"/>
    </w:lvl>
  </w:abstractNum>
  <w:abstractNum w:abstractNumId="85">
    <w:nsid w:val="135B8110"/>
    <w:multiLevelType w:val="hybridMultilevel"/>
    <w:lvl w:ilvl="0">
      <w:lvlJc w:val="left"/>
      <w:lvlText w:val="%1."/>
      <w:numFmt w:val="decimal"/>
      <w:start w:val="6"/>
    </w:lvl>
  </w:abstractNum>
  <w:abstractNum w:abstractNumId="86">
    <w:nsid w:val="94927A8"/>
    <w:multiLevelType w:val="hybridMultilevel"/>
    <w:lvl w:ilvl="0">
      <w:lvlJc w:val="left"/>
      <w:lvlText w:val="%1."/>
      <w:numFmt w:val="decimal"/>
      <w:start w:val="7"/>
    </w:lvl>
  </w:abstractNum>
  <w:abstractNum w:abstractNumId="87">
    <w:nsid w:val="DCDF8F6"/>
    <w:multiLevelType w:val="hybridMultilevel"/>
    <w:lvl w:ilvl="0">
      <w:lvlJc w:val="left"/>
      <w:lvlText w:val="%1."/>
      <w:numFmt w:val="decimal"/>
      <w:start w:val="7"/>
    </w:lvl>
    <w:lvl w:ilvl="1">
      <w:lvlJc w:val="left"/>
      <w:lvlText w:val="(%2)"/>
      <w:numFmt w:val="lowerLetter"/>
      <w:start w:val="1"/>
    </w:lvl>
  </w:abstractNum>
  <w:abstractNum w:abstractNumId="88">
    <w:nsid w:val="52D7B105"/>
    <w:multiLevelType w:val="hybridMultilevel"/>
    <w:lvl w:ilvl="0">
      <w:lvlJc w:val="left"/>
      <w:lvlText w:val="%1."/>
      <w:numFmt w:val="decimal"/>
      <w:start w:val="8"/>
    </w:lvl>
  </w:abstractNum>
  <w:abstractNum w:abstractNumId="89">
    <w:nsid w:val="2E8A6394"/>
    <w:multiLevelType w:val="hybridMultilevel"/>
    <w:lvl w:ilvl="0">
      <w:lvlJc w:val="left"/>
      <w:lvlText w:val="(%1)"/>
      <w:numFmt w:val="lowerLetter"/>
      <w:start w:val="1"/>
    </w:lvl>
  </w:abstractNum>
  <w:abstractNum w:abstractNumId="90">
    <w:nsid w:val="24E60401"/>
    <w:multiLevelType w:val="hybridMultilevel"/>
    <w:lvl w:ilvl="0">
      <w:lvlJc w:val="left"/>
      <w:lvlText w:val="(%1)"/>
      <w:numFmt w:val="lowerLetter"/>
      <w:start w:val="2"/>
    </w:lvl>
  </w:abstractNum>
  <w:abstractNum w:abstractNumId="91">
    <w:nsid w:val="2A6AD9BE"/>
    <w:multiLevelType w:val="hybridMultilevel"/>
    <w:lvl w:ilvl="0">
      <w:lvlJc w:val="left"/>
      <w:lvlText w:val="%1."/>
      <w:numFmt w:val="decimal"/>
      <w:start w:val="8"/>
    </w:lvl>
  </w:abstractNum>
  <w:abstractNum w:abstractNumId="92">
    <w:nsid w:val="BAAC1B4"/>
    <w:multiLevelType w:val="hybridMultilevel"/>
    <w:lvl w:ilvl="0">
      <w:lvlJc w:val="left"/>
      <w:lvlText w:val="(%1)"/>
      <w:numFmt w:val="lowerLetter"/>
      <w:start w:val="3"/>
    </w:lvl>
  </w:abstractNum>
  <w:abstractNum w:abstractNumId="93">
    <w:nsid w:val="36B2ACBC"/>
    <w:multiLevelType w:val="hybridMultilevel"/>
    <w:lvl w:ilvl="0">
      <w:lvlJc w:val="left"/>
      <w:lvlText w:val="(%1)"/>
      <w:numFmt w:val="lowerRoman"/>
      <w:start w:val="1"/>
    </w:lvl>
  </w:abstractNum>
  <w:abstractNum w:abstractNumId="94">
    <w:nsid w:val="779D8544"/>
    <w:multiLevelType w:val="hybridMultilevel"/>
    <w:lvl w:ilvl="0">
      <w:lvlJc w:val="left"/>
      <w:lvlText w:val="(%1)"/>
      <w:numFmt w:val="lowerRoman"/>
      <w:start w:val="3"/>
    </w:lvl>
  </w:abstractNum>
  <w:abstractNum w:abstractNumId="95">
    <w:nsid w:val="4AB26E78"/>
    <w:multiLevelType w:val="hybridMultilevel"/>
    <w:lvl w:ilvl="0">
      <w:lvlJc w:val="left"/>
      <w:lvlText w:val="%1."/>
      <w:numFmt w:val="decimal"/>
      <w:start w:val="9"/>
    </w:lvl>
  </w:abstractNum>
  <w:abstractNum w:abstractNumId="96">
    <w:nsid w:val="21FAA2FA"/>
    <w:multiLevelType w:val="hybridMultilevel"/>
    <w:lvl w:ilvl="0">
      <w:lvlJc w:val="left"/>
      <w:lvlText w:val="1"/>
      <w:numFmt w:val="bullet"/>
      <w:start w:val="1"/>
    </w:lvl>
  </w:abstractNum>
  <w:abstractNum w:abstractNumId="97">
    <w:nsid w:val="5451CF49"/>
    <w:multiLevelType w:val="hybridMultilevel"/>
    <w:lvl w:ilvl="0">
      <w:lvlJc w:val="left"/>
      <w:lvlText w:val="2"/>
      <w:numFmt w:val="bullet"/>
      <w:start w:val="1"/>
    </w:lvl>
  </w:abstractNum>
  <w:abstractNum w:abstractNumId="98">
    <w:nsid w:val="6181EF69"/>
    <w:multiLevelType w:val="hybridMultilevel"/>
    <w:lvl w:ilvl="0">
      <w:lvlJc w:val="left"/>
      <w:lvlText w:val="3"/>
      <w:numFmt w:val="bullet"/>
      <w:start w:val="1"/>
    </w:lvl>
  </w:abstractNum>
  <w:abstractNum w:abstractNumId="99">
    <w:nsid w:val="3E6400E6"/>
    <w:multiLevelType w:val="hybridMultilevel"/>
    <w:lvl w:ilvl="0">
      <w:lvlJc w:val="left"/>
      <w:lvlText w:val="(%1)"/>
      <w:numFmt w:val="lowerLetter"/>
      <w:start w:val="1"/>
    </w:lvl>
  </w:abstractNum>
  <w:abstractNum w:abstractNumId="100">
    <w:nsid w:val="14217E23"/>
    <w:multiLevelType w:val="hybridMultilevel"/>
    <w:lvl w:ilvl="0">
      <w:lvlJc w:val="left"/>
      <w:lvlText w:val="%1."/>
      <w:numFmt w:val="decimal"/>
      <w:start w:val="9"/>
    </w:lvl>
    <w:lvl w:ilvl="1">
      <w:lvlJc w:val="left"/>
      <w:lvlText w:val="(%2)"/>
      <w:numFmt w:val="lowerLetter"/>
      <w:start w:val="1"/>
    </w:lvl>
  </w:abstractNum>
  <w:abstractNum w:abstractNumId="101">
    <w:nsid w:val="710757D0"/>
    <w:multiLevelType w:val="hybridMultilevel"/>
    <w:lvl w:ilvl="0">
      <w:lvlJc w:val="left"/>
      <w:lvlText w:val="(%1)"/>
      <w:numFmt w:val="lowerLetter"/>
      <w:start w:val="2"/>
    </w:lvl>
  </w:abstractNum>
  <w:abstractNum w:abstractNumId="102">
    <w:nsid w:val="5015CD1A"/>
    <w:multiLevelType w:val="hybridMultilevel"/>
    <w:lvl w:ilvl="0">
      <w:lvlJc w:val="left"/>
      <w:lvlText w:val="(%1)"/>
      <w:numFmt w:val="lowerLetter"/>
      <w:start w:val="3"/>
    </w:lvl>
  </w:abstractNum>
  <w:abstractNum w:abstractNumId="103">
    <w:nsid w:val="424479DA"/>
    <w:multiLevelType w:val="hybridMultilevel"/>
    <w:lvl w:ilvl="0">
      <w:lvlJc w:val="left"/>
      <w:lvlText w:val="%1."/>
      <w:numFmt w:val="decimal"/>
      <w:start w:val="10"/>
    </w:lvl>
  </w:abstractNum>
  <w:abstractNum w:abstractNumId="104">
    <w:nsid w:val="1A9A9E69"/>
    <w:multiLevelType w:val="hybridMultilevel"/>
    <w:lvl w:ilvl="0">
      <w:lvlJc w:val="left"/>
      <w:lvlText w:val="(%1)"/>
      <w:numFmt w:val="lowerLetter"/>
      <w:start w:val="1"/>
    </w:lvl>
  </w:abstractNum>
  <w:abstractNum w:abstractNumId="105">
    <w:nsid w:val="475E256A"/>
    <w:multiLevelType w:val="hybridMultilevel"/>
    <w:lvl w:ilvl="0">
      <w:lvlJc w:val="left"/>
      <w:lvlText w:val="%1."/>
      <w:numFmt w:val="decimal"/>
      <w:start w:val="10"/>
    </w:lvl>
  </w:abstractNum>
  <w:abstractNum w:abstractNumId="106">
    <w:nsid w:val="368DB37E"/>
    <w:multiLevelType w:val="hybridMultilevel"/>
    <w:lvl w:ilvl="0">
      <w:lvlJc w:val="left"/>
      <w:lvlText w:val="(%1)"/>
      <w:numFmt w:val="lowerLetter"/>
      <w:start w:val="2"/>
    </w:lvl>
  </w:abstractNum>
  <w:abstractNum w:abstractNumId="107">
    <w:nsid w:val="6A3B714C"/>
    <w:multiLevelType w:val="hybridMultilevel"/>
    <w:lvl w:ilvl="0">
      <w:lvlJc w:val="left"/>
      <w:lvlText w:val="%1."/>
      <w:numFmt w:val="decimal"/>
      <w:start w:val="11"/>
    </w:lvl>
  </w:abstractNum>
  <w:abstractNum w:abstractNumId="108">
    <w:nsid w:val="327B517E"/>
    <w:multiLevelType w:val="hybridMultilevel"/>
    <w:lvl w:ilvl="0">
      <w:lvlJc w:val="left"/>
      <w:lvlText w:val="(%1)"/>
      <w:numFmt w:val="lowerLetter"/>
      <w:start w:val="1"/>
    </w:lvl>
  </w:abstractNum>
  <w:abstractNum w:abstractNumId="109">
    <w:nsid w:val="1F461B51"/>
    <w:multiLevelType w:val="hybridMultilevel"/>
    <w:lvl w:ilvl="0">
      <w:lvlJc w:val="left"/>
      <w:lvlText w:val="(%1)"/>
      <w:numFmt w:val="lowerRoman"/>
      <w:start w:val="1"/>
    </w:lvl>
  </w:abstractNum>
  <w:abstractNum w:abstractNumId="110">
    <w:nsid w:val="29BACF25"/>
    <w:multiLevelType w:val="hybridMultilevel"/>
    <w:lvl w:ilvl="0">
      <w:lvlJc w:val="left"/>
      <w:lvlText w:val="(%1)"/>
      <w:numFmt w:val="lowerRoman"/>
      <w:start w:val="2"/>
    </w:lvl>
  </w:abstractNum>
  <w:abstractNum w:abstractNumId="111">
    <w:nsid w:val="5D5BABB3"/>
    <w:multiLevelType w:val="hybridMultilevel"/>
    <w:lvl w:ilvl="0">
      <w:lvlJc w:val="left"/>
      <w:lvlText w:val="(%1)"/>
      <w:numFmt w:val="lowerRoman"/>
      <w:start w:val="3"/>
    </w:lvl>
  </w:abstractNum>
  <w:abstractNum w:abstractNumId="112">
    <w:nsid w:val="51BF6B48"/>
    <w:multiLevelType w:val="hybridMultilevel"/>
    <w:lvl w:ilvl="0">
      <w:lvlJc w:val="left"/>
      <w:lvlText w:val="%1."/>
      <w:numFmt w:val="decimal"/>
      <w:start w:val="11"/>
    </w:lvl>
  </w:abstractNum>
  <w:abstractNum w:abstractNumId="113">
    <w:nsid w:val="7E0F6384"/>
    <w:multiLevelType w:val="hybridMultilevel"/>
    <w:lvl w:ilvl="0">
      <w:lvlJc w:val="left"/>
      <w:lvlText w:val="(%1)"/>
      <w:numFmt w:val="lowerLetter"/>
      <w:start w:val="2"/>
    </w:lvl>
  </w:abstractNum>
  <w:abstractNum w:abstractNumId="114">
    <w:nsid w:val="2B4B8B53"/>
    <w:multiLevelType w:val="hybridMultilevel"/>
    <w:lvl w:ilvl="0">
      <w:lvlJc w:val="left"/>
      <w:lvlText w:val="(%1)"/>
      <w:numFmt w:val="lowerRoman"/>
      <w:start w:val="1"/>
    </w:lvl>
  </w:abstractNum>
  <w:abstractNum w:abstractNumId="115">
    <w:nsid w:val="72E3413A"/>
    <w:multiLevelType w:val="hybridMultilevel"/>
    <w:lvl w:ilvl="0">
      <w:lvlJc w:val="left"/>
      <w:lvlText w:val="%1."/>
      <w:numFmt w:val="decimal"/>
      <w:start w:val="11"/>
    </w:lvl>
  </w:abstractNum>
  <w:abstractNum w:abstractNumId="116">
    <w:nsid w:val="116AE494"/>
    <w:multiLevelType w:val="hybridMultilevel"/>
    <w:lvl w:ilvl="0">
      <w:lvlJc w:val="left"/>
      <w:lvlText w:val="(%1)"/>
      <w:numFmt w:val="lowerLetter"/>
      <w:start w:val="2"/>
    </w:lvl>
    <w:lvl w:ilvl="1">
      <w:lvlJc w:val="left"/>
      <w:lvlText w:val="(%2)"/>
      <w:numFmt w:val="lowerLetter"/>
      <w:start w:val="35"/>
    </w:lvl>
  </w:abstractNum>
  <w:abstractNum w:abstractNumId="117">
    <w:nsid w:val="3494B2FB"/>
    <w:multiLevelType w:val="hybridMultilevel"/>
    <w:lvl w:ilvl="0">
      <w:lvlJc w:val="left"/>
      <w:lvlText w:val="(%1)"/>
      <w:numFmt w:val="lowerRoman"/>
      <w:start w:val="3"/>
    </w:lvl>
  </w:abstractNum>
  <w:abstractNum w:abstractNumId="118">
    <w:nsid w:val="B13A31"/>
    <w:multiLevelType w:val="hybridMultilevel"/>
    <w:lvl w:ilvl="0">
      <w:lvlJc w:val="left"/>
      <w:lvlText w:val="(%1)"/>
      <w:numFmt w:val="lowerRoman"/>
      <w:start w:val="4"/>
    </w:lvl>
  </w:abstractNum>
  <w:abstractNum w:abstractNumId="119">
    <w:nsid w:val="64429599"/>
    <w:multiLevelType w:val="hybridMultilevel"/>
    <w:lvl w:ilvl="0">
      <w:lvlJc w:val="left"/>
      <w:lvlText w:val="%1."/>
      <w:numFmt w:val="decimal"/>
      <w:start w:val="11"/>
    </w:lvl>
  </w:abstractNum>
  <w:abstractNum w:abstractNumId="120">
    <w:nsid w:val="631F1690"/>
    <w:multiLevelType w:val="hybridMultilevel"/>
    <w:lvl w:ilvl="0">
      <w:lvlJc w:val="left"/>
      <w:lvlText w:val="(%1)"/>
      <w:numFmt w:val="lowerLetter"/>
      <w:start w:val="3"/>
    </w:lvl>
  </w:abstractNum>
  <w:abstractNum w:abstractNumId="121">
    <w:nsid w:val="25973E32"/>
    <w:multiLevelType w:val="hybridMultilevel"/>
    <w:lvl w:ilvl="0">
      <w:lvlJc w:val="left"/>
      <w:lvlText w:val="%1."/>
      <w:numFmt w:val="decimal"/>
      <w:start w:val="11"/>
    </w:lvl>
  </w:abstractNum>
  <w:abstractNum w:abstractNumId="122">
    <w:nsid w:val="EAD6F57"/>
    <w:multiLevelType w:val="hybridMultilevel"/>
    <w:lvl w:ilvl="0">
      <w:lvlJc w:val="left"/>
      <w:lvlText w:val="(%1)"/>
      <w:numFmt w:val="lowerLetter"/>
      <w:start w:val="3"/>
    </w:lvl>
  </w:abstractNum>
  <w:abstractNum w:abstractNumId="123">
    <w:nsid w:val="6EC9D844"/>
    <w:multiLevelType w:val="hybridMultilevel"/>
    <w:lvl w:ilvl="0">
      <w:lvlJc w:val="left"/>
      <w:lvlText w:val="%1."/>
      <w:numFmt w:val="decimal"/>
      <w:start w:val="12"/>
    </w:lvl>
  </w:abstractNum>
  <w:abstractNum w:abstractNumId="124">
    <w:nsid w:val="5C49EAEE"/>
    <w:multiLevelType w:val="hybridMultilevel"/>
    <w:lvl w:ilvl="0">
      <w:lvlJc w:val="left"/>
      <w:lvlText w:val="%1."/>
      <w:numFmt w:val="decimal"/>
      <w:start w:val="12"/>
    </w:lvl>
  </w:abstractNum>
  <w:abstractNum w:abstractNumId="125">
    <w:nsid w:val="64AF49B"/>
    <w:multiLevelType w:val="hybridMultilevel"/>
    <w:lvl w:ilvl="0">
      <w:lvlJc w:val="left"/>
      <w:lvlText w:val="%1."/>
      <w:numFmt w:val="decimal"/>
      <w:start w:val="12"/>
    </w:lvl>
  </w:abstractNum>
  <w:abstractNum w:abstractNumId="126">
    <w:nsid w:val="397C46BC"/>
    <w:multiLevelType w:val="hybridMultilevel"/>
    <w:lvl w:ilvl="0">
      <w:lvlJc w:val="left"/>
      <w:lvlText w:val="%1."/>
      <w:numFmt w:val="decimal"/>
      <w:start w:val="13"/>
    </w:lvl>
  </w:abstractNum>
  <w:abstractNum w:abstractNumId="127">
    <w:nsid w:val="7E448DE9"/>
    <w:multiLevelType w:val="hybridMultilevel"/>
    <w:lvl w:ilvl="0">
      <w:lvlJc w:val="left"/>
      <w:lvlText w:val="%1."/>
      <w:numFmt w:val="decimal"/>
      <w:start w:val="14"/>
    </w:lvl>
  </w:abstractNum>
  <w:abstractNum w:abstractNumId="128">
    <w:nsid w:val="5A9CC3E5"/>
    <w:multiLevelType w:val="hybridMultilevel"/>
    <w:lvl w:ilvl="0">
      <w:lvlJc w:val="left"/>
      <w:lvlText w:val="(%1)"/>
      <w:numFmt w:val="lowerLetter"/>
      <w:start w:val="1"/>
    </w:lvl>
  </w:abstractNum>
  <w:abstractNum w:abstractNumId="129">
    <w:nsid w:val="1AFE3625"/>
    <w:multiLevelType w:val="hybridMultilevel"/>
    <w:lvl w:ilvl="0">
      <w:lvlJc w:val="left"/>
      <w:lvlText w:val="(%1)"/>
      <w:numFmt w:val="lowerLetter"/>
      <w:start w:val="2"/>
    </w:lvl>
  </w:abstractNum>
  <w:abstractNum w:abstractNumId="130">
    <w:nsid w:val="3CA88ECF"/>
    <w:multiLevelType w:val="hybridMultilevel"/>
    <w:lvl w:ilvl="0">
      <w:lvlJc w:val="left"/>
      <w:lvlText w:val="(%1)"/>
      <w:numFmt w:val="lowerLetter"/>
      <w:start w:val="3"/>
    </w:lvl>
  </w:abstractNum>
  <w:abstractNum w:abstractNumId="131">
    <w:nsid w:val="6EBE4208"/>
    <w:multiLevelType w:val="hybridMultilevel"/>
    <w:lvl w:ilvl="0">
      <w:lvlJc w:val="left"/>
      <w:lvlText w:val="%1."/>
      <w:numFmt w:val="decimal"/>
      <w:start w:val="15"/>
    </w:lvl>
  </w:abstractNum>
  <w:abstractNum w:abstractNumId="132">
    <w:nsid w:val="C058DF5"/>
    <w:multiLevelType w:val="hybridMultilevel"/>
    <w:lvl w:ilvl="0">
      <w:lvlJc w:val="left"/>
      <w:lvlText w:val="(%1)"/>
      <w:numFmt w:val="lowerLetter"/>
      <w:start w:val="1"/>
    </w:lvl>
  </w:abstractNum>
  <w:abstractNum w:abstractNumId="133">
    <w:nsid w:val="CBE5BE9"/>
    <w:multiLevelType w:val="hybridMultilevel"/>
    <w:lvl w:ilvl="0">
      <w:lvlJc w:val="left"/>
      <w:lvlText w:val="%1."/>
      <w:numFmt w:val="decimal"/>
      <w:start w:val="15"/>
    </w:lvl>
  </w:abstractNum>
  <w:abstractNum w:abstractNumId="134">
    <w:nsid w:val="3102BBE2"/>
    <w:multiLevelType w:val="hybridMultilevel"/>
    <w:lvl w:ilvl="0">
      <w:lvlJc w:val="left"/>
      <w:lvlText w:val="%1."/>
      <w:numFmt w:val="decimal"/>
      <w:start w:val="16"/>
    </w:lvl>
  </w:abstractNum>
  <w:abstractNum w:abstractNumId="135">
    <w:nsid w:val="26A02C5E"/>
    <w:multiLevelType w:val="hybridMultilevel"/>
    <w:lvl w:ilvl="0">
      <w:lvlJc w:val="left"/>
      <w:lvlText w:val="%1."/>
      <w:numFmt w:val="decimal"/>
      <w:start w:val="16"/>
    </w:lvl>
  </w:abstractNum>
  <w:abstractNum w:abstractNumId="136">
    <w:nsid w:val="541C8153"/>
    <w:multiLevelType w:val="hybridMultilevel"/>
    <w:lvl w:ilvl="0">
      <w:lvlJc w:val="left"/>
      <w:lvlText w:val="%1."/>
      <w:numFmt w:val="decimal"/>
      <w:start w:val="17"/>
    </w:lvl>
  </w:abstractNum>
  <w:abstractNum w:abstractNumId="137">
    <w:nsid w:val="67906F60"/>
    <w:multiLevelType w:val="hybridMultilevel"/>
    <w:lvl w:ilvl="0">
      <w:lvlJc w:val="left"/>
      <w:lvlText w:val="%1."/>
      <w:numFmt w:val="decimal"/>
      <w:start w:val="18"/>
    </w:lvl>
  </w:abstractNum>
  <w:abstractNum w:abstractNumId="138">
    <w:nsid w:val="10DB9DAA"/>
    <w:multiLevelType w:val="hybridMultilevel"/>
    <w:lvl w:ilvl="0">
      <w:lvlJc w:val="left"/>
      <w:lvlText w:val="•"/>
      <w:numFmt w:val="bullet"/>
      <w:start w:val="1"/>
    </w:lvl>
  </w:abstractNum>
  <w:abstractNum w:abstractNumId="139">
    <w:nsid w:val="697D2D2"/>
    <w:multiLevelType w:val="hybridMultilevel"/>
    <w:lvl w:ilvl="0">
      <w:lvlJc w:val="left"/>
      <w:lvlText w:val="o"/>
      <w:numFmt w:val="bullet"/>
      <w:start w:val="1"/>
    </w:lvl>
  </w:abstractNum>
  <w:abstractNum w:abstractNumId="140">
    <w:nsid w:val="6D68AB2"/>
    <w:multiLevelType w:val="hybridMultilevel"/>
    <w:lvl w:ilvl="0">
      <w:lvlJc w:val="left"/>
      <w:lvlText w:val="•"/>
      <w:numFmt w:val="bullet"/>
      <w:start w:val="1"/>
    </w:lvl>
  </w:abstractNum>
  <w:abstractNum w:abstractNumId="141">
    <w:nsid w:val="3A966CD0"/>
    <w:multiLevelType w:val="hybridMultilevel"/>
    <w:lvl w:ilvl="0">
      <w:lvlJc w:val="left"/>
      <w:lvlText w:val="o"/>
      <w:numFmt w:val="bullet"/>
      <w:start w:val="1"/>
    </w:lvl>
  </w:abstractNum>
  <w:abstractNum w:abstractNumId="142">
    <w:nsid w:val="63F37E85"/>
    <w:multiLevelType w:val="hybridMultilevel"/>
    <w:lvl w:ilvl="0">
      <w:lvlJc w:val="left"/>
      <w:lvlText w:val="•"/>
      <w:numFmt w:val="bullet"/>
      <w:start w:val="1"/>
    </w:lvl>
  </w:abstractNum>
  <w:abstractNum w:abstractNumId="143">
    <w:nsid w:val="5895F5FA"/>
    <w:multiLevelType w:val="hybridMultilevel"/>
    <w:lvl w:ilvl="0">
      <w:lvlJc w:val="left"/>
      <w:lvlText w:val="o"/>
      <w:numFmt w:val="bullet"/>
      <w:start w:val="1"/>
    </w:lvl>
  </w:abstractNum>
  <w:abstractNum w:abstractNumId="144">
    <w:nsid w:val="38A5D054"/>
    <w:multiLevelType w:val="hybridMultilevel"/>
    <w:lvl w:ilvl="0">
      <w:lvlJc w:val="left"/>
      <w:lvlText w:val="•"/>
      <w:numFmt w:val="bullet"/>
      <w:start w:val="1"/>
    </w:lvl>
  </w:abstractNum>
  <w:abstractNum w:abstractNumId="145">
    <w:nsid w:val="F3F09D8"/>
    <w:multiLevelType w:val="hybridMultilevel"/>
    <w:lvl w:ilvl="0">
      <w:lvlJc w:val="left"/>
      <w:lvlText w:val="o"/>
      <w:numFmt w:val="bullet"/>
      <w:start w:val="1"/>
    </w:lvl>
  </w:abstractNum>
  <w:abstractNum w:abstractNumId="146">
    <w:nsid w:val="4B793735"/>
    <w:multiLevelType w:val="hybridMultilevel"/>
    <w:lvl w:ilvl="0">
      <w:lvlJc w:val="left"/>
      <w:lvlText w:val="(%1)"/>
      <w:numFmt w:val="lowerLetter"/>
      <w:start w:val="1"/>
    </w:lvl>
  </w:abstractNum>
  <w:abstractNum w:abstractNumId="147">
    <w:nsid w:val="4A10B4E8"/>
    <w:multiLevelType w:val="hybridMultilevel"/>
    <w:lvl w:ilvl="0">
      <w:lvlJc w:val="left"/>
      <w:lvlText w:val="(%1)"/>
      <w:numFmt w:val="lowerLetter"/>
      <w:start w:val="1"/>
    </w:lvl>
  </w:abstractNum>
  <w:abstractNum w:abstractNumId="148">
    <w:nsid w:val="43D3BCD4"/>
    <w:multiLevelType w:val="hybridMultilevel"/>
    <w:lvl w:ilvl="0">
      <w:lvlJc w:val="left"/>
      <w:lvlText w:val="(%1)"/>
      <w:numFmt w:val="lowerLetter"/>
      <w:start w:val="1"/>
    </w:lvl>
  </w:abstractNum>
  <w:abstractNum w:abstractNumId="149">
    <w:nsid w:val="4C2A7166"/>
    <w:multiLevelType w:val="hybridMultilevel"/>
    <w:lvl w:ilvl="0">
      <w:lvlJc w:val="left"/>
      <w:lvlText w:val="(%1)"/>
      <w:numFmt w:val="lowerLetter"/>
      <w:start w:val="4"/>
    </w:lvl>
  </w:abstractNum>
  <w:abstractNum w:abstractNumId="150">
    <w:nsid w:val="2E534A82"/>
    <w:multiLevelType w:val="hybridMultilevel"/>
    <w:lvl w:ilvl="0">
      <w:lvlJc w:val="left"/>
      <w:lvlText w:val="(%1)"/>
      <w:numFmt w:val="lowerLetter"/>
      <w:start w:val="1"/>
    </w:lvl>
  </w:abstractNum>
  <w:abstractNum w:abstractNumId="151">
    <w:nsid w:val="26F2D364"/>
    <w:multiLevelType w:val="hybridMultilevel"/>
    <w:lvl w:ilvl="0">
      <w:lvlJc w:val="left"/>
      <w:lvlText w:val="(%1)"/>
      <w:numFmt w:val="lowerLetter"/>
      <w:start w:val="1"/>
    </w:lvl>
  </w:abstractNum>
  <w:abstractNum w:abstractNumId="152">
    <w:nsid w:val="71C1AF98"/>
    <w:multiLevelType w:val="hybridMultilevel"/>
    <w:lvl w:ilvl="0">
      <w:lvlJc w:val="left"/>
      <w:lvlText w:val="(%1)"/>
      <w:numFmt w:val="lowerLetter"/>
      <w:start w:val="2"/>
    </w:lvl>
    <w:lvl w:ilvl="1">
      <w:lvlJc w:val="left"/>
      <w:lvlText w:val="(%2)"/>
      <w:numFmt w:val="lowerRoman"/>
      <w:start w:val="1"/>
    </w:lvl>
  </w:abstractNum>
  <w:abstractNum w:abstractNumId="153">
    <w:nsid w:val="3D00B9D9"/>
    <w:multiLevelType w:val="hybridMultilevel"/>
    <w:lvl w:ilvl="0">
      <w:lvlJc w:val="left"/>
      <w:lvlText w:val="(%1)"/>
      <w:numFmt w:val="lowerLetter"/>
      <w:start w:val="3"/>
    </w:lvl>
    <w:lvl w:ilvl="1">
      <w:lvlJc w:val="left"/>
      <w:lvlText w:val="(%2)"/>
      <w:numFmt w:val="lowerRoman"/>
      <w:start w:val="1"/>
    </w:lvl>
  </w:abstractNum>
  <w:abstractNum w:abstractNumId="154">
    <w:nsid w:val="15BCABA8"/>
    <w:multiLevelType w:val="hybridMultilevel"/>
    <w:lvl w:ilvl="0">
      <w:lvlJc w:val="left"/>
      <w:lvlText w:val="(%1)"/>
      <w:numFmt w:val="lowerLetter"/>
      <w:start w:val="4"/>
    </w:lvl>
  </w:abstractNum>
  <w:abstractNum w:abstractNumId="155">
    <w:nsid w:val="4E0B9A87"/>
    <w:multiLevelType w:val="hybridMultilevel"/>
    <w:lvl w:ilvl="0">
      <w:lvlJc w:val="left"/>
      <w:lvlText w:val="(%1)"/>
      <w:numFmt w:val="lowerLetter"/>
      <w:start w:val="1"/>
    </w:lvl>
  </w:abstractNum>
  <w:abstractNum w:abstractNumId="156">
    <w:nsid w:val="434BAE75"/>
    <w:multiLevelType w:val="hybridMultilevel"/>
    <w:lvl w:ilvl="0">
      <w:lvlJc w:val="left"/>
      <w:lvlText w:val="(%1)"/>
      <w:numFmt w:val="lowerLetter"/>
      <w:start w:val="3"/>
    </w:lvl>
  </w:abstractNum>
  <w:abstractNum w:abstractNumId="157">
    <w:nsid w:val="4F38F265"/>
    <w:multiLevelType w:val="hybridMultilevel"/>
    <w:lvl w:ilvl="0">
      <w:lvlJc w:val="left"/>
      <w:lvlText w:val="(%1)"/>
      <w:numFmt w:val="lowerLetter"/>
      <w:start w:val="12"/>
    </w:lvl>
  </w:abstractNum>
  <w:abstractNum w:abstractNumId="158">
    <w:nsid w:val="4C50287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159">
    <w:nsid w:val="1DE8725A"/>
    <w:multiLevelType w:val="hybridMultilevel"/>
    <w:lvl w:ilvl="0">
      <w:lvlJc w:val="left"/>
      <w:lvlText w:val="(%1)"/>
      <w:numFmt w:val="lowerLetter"/>
      <w:start w:val="35"/>
    </w:lvl>
    <w:lvl w:ilvl="1">
      <w:lvlJc w:val="left"/>
      <w:lvlText w:val="(%2)"/>
      <w:numFmt w:val="lowerLetter"/>
      <w:start w:val="3"/>
    </w:lvl>
    <w:lvl w:ilvl="2">
      <w:lvlJc w:val="left"/>
      <w:lvlText w:val="(%3)"/>
      <w:numFmt w:val="lowerLetter"/>
    </w:lvl>
    <w:lvl w:ilvl="3">
      <w:lvlJc w:val="left"/>
      <w:lvlText w:val="(%4)"/>
      <w:numFmt w:val="lowerLetter"/>
      <w:start w:val="9"/>
    </w:lvl>
  </w:abstractNum>
  <w:abstractNum w:abstractNumId="160">
    <w:nsid w:val="6A37288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35"/>
    </w:lvl>
  </w:abstractNum>
  <w:abstractNum w:abstractNumId="161">
    <w:nsid w:val="8F8B73F"/>
    <w:multiLevelType w:val="hybridMultilevel"/>
    <w:lvl w:ilvl="0">
      <w:lvlJc w:val="left"/>
      <w:lvlText w:val="(%1)"/>
      <w:numFmt w:val="lowerLetter"/>
      <w:start w:val="4"/>
    </w:lvl>
  </w:abstractNum>
  <w:abstractNum w:abstractNumId="162">
    <w:nsid w:val="CA6B462"/>
    <w:multiLevelType w:val="hybridMultilevel"/>
    <w:lvl w:ilvl="0">
      <w:lvlJc w:val="left"/>
      <w:lvlText w:val="%1."/>
      <w:numFmt w:val="decimal"/>
      <w:start w:val="1"/>
    </w:lvl>
  </w:abstractNum>
  <w:abstractNum w:abstractNumId="163">
    <w:nsid w:val="763CB680"/>
    <w:multiLevelType w:val="hybridMultilevel"/>
    <w:lvl w:ilvl="0">
      <w:lvlJc w:val="left"/>
      <w:lvlText w:val="%1."/>
      <w:numFmt w:val="decimal"/>
      <w:start w:val="2"/>
    </w:lvl>
  </w:abstractNum>
  <w:abstractNum w:abstractNumId="164">
    <w:nsid w:val="15B71329"/>
    <w:multiLevelType w:val="hybridMultilevel"/>
    <w:lvl w:ilvl="0">
      <w:lvlJc w:val="left"/>
      <w:lvlText w:val="%1."/>
      <w:numFmt w:val="decimal"/>
      <w:start w:val="2"/>
    </w:lvl>
  </w:abstractNum>
  <w:abstractNum w:abstractNumId="165">
    <w:nsid w:val="3DA97044"/>
    <w:multiLevelType w:val="hybridMultilevel"/>
    <w:lvl w:ilvl="0">
      <w:lvlJc w:val="left"/>
      <w:lvlText w:val="%1."/>
      <w:numFmt w:val="decimal"/>
      <w:start w:val="3"/>
    </w:lvl>
  </w:abstractNum>
  <w:abstractNum w:abstractNumId="166">
    <w:nsid w:val="1CDCE2D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67">
    <w:nsid w:val="69D3947C"/>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168">
    <w:nsid w:val="2539DFA5"/>
    <w:multiLevelType w:val="hybridMultilevel"/>
    <w:lvl w:ilvl="0">
      <w:lvlJc w:val="left"/>
      <w:lvlText w:val="(%1)"/>
      <w:numFmt w:val="lowerRoman"/>
      <w:start w:val="4"/>
    </w:lvl>
    <w:lvl w:ilvl="1">
      <w:lvlJc w:val="left"/>
      <w:lvlText w:val="(%2)"/>
      <w:numFmt w:val="lowerLetter"/>
      <w:start w:val="2"/>
    </w:lvl>
    <w:lvl w:ilvl="2">
      <w:lvlJc w:val="left"/>
      <w:lvlText w:val="%3."/>
      <w:numFmt w:val="lowerRoman"/>
      <w:start w:val="1"/>
    </w:lvl>
  </w:abstractNum>
  <w:abstractNum w:abstractNumId="169">
    <w:nsid w:val="2DB88089"/>
    <w:multiLevelType w:val="hybridMultilevel"/>
    <w:lvl w:ilvl="0">
      <w:lvlJc w:val="left"/>
      <w:lvlText w:val="%1."/>
      <w:numFmt w:val="lowerRoman"/>
      <w:start w:val="2"/>
    </w:lvl>
  </w:abstractNum>
  <w:abstractNum w:abstractNumId="170">
    <w:nsid w:val="706B674E"/>
    <w:multiLevelType w:val="hybridMultilevel"/>
    <w:lvl w:ilvl="0">
      <w:lvlJc w:val="left"/>
      <w:lvlText w:val="%1."/>
      <w:numFmt w:val="decimal"/>
      <w:start w:val="4"/>
    </w:lvl>
  </w:abstractNum>
  <w:abstractNum w:abstractNumId="171">
    <w:nsid w:val="2C106A57"/>
    <w:multiLevelType w:val="hybridMultilevel"/>
    <w:lvl w:ilvl="0">
      <w:lvlJc w:val="left"/>
      <w:lvlText w:val="(%1)"/>
      <w:numFmt w:val="lowerLetter"/>
      <w:start w:val="1"/>
    </w:lvl>
  </w:abstractNum>
  <w:abstractNum w:abstractNumId="172">
    <w:nsid w:val="684EED59"/>
    <w:multiLevelType w:val="hybridMultilevel"/>
    <w:lvl w:ilvl="0">
      <w:lvlJc w:val="left"/>
      <w:lvlText w:val="(%1)"/>
      <w:numFmt w:val="lowerLetter"/>
      <w:start w:val="2"/>
    </w:lvl>
  </w:abstractNum>
  <w:abstractNum w:abstractNumId="173">
    <w:nsid w:val="545EE5D3"/>
    <w:multiLevelType w:val="hybridMultilevel"/>
    <w:lvl w:ilvl="0">
      <w:lvlJc w:val="left"/>
      <w:lvlText w:val="(%1)"/>
      <w:numFmt w:val="lowerLetter"/>
      <w:start w:val="3"/>
    </w:lvl>
  </w:abstractNum>
  <w:abstractNum w:abstractNumId="174">
    <w:nsid w:val="4A66051"/>
    <w:multiLevelType w:val="hybridMultilevel"/>
    <w:lvl w:ilvl="0">
      <w:lvlJc w:val="left"/>
      <w:lvlText w:val="(%1)"/>
      <w:numFmt w:val="lowerLetter"/>
      <w:start w:val="8"/>
    </w:lvl>
    <w:lvl w:ilvl="1">
      <w:lvlJc w:val="left"/>
      <w:lvlText w:val="(%2)"/>
      <w:numFmt w:val="lowerLetter"/>
      <w:start w:val="10"/>
    </w:lvl>
  </w:abstractNum>
  <w:abstractNum w:abstractNumId="175">
    <w:nsid w:val="20F4BDAD"/>
    <w:multiLevelType w:val="hybridMultilevel"/>
    <w:lvl w:ilvl="0">
      <w:lvlJc w:val="left"/>
      <w:lvlText w:val="(%1)"/>
      <w:numFmt w:val="lowerLetter"/>
      <w:start w:val="12"/>
    </w:lvl>
  </w:abstractNum>
  <w:abstractNum w:abstractNumId="176">
    <w:nsid w:val="639DEFAC"/>
    <w:multiLevelType w:val="hybridMultilevel"/>
    <w:lvl w:ilvl="0">
      <w:lvlJc w:val="left"/>
      <w:lvlText w:val="(%1)"/>
      <w:numFmt w:val="lowerLetter"/>
      <w:start w:val="14"/>
    </w:lvl>
  </w:abstractNum>
  <w:abstractNum w:abstractNumId="177">
    <w:nsid w:val="501F9786"/>
    <w:multiLevelType w:val="hybridMultilevel"/>
    <w:lvl w:ilvl="0">
      <w:lvlJc w:val="left"/>
      <w:lvlText w:val="(%1)"/>
      <w:numFmt w:val="decimal"/>
      <w:start w:val="1"/>
    </w:lvl>
  </w:abstractNum>
  <w:abstractNum w:abstractNumId="178">
    <w:nsid w:val="6B057295"/>
    <w:multiLevelType w:val="hybridMultilevel"/>
    <w:lvl w:ilvl="0">
      <w:lvlJc w:val="left"/>
      <w:lvlText w:val="(%1)"/>
      <w:numFmt w:val="decimal"/>
      <w:start w:val="1"/>
    </w:lvl>
    <w:lvl w:ilvl="1">
      <w:lvlJc w:val="left"/>
      <w:lvlText w:val="(%2)"/>
      <w:numFmt w:val="lowerLetter"/>
      <w:start w:val="1"/>
    </w:lvl>
  </w:abstractNum>
  <w:abstractNum w:abstractNumId="179">
    <w:nsid w:val="2771AC80"/>
    <w:multiLevelType w:val="hybridMultilevel"/>
    <w:lvl w:ilvl="0">
      <w:lvlJc w:val="left"/>
      <w:lvlText w:val="(%1)"/>
      <w:numFmt w:val="decimal"/>
      <w:start w:val="2"/>
    </w:lvl>
  </w:abstractNum>
  <w:abstractNum w:abstractNumId="180">
    <w:nsid w:val="1C4A08EC"/>
    <w:multiLevelType w:val="hybridMultilevel"/>
    <w:lvl w:ilvl="0">
      <w:lvlJc w:val="left"/>
      <w:lvlText w:val="(%1)"/>
      <w:numFmt w:val="decimal"/>
      <w:start w:val="5"/>
    </w:lvl>
  </w:abstractNum>
  <w:abstractNum w:abstractNumId="181">
    <w:nsid w:val="1958BD17"/>
    <w:multiLevelType w:val="hybridMultilevel"/>
    <w:lvl w:ilvl="0">
      <w:lvlJc w:val="left"/>
      <w:lvlText w:val="(%1)"/>
      <w:numFmt w:val="decimal"/>
      <w:start w:val="1"/>
    </w:lvl>
  </w:abstractNum>
  <w:abstractNum w:abstractNumId="182">
    <w:nsid w:val="4E647FE4"/>
    <w:multiLevelType w:val="hybridMultilevel"/>
    <w:lvl w:ilvl="0">
      <w:lvlJc w:val="left"/>
      <w:lvlText w:val="(%1)"/>
      <w:numFmt w:val="decimal"/>
      <w:start w:val="1"/>
    </w:lvl>
    <w:lvl w:ilvl="1">
      <w:lvlJc w:val="left"/>
      <w:lvlText w:val="(%2)"/>
      <w:numFmt w:val="lowerRoman"/>
      <w:start w:val="1"/>
    </w:lvl>
  </w:abstractNum>
  <w:abstractNum w:abstractNumId="183">
    <w:nsid w:val="E0BB885"/>
    <w:multiLevelType w:val="hybridMultilevel"/>
    <w:lvl w:ilvl="0">
      <w:lvlJc w:val="left"/>
      <w:lvlText w:val="(%1)"/>
      <w:numFmt w:val="lowerRoman"/>
      <w:start w:val="1"/>
    </w:lvl>
  </w:abstractNum>
  <w:abstractNum w:abstractNumId="184">
    <w:nsid w:val="565976F1"/>
    <w:multiLevelType w:val="hybridMultilevel"/>
    <w:lvl w:ilvl="0">
      <w:lvlJc w:val="left"/>
      <w:lvlText w:val="(%1)"/>
      <w:numFmt w:val="lowerRoman"/>
      <w:start w:val="8"/>
    </w:lvl>
  </w:abstractNum>
  <w:abstractNum w:abstractNumId="185">
    <w:nsid w:val="64212B8C"/>
    <w:multiLevelType w:val="hybridMultilevel"/>
    <w:lvl w:ilvl="0">
      <w:lvlJc w:val="left"/>
      <w:lvlText w:val="(%1)"/>
      <w:numFmt w:val="lowerRoman"/>
      <w:start w:val="1"/>
    </w:lvl>
  </w:abstractNum>
  <w:abstractNum w:abstractNumId="186">
    <w:nsid w:val="5C17530C"/>
    <w:multiLevelType w:val="hybridMultilevel"/>
    <w:lvl w:ilvl="0">
      <w:lvlJc w:val="left"/>
      <w:lvlText w:val="(%1)"/>
      <w:numFmt w:val="decimal"/>
      <w:start w:val="1"/>
    </w:lvl>
  </w:abstractNum>
  <w:abstractNum w:abstractNumId="187">
    <w:nsid w:val="19A52566"/>
    <w:multiLevelType w:val="hybridMultilevel"/>
    <w:lvl w:ilvl="0">
      <w:lvlJc w:val="left"/>
      <w:lvlText w:val="%1."/>
      <w:numFmt w:val="decimal"/>
      <w:start w:val="1"/>
    </w:lvl>
  </w:abstractNum>
  <w:abstractNum w:abstractNumId="188">
    <w:nsid w:val="335A1DF1"/>
    <w:multiLevelType w:val="hybridMultilevel"/>
    <w:lvl w:ilvl="0">
      <w:lvlJc w:val="left"/>
      <w:lvlText w:val="%1."/>
      <w:numFmt w:val="decimal"/>
      <w:start w:val="5"/>
    </w:lvl>
  </w:abstractNum>
  <w:abstractNum w:abstractNumId="189">
    <w:nsid w:val="28677B7C"/>
    <w:multiLevelType w:val="hybridMultilevel"/>
    <w:lvl w:ilvl="0">
      <w:lvlJc w:val="left"/>
      <w:lvlText w:val="%1."/>
      <w:numFmt w:val="decimal"/>
      <w:start w:val="1"/>
    </w:lvl>
  </w:abstractNum>
  <w:abstractNum w:abstractNumId="190">
    <w:nsid w:val="378D97C0"/>
    <w:multiLevelType w:val="hybridMultilevel"/>
    <w:lvl w:ilvl="0">
      <w:lvlJc w:val="left"/>
      <w:lvlText w:val="(%1)"/>
      <w:numFmt w:val="lowerLetter"/>
      <w:start w:val="2"/>
    </w:lvl>
  </w:abstractNum>
  <w:abstractNum w:abstractNumId="191">
    <w:nsid w:val="1D91467C"/>
    <w:multiLevelType w:val="hybridMultilevel"/>
    <w:lvl w:ilvl="0">
      <w:lvlJc w:val="left"/>
      <w:lvlText w:val="%1."/>
      <w:numFmt w:val="decimal"/>
      <w:start w:val="2"/>
    </w:lvl>
  </w:abstractNum>
  <w:abstractNum w:abstractNumId="192">
    <w:nsid w:val="316032BB"/>
    <w:multiLevelType w:val="hybridMultilevel"/>
    <w:lvl w:ilvl="0">
      <w:lvlJc w:val="left"/>
      <w:lvlText w:val="%1."/>
      <w:numFmt w:val="decimal"/>
      <w:start w:val="3"/>
    </w:lvl>
  </w:abstractNum>
  <w:abstractNum w:abstractNumId="193">
    <w:nsid w:val="44344C22"/>
    <w:multiLevelType w:val="hybridMultilevel"/>
    <w:lvl w:ilvl="0">
      <w:lvlJc w:val="left"/>
      <w:lvlText w:val="%1."/>
      <w:numFmt w:val="decimal"/>
      <w:start w:val="4"/>
    </w:lvl>
  </w:abstractNum>
  <w:abstractNum w:abstractNumId="194">
    <w:nsid w:val="13CDFCFC"/>
    <w:multiLevelType w:val="hybridMultilevel"/>
    <w:lvl w:ilvl="0">
      <w:lvlJc w:val="left"/>
      <w:lvlText w:val="%1."/>
      <w:numFmt w:val="lowerLetter"/>
      <w:start w:val="1"/>
    </w:lvl>
    <w:lvl w:ilvl="1">
      <w:lvlJc w:val="left"/>
      <w:lvlText w:val="%2"/>
      <w:numFmt w:val="lowerLetter"/>
      <w:start w:val="1"/>
    </w:lvl>
  </w:abstractNum>
  <w:abstractNum w:abstractNumId="195">
    <w:nsid w:val="471745E4"/>
    <w:multiLevelType w:val="hybridMultilevel"/>
    <w:lvl w:ilvl="0">
      <w:lvlJc w:val="left"/>
      <w:lvlText w:val="%1"/>
      <w:numFmt w:val="lowerLetter"/>
      <w:start w:val="1"/>
    </w:lvl>
    <w:lvl w:ilvl="1">
      <w:lvlJc w:val="left"/>
      <w:lvlText w:val="%2."/>
      <w:numFmt w:val="lowerRoman"/>
      <w:start w:val="2"/>
    </w:lvl>
  </w:abstractNum>
  <w:abstractNum w:abstractNumId="196">
    <w:nsid w:val="1DDBC66"/>
    <w:multiLevelType w:val="hybridMultilevel"/>
    <w:lvl w:ilvl="0">
      <w:lvlJc w:val="left"/>
      <w:lvlText w:val="%1."/>
      <w:numFmt w:val="lowerLetter"/>
      <w:start w:val="2"/>
    </w:lvl>
    <w:lvl w:ilvl="1">
      <w:lvlJc w:val="left"/>
      <w:lvlText w:val="%2"/>
      <w:numFmt w:val="lowerRoman"/>
      <w:start w:val="1"/>
    </w:lvl>
  </w:abstractNum>
  <w:abstractNum w:abstractNumId="197">
    <w:nsid w:val="30AADFDA"/>
    <w:multiLevelType w:val="hybridMultilevel"/>
    <w:lvl w:ilvl="0">
      <w:lvlJc w:val="left"/>
      <w:lvlText w:val="%1."/>
      <w:numFmt w:val="decimal"/>
      <w:start w:val="5"/>
    </w:lvl>
  </w:abstractNum>
  <w:abstractNum w:abstractNumId="198">
    <w:nsid w:val="30EADA61"/>
    <w:multiLevelType w:val="hybridMultilevel"/>
    <w:lvl w:ilvl="0">
      <w:lvlJc w:val="left"/>
      <w:lvlText w:val="%1."/>
      <w:numFmt w:val="decimal"/>
      <w:start w:val="6"/>
    </w:lvl>
  </w:abstractNum>
  <w:abstractNum w:abstractNumId="199">
    <w:nsid w:val="27179C0B"/>
    <w:multiLevelType w:val="hybridMultilevel"/>
    <w:lvl w:ilvl="0">
      <w:lvlJc w:val="left"/>
      <w:lvlText w:val="%1."/>
      <w:numFmt w:val="decimal"/>
      <w:start w:val="7"/>
    </w:lvl>
  </w:abstractNum>
  <w:abstractNum w:abstractNumId="200">
    <w:nsid w:val="5E636063"/>
    <w:multiLevelType w:val="hybridMultilevel"/>
    <w:lvl w:ilvl="0">
      <w:lvlJc w:val="left"/>
      <w:lvlText w:val="%1."/>
      <w:numFmt w:val="decimal"/>
      <w:start w:val="8"/>
    </w:lvl>
  </w:abstractNum>
  <w:abstractNum w:abstractNumId="201">
    <w:nsid w:val="215641AF"/>
    <w:multiLevelType w:val="hybridMultilevel"/>
    <w:lvl w:ilvl="0">
      <w:lvlJc w:val="left"/>
      <w:lvlText w:val="(%1)"/>
      <w:numFmt w:val="upperLetter"/>
      <w:start w:val="1"/>
    </w:lvl>
  </w:abstractNum>
  <w:abstractNum w:abstractNumId="202">
    <w:nsid w:val="53280662"/>
    <w:multiLevelType w:val="hybridMultilevel"/>
    <w:lvl w:ilvl="0">
      <w:lvlJc w:val="left"/>
      <w:lvlText w:val="%1."/>
      <w:numFmt w:val="decimal"/>
      <w:start w:val="9"/>
    </w:lvl>
  </w:abstractNum>
  <w:abstractNum w:abstractNumId="203">
    <w:nsid w:val="46B24DBC"/>
    <w:multiLevelType w:val="hybridMultilevel"/>
    <w:lvl w:ilvl="0">
      <w:lvlJc w:val="left"/>
      <w:lvlText w:val="%1."/>
      <w:numFmt w:val="decimal"/>
      <w:start w:val="1"/>
    </w:lvl>
  </w:abstractNum>
  <w:abstractNum w:abstractNumId="204">
    <w:nsid w:val="75B52783"/>
    <w:multiLevelType w:val="hybridMultilevel"/>
    <w:lvl w:ilvl="0">
      <w:lvlJc w:val="left"/>
      <w:lvlText w:val="(%1)"/>
      <w:numFmt w:val="lowerLetter"/>
      <w:start w:val="5"/>
    </w:lvl>
  </w:abstractNum>
  <w:abstractNum w:abstractNumId="205">
    <w:nsid w:val="57CE66B4"/>
    <w:multiLevelType w:val="hybridMultilevel"/>
    <w:lvl w:ilvl="0">
      <w:lvlJc w:val="left"/>
      <w:lvlText w:val="(%1)"/>
      <w:numFmt w:val="lowerLetter"/>
      <w:start w:val="1"/>
    </w:lvl>
  </w:abstractNum>
  <w:abstractNum w:abstractNumId="206">
    <w:nsid w:val="67A70B69"/>
    <w:multiLevelType w:val="hybridMultilevel"/>
    <w:lvl w:ilvl="0">
      <w:lvlJc w:val="left"/>
      <w:lvlText w:val="%1."/>
      <w:numFmt w:val="decimal"/>
      <w:start w:val="2"/>
    </w:lvl>
  </w:abstractNum>
  <w:abstractNum w:abstractNumId="207">
    <w:nsid w:val="5953172F"/>
    <w:multiLevelType w:val="hybridMultilevel"/>
    <w:lvl w:ilvl="0">
      <w:lvlJc w:val="left"/>
      <w:lvlText w:val="%1."/>
      <w:numFmt w:val="decimal"/>
      <w:start w:val="3"/>
    </w:lvl>
  </w:abstractNum>
  <w:abstractNum w:abstractNumId="208">
    <w:nsid w:val="27EDFE3A"/>
    <w:multiLevelType w:val="hybridMultilevel"/>
    <w:lvl w:ilvl="0">
      <w:lvlJc w:val="left"/>
      <w:lvlText w:val="%1."/>
      <w:numFmt w:val="decimal"/>
      <w:start w:val="4"/>
    </w:lvl>
  </w:abstractNum>
  <w:abstractNum w:abstractNumId="209">
    <w:nsid w:val="52AC7DFF"/>
    <w:multiLevelType w:val="hybridMultilevel"/>
    <w:lvl w:ilvl="0">
      <w:lvlJc w:val="left"/>
      <w:lvlText w:val="%1"/>
      <w:numFmt w:val="lowerLetter"/>
      <w:start w:val="1"/>
    </w:lvl>
    <w:lvl w:ilvl="1">
      <w:lvlJc w:val="left"/>
      <w:lvlText w:val="(%2)"/>
      <w:numFmt w:val="lowerLetter"/>
      <w:start w:val="1"/>
    </w:lvl>
  </w:abstractNum>
  <w:abstractNum w:abstractNumId="210">
    <w:nsid w:val="C4C3AF"/>
    <w:multiLevelType w:val="hybridMultilevel"/>
    <w:lvl w:ilvl="0">
      <w:lvlJc w:val="left"/>
      <w:lvlText w:val="(%1)"/>
      <w:numFmt w:val="lowerLetter"/>
      <w:start w:val="2"/>
    </w:lvl>
    <w:lvl w:ilvl="1">
      <w:lvlJc w:val="left"/>
      <w:lvlText w:val="%2"/>
      <w:numFmt w:val="lowerLetter"/>
      <w:start w:val="1"/>
    </w:lvl>
  </w:abstractNum>
  <w:abstractNum w:abstractNumId="211">
    <w:nsid w:val="44380727"/>
    <w:multiLevelType w:val="hybridMultilevel"/>
    <w:lvl w:ilvl="0">
      <w:lvlJc w:val="left"/>
      <w:lvlText w:val="(%1)"/>
      <w:numFmt w:val="lowerLetter"/>
      <w:start w:val="1"/>
    </w:lvl>
  </w:abstractNum>
  <w:abstractNum w:abstractNumId="212">
    <w:nsid w:val="6C053B16"/>
    <w:multiLevelType w:val="hybridMultilevel"/>
    <w:lvl w:ilvl="0">
      <w:lvlJc w:val="left"/>
      <w:lvlText w:val="%1."/>
      <w:numFmt w:val="decimal"/>
      <w:start w:val="5"/>
    </w:lvl>
  </w:abstractNum>
  <w:abstractNum w:abstractNumId="213">
    <w:nsid w:val="4F294393"/>
    <w:multiLevelType w:val="hybridMultilevel"/>
    <w:lvl w:ilvl="0">
      <w:lvlJc w:val="left"/>
      <w:lvlText w:val="%1."/>
      <w:numFmt w:val="decimal"/>
      <w:start w:val="6"/>
    </w:lvl>
  </w:abstractNum>
  <w:abstractNum w:abstractNumId="214">
    <w:nsid w:val="5243BFAC"/>
    <w:multiLevelType w:val="hybridMultilevel"/>
    <w:lvl w:ilvl="0">
      <w:lvlJc w:val="left"/>
      <w:lvlText w:val="%1."/>
      <w:numFmt w:val="decimal"/>
      <w:start w:val="7"/>
    </w:lvl>
  </w:abstractNum>
  <w:abstractNum w:abstractNumId="215">
    <w:nsid w:val="425EB207"/>
    <w:multiLevelType w:val="hybridMultilevel"/>
    <w:lvl w:ilvl="0">
      <w:lvlJc w:val="left"/>
      <w:lvlText w:val="%1"/>
      <w:numFmt w:val="decimal"/>
      <w:start w:val="1"/>
    </w:lvl>
    <w:lvl w:ilvl="1">
      <w:lvlJc w:val="left"/>
      <w:lvlText w:val="(%2)"/>
      <w:numFmt w:val="lowerLetter"/>
      <w:start w:val="1"/>
    </w:lvl>
  </w:abstractNum>
  <w:abstractNum w:abstractNumId="216">
    <w:nsid w:val="334A6F1F"/>
    <w:multiLevelType w:val="hybridMultilevel"/>
    <w:lvl w:ilvl="0">
      <w:lvlJc w:val="left"/>
      <w:lvlText w:val="%1."/>
      <w:numFmt w:val="decimal"/>
      <w:start w:val="8"/>
    </w:lvl>
    <w:lvl w:ilvl="1">
      <w:lvlJc w:val="left"/>
      <w:lvlText w:val="%2"/>
      <w:numFmt w:val="lowerLetter"/>
      <w:start w:val="1"/>
    </w:lvl>
  </w:abstractNum>
  <w:abstractNum w:abstractNumId="217">
    <w:nsid w:val="2E5B12B8"/>
    <w:multiLevelType w:val="hybridMultilevel"/>
    <w:lvl w:ilvl="0">
      <w:lvlJc w:val="left"/>
      <w:lvlText w:val="%1."/>
      <w:numFmt w:val="decimal"/>
      <w:start w:val="1"/>
    </w:lvl>
  </w:abstractNum>
  <w:abstractNum w:abstractNumId="218">
    <w:nsid w:val="5C03D76D"/>
    <w:multiLevelType w:val="hybridMultilevel"/>
    <w:lvl w:ilvl="0">
      <w:lvlJc w:val="left"/>
      <w:lvlText w:val="%1."/>
      <w:numFmt w:val="decimal"/>
      <w:start w:val="2"/>
    </w:lvl>
  </w:abstractNum>
  <w:abstractNum w:abstractNumId="219">
    <w:nsid w:val="66A48D11"/>
    <w:multiLevelType w:val="hybridMultilevel"/>
    <w:lvl w:ilvl="0">
      <w:lvlJc w:val="left"/>
      <w:lvlText w:val="%1."/>
      <w:numFmt w:val="decimal"/>
      <w:start w:val="5"/>
    </w:lvl>
  </w:abstractNum>
  <w:abstractNum w:abstractNumId="220">
    <w:nsid w:val="56C28E34"/>
    <w:multiLevelType w:val="hybridMultilevel"/>
    <w:lvl w:ilvl="0">
      <w:lvlJc w:val="left"/>
      <w:lvlText w:val="%1."/>
      <w:numFmt w:val="decimal"/>
      <w:start w:val="7"/>
    </w:lvl>
    <w:lvl w:ilvl="1">
      <w:lvlJc w:val="left"/>
      <w:lvlText w:val="%2."/>
      <w:numFmt w:val="lowerRoman"/>
      <w:start w:val="1"/>
    </w:lvl>
  </w:abstractNum>
  <w:abstractNum w:abstractNumId="221">
    <w:nsid w:val="13916F2D"/>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3"/>
    </w:lvl>
  </w:abstractNum>
  <w:abstractNum w:abstractNumId="222">
    <w:nsid w:val="435D38D"/>
    <w:multiLevelType w:val="hybridMultilevel"/>
    <w:lvl w:ilvl="0">
      <w:lvlJc w:val="left"/>
      <w:lvlText w:val="%1)"/>
      <w:numFmt w:val="decimal"/>
      <w:start w:val="1"/>
    </w:lvl>
  </w:abstractNum>
  <w:abstractNum w:abstractNumId="223">
    <w:nsid w:val="822C0EF"/>
    <w:multiLevelType w:val="hybridMultilevel"/>
    <w:lvl w:ilvl="0">
      <w:lvlJc w:val="left"/>
      <w:lvlText w:val="%1"/>
      <w:numFmt w:val="lowerLetter"/>
      <w:start w:val="1"/>
    </w:lvl>
    <w:lvl w:ilvl="1">
      <w:lvlJc w:val="left"/>
      <w:lvlText w:val="%2"/>
      <w:numFmt w:val="decimal"/>
      <w:start w:val="1"/>
    </w:lvl>
    <w:lvl w:ilvl="2">
      <w:lvlJc w:val="left"/>
      <w:lvlText w:val="%3)"/>
      <w:numFmt w:val="decimal"/>
      <w:start w:val="2"/>
    </w:lvl>
  </w:abstractNum>
  <w:abstractNum w:abstractNumId="224">
    <w:nsid w:val="57C5BB4F"/>
    <w:multiLevelType w:val="hybridMultilevel"/>
    <w:lvl w:ilvl="0">
      <w:lvlJc w:val="left"/>
      <w:lvlText w:val="%1"/>
      <w:numFmt w:val="lowerLetter"/>
      <w:start w:val="1"/>
    </w:lvl>
    <w:lvl w:ilvl="1">
      <w:lvlJc w:val="left"/>
      <w:lvlText w:val="%2)"/>
      <w:numFmt w:val="decimal"/>
      <w:start w:val="3"/>
    </w:lvl>
    <w:lvl w:ilvl="2">
      <w:lvlJc w:val="left"/>
      <w:lvlText w:val="%3"/>
      <w:numFmt w:val="decimal"/>
      <w:start w:val="1"/>
    </w:lvl>
  </w:abstractNum>
  <w:abstractNum w:abstractNumId="225">
    <w:nsid w:val="1803D089"/>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abstractNum>
  <w:abstractNum w:abstractNumId="226">
    <w:nsid w:val="4F3A06D4"/>
    <w:multiLevelType w:val="hybridMultilevel"/>
    <w:lvl w:ilvl="0">
      <w:lvlJc w:val="left"/>
      <w:lvlText w:val="%1)"/>
      <w:numFmt w:val="decimal"/>
      <w:start w:val="4"/>
    </w:lvl>
  </w:abstractNum>
  <w:abstractNum w:abstractNumId="227">
    <w:nsid w:val="59A377B6"/>
    <w:multiLevelType w:val="hybridMultilevel"/>
    <w:lvl w:ilvl="0">
      <w:lvlJc w:val="left"/>
      <w:lvlText w:val="%1."/>
      <w:numFmt w:val="decimal"/>
      <w:start w:val="8"/>
    </w:lvl>
  </w:abstractNum>
  <w:abstractNum w:abstractNumId="228">
    <w:nsid w:val="48AEB063"/>
    <w:multiLevelType w:val="hybridMultilevel"/>
    <w:lvl w:ilvl="0">
      <w:lvlJc w:val="left"/>
      <w:lvlText w:val="%1."/>
      <w:numFmt w:val="decimal"/>
      <w:start w:val="9"/>
    </w:lvl>
  </w:abstractNum>
  <w:abstractNum w:abstractNumId="229">
    <w:nsid w:val="24E135"/>
    <w:multiLevelType w:val="hybridMultilevel"/>
    <w:lvl w:ilvl="0">
      <w:lvlJc w:val="left"/>
      <w:lvlText w:val="%1."/>
      <w:numFmt w:val="decimal"/>
      <w:start w:val="12"/>
    </w:lvl>
  </w:abstractNum>
  <w:abstractNum w:abstractNumId="230">
    <w:nsid w:val="BB13C1"/>
    <w:multiLevelType w:val="hybridMultilevel"/>
    <w:lvl w:ilvl="0">
      <w:lvlJc w:val="left"/>
      <w:lvlText w:val="%1."/>
      <w:numFmt w:val="decimal"/>
      <w:start w:val="1"/>
    </w:lvl>
  </w:abstractNum>
  <w:abstractNum w:abstractNumId="231">
    <w:nsid w:val="271210C7"/>
    <w:multiLevelType w:val="hybridMultilevel"/>
    <w:lvl w:ilvl="0">
      <w:lvlJc w:val="left"/>
      <w:lvlText w:val="%1."/>
      <w:numFmt w:val="decimal"/>
      <w:start w:val="2"/>
    </w:lvl>
  </w:abstractNum>
  <w:abstractNum w:abstractNumId="232">
    <w:nsid w:val="217B22E4"/>
    <w:multiLevelType w:val="hybridMultilevel"/>
    <w:lvl w:ilvl="0">
      <w:lvlJc w:val="left"/>
      <w:lvlText w:val="%1."/>
      <w:numFmt w:val="decimal"/>
      <w:start w:val="3"/>
    </w:lvl>
  </w:abstractNum>
  <w:abstractNum w:abstractNumId="233">
    <w:nsid w:val="53E31A24"/>
    <w:multiLevelType w:val="hybridMultilevel"/>
    <w:lvl w:ilvl="0">
      <w:lvlJc w:val="left"/>
      <w:lvlText w:val="%1."/>
      <w:numFmt w:val="decimal"/>
      <w:start w:val="4"/>
    </w:lvl>
  </w:abstractNum>
  <w:abstractNum w:abstractNumId="234">
    <w:nsid w:val="6DC45E83"/>
    <w:multiLevelType w:val="hybridMultilevel"/>
    <w:lvl w:ilvl="0">
      <w:lvlJc w:val="left"/>
      <w:lvlText w:val="(%1)"/>
      <w:numFmt w:val="lowerLetter"/>
      <w:start w:val="1"/>
    </w:lvl>
  </w:abstractNum>
  <w:abstractNum w:abstractNumId="235">
    <w:nsid w:val="17304A67"/>
    <w:multiLevelType w:val="hybridMultilevel"/>
    <w:lvl w:ilvl="0">
      <w:lvlJc w:val="left"/>
      <w:lvlText w:val="(%1)"/>
      <w:numFmt w:val="lowerLetter"/>
      <w:start w:val="2"/>
    </w:lvl>
  </w:abstractNum>
  <w:abstractNum w:abstractNumId="236">
    <w:nsid w:val="2BB180D8"/>
    <w:multiLevelType w:val="hybridMultilevel"/>
    <w:lvl w:ilvl="0">
      <w:lvlJc w:val="left"/>
      <w:lvlText w:val="(%1)"/>
      <w:numFmt w:val="lowerLetter"/>
      <w:start w:val="1"/>
    </w:lvl>
  </w:abstractNum>
  <w:abstractNum w:abstractNumId="237">
    <w:nsid w:val="556B69ED"/>
    <w:multiLevelType w:val="hybridMultilevel"/>
    <w:lvl w:ilvl="0">
      <w:lvlJc w:val="left"/>
      <w:lvlText w:val="%1."/>
      <w:numFmt w:val="decimal"/>
      <w:start w:val="5"/>
    </w:lvl>
  </w:abstractNum>
  <w:abstractNum w:abstractNumId="238">
    <w:nsid w:val="70836196"/>
    <w:multiLevelType w:val="hybridMultilevel"/>
    <w:lvl w:ilvl="0">
      <w:lvlJc w:val="left"/>
      <w:lvlText w:val="%1."/>
      <w:numFmt w:val="decimal"/>
      <w:start w:val="6"/>
    </w:lvl>
  </w:abstractNum>
  <w:abstractNum w:abstractNumId="239">
    <w:nsid w:val="539F7F12"/>
    <w:multiLevelType w:val="hybridMultilevel"/>
    <w:lvl w:ilvl="0">
      <w:lvlJc w:val="left"/>
      <w:lvlText w:val="%1."/>
      <w:numFmt w:val="decimal"/>
      <w:start w:val="7"/>
    </w:lvl>
  </w:abstractNum>
  <w:abstractNum w:abstractNumId="240">
    <w:nsid w:val="2817E7EC"/>
    <w:multiLevelType w:val="hybridMultilevel"/>
    <w:lvl w:ilvl="0">
      <w:lvlJc w:val="left"/>
      <w:lvlText w:val="%1"/>
      <w:numFmt w:val="decimal"/>
      <w:start w:val="1"/>
    </w:lvl>
    <w:lvl w:ilvl="1">
      <w:lvlJc w:val="left"/>
      <w:lvlText w:val="(%2)"/>
      <w:numFmt w:val="lowerLetter"/>
      <w:start w:val="1"/>
    </w:lvl>
  </w:abstractNum>
  <w:abstractNum w:abstractNumId="241">
    <w:nsid w:val="71482545"/>
    <w:multiLevelType w:val="hybridMultilevel"/>
    <w:lvl w:ilvl="0">
      <w:lvlJc w:val="left"/>
      <w:lvlText w:val="%1."/>
      <w:numFmt w:val="decimal"/>
      <w:start w:val="8"/>
    </w:lvl>
    <w:lvl w:ilvl="1">
      <w:lvlJc w:val="left"/>
      <w:lvlText w:val="%2"/>
      <w:numFmt w:val="lowerLetter"/>
      <w:start w:val="1"/>
    </w:lvl>
  </w:abstractNum>
  <w:abstractNum w:abstractNumId="242">
    <w:nsid w:val="17D78639"/>
    <w:multiLevelType w:val="hybridMultilevel"/>
    <w:lvl w:ilvl="0">
      <w:lvlJc w:val="left"/>
      <w:lvlText w:val="%1."/>
      <w:numFmt w:val="decimal"/>
      <w:start w:val="1"/>
    </w:lvl>
  </w:abstractNum>
  <w:abstractNum w:abstractNumId="243">
    <w:nsid w:val="141D2302"/>
    <w:multiLevelType w:val="hybridMultilevel"/>
    <w:lvl w:ilvl="0">
      <w:lvlJc w:val="left"/>
      <w:lvlText w:val="%1."/>
      <w:numFmt w:val="decimal"/>
      <w:start w:val="2"/>
    </w:lvl>
    <w:lvl w:ilvl="1">
      <w:lvlJc w:val="left"/>
      <w:lvlText w:val="%2."/>
      <w:numFmt w:val="decimal"/>
      <w:start w:val="4"/>
    </w:lvl>
  </w:abstractNum>
  <w:abstractNum w:abstractNumId="244">
    <w:nsid w:val="407168D8"/>
    <w:multiLevelType w:val="hybridMultilevel"/>
    <w:lvl w:ilvl="0">
      <w:lvlJc w:val="left"/>
      <w:lvlText w:val="%1."/>
      <w:numFmt w:val="decimal"/>
      <w:start w:val="5"/>
    </w:lvl>
  </w:abstractNum>
  <w:abstractNum w:abstractNumId="245">
    <w:nsid w:val="6A1B45E5"/>
    <w:multiLevelType w:val="hybridMultilevel"/>
    <w:lvl w:ilvl="0">
      <w:lvlJc w:val="left"/>
      <w:lvlText w:val="%1."/>
      <w:numFmt w:val="decimal"/>
      <w:start w:val="7"/>
    </w:lvl>
  </w:abstractNum>
  <w:abstractNum w:abstractNumId="246">
    <w:nsid w:val="567BD50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2"/>
    </w:lvl>
    <w:lvl w:ilvl="4">
      <w:lvlJc w:val="left"/>
      <w:lvlText w:val="%5"/>
      <w:numFmt w:val="lowerRoman"/>
      <w:start w:val="1"/>
    </w:lvl>
  </w:abstractNum>
  <w:abstractNum w:abstractNumId="247">
    <w:nsid w:val="73BBD7F8"/>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248">
    <w:nsid w:val="1876589D"/>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9"/>
    </w:lvl>
  </w:abstractNum>
  <w:abstractNum w:abstractNumId="249">
    <w:nsid w:val="327FAC77"/>
    <w:multiLevelType w:val="hybridMultilevel"/>
    <w:lvl w:ilvl="0">
      <w:lvlJc w:val="left"/>
      <w:lvlText w:val="%1"/>
      <w:numFmt w:val="lowerLetter"/>
      <w:start w:val="1"/>
    </w:lvl>
    <w:lvl w:ilvl="1">
      <w:lvlJc w:val="left"/>
      <w:lvlText w:val="%2."/>
      <w:numFmt w:val="lowerRoman"/>
      <w:start w:val="2"/>
    </w:lvl>
  </w:abstractNum>
  <w:abstractNum w:abstractNumId="250">
    <w:nsid w:val="5A606509"/>
    <w:multiLevelType w:val="hybridMultilevel"/>
    <w:lvl w:ilvl="0">
      <w:lvlJc w:val="left"/>
      <w:lvlText w:val="%1."/>
      <w:numFmt w:val="lowerLetter"/>
      <w:start w:val="6"/>
    </w:lvl>
    <w:lvl w:ilvl="1">
      <w:lvlJc w:val="left"/>
      <w:lvlText w:val="%2."/>
      <w:numFmt w:val="lowerRoman"/>
      <w:start w:val="1"/>
    </w:lvl>
  </w:abstractNum>
  <w:abstractNum w:abstractNumId="251">
    <w:nsid w:val="6F38E6D1"/>
    <w:multiLevelType w:val="hybridMultilevel"/>
    <w:lvl w:ilvl="0">
      <w:lvlJc w:val="left"/>
      <w:lvlText w:val="%1."/>
      <w:numFmt w:val="decimal"/>
      <w:start w:val="8"/>
    </w:lvl>
    <w:lvl w:ilvl="1">
      <w:lvlJc w:val="left"/>
      <w:lvlText w:val="%2."/>
      <w:numFmt w:val="decimal"/>
      <w:start w:val="11"/>
    </w:lvl>
  </w:abstractNum>
  <w:abstractNum w:abstractNumId="252">
    <w:nsid w:val="46111BA5"/>
    <w:multiLevelType w:val="hybridMultilevel"/>
    <w:lvl w:ilvl="0">
      <w:lvlJc w:val="left"/>
      <w:lvlText w:val="%1."/>
      <w:numFmt w:val="decimal"/>
      <w:start w:val="12"/>
    </w:lvl>
  </w:abstractNum>
  <w:abstractNum w:abstractNumId="253">
    <w:nsid w:val="5E963896"/>
    <w:multiLevelType w:val="hybridMultilevel"/>
    <w:lvl w:ilvl="0">
      <w:lvlJc w:val="left"/>
      <w:lvlText w:val="%1."/>
      <w:numFmt w:val="decimal"/>
      <w:start w:val="1"/>
    </w:lvl>
    <w:lvl w:ilvl="1">
      <w:lvlJc w:val="left"/>
      <w:lvlText w:val="%2."/>
      <w:numFmt w:val="lowerLetter"/>
      <w:start w:val="1"/>
    </w:lvl>
  </w:abstractNum>
  <w:abstractNum w:abstractNumId="254">
    <w:nsid w:val="775BA7C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55" Type="http://schemas.openxmlformats.org/officeDocument/2006/relationships/image" Target="media/image136.png"/><Relationship Id="rId156" Type="http://schemas.openxmlformats.org/officeDocument/2006/relationships/image" Target="media/image137.png"/><Relationship Id="rId157" Type="http://schemas.openxmlformats.org/officeDocument/2006/relationships/image" Target="media/image138.png"/><Relationship Id="rId158" Type="http://schemas.openxmlformats.org/officeDocument/2006/relationships/image" Target="media/image139.png"/><Relationship Id="rId159" Type="http://schemas.openxmlformats.org/officeDocument/2006/relationships/image" Target="media/image140.png"/><Relationship Id="rId160" Type="http://schemas.openxmlformats.org/officeDocument/2006/relationships/image" Target="media/image141.png"/><Relationship Id="rId161" Type="http://schemas.openxmlformats.org/officeDocument/2006/relationships/image" Target="media/image142.png"/><Relationship Id="rId162" Type="http://schemas.openxmlformats.org/officeDocument/2006/relationships/image" Target="media/image143.png"/><Relationship Id="rId163" Type="http://schemas.openxmlformats.org/officeDocument/2006/relationships/image" Target="media/image144.png"/><Relationship Id="rId164" Type="http://schemas.openxmlformats.org/officeDocument/2006/relationships/image" Target="media/image145.png"/><Relationship Id="rId165" Type="http://schemas.openxmlformats.org/officeDocument/2006/relationships/image" Target="media/image146.png"/><Relationship Id="rId166" Type="http://schemas.openxmlformats.org/officeDocument/2006/relationships/image" Target="media/image147.png"/><Relationship Id="rId167" Type="http://schemas.openxmlformats.org/officeDocument/2006/relationships/image" Target="media/image148.png"/><Relationship Id="rId168" Type="http://schemas.openxmlformats.org/officeDocument/2006/relationships/image" Target="media/image149.png"/><Relationship Id="rId169" Type="http://schemas.openxmlformats.org/officeDocument/2006/relationships/image" Target="media/image150.png"/><Relationship Id="rId170" Type="http://schemas.openxmlformats.org/officeDocument/2006/relationships/image" Target="media/image151.png"/><Relationship Id="rId171" Type="http://schemas.openxmlformats.org/officeDocument/2006/relationships/image" Target="media/image152.png"/><Relationship Id="rId172" Type="http://schemas.openxmlformats.org/officeDocument/2006/relationships/image" Target="media/image153.png"/><Relationship Id="rId173" Type="http://schemas.openxmlformats.org/officeDocument/2006/relationships/image" Target="media/image154.png"/><Relationship Id="rId174" Type="http://schemas.openxmlformats.org/officeDocument/2006/relationships/image" Target="media/image155.png"/><Relationship Id="rId175" Type="http://schemas.openxmlformats.org/officeDocument/2006/relationships/image" Target="media/image156.png"/><Relationship Id="rId176" Type="http://schemas.openxmlformats.org/officeDocument/2006/relationships/image" Target="media/image157.png"/><Relationship Id="rId177" Type="http://schemas.openxmlformats.org/officeDocument/2006/relationships/image" Target="media/image158.png"/><Relationship Id="rId178" Type="http://schemas.openxmlformats.org/officeDocument/2006/relationships/image" Target="media/image159.png"/><Relationship Id="rId179" Type="http://schemas.openxmlformats.org/officeDocument/2006/relationships/image" Target="media/image160.png"/><Relationship Id="rId180" Type="http://schemas.openxmlformats.org/officeDocument/2006/relationships/image" Target="media/image161.png"/><Relationship Id="rId181" Type="http://schemas.openxmlformats.org/officeDocument/2006/relationships/image" Target="media/image162.png"/><Relationship Id="rId182" Type="http://schemas.openxmlformats.org/officeDocument/2006/relationships/image" Target="media/image163.png"/><Relationship Id="rId183" Type="http://schemas.openxmlformats.org/officeDocument/2006/relationships/image" Target="media/image164.png"/><Relationship Id="rId184" Type="http://schemas.openxmlformats.org/officeDocument/2006/relationships/image" Target="media/image165.png"/><Relationship Id="rId185" Type="http://schemas.openxmlformats.org/officeDocument/2006/relationships/image" Target="media/image166.png"/><Relationship Id="rId186" Type="http://schemas.openxmlformats.org/officeDocument/2006/relationships/image" Target="media/image167.png"/><Relationship Id="rId187" Type="http://schemas.openxmlformats.org/officeDocument/2006/relationships/image" Target="media/image168.png"/><Relationship Id="rId188" Type="http://schemas.openxmlformats.org/officeDocument/2006/relationships/image" Target="media/image169.png"/><Relationship Id="rId189" Type="http://schemas.openxmlformats.org/officeDocument/2006/relationships/image" Target="media/image170.png"/><Relationship Id="rId190" Type="http://schemas.openxmlformats.org/officeDocument/2006/relationships/image" Target="media/image171.png"/><Relationship Id="rId191" Type="http://schemas.openxmlformats.org/officeDocument/2006/relationships/image" Target="media/image172.png"/><Relationship Id="rId192" Type="http://schemas.openxmlformats.org/officeDocument/2006/relationships/image" Target="media/image173.png"/><Relationship Id="rId193" Type="http://schemas.openxmlformats.org/officeDocument/2006/relationships/image" Target="media/image174.png"/><Relationship Id="rId194" Type="http://schemas.openxmlformats.org/officeDocument/2006/relationships/image" Target="media/image175.png"/><Relationship Id="rId195" Type="http://schemas.openxmlformats.org/officeDocument/2006/relationships/image" Target="media/image176.png"/><Relationship Id="rId196" Type="http://schemas.openxmlformats.org/officeDocument/2006/relationships/image" Target="media/image177.png"/><Relationship Id="rId197" Type="http://schemas.openxmlformats.org/officeDocument/2006/relationships/image" Target="media/image178.png"/><Relationship Id="rId198" Type="http://schemas.openxmlformats.org/officeDocument/2006/relationships/image" Target="media/image179.png"/><Relationship Id="rId199" Type="http://schemas.openxmlformats.org/officeDocument/2006/relationships/image" Target="media/image180.png"/><Relationship Id="rId200" Type="http://schemas.openxmlformats.org/officeDocument/2006/relationships/image" Target="media/image181.png"/><Relationship Id="rId201" Type="http://schemas.openxmlformats.org/officeDocument/2006/relationships/image" Target="media/image182.png"/><Relationship Id="rId202" Type="http://schemas.openxmlformats.org/officeDocument/2006/relationships/image" Target="media/image183.png"/><Relationship Id="rId203" Type="http://schemas.openxmlformats.org/officeDocument/2006/relationships/image" Target="media/image184.png"/><Relationship Id="rId204" Type="http://schemas.openxmlformats.org/officeDocument/2006/relationships/image" Target="media/image185.png"/><Relationship Id="rId205" Type="http://schemas.openxmlformats.org/officeDocument/2006/relationships/image" Target="media/image186.png"/><Relationship Id="rId206" Type="http://schemas.openxmlformats.org/officeDocument/2006/relationships/image" Target="media/image187.png"/><Relationship Id="rId207" Type="http://schemas.openxmlformats.org/officeDocument/2006/relationships/image" Target="media/image188.png"/><Relationship Id="rId208" Type="http://schemas.openxmlformats.org/officeDocument/2006/relationships/image" Target="media/image189.png"/><Relationship Id="rId209" Type="http://schemas.openxmlformats.org/officeDocument/2006/relationships/image" Target="media/image190.png"/><Relationship Id="rId210" Type="http://schemas.openxmlformats.org/officeDocument/2006/relationships/image" Target="media/image191.png"/><Relationship Id="rId211" Type="http://schemas.openxmlformats.org/officeDocument/2006/relationships/image" Target="media/image192.png"/><Relationship Id="rId212" Type="http://schemas.openxmlformats.org/officeDocument/2006/relationships/image" Target="media/image193.png"/><Relationship Id="rId213" Type="http://schemas.openxmlformats.org/officeDocument/2006/relationships/image" Target="media/image194.png"/><Relationship Id="rId214" Type="http://schemas.openxmlformats.org/officeDocument/2006/relationships/image" Target="media/image195.png"/><Relationship Id="rId215" Type="http://schemas.openxmlformats.org/officeDocument/2006/relationships/image" Target="media/image196.png"/><Relationship Id="rId216" Type="http://schemas.openxmlformats.org/officeDocument/2006/relationships/image" Target="media/image197.png"/><Relationship Id="rId217" Type="http://schemas.openxmlformats.org/officeDocument/2006/relationships/image" Target="media/image198.png"/><Relationship Id="rId218" Type="http://schemas.openxmlformats.org/officeDocument/2006/relationships/image" Target="media/image199.png"/><Relationship Id="rId219" Type="http://schemas.openxmlformats.org/officeDocument/2006/relationships/image" Target="media/image200.png"/><Relationship Id="rId220" Type="http://schemas.openxmlformats.org/officeDocument/2006/relationships/image" Target="media/image201.png"/><Relationship Id="rId221" Type="http://schemas.openxmlformats.org/officeDocument/2006/relationships/image" Target="media/image202.png"/><Relationship Id="rId222" Type="http://schemas.openxmlformats.org/officeDocument/2006/relationships/image" Target="media/image203.png"/><Relationship Id="rId223" Type="http://schemas.openxmlformats.org/officeDocument/2006/relationships/image" Target="media/image204.png"/><Relationship Id="rId224" Type="http://schemas.openxmlformats.org/officeDocument/2006/relationships/image" Target="media/image205.png"/><Relationship Id="rId225" Type="http://schemas.openxmlformats.org/officeDocument/2006/relationships/image" Target="media/image206.png"/><Relationship Id="rId226" Type="http://schemas.openxmlformats.org/officeDocument/2006/relationships/image" Target="media/image207.png"/><Relationship Id="rId227" Type="http://schemas.openxmlformats.org/officeDocument/2006/relationships/image" Target="media/image208.png"/><Relationship Id="rId228" Type="http://schemas.openxmlformats.org/officeDocument/2006/relationships/image" Target="media/image209.png"/><Relationship Id="rId229" Type="http://schemas.openxmlformats.org/officeDocument/2006/relationships/image" Target="media/image210.png"/><Relationship Id="rId230" Type="http://schemas.openxmlformats.org/officeDocument/2006/relationships/image" Target="media/image211.png"/><Relationship Id="rId231" Type="http://schemas.openxmlformats.org/officeDocument/2006/relationships/image" Target="media/image212.png"/><Relationship Id="rId232" Type="http://schemas.openxmlformats.org/officeDocument/2006/relationships/image" Target="media/image213.png"/><Relationship Id="rId233" Type="http://schemas.openxmlformats.org/officeDocument/2006/relationships/image" Target="media/image214.png"/><Relationship Id="rId234" Type="http://schemas.openxmlformats.org/officeDocument/2006/relationships/image" Target="media/image215.png"/><Relationship Id="rId235" Type="http://schemas.openxmlformats.org/officeDocument/2006/relationships/image" Target="media/image216.png"/><Relationship Id="rId236" Type="http://schemas.openxmlformats.org/officeDocument/2006/relationships/image" Target="media/image217.png"/><Relationship Id="rId237" Type="http://schemas.openxmlformats.org/officeDocument/2006/relationships/image" Target="media/image218.png"/><Relationship Id="rId238" Type="http://schemas.openxmlformats.org/officeDocument/2006/relationships/image" Target="media/image219.png"/><Relationship Id="rId239" Type="http://schemas.openxmlformats.org/officeDocument/2006/relationships/image" Target="media/image220.png"/><Relationship Id="rId240" Type="http://schemas.openxmlformats.org/officeDocument/2006/relationships/image" Target="media/image221.png"/><Relationship Id="rId241" Type="http://schemas.openxmlformats.org/officeDocument/2006/relationships/image" Target="media/image222.png"/><Relationship Id="rId242" Type="http://schemas.openxmlformats.org/officeDocument/2006/relationships/image" Target="media/image223.png"/><Relationship Id="rId243" Type="http://schemas.openxmlformats.org/officeDocument/2006/relationships/image" Target="media/image224.png"/><Relationship Id="rId244" Type="http://schemas.openxmlformats.org/officeDocument/2006/relationships/image" Target="media/image225.png"/><Relationship Id="rId245" Type="http://schemas.openxmlformats.org/officeDocument/2006/relationships/image" Target="media/image226.png"/><Relationship Id="rId246" Type="http://schemas.openxmlformats.org/officeDocument/2006/relationships/image" Target="media/image227.png"/><Relationship Id="rId247" Type="http://schemas.openxmlformats.org/officeDocument/2006/relationships/image" Target="media/image228.png"/><Relationship Id="rId248" Type="http://schemas.openxmlformats.org/officeDocument/2006/relationships/image" Target="media/image229.png"/><Relationship Id="rId249" Type="http://schemas.openxmlformats.org/officeDocument/2006/relationships/image" Target="media/image230.png"/><Relationship Id="rId250" Type="http://schemas.openxmlformats.org/officeDocument/2006/relationships/image" Target="media/image231.png"/><Relationship Id="rId251" Type="http://schemas.openxmlformats.org/officeDocument/2006/relationships/image" Target="media/image232.png"/><Relationship Id="rId252" Type="http://schemas.openxmlformats.org/officeDocument/2006/relationships/image" Target="media/image233.png"/><Relationship Id="rId253" Type="http://schemas.openxmlformats.org/officeDocument/2006/relationships/image" Target="media/image234.png"/><Relationship Id="rId254" Type="http://schemas.openxmlformats.org/officeDocument/2006/relationships/image" Target="media/image235.png"/><Relationship Id="rId255" Type="http://schemas.openxmlformats.org/officeDocument/2006/relationships/image" Target="media/image236.png"/><Relationship Id="rId256" Type="http://schemas.openxmlformats.org/officeDocument/2006/relationships/image" Target="media/image237.png"/><Relationship Id="rId257" Type="http://schemas.openxmlformats.org/officeDocument/2006/relationships/image" Target="media/image238.png"/><Relationship Id="rId258" Type="http://schemas.openxmlformats.org/officeDocument/2006/relationships/image" Target="media/image239.png"/><Relationship Id="rId259" Type="http://schemas.openxmlformats.org/officeDocument/2006/relationships/image" Target="media/image240.png"/><Relationship Id="rId260" Type="http://schemas.openxmlformats.org/officeDocument/2006/relationships/image" Target="media/image241.png"/><Relationship Id="rId261" Type="http://schemas.openxmlformats.org/officeDocument/2006/relationships/image" Target="media/image242.png"/><Relationship Id="rId262" Type="http://schemas.openxmlformats.org/officeDocument/2006/relationships/image" Target="media/image243.png"/><Relationship Id="rId263" Type="http://schemas.openxmlformats.org/officeDocument/2006/relationships/image" Target="media/image244.png"/><Relationship Id="rId264" Type="http://schemas.openxmlformats.org/officeDocument/2006/relationships/image" Target="media/image245.png"/><Relationship Id="rId265" Type="http://schemas.openxmlformats.org/officeDocument/2006/relationships/image" Target="media/image246.png"/><Relationship Id="rId266" Type="http://schemas.openxmlformats.org/officeDocument/2006/relationships/image" Target="media/image247.png"/><Relationship Id="rId267" Type="http://schemas.openxmlformats.org/officeDocument/2006/relationships/image" Target="media/image248.png"/><Relationship Id="rId268" Type="http://schemas.openxmlformats.org/officeDocument/2006/relationships/image" Target="media/image249.png"/><Relationship Id="rId269" Type="http://schemas.openxmlformats.org/officeDocument/2006/relationships/image" Target="media/image250.png"/><Relationship Id="rId270" Type="http://schemas.openxmlformats.org/officeDocument/2006/relationships/image" Target="media/image251.png"/><Relationship Id="rId271" Type="http://schemas.openxmlformats.org/officeDocument/2006/relationships/image" Target="media/image252.png"/><Relationship Id="rId272" Type="http://schemas.openxmlformats.org/officeDocument/2006/relationships/image" Target="media/image253.png"/><Relationship Id="rId273" Type="http://schemas.openxmlformats.org/officeDocument/2006/relationships/image" Target="media/image254.png"/><Relationship Id="rId274" Type="http://schemas.openxmlformats.org/officeDocument/2006/relationships/image" Target="media/image255.png"/><Relationship Id="rId275" Type="http://schemas.openxmlformats.org/officeDocument/2006/relationships/image" Target="media/image256.png"/><Relationship Id="rId276" Type="http://schemas.openxmlformats.org/officeDocument/2006/relationships/image" Target="media/image257.png"/><Relationship Id="rId277" Type="http://schemas.openxmlformats.org/officeDocument/2006/relationships/image" Target="media/image258.png"/><Relationship Id="rId278" Type="http://schemas.openxmlformats.org/officeDocument/2006/relationships/image" Target="media/image259.png"/><Relationship Id="rId279" Type="http://schemas.openxmlformats.org/officeDocument/2006/relationships/image" Target="media/image260.png"/><Relationship Id="rId280" Type="http://schemas.openxmlformats.org/officeDocument/2006/relationships/image" Target="media/image261.png"/><Relationship Id="rId281" Type="http://schemas.openxmlformats.org/officeDocument/2006/relationships/image" Target="media/image262.png"/><Relationship Id="rId282" Type="http://schemas.openxmlformats.org/officeDocument/2006/relationships/image" Target="media/image263.png"/><Relationship Id="rId283" Type="http://schemas.openxmlformats.org/officeDocument/2006/relationships/image" Target="media/image264.png"/><Relationship Id="rId284" Type="http://schemas.openxmlformats.org/officeDocument/2006/relationships/image" Target="media/image265.png"/><Relationship Id="rId285" Type="http://schemas.openxmlformats.org/officeDocument/2006/relationships/image" Target="media/image266.png"/><Relationship Id="rId286" Type="http://schemas.openxmlformats.org/officeDocument/2006/relationships/image" Target="media/image267.png"/><Relationship Id="rId287" Type="http://schemas.openxmlformats.org/officeDocument/2006/relationships/image" Target="media/image268.png"/><Relationship Id="rId288" Type="http://schemas.openxmlformats.org/officeDocument/2006/relationships/image" Target="media/image269.png"/><Relationship Id="rId289" Type="http://schemas.openxmlformats.org/officeDocument/2006/relationships/image" Target="media/image270.png"/><Relationship Id="rId290" Type="http://schemas.openxmlformats.org/officeDocument/2006/relationships/image" Target="media/image271.png"/><Relationship Id="rId291" Type="http://schemas.openxmlformats.org/officeDocument/2006/relationships/image" Target="media/image272.png"/><Relationship Id="rId292" Type="http://schemas.openxmlformats.org/officeDocument/2006/relationships/image" Target="media/image273.png"/><Relationship Id="rId293" Type="http://schemas.openxmlformats.org/officeDocument/2006/relationships/image" Target="media/image274.png"/><Relationship Id="rId294" Type="http://schemas.openxmlformats.org/officeDocument/2006/relationships/image" Target="media/image275.png"/><Relationship Id="rId295" Type="http://schemas.openxmlformats.org/officeDocument/2006/relationships/image" Target="media/image276.png"/><Relationship Id="rId296" Type="http://schemas.openxmlformats.org/officeDocument/2006/relationships/image" Target="media/image277.png"/><Relationship Id="rId297" Type="http://schemas.openxmlformats.org/officeDocument/2006/relationships/image" Target="media/image278.png"/><Relationship Id="rId298" Type="http://schemas.openxmlformats.org/officeDocument/2006/relationships/image" Target="media/image279.png"/><Relationship Id="rId299" Type="http://schemas.openxmlformats.org/officeDocument/2006/relationships/image" Target="media/image280.png"/><Relationship Id="rId300" Type="http://schemas.openxmlformats.org/officeDocument/2006/relationships/image" Target="media/image281.png"/><Relationship Id="rId301" Type="http://schemas.openxmlformats.org/officeDocument/2006/relationships/image" Target="media/image282.png"/><Relationship Id="rId302" Type="http://schemas.openxmlformats.org/officeDocument/2006/relationships/image" Target="media/image283.png"/><Relationship Id="rId303" Type="http://schemas.openxmlformats.org/officeDocument/2006/relationships/image" Target="media/image284.png"/><Relationship Id="rId304" Type="http://schemas.openxmlformats.org/officeDocument/2006/relationships/image" Target="media/image285.png"/><Relationship Id="rId305" Type="http://schemas.openxmlformats.org/officeDocument/2006/relationships/image" Target="media/image286.png"/><Relationship Id="rId306" Type="http://schemas.openxmlformats.org/officeDocument/2006/relationships/image" Target="media/image287.png"/><Relationship Id="rId307" Type="http://schemas.openxmlformats.org/officeDocument/2006/relationships/image" Target="media/image288.png"/><Relationship Id="rId308" Type="http://schemas.openxmlformats.org/officeDocument/2006/relationships/image" Target="media/image289.png"/><Relationship Id="rId309" Type="http://schemas.openxmlformats.org/officeDocument/2006/relationships/image" Target="media/image290.png"/><Relationship Id="rId310" Type="http://schemas.openxmlformats.org/officeDocument/2006/relationships/image" Target="media/image291.png"/><Relationship Id="rId311" Type="http://schemas.openxmlformats.org/officeDocument/2006/relationships/image" Target="media/image292.png"/><Relationship Id="rId312" Type="http://schemas.openxmlformats.org/officeDocument/2006/relationships/image" Target="media/image293.png"/><Relationship Id="rId313" Type="http://schemas.openxmlformats.org/officeDocument/2006/relationships/image" Target="media/image294.png"/><Relationship Id="rId314" Type="http://schemas.openxmlformats.org/officeDocument/2006/relationships/image" Target="media/image295.png"/><Relationship Id="rId315" Type="http://schemas.openxmlformats.org/officeDocument/2006/relationships/image" Target="media/image296.png"/><Relationship Id="rId316" Type="http://schemas.openxmlformats.org/officeDocument/2006/relationships/image" Target="media/image297.png"/><Relationship Id="rId317" Type="http://schemas.openxmlformats.org/officeDocument/2006/relationships/image" Target="media/image298.png"/><Relationship Id="rId318" Type="http://schemas.openxmlformats.org/officeDocument/2006/relationships/image" Target="media/image299.png"/><Relationship Id="rId319" Type="http://schemas.openxmlformats.org/officeDocument/2006/relationships/image" Target="media/image300.png"/><Relationship Id="rId320" Type="http://schemas.openxmlformats.org/officeDocument/2006/relationships/image" Target="media/image301.png"/><Relationship Id="rId321" Type="http://schemas.openxmlformats.org/officeDocument/2006/relationships/image" Target="media/image302.png"/><Relationship Id="rId322" Type="http://schemas.openxmlformats.org/officeDocument/2006/relationships/image" Target="media/image303.png"/><Relationship Id="rId323" Type="http://schemas.openxmlformats.org/officeDocument/2006/relationships/image" Target="media/image304.png"/><Relationship Id="rId324" Type="http://schemas.openxmlformats.org/officeDocument/2006/relationships/image" Target="media/image305.png"/><Relationship Id="rId325" Type="http://schemas.openxmlformats.org/officeDocument/2006/relationships/image" Target="media/image306.png"/><Relationship Id="rId326" Type="http://schemas.openxmlformats.org/officeDocument/2006/relationships/image" Target="media/image307.png"/><Relationship Id="rId327" Type="http://schemas.openxmlformats.org/officeDocument/2006/relationships/image" Target="media/image308.png"/><Relationship Id="rId328" Type="http://schemas.openxmlformats.org/officeDocument/2006/relationships/image" Target="media/image309.png"/><Relationship Id="rId329" Type="http://schemas.openxmlformats.org/officeDocument/2006/relationships/image" Target="media/image310.png"/><Relationship Id="rId330" Type="http://schemas.openxmlformats.org/officeDocument/2006/relationships/image" Target="media/image311.png"/><Relationship Id="rId331" Type="http://schemas.openxmlformats.org/officeDocument/2006/relationships/image" Target="media/image312.png"/><Relationship Id="rId332" Type="http://schemas.openxmlformats.org/officeDocument/2006/relationships/image" Target="media/image313.png"/><Relationship Id="rId333" Type="http://schemas.openxmlformats.org/officeDocument/2006/relationships/image" Target="media/image314.png"/><Relationship Id="rId334" Type="http://schemas.openxmlformats.org/officeDocument/2006/relationships/image" Target="media/image315.png"/><Relationship Id="rId335" Type="http://schemas.openxmlformats.org/officeDocument/2006/relationships/image" Target="media/image316.png"/><Relationship Id="rId336" Type="http://schemas.openxmlformats.org/officeDocument/2006/relationships/image" Target="media/image317.png"/><Relationship Id="rId337" Type="http://schemas.openxmlformats.org/officeDocument/2006/relationships/image" Target="media/image318.png"/><Relationship Id="rId338" Type="http://schemas.openxmlformats.org/officeDocument/2006/relationships/image" Target="media/image319.png"/><Relationship Id="rId339" Type="http://schemas.openxmlformats.org/officeDocument/2006/relationships/image" Target="media/image320.png"/><Relationship Id="rId340" Type="http://schemas.openxmlformats.org/officeDocument/2006/relationships/image" Target="media/image321.png"/><Relationship Id="rId341" Type="http://schemas.openxmlformats.org/officeDocument/2006/relationships/image" Target="media/image322.png"/><Relationship Id="rId342" Type="http://schemas.openxmlformats.org/officeDocument/2006/relationships/image" Target="media/image323.png"/><Relationship Id="rId343" Type="http://schemas.openxmlformats.org/officeDocument/2006/relationships/image" Target="media/image324.png"/><Relationship Id="rId344" Type="http://schemas.openxmlformats.org/officeDocument/2006/relationships/image" Target="media/image325.png"/><Relationship Id="rId345" Type="http://schemas.openxmlformats.org/officeDocument/2006/relationships/image" Target="media/image326.png"/><Relationship Id="rId346" Type="http://schemas.openxmlformats.org/officeDocument/2006/relationships/image" Target="media/image327.png"/><Relationship Id="rId347" Type="http://schemas.openxmlformats.org/officeDocument/2006/relationships/image" Target="media/image328.png"/><Relationship Id="rId348" Type="http://schemas.openxmlformats.org/officeDocument/2006/relationships/image" Target="media/image329.png"/><Relationship Id="rId349" Type="http://schemas.openxmlformats.org/officeDocument/2006/relationships/image" Target="media/image330.png"/><Relationship Id="rId350" Type="http://schemas.openxmlformats.org/officeDocument/2006/relationships/image" Target="media/image331.png"/><Relationship Id="rId351" Type="http://schemas.openxmlformats.org/officeDocument/2006/relationships/image" Target="media/image332.png"/><Relationship Id="rId352" Type="http://schemas.openxmlformats.org/officeDocument/2006/relationships/image" Target="media/image333.png"/><Relationship Id="rId353" Type="http://schemas.openxmlformats.org/officeDocument/2006/relationships/image" Target="media/image334.png"/><Relationship Id="rId354" Type="http://schemas.openxmlformats.org/officeDocument/2006/relationships/image" Target="media/image335.png"/><Relationship Id="rId355" Type="http://schemas.openxmlformats.org/officeDocument/2006/relationships/image" Target="media/image336.png"/><Relationship Id="rId356" Type="http://schemas.openxmlformats.org/officeDocument/2006/relationships/image" Target="media/image337.png"/><Relationship Id="rId357" Type="http://schemas.openxmlformats.org/officeDocument/2006/relationships/image" Target="media/image338.png"/><Relationship Id="rId358" Type="http://schemas.openxmlformats.org/officeDocument/2006/relationships/image" Target="media/image339.png"/><Relationship Id="rId359" Type="http://schemas.openxmlformats.org/officeDocument/2006/relationships/image" Target="media/image340.png"/><Relationship Id="rId360" Type="http://schemas.openxmlformats.org/officeDocument/2006/relationships/image" Target="media/image341.png"/><Relationship Id="rId361" Type="http://schemas.openxmlformats.org/officeDocument/2006/relationships/image" Target="media/image342.png"/><Relationship Id="rId362" Type="http://schemas.openxmlformats.org/officeDocument/2006/relationships/image" Target="media/image343.png"/><Relationship Id="rId363" Type="http://schemas.openxmlformats.org/officeDocument/2006/relationships/image" Target="media/image344.png"/><Relationship Id="rId364" Type="http://schemas.openxmlformats.org/officeDocument/2006/relationships/image" Target="media/image345.png"/><Relationship Id="rId365" Type="http://schemas.openxmlformats.org/officeDocument/2006/relationships/image" Target="media/image346.png"/><Relationship Id="rId366" Type="http://schemas.openxmlformats.org/officeDocument/2006/relationships/image" Target="media/image347.png"/><Relationship Id="rId367" Type="http://schemas.openxmlformats.org/officeDocument/2006/relationships/image" Target="media/image348.png"/><Relationship Id="rId368" Type="http://schemas.openxmlformats.org/officeDocument/2006/relationships/image" Target="media/image349.png"/><Relationship Id="rId369" Type="http://schemas.openxmlformats.org/officeDocument/2006/relationships/image" Target="media/image350.png"/><Relationship Id="rId370" Type="http://schemas.openxmlformats.org/officeDocument/2006/relationships/image" Target="media/image351.png"/><Relationship Id="rId371" Type="http://schemas.openxmlformats.org/officeDocument/2006/relationships/image" Target="media/image352.png"/><Relationship Id="rId372" Type="http://schemas.openxmlformats.org/officeDocument/2006/relationships/image" Target="media/image353.png"/><Relationship Id="rId373" Type="http://schemas.openxmlformats.org/officeDocument/2006/relationships/image" Target="media/image354.png"/><Relationship Id="rId374" Type="http://schemas.openxmlformats.org/officeDocument/2006/relationships/image" Target="media/image355.png"/><Relationship Id="rId375" Type="http://schemas.openxmlformats.org/officeDocument/2006/relationships/image" Target="media/image356.png"/><Relationship Id="rId376" Type="http://schemas.openxmlformats.org/officeDocument/2006/relationships/image" Target="media/image357.png"/><Relationship Id="rId377" Type="http://schemas.openxmlformats.org/officeDocument/2006/relationships/image" Target="media/image358.png"/><Relationship Id="rId378" Type="http://schemas.openxmlformats.org/officeDocument/2006/relationships/image" Target="media/image359.png"/><Relationship Id="rId379" Type="http://schemas.openxmlformats.org/officeDocument/2006/relationships/image" Target="media/image360.png"/><Relationship Id="rId380" Type="http://schemas.openxmlformats.org/officeDocument/2006/relationships/image" Target="media/image361.png"/><Relationship Id="rId381" Type="http://schemas.openxmlformats.org/officeDocument/2006/relationships/image" Target="media/image362.png"/><Relationship Id="rId382" Type="http://schemas.openxmlformats.org/officeDocument/2006/relationships/image" Target="media/image363.png"/><Relationship Id="rId383" Type="http://schemas.openxmlformats.org/officeDocument/2006/relationships/image" Target="media/image364.png"/><Relationship Id="rId384" Type="http://schemas.openxmlformats.org/officeDocument/2006/relationships/image" Target="media/image365.png"/><Relationship Id="rId385" Type="http://schemas.openxmlformats.org/officeDocument/2006/relationships/image" Target="media/image366.png"/><Relationship Id="rId386" Type="http://schemas.openxmlformats.org/officeDocument/2006/relationships/image" Target="media/image367.png"/><Relationship Id="rId387" Type="http://schemas.openxmlformats.org/officeDocument/2006/relationships/image" Target="media/image368.png"/><Relationship Id="rId388" Type="http://schemas.openxmlformats.org/officeDocument/2006/relationships/image" Target="media/image369.png"/><Relationship Id="rId389" Type="http://schemas.openxmlformats.org/officeDocument/2006/relationships/image" Target="media/image370.png"/><Relationship Id="rId390" Type="http://schemas.openxmlformats.org/officeDocument/2006/relationships/image" Target="media/image371.png"/><Relationship Id="rId391" Type="http://schemas.openxmlformats.org/officeDocument/2006/relationships/image" Target="media/image372.png"/><Relationship Id="rId392" Type="http://schemas.openxmlformats.org/officeDocument/2006/relationships/image" Target="media/image373.png"/><Relationship Id="rId393" Type="http://schemas.openxmlformats.org/officeDocument/2006/relationships/image" Target="media/image374.png"/><Relationship Id="rId394" Type="http://schemas.openxmlformats.org/officeDocument/2006/relationships/image" Target="media/image375.png"/><Relationship Id="rId395" Type="http://schemas.openxmlformats.org/officeDocument/2006/relationships/image" Target="media/image376.png"/><Relationship Id="rId396" Type="http://schemas.openxmlformats.org/officeDocument/2006/relationships/image" Target="media/image377.png"/><Relationship Id="rId397" Type="http://schemas.openxmlformats.org/officeDocument/2006/relationships/image" Target="media/image378.png"/><Relationship Id="rId398" Type="http://schemas.openxmlformats.org/officeDocument/2006/relationships/image" Target="media/image379.png"/><Relationship Id="rId399" Type="http://schemas.openxmlformats.org/officeDocument/2006/relationships/image" Target="media/image380.png"/><Relationship Id="rId400" Type="http://schemas.openxmlformats.org/officeDocument/2006/relationships/image" Target="media/image381.png"/><Relationship Id="rId401" Type="http://schemas.openxmlformats.org/officeDocument/2006/relationships/image" Target="media/image382.png"/><Relationship Id="rId402" Type="http://schemas.openxmlformats.org/officeDocument/2006/relationships/image" Target="media/image383.png"/><Relationship Id="rId403" Type="http://schemas.openxmlformats.org/officeDocument/2006/relationships/image" Target="media/image384.png"/><Relationship Id="rId404" Type="http://schemas.openxmlformats.org/officeDocument/2006/relationships/image" Target="media/image385.png"/><Relationship Id="rId405" Type="http://schemas.openxmlformats.org/officeDocument/2006/relationships/image" Target="media/image386.png"/><Relationship Id="rId406" Type="http://schemas.openxmlformats.org/officeDocument/2006/relationships/image" Target="media/image387.png"/><Relationship Id="rId407" Type="http://schemas.openxmlformats.org/officeDocument/2006/relationships/image" Target="media/image388.png"/><Relationship Id="rId408" Type="http://schemas.openxmlformats.org/officeDocument/2006/relationships/image" Target="media/image389.png"/><Relationship Id="rId409" Type="http://schemas.openxmlformats.org/officeDocument/2006/relationships/image" Target="media/image390.png"/><Relationship Id="rId410" Type="http://schemas.openxmlformats.org/officeDocument/2006/relationships/image" Target="media/image391.png"/><Relationship Id="rId411" Type="http://schemas.openxmlformats.org/officeDocument/2006/relationships/image" Target="media/image392.png"/><Relationship Id="rId412" Type="http://schemas.openxmlformats.org/officeDocument/2006/relationships/image" Target="media/image393.png"/><Relationship Id="rId413" Type="http://schemas.openxmlformats.org/officeDocument/2006/relationships/image" Target="media/image394.png"/><Relationship Id="rId414" Type="http://schemas.openxmlformats.org/officeDocument/2006/relationships/image" Target="media/image395.png"/><Relationship Id="rId415" Type="http://schemas.openxmlformats.org/officeDocument/2006/relationships/image" Target="media/image396.png"/><Relationship Id="rId416" Type="http://schemas.openxmlformats.org/officeDocument/2006/relationships/image" Target="media/image397.png"/><Relationship Id="rId417" Type="http://schemas.openxmlformats.org/officeDocument/2006/relationships/image" Target="media/image398.png"/><Relationship Id="rId418" Type="http://schemas.openxmlformats.org/officeDocument/2006/relationships/image" Target="media/image399.png"/><Relationship Id="rId419" Type="http://schemas.openxmlformats.org/officeDocument/2006/relationships/image" Target="media/image400.png"/><Relationship Id="rId420" Type="http://schemas.openxmlformats.org/officeDocument/2006/relationships/image" Target="media/image401.png"/><Relationship Id="rId421" Type="http://schemas.openxmlformats.org/officeDocument/2006/relationships/image" Target="media/image402.png"/><Relationship Id="rId422" Type="http://schemas.openxmlformats.org/officeDocument/2006/relationships/image" Target="media/image403.png"/><Relationship Id="rId423" Type="http://schemas.openxmlformats.org/officeDocument/2006/relationships/image" Target="media/image404.png"/><Relationship Id="rId424" Type="http://schemas.openxmlformats.org/officeDocument/2006/relationships/image" Target="media/image405.png"/><Relationship Id="rId425" Type="http://schemas.openxmlformats.org/officeDocument/2006/relationships/image" Target="media/image406.png"/><Relationship Id="rId426" Type="http://schemas.openxmlformats.org/officeDocument/2006/relationships/image" Target="media/image407.png"/><Relationship Id="rId427" Type="http://schemas.openxmlformats.org/officeDocument/2006/relationships/image" Target="media/image408.png"/><Relationship Id="rId428" Type="http://schemas.openxmlformats.org/officeDocument/2006/relationships/image" Target="media/image409.png"/><Relationship Id="rId429" Type="http://schemas.openxmlformats.org/officeDocument/2006/relationships/image" Target="media/image410.png"/><Relationship Id="rId430" Type="http://schemas.openxmlformats.org/officeDocument/2006/relationships/image" Target="media/image411.png"/><Relationship Id="rId431" Type="http://schemas.openxmlformats.org/officeDocument/2006/relationships/image" Target="media/image412.png"/><Relationship Id="rId432" Type="http://schemas.openxmlformats.org/officeDocument/2006/relationships/image" Target="media/image413.png"/><Relationship Id="rId433" Type="http://schemas.openxmlformats.org/officeDocument/2006/relationships/image" Target="media/image414.png"/><Relationship Id="rId434" Type="http://schemas.openxmlformats.org/officeDocument/2006/relationships/image" Target="media/image415.png"/><Relationship Id="rId435" Type="http://schemas.openxmlformats.org/officeDocument/2006/relationships/image" Target="media/image416.png"/><Relationship Id="rId436" Type="http://schemas.openxmlformats.org/officeDocument/2006/relationships/image" Target="media/image417.png"/><Relationship Id="rId437" Type="http://schemas.openxmlformats.org/officeDocument/2006/relationships/image" Target="media/image418.png"/><Relationship Id="rId438" Type="http://schemas.openxmlformats.org/officeDocument/2006/relationships/image" Target="media/image419.png"/><Relationship Id="rId439" Type="http://schemas.openxmlformats.org/officeDocument/2006/relationships/image" Target="media/image420.png"/><Relationship Id="rId440" Type="http://schemas.openxmlformats.org/officeDocument/2006/relationships/image" Target="media/image421.png"/><Relationship Id="rId441" Type="http://schemas.openxmlformats.org/officeDocument/2006/relationships/image" Target="media/image422.png"/><Relationship Id="rId442" Type="http://schemas.openxmlformats.org/officeDocument/2006/relationships/image" Target="media/image423.png"/><Relationship Id="rId443" Type="http://schemas.openxmlformats.org/officeDocument/2006/relationships/image" Target="media/image424.png"/><Relationship Id="rId444" Type="http://schemas.openxmlformats.org/officeDocument/2006/relationships/image" Target="media/image425.png"/><Relationship Id="rId445" Type="http://schemas.openxmlformats.org/officeDocument/2006/relationships/image" Target="media/image426.png"/><Relationship Id="rId446" Type="http://schemas.openxmlformats.org/officeDocument/2006/relationships/image" Target="media/image427.png"/><Relationship Id="rId447" Type="http://schemas.openxmlformats.org/officeDocument/2006/relationships/image" Target="media/image428.png"/><Relationship Id="rId448" Type="http://schemas.openxmlformats.org/officeDocument/2006/relationships/image" Target="media/image429.png"/><Relationship Id="rId449" Type="http://schemas.openxmlformats.org/officeDocument/2006/relationships/image" Target="media/image430.png"/><Relationship Id="rId450" Type="http://schemas.openxmlformats.org/officeDocument/2006/relationships/image" Target="media/image431.png"/><Relationship Id="rId451" Type="http://schemas.openxmlformats.org/officeDocument/2006/relationships/image" Target="media/image432.png"/><Relationship Id="rId452" Type="http://schemas.openxmlformats.org/officeDocument/2006/relationships/image" Target="media/image433.png"/><Relationship Id="rId453" Type="http://schemas.openxmlformats.org/officeDocument/2006/relationships/image" Target="media/image434.png"/><Relationship Id="rId454" Type="http://schemas.openxmlformats.org/officeDocument/2006/relationships/image" Target="media/image435.png"/><Relationship Id="rId455" Type="http://schemas.openxmlformats.org/officeDocument/2006/relationships/image" Target="media/image436.png"/><Relationship Id="rId456" Type="http://schemas.openxmlformats.org/officeDocument/2006/relationships/image" Target="media/image437.png"/><Relationship Id="rId457" Type="http://schemas.openxmlformats.org/officeDocument/2006/relationships/image" Target="media/image438.png"/><Relationship Id="rId458" Type="http://schemas.openxmlformats.org/officeDocument/2006/relationships/image" Target="media/image439.png"/><Relationship Id="rId459" Type="http://schemas.openxmlformats.org/officeDocument/2006/relationships/image" Target="media/image440.png"/><Relationship Id="rId460" Type="http://schemas.openxmlformats.org/officeDocument/2006/relationships/image" Target="media/image441.png"/><Relationship Id="rId461" Type="http://schemas.openxmlformats.org/officeDocument/2006/relationships/image" Target="media/image442.png"/><Relationship Id="rId462" Type="http://schemas.openxmlformats.org/officeDocument/2006/relationships/image" Target="media/image443.png"/><Relationship Id="rId463" Type="http://schemas.openxmlformats.org/officeDocument/2006/relationships/image" Target="media/image444.png"/><Relationship Id="rId464" Type="http://schemas.openxmlformats.org/officeDocument/2006/relationships/image" Target="media/image445.png"/><Relationship Id="rId465" Type="http://schemas.openxmlformats.org/officeDocument/2006/relationships/image" Target="media/image446.png"/><Relationship Id="rId466" Type="http://schemas.openxmlformats.org/officeDocument/2006/relationships/image" Target="media/image447.png"/><Relationship Id="rId467" Type="http://schemas.openxmlformats.org/officeDocument/2006/relationships/image" Target="media/image448.png"/><Relationship Id="rId468" Type="http://schemas.openxmlformats.org/officeDocument/2006/relationships/image" Target="media/image449.png"/><Relationship Id="rId469" Type="http://schemas.openxmlformats.org/officeDocument/2006/relationships/image" Target="media/image450.png"/><Relationship Id="rId470" Type="http://schemas.openxmlformats.org/officeDocument/2006/relationships/image" Target="media/image451.png"/><Relationship Id="rId471" Type="http://schemas.openxmlformats.org/officeDocument/2006/relationships/image" Target="media/image452.png"/><Relationship Id="rId472" Type="http://schemas.openxmlformats.org/officeDocument/2006/relationships/image" Target="media/image453.png"/><Relationship Id="rId473" Type="http://schemas.openxmlformats.org/officeDocument/2006/relationships/image" Target="media/image454.png"/><Relationship Id="rId474" Type="http://schemas.openxmlformats.org/officeDocument/2006/relationships/image" Target="media/image455.png"/><Relationship Id="rId475" Type="http://schemas.openxmlformats.org/officeDocument/2006/relationships/image" Target="media/image456.png"/><Relationship Id="rId476" Type="http://schemas.openxmlformats.org/officeDocument/2006/relationships/image" Target="media/image457.png"/><Relationship Id="rId477" Type="http://schemas.openxmlformats.org/officeDocument/2006/relationships/image" Target="media/image458.png"/><Relationship Id="rId478" Type="http://schemas.openxmlformats.org/officeDocument/2006/relationships/image" Target="media/image459.png"/><Relationship Id="rId479" Type="http://schemas.openxmlformats.org/officeDocument/2006/relationships/image" Target="media/image460.png"/><Relationship Id="rId480" Type="http://schemas.openxmlformats.org/officeDocument/2006/relationships/image" Target="media/image461.png"/><Relationship Id="rId481" Type="http://schemas.openxmlformats.org/officeDocument/2006/relationships/image" Target="media/image462.png"/><Relationship Id="rId482" Type="http://schemas.openxmlformats.org/officeDocument/2006/relationships/image" Target="media/image463.png"/><Relationship Id="rId483" Type="http://schemas.openxmlformats.org/officeDocument/2006/relationships/image" Target="media/image464.png"/><Relationship Id="rId484" Type="http://schemas.openxmlformats.org/officeDocument/2006/relationships/image" Target="media/image465.png"/><Relationship Id="rId485" Type="http://schemas.openxmlformats.org/officeDocument/2006/relationships/image" Target="media/image466.png"/><Relationship Id="rId486" Type="http://schemas.openxmlformats.org/officeDocument/2006/relationships/image" Target="media/image467.png"/><Relationship Id="rId487" Type="http://schemas.openxmlformats.org/officeDocument/2006/relationships/image" Target="media/image468.png"/><Relationship Id="rId488" Type="http://schemas.openxmlformats.org/officeDocument/2006/relationships/image" Target="media/image469.png"/><Relationship Id="rId489" Type="http://schemas.openxmlformats.org/officeDocument/2006/relationships/image" Target="media/image470.png"/><Relationship Id="rId490" Type="http://schemas.openxmlformats.org/officeDocument/2006/relationships/image" Target="media/image471.png"/><Relationship Id="rId491" Type="http://schemas.openxmlformats.org/officeDocument/2006/relationships/image" Target="media/image472.png"/><Relationship Id="rId492" Type="http://schemas.openxmlformats.org/officeDocument/2006/relationships/image" Target="media/image473.png"/><Relationship Id="rId493" Type="http://schemas.openxmlformats.org/officeDocument/2006/relationships/image" Target="media/image474.png"/><Relationship Id="rId494" Type="http://schemas.openxmlformats.org/officeDocument/2006/relationships/image" Target="media/image475.png"/><Relationship Id="rId495" Type="http://schemas.openxmlformats.org/officeDocument/2006/relationships/image" Target="media/image476.png"/><Relationship Id="rId496" Type="http://schemas.openxmlformats.org/officeDocument/2006/relationships/image" Target="media/image477.png"/><Relationship Id="rId497" Type="http://schemas.openxmlformats.org/officeDocument/2006/relationships/image" Target="media/image478.png"/><Relationship Id="rId498" Type="http://schemas.openxmlformats.org/officeDocument/2006/relationships/image" Target="media/image479.png"/><Relationship Id="rId499" Type="http://schemas.openxmlformats.org/officeDocument/2006/relationships/image" Target="media/image480.png"/><Relationship Id="rId500" Type="http://schemas.openxmlformats.org/officeDocument/2006/relationships/image" Target="media/image481.png"/><Relationship Id="rId501" Type="http://schemas.openxmlformats.org/officeDocument/2006/relationships/image" Target="media/image482.png"/><Relationship Id="rId502" Type="http://schemas.openxmlformats.org/officeDocument/2006/relationships/image" Target="media/image483.png"/><Relationship Id="rId503" Type="http://schemas.openxmlformats.org/officeDocument/2006/relationships/image" Target="media/image484.png"/><Relationship Id="rId504" Type="http://schemas.openxmlformats.org/officeDocument/2006/relationships/image" Target="media/image485.png"/><Relationship Id="rId505" Type="http://schemas.openxmlformats.org/officeDocument/2006/relationships/image" Target="media/image486.png"/><Relationship Id="rId506" Type="http://schemas.openxmlformats.org/officeDocument/2006/relationships/image" Target="media/image487.png"/><Relationship Id="rId507" Type="http://schemas.openxmlformats.org/officeDocument/2006/relationships/image" Target="media/image488.png"/><Relationship Id="rId508" Type="http://schemas.openxmlformats.org/officeDocument/2006/relationships/image" Target="media/image489.png"/><Relationship Id="rId509" Type="http://schemas.openxmlformats.org/officeDocument/2006/relationships/image" Target="media/image490.png"/><Relationship Id="rId510" Type="http://schemas.openxmlformats.org/officeDocument/2006/relationships/image" Target="media/image491.png"/><Relationship Id="rId511" Type="http://schemas.openxmlformats.org/officeDocument/2006/relationships/image" Target="media/image492.png"/><Relationship Id="rId512" Type="http://schemas.openxmlformats.org/officeDocument/2006/relationships/image" Target="media/image493.png"/><Relationship Id="rId513" Type="http://schemas.openxmlformats.org/officeDocument/2006/relationships/image" Target="media/image494.png"/><Relationship Id="rId514" Type="http://schemas.openxmlformats.org/officeDocument/2006/relationships/image" Target="media/image495.png"/><Relationship Id="rId515" Type="http://schemas.openxmlformats.org/officeDocument/2006/relationships/image" Target="media/image496.png"/><Relationship Id="rId516" Type="http://schemas.openxmlformats.org/officeDocument/2006/relationships/image" Target="media/image497.png"/><Relationship Id="rId517" Type="http://schemas.openxmlformats.org/officeDocument/2006/relationships/image" Target="media/image498.png"/><Relationship Id="rId518" Type="http://schemas.openxmlformats.org/officeDocument/2006/relationships/image" Target="media/image499.png"/><Relationship Id="rId519" Type="http://schemas.openxmlformats.org/officeDocument/2006/relationships/image" Target="media/image500.png"/><Relationship Id="rId520" Type="http://schemas.openxmlformats.org/officeDocument/2006/relationships/image" Target="media/image501.png"/><Relationship Id="rId521" Type="http://schemas.openxmlformats.org/officeDocument/2006/relationships/image" Target="media/image502.png"/><Relationship Id="rId522" Type="http://schemas.openxmlformats.org/officeDocument/2006/relationships/image" Target="media/image503.png"/><Relationship Id="rId523" Type="http://schemas.openxmlformats.org/officeDocument/2006/relationships/image" Target="media/image504.png"/><Relationship Id="rId524" Type="http://schemas.openxmlformats.org/officeDocument/2006/relationships/image" Target="media/image505.png"/><Relationship Id="rId525" Type="http://schemas.openxmlformats.org/officeDocument/2006/relationships/image" Target="media/image506.png"/><Relationship Id="rId526" Type="http://schemas.openxmlformats.org/officeDocument/2006/relationships/image" Target="media/image507.png"/><Relationship Id="rId527" Type="http://schemas.openxmlformats.org/officeDocument/2006/relationships/image" Target="media/image508.png"/><Relationship Id="rId528" Type="http://schemas.openxmlformats.org/officeDocument/2006/relationships/image" Target="media/image509.png"/><Relationship Id="rId529" Type="http://schemas.openxmlformats.org/officeDocument/2006/relationships/image" Target="media/image510.png"/><Relationship Id="rId530" Type="http://schemas.openxmlformats.org/officeDocument/2006/relationships/image" Target="media/image511.png"/><Relationship Id="rId531" Type="http://schemas.openxmlformats.org/officeDocument/2006/relationships/image" Target="media/image512.png"/><Relationship Id="rId532" Type="http://schemas.openxmlformats.org/officeDocument/2006/relationships/image" Target="media/image513.png"/><Relationship Id="rId533" Type="http://schemas.openxmlformats.org/officeDocument/2006/relationships/image" Target="media/image514.png"/><Relationship Id="rId534" Type="http://schemas.openxmlformats.org/officeDocument/2006/relationships/image" Target="media/image515.png"/><Relationship Id="rId535" Type="http://schemas.openxmlformats.org/officeDocument/2006/relationships/image" Target="media/image516.png"/><Relationship Id="rId536" Type="http://schemas.openxmlformats.org/officeDocument/2006/relationships/image" Target="media/image517.png"/><Relationship Id="rId537" Type="http://schemas.openxmlformats.org/officeDocument/2006/relationships/image" Target="media/image518.png"/><Relationship Id="rId538" Type="http://schemas.openxmlformats.org/officeDocument/2006/relationships/image" Target="media/image519.png"/><Relationship Id="rId539" Type="http://schemas.openxmlformats.org/officeDocument/2006/relationships/image" Target="media/image520.png"/><Relationship Id="rId540" Type="http://schemas.openxmlformats.org/officeDocument/2006/relationships/image" Target="media/image521.png"/><Relationship Id="rId541" Type="http://schemas.openxmlformats.org/officeDocument/2006/relationships/image" Target="media/image522.png"/><Relationship Id="rId542" Type="http://schemas.openxmlformats.org/officeDocument/2006/relationships/image" Target="media/image523.png"/><Relationship Id="rId543" Type="http://schemas.openxmlformats.org/officeDocument/2006/relationships/image" Target="media/image524.png"/><Relationship Id="rId544" Type="http://schemas.openxmlformats.org/officeDocument/2006/relationships/image" Target="media/image525.png"/><Relationship Id="rId545" Type="http://schemas.openxmlformats.org/officeDocument/2006/relationships/image" Target="media/image526.png"/><Relationship Id="rId546" Type="http://schemas.openxmlformats.org/officeDocument/2006/relationships/image" Target="media/image527.png"/><Relationship Id="rId547" Type="http://schemas.openxmlformats.org/officeDocument/2006/relationships/image" Target="media/image528.png"/><Relationship Id="rId548" Type="http://schemas.openxmlformats.org/officeDocument/2006/relationships/image" Target="media/image529.png"/><Relationship Id="rId549" Type="http://schemas.openxmlformats.org/officeDocument/2006/relationships/image" Target="media/image530.jpeg"/><Relationship Id="rId550" Type="http://schemas.openxmlformats.org/officeDocument/2006/relationships/image" Target="media/image531.jpeg"/><Relationship Id="rId551" Type="http://schemas.openxmlformats.org/officeDocument/2006/relationships/image" Target="media/image532.png"/><Relationship Id="rId552" Type="http://schemas.openxmlformats.org/officeDocument/2006/relationships/image" Target="media/image533.png"/><Relationship Id="rId553" Type="http://schemas.openxmlformats.org/officeDocument/2006/relationships/image" Target="media/image534.png"/><Relationship Id="rId554" Type="http://schemas.openxmlformats.org/officeDocument/2006/relationships/image" Target="media/image535.png"/><Relationship Id="rId555" Type="http://schemas.openxmlformats.org/officeDocument/2006/relationships/image" Target="media/image536.png"/><Relationship Id="rId556" Type="http://schemas.openxmlformats.org/officeDocument/2006/relationships/image" Target="media/image537.png"/><Relationship Id="rId557" Type="http://schemas.openxmlformats.org/officeDocument/2006/relationships/image" Target="media/image538.png"/><Relationship Id="rId558" Type="http://schemas.openxmlformats.org/officeDocument/2006/relationships/image" Target="media/image539.png"/><Relationship Id="rId559" Type="http://schemas.openxmlformats.org/officeDocument/2006/relationships/image" Target="media/image540.png"/><Relationship Id="rId560" Type="http://schemas.openxmlformats.org/officeDocument/2006/relationships/image" Target="media/image541.png"/><Relationship Id="rId143" Type="http://schemas.openxmlformats.org/officeDocument/2006/relationships/hyperlink" Target="https://www.sec.gov/Archives/edgar/data/0001795139/000119312519320787/d845813dex31.htm" TargetMode="External"/><Relationship Id="rId144" Type="http://schemas.openxmlformats.org/officeDocument/2006/relationships/hyperlink" Target="https://www.sec.gov/Archives/edgar/data/0001795139/000119312519320787/d845813dex41.htm" TargetMode="External"/><Relationship Id="rId145" Type="http://schemas.openxmlformats.org/officeDocument/2006/relationships/hyperlink" Target="https://www.sec.gov/Archives/edgar/data/0001795139/000119312519320787/d845813dex101.htm" TargetMode="External"/><Relationship Id="rId146" Type="http://schemas.openxmlformats.org/officeDocument/2006/relationships/hyperlink" Target="https://www.sec.gov/Archives/edgar/data/0001795139/000119312519320787/d845813dex102.htm" TargetMode="External"/><Relationship Id="rId147" Type="http://schemas.openxmlformats.org/officeDocument/2006/relationships/hyperlink" Target="https://www.sec.gov/Archives/edgar/data/0001795139/000119312519320787/d845813dex103.htm" TargetMode="External"/><Relationship Id="rId148" Type="http://schemas.openxmlformats.org/officeDocument/2006/relationships/hyperlink" Target="https://www.sec.gov/Archives/edgar/data/0001795139/000119312519320787/d845813dex104.htm" TargetMode="External"/><Relationship Id="rId149" Type="http://schemas.openxmlformats.org/officeDocument/2006/relationships/hyperlink" Target="https://www.sec.gov/Archives/edgar/data/0001795139/000119312519320787/d845813dex105.htm" TargetMode="External"/><Relationship Id="rId150" Type="http://schemas.openxmlformats.org/officeDocument/2006/relationships/hyperlink" Target="https://www.sec.gov/Archives/edgar/data/1795139/000119312521152714/d334570dex101.htm" TargetMode="External"/><Relationship Id="rId151" Type="http://schemas.openxmlformats.org/officeDocument/2006/relationships/hyperlink" Target="https://www.sec.gov/Archives/edgar/data/0001795139/000119312519320787/d845813dex108.htm" TargetMode="External"/><Relationship Id="rId152" Type="http://schemas.openxmlformats.org/officeDocument/2006/relationships/hyperlink" Target="https://www.sec.gov/Archives/edgar/data/0001795139/000119312519320787/d845813dex109.htm" TargetMode="External"/><Relationship Id="rId153" Type="http://schemas.openxmlformats.org/officeDocument/2006/relationships/hyperlink" Target="https://www.sec.gov/Archives/edgar/data/0001795139/000119312521084882/d113558dex1013.htm" TargetMode="External"/><Relationship Id="rId154" Type="http://schemas.openxmlformats.org/officeDocument/2006/relationships/hyperlink" Target="https://www.sec.gov/Archives/edgar/data/0001795139/000119312521162641/d174526dex16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2023-03-01T09:10:06Z</dcterms:created>
  <dcterms:modified xsi:type="dcterms:W3CDTF">2023-03-01T09:10:06Z</dcterms:modified>
</cp:coreProperties>
</file>