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534035</wp:posOffset>
            </wp:positionH>
            <wp:positionV relativeFrom="page">
              <wp:posOffset>286385</wp:posOffset>
            </wp:positionV>
            <wp:extent cx="6806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303530</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112395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3"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2022</w:t>
      </w:r>
    </w:p>
    <w:p>
      <w:pPr>
        <w:spacing w:after="0" w:line="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8" w:lineRule="exact"/>
        <w:rPr>
          <w:sz w:val="24"/>
          <w:szCs w:val="24"/>
          <w:color w:val="auto"/>
        </w:rPr>
      </w:pPr>
    </w:p>
    <w:p>
      <w:pPr>
        <w:ind w:left="520" w:right="140" w:hanging="512"/>
        <w:spacing w:after="0" w:line="271" w:lineRule="auto"/>
        <w:tabs>
          <w:tab w:leader="none" w:pos="44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1513840</wp:posOffset>
            </wp:positionH>
            <wp:positionV relativeFrom="paragraph">
              <wp:posOffset>34290</wp:posOffset>
            </wp:positionV>
            <wp:extent cx="4088765"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876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4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Commission file number 000-56132</w:t>
            </w:r>
          </w:p>
        </w:tc>
        <w:tc>
          <w:tcPr>
            <w:tcW w:w="1500" w:type="dxa"/>
            <w:vAlign w:val="bottom"/>
          </w:tcPr>
          <w:p>
            <w:pPr>
              <w:spacing w:after="0"/>
              <w:rPr>
                <w:sz w:val="16"/>
                <w:szCs w:val="16"/>
                <w:color w:val="auto"/>
              </w:rPr>
            </w:pPr>
          </w:p>
        </w:tc>
      </w:tr>
      <w:tr>
        <w:trPr>
          <w:trHeight w:val="145"/>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gridSpan w:val="2"/>
          </w:tcPr>
          <w:p>
            <w:pPr>
              <w:spacing w:after="0"/>
              <w:rPr>
                <w:sz w:val="12"/>
                <w:szCs w:val="12"/>
                <w:color w:val="auto"/>
              </w:rPr>
            </w:pPr>
          </w:p>
        </w:tc>
      </w:tr>
      <w:tr>
        <w:trPr>
          <w:trHeight w:val="509"/>
        </w:trPr>
        <w:tc>
          <w:tcPr>
            <w:tcW w:w="8840" w:type="dxa"/>
            <w:vAlign w:val="bottom"/>
            <w:gridSpan w:val="6"/>
          </w:tcPr>
          <w:p>
            <w:pPr>
              <w:ind w:left="2360"/>
              <w:spacing w:after="0"/>
              <w:rPr>
                <w:sz w:val="20"/>
                <w:szCs w:val="20"/>
                <w:color w:val="auto"/>
              </w:rPr>
            </w:pPr>
            <w:r>
              <w:rPr>
                <w:rFonts w:ascii="Times New Roman" w:cs="Times New Roman" w:eastAsia="Times New Roman" w:hAnsi="Times New Roman"/>
                <w:sz w:val="40"/>
                <w:szCs w:val="40"/>
                <w:b w:val="1"/>
                <w:bCs w:val="1"/>
                <w:color w:val="auto"/>
                <w:w w:val="99"/>
              </w:rPr>
              <w:t>GREEN THUMB INDUSTRIES INC.</w:t>
            </w:r>
          </w:p>
        </w:tc>
      </w:tr>
      <w:tr>
        <w:trPr>
          <w:trHeight w:val="190"/>
        </w:trPr>
        <w:tc>
          <w:tcPr>
            <w:tcW w:w="7340" w:type="dxa"/>
            <w:vAlign w:val="bottom"/>
            <w:gridSpan w:val="5"/>
          </w:tcPr>
          <w:p>
            <w:pPr>
              <w:jc w:val="center"/>
              <w:ind w:left="3802"/>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500" w:type="dxa"/>
            <w:vAlign w:val="bottom"/>
          </w:tcPr>
          <w:p>
            <w:pPr>
              <w:spacing w:after="0"/>
              <w:rPr>
                <w:sz w:val="16"/>
                <w:szCs w:val="16"/>
                <w:color w:val="auto"/>
              </w:rPr>
            </w:pPr>
          </w:p>
        </w:tc>
      </w:tr>
      <w:tr>
        <w:trPr>
          <w:trHeight w:val="158"/>
        </w:trPr>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356"/>
        </w:trPr>
        <w:tc>
          <w:tcPr>
            <w:tcW w:w="7340" w:type="dxa"/>
            <w:vAlign w:val="bottom"/>
            <w:gridSpan w:val="5"/>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British Columbia</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98-1437430</w:t>
            </w:r>
          </w:p>
        </w:tc>
      </w:tr>
      <w:tr>
        <w:trPr>
          <w:trHeight w:val="110"/>
        </w:trPr>
        <w:tc>
          <w:tcPr>
            <w:tcW w:w="7340" w:type="dxa"/>
            <w:vAlign w:val="bottom"/>
            <w:gridSpan w:val="5"/>
          </w:tcPr>
          <w:p>
            <w:pPr>
              <w:jc w:val="center"/>
              <w:ind w:right="1700"/>
              <w:spacing w:after="0" w:line="111"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1500" w:type="dxa"/>
            <w:vAlign w:val="bottom"/>
          </w:tcPr>
          <w:p>
            <w:pPr>
              <w:jc w:val="center"/>
              <w:ind w:left="616"/>
              <w:spacing w:after="0" w:line="111" w:lineRule="exact"/>
              <w:rPr>
                <w:sz w:val="20"/>
                <w:szCs w:val="20"/>
                <w:color w:val="auto"/>
              </w:rPr>
            </w:pPr>
            <w:r>
              <w:rPr>
                <w:rFonts w:ascii="Times New Roman" w:cs="Times New Roman" w:eastAsia="Times New Roman" w:hAnsi="Times New Roman"/>
                <w:sz w:val="11"/>
                <w:szCs w:val="11"/>
                <w:b w:val="1"/>
                <w:bCs w:val="1"/>
                <w:color w:val="auto"/>
                <w:w w:val="96"/>
              </w:rPr>
              <w:t>(I.R.S. employer</w:t>
            </w:r>
          </w:p>
        </w:tc>
      </w:tr>
      <w:tr>
        <w:trPr>
          <w:trHeight w:val="142"/>
        </w:trPr>
        <w:tc>
          <w:tcPr>
            <w:tcW w:w="7340" w:type="dxa"/>
            <w:vAlign w:val="bottom"/>
            <w:gridSpan w:val="5"/>
          </w:tcPr>
          <w:p>
            <w:pPr>
              <w:jc w:val="center"/>
              <w:ind w:right="1700"/>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1500" w:type="dxa"/>
            <w:vAlign w:val="bottom"/>
          </w:tcPr>
          <w:p>
            <w:pPr>
              <w:jc w:val="center"/>
              <w:ind w:left="616"/>
              <w:spacing w:after="0"/>
              <w:rPr>
                <w:sz w:val="20"/>
                <w:szCs w:val="20"/>
                <w:color w:val="auto"/>
              </w:rPr>
            </w:pPr>
            <w:r>
              <w:rPr>
                <w:rFonts w:ascii="Times New Roman" w:cs="Times New Roman" w:eastAsia="Times New Roman" w:hAnsi="Times New Roman"/>
                <w:sz w:val="11"/>
                <w:szCs w:val="11"/>
                <w:b w:val="1"/>
                <w:bCs w:val="1"/>
                <w:color w:val="auto"/>
                <w:w w:val="98"/>
              </w:rPr>
              <w:t>identification no.)</w:t>
            </w:r>
          </w:p>
        </w:tc>
      </w:tr>
      <w:tr>
        <w:trPr>
          <w:trHeight w:val="306"/>
        </w:trPr>
        <w:tc>
          <w:tcPr>
            <w:tcW w:w="7340" w:type="dxa"/>
            <w:vAlign w:val="bottom"/>
            <w:gridSpan w:val="5"/>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325 West Huron Street,</w:t>
            </w:r>
          </w:p>
        </w:tc>
        <w:tc>
          <w:tcPr>
            <w:tcW w:w="1500" w:type="dxa"/>
            <w:vAlign w:val="bottom"/>
          </w:tcPr>
          <w:p>
            <w:pPr>
              <w:spacing w:after="0"/>
              <w:rPr>
                <w:sz w:val="24"/>
                <w:szCs w:val="24"/>
                <w:color w:val="auto"/>
              </w:rPr>
            </w:pPr>
          </w:p>
        </w:tc>
      </w:tr>
      <w:tr>
        <w:trPr>
          <w:trHeight w:val="198"/>
        </w:trPr>
        <w:tc>
          <w:tcPr>
            <w:tcW w:w="7340" w:type="dxa"/>
            <w:vAlign w:val="bottom"/>
            <w:gridSpan w:val="5"/>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Suite 700 Chicago, Illinois</w:t>
            </w: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60654</w:t>
            </w:r>
          </w:p>
        </w:tc>
      </w:tr>
      <w:tr>
        <w:trPr>
          <w:trHeight w:val="142"/>
        </w:trPr>
        <w:tc>
          <w:tcPr>
            <w:tcW w:w="7340" w:type="dxa"/>
            <w:vAlign w:val="bottom"/>
            <w:gridSpan w:val="5"/>
          </w:tcPr>
          <w:p>
            <w:pPr>
              <w:jc w:val="center"/>
              <w:ind w:right="1720"/>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1500" w:type="dxa"/>
            <w:vAlign w:val="bottom"/>
          </w:tcPr>
          <w:p>
            <w:pPr>
              <w:jc w:val="center"/>
              <w:ind w:left="616"/>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69"/>
        </w:trPr>
        <w:tc>
          <w:tcPr>
            <w:tcW w:w="8840" w:type="dxa"/>
            <w:vAlign w:val="bottom"/>
            <w:gridSpan w:val="6"/>
          </w:tcPr>
          <w:p>
            <w:pPr>
              <w:jc w:val="center"/>
              <w:ind w:left="230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 (312) 471-6720</w:t>
            </w:r>
          </w:p>
        </w:tc>
      </w:tr>
      <w:tr>
        <w:trPr>
          <w:trHeight w:val="145"/>
        </w:trPr>
        <w:tc>
          <w:tcPr>
            <w:tcW w:w="4480" w:type="dxa"/>
            <w:vAlign w:val="bottom"/>
          </w:tcPr>
          <w:p>
            <w:pPr>
              <w:spacing w:after="0"/>
              <w:rPr>
                <w:sz w:val="12"/>
                <w:szCs w:val="12"/>
                <w:color w:val="auto"/>
              </w:rPr>
            </w:pPr>
          </w:p>
        </w:tc>
        <w:tc>
          <w:tcPr>
            <w:tcW w:w="2280" w:type="dxa"/>
            <w:vAlign w:val="bottom"/>
            <w:tcBorders>
              <w:bottom w:val="single" w:sz="8" w:color="auto"/>
            </w:tcBorders>
            <w:gridSpan w:val="3"/>
          </w:tcPr>
          <w:p>
            <w:pPr>
              <w:spacing w:after="0"/>
              <w:rPr>
                <w:sz w:val="12"/>
                <w:szCs w:val="12"/>
                <w:color w:val="auto"/>
              </w:rPr>
            </w:pPr>
          </w:p>
        </w:tc>
        <w:tc>
          <w:tcPr>
            <w:tcW w:w="2080" w:type="dxa"/>
            <w:vAlign w:val="bottom"/>
            <w:gridSpan w:val="2"/>
          </w:tcPr>
          <w:p>
            <w:pPr>
              <w:spacing w:after="0"/>
              <w:rPr>
                <w:sz w:val="12"/>
                <w:szCs w:val="12"/>
                <w:color w:val="auto"/>
              </w:rPr>
            </w:pPr>
          </w:p>
        </w:tc>
      </w:tr>
      <w:tr>
        <w:trPr>
          <w:trHeight w:val="225"/>
        </w:trPr>
        <w:tc>
          <w:tcPr>
            <w:tcW w:w="8840" w:type="dxa"/>
            <w:vAlign w:val="bottom"/>
            <w:gridSpan w:val="6"/>
          </w:tcPr>
          <w:p>
            <w:pPr>
              <w:jc w:val="center"/>
              <w:ind w:left="2302"/>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r>
      <w:tr>
        <w:trPr>
          <w:trHeight w:val="162"/>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Subordinate Voting Shares</w:t>
            </w:r>
          </w:p>
        </w:tc>
        <w:tc>
          <w:tcPr>
            <w:tcW w:w="1500" w:type="dxa"/>
            <w:vAlign w:val="bottom"/>
          </w:tcPr>
          <w:p>
            <w:pPr>
              <w:spacing w:after="0"/>
              <w:rPr>
                <w:sz w:val="14"/>
                <w:szCs w:val="14"/>
                <w:color w:val="auto"/>
              </w:rPr>
            </w:pPr>
          </w:p>
        </w:tc>
      </w:tr>
      <w:tr>
        <w:trPr>
          <w:trHeight w:val="162"/>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Multiple Voting Shares</w:t>
            </w:r>
          </w:p>
        </w:tc>
        <w:tc>
          <w:tcPr>
            <w:tcW w:w="1500" w:type="dxa"/>
            <w:vAlign w:val="bottom"/>
          </w:tcPr>
          <w:p>
            <w:pPr>
              <w:spacing w:after="0"/>
              <w:rPr>
                <w:sz w:val="14"/>
                <w:szCs w:val="14"/>
                <w:color w:val="auto"/>
              </w:rPr>
            </w:pPr>
          </w:p>
        </w:tc>
      </w:tr>
      <w:tr>
        <w:trPr>
          <w:trHeight w:val="171"/>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Super Voting Shares</w:t>
            </w:r>
          </w:p>
        </w:tc>
        <w:tc>
          <w:tcPr>
            <w:tcW w:w="150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1500" w:type="dxa"/>
            <w:vAlign w:val="bottom"/>
          </w:tcPr>
          <w:p>
            <w:pPr>
              <w:spacing w:after="0"/>
              <w:rPr>
                <w:sz w:val="12"/>
                <w:szCs w:val="12"/>
                <w:color w:val="auto"/>
              </w:rPr>
            </w:pPr>
          </w:p>
        </w:tc>
      </w:tr>
      <w:tr>
        <w:trPr>
          <w:trHeight w:val="269"/>
        </w:trPr>
        <w:tc>
          <w:tcPr>
            <w:tcW w:w="734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150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57"/>
        </w:trPr>
        <w:tc>
          <w:tcPr>
            <w:tcW w:w="734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150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54" w:lineRule="exact"/>
        <w:rPr>
          <w:sz w:val="24"/>
          <w:szCs w:val="24"/>
          <w:color w:val="auto"/>
        </w:rPr>
      </w:pPr>
    </w:p>
    <w:p>
      <w:pPr>
        <w:ind w:right="1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3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54" w:lineRule="exact"/>
        <w:rPr>
          <w:sz w:val="24"/>
          <w:szCs w:val="24"/>
          <w:color w:val="auto"/>
        </w:rPr>
      </w:pPr>
    </w:p>
    <w:p>
      <w:pPr>
        <w:ind w:right="4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tabs>
          <w:tab w:leader="none" w:pos="65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19"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4"/>
          <w:szCs w:val="14"/>
          <w:color w:val="auto"/>
        </w:rPr>
        <w:t>As of August 1, 2022, there were 207,181,101 shares of the registrant’s Subordinate Voting Shares, 3,853,100 shares of the registrant’s Multiple Voting Shares (on an as converted basis) and 25,169,000 shares of the registrant’s Super Voting Shares (on an as converted basis).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82" w:right="4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4"/>
          <w:szCs w:val="14"/>
          <w:b w:val="1"/>
          <w:bCs w:val="1"/>
          <w:color w:val="auto"/>
        </w:rPr>
        <w:t>FINANCIAL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57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5143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572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518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8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5"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12"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21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vMerge w:val="restart"/>
          </w:tcPr>
          <w:p>
            <w:pPr>
              <w:ind w:left="40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8"/>
        </w:trPr>
        <w:tc>
          <w:tcPr>
            <w:tcW w:w="8540" w:type="dxa"/>
            <w:vAlign w:val="bottom"/>
            <w:vMerge w:val="continue"/>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Unaudited Interim Condensed Consolidated Balance Sheets as of June 30, 2022 and December 31, 2021</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Unaudited Interim Condensed Consolidated Statements of Operations for the three and six months ended June 30,</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2022 and 2021</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Unaudited Interim Condensed Consolidated Statements of Changes in Shareholders’ Equity for the three and six</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months ended June 30, 2022 and 2021</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Unaudited Interim Condensed Consolidated Statements of Cash Flows for the six months ended June 30, 2022 and</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Notes to Unaudited Interim Condensed Consolidated Financial Statements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Quantitative and Qualitative Disclosure About Market Risk</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5"/>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8"/>
        </w:trPr>
        <w:tc>
          <w:tcPr>
            <w:tcW w:w="854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Sale of Unregistered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Mine Safety Disclosure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4"/>
        </w:trPr>
        <w:tc>
          <w:tcPr>
            <w:tcW w:w="85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330200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40" w:space="720"/>
            <w:col w:w="9140"/>
          </w:cols>
          <w:pgMar w:left="340" w:top="32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Use of Names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unless the context otherwise requires, the terms “we,” “us,” “our,” “Company,” “Corporation” or “Green Thumb” refer to Green Thumb Industries Inc. together with its wholly-owned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21"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8"/>
          <w:szCs w:val="18"/>
          <w:color w:val="auto"/>
        </w:rPr>
        <w:t>Unless otherwise indicated, all references to “$” or “US$” in this document refer to United States dollars, and all references to “C$” refer to Canadian dollars.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or expressions of similar meaning.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the Company may be subject to action by the U.S. federal government; state regulation of cannabis is uncertain; the Company may be subject to heightened scrutiny by Canadian regulatory authorities; the Company may face limitations on ownership of cannabis licenses; the Company may become subject to U.S. Food and Drug Administration or the U.S. Bureau of Alcohol, Tobacco Firearms and Explosives regulation; cannabis businesses are subject to applicable anti-money laundering laws and regulations and have restricted access to banking and other financial services; the Company may face difficulties acquiring additional financing; the Company lacks access to U.S. bankruptcy protections; the Company operates in a highly regulated sector and may not always succeed in complying fully with applicable regulatory requirements in all jurisdictions where the Company carries on business; the Company may face difficulties in enforcing its contracts; the Company has limited trademark protection; cannabis businesses are subject to unfavorable tax treatment; cannabis businesses may be subject to civil asset forfeiture; the Company is subject to proceeds of crime statutes; the Company faces exposure to fraudulent or illegal activity; the Company’s use of joint ventures may expose it to risks associated with jointly owned investments; the Company faces risks due to industry immaturity or limited comparable, competitive or established industry best practices; the Company faces risks related to its products; the Company is dependent on the popularity of and consumer acceptance of the Company’s brand portfolio; the Company’s business is subject to the risks inherent in agricultural operations; the Company may be adversely impacted by rising or volatile energy costs; the Company faces risks related to its information technology systems and potential cyber-attacks and security breaches; the Company faces an inherent risk of product liability or similar claims; the Company’s products may be subject to product recalls; the Company may face unfavorable publicity or consumer perception; the Company’s voting control is concentrated; the Company’s capital structure and voting control may cause unpredictability; issuances of substantial amounts of Super Voting Shares, Multiple Voting Shares or Subordinate Voting Shares may result in dilution; and the Company is governed by corporate laws in British Columbia, Canada which in some cases have a different effect on shareholders than the corporate laws in Delaware, United States. Further information on these and other potential factors that could affect the Company’s business and financial condition and the results of operations are included in the “Risk Factors” section of the Company’s Annual Report on Form 10-K for the year ended December 31, 2021, and elsewhere in the Company’s filings with the SEC, which are available on the SEC’s website or at </w:t>
      </w:r>
      <w:r>
        <w:rPr>
          <w:rFonts w:ascii="Times New Roman" w:cs="Times New Roman" w:eastAsia="Times New Roman" w:hAnsi="Times New Roman"/>
          <w:sz w:val="18"/>
          <w:szCs w:val="18"/>
          <w:i w:val="1"/>
          <w:iCs w:val="1"/>
          <w:u w:val="single" w:color="auto"/>
          <w:color w:val="auto"/>
        </w:rPr>
        <w:t>https://investors.gtigrows.com</w:t>
      </w:r>
      <w:r>
        <w:rPr>
          <w:rFonts w:ascii="Times New Roman" w:cs="Times New Roman" w:eastAsia="Times New Roman" w:hAnsi="Times New Roman"/>
          <w:sz w:val="18"/>
          <w:szCs w:val="18"/>
          <w:i w:val="1"/>
          <w:iCs w:val="1"/>
          <w:color w:val="auto"/>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As of June 30, 2022 and December 31,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900" w:type="dxa"/>
            <w:vAlign w:val="bottom"/>
          </w:tcPr>
          <w:p>
            <w:pPr>
              <w:spacing w:after="0"/>
              <w:rPr>
                <w:sz w:val="16"/>
                <w:szCs w:val="16"/>
                <w:color w:val="auto"/>
              </w:rPr>
            </w:pPr>
          </w:p>
        </w:tc>
        <w:tc>
          <w:tcPr>
            <w:tcW w:w="13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40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gridSpan w:val="3"/>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Pr>
          <w:p>
            <w:pPr>
              <w:jc w:val="center"/>
              <w:ind w:right="404"/>
              <w:spacing w:after="0"/>
              <w:rPr>
                <w:sz w:val="20"/>
                <w:szCs w:val="20"/>
                <w:color w:val="auto"/>
              </w:rPr>
            </w:pPr>
            <w:r>
              <w:rPr>
                <w:rFonts w:ascii="Times New Roman" w:cs="Times New Roman" w:eastAsia="Times New Roman" w:hAnsi="Times New Roman"/>
                <w:sz w:val="14"/>
                <w:szCs w:val="14"/>
                <w:i w:val="1"/>
                <w:iCs w:val="1"/>
                <w:color w:val="auto"/>
              </w:rPr>
              <w:t>(Audited)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90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vMerge w:val="continue"/>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900" w:type="dxa"/>
            <w:vAlign w:val="bottom"/>
            <w:shd w:val="clear" w:color="auto" w:fill="CFF0FC"/>
          </w:tcPr>
          <w:p>
            <w:pPr>
              <w:ind w:left="31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3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320" w:type="dxa"/>
            <w:vAlign w:val="bottom"/>
            <w:shd w:val="clear" w:color="auto" w:fill="CFF0FC"/>
          </w:tcPr>
          <w:p>
            <w:pPr>
              <w:jc w:val="right"/>
              <w:ind w:right="114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145,277</w:t>
            </w: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230,420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Accounts Receivable</w:t>
            </w: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25,683</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Inventories</w:t>
            </w:r>
          </w:p>
        </w:tc>
        <w:tc>
          <w:tcPr>
            <w:tcW w:w="1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123,245</w:t>
            </w: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95,471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Prepaid Expenses</w:t>
            </w: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11,535</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Other Current Assets</w:t>
            </w:r>
          </w:p>
        </w:tc>
        <w:tc>
          <w:tcPr>
            <w:tcW w:w="13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5,786</w:t>
            </w:r>
          </w:p>
        </w:tc>
        <w:tc>
          <w:tcPr>
            <w:tcW w:w="20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5,065</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0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1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311,526</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364,230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467,252</w:t>
            </w: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409,074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 of Use Assets, Net</w:t>
            </w: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244,269</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176,327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Investments</w:t>
            </w:r>
          </w:p>
        </w:tc>
        <w:tc>
          <w:tcPr>
            <w:tcW w:w="1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81,783</w:t>
            </w: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94,902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Investments in Associates</w:t>
            </w: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27,474</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1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659,595</w:t>
            </w: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675,491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641,718</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632,849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Deposits and Other Assets</w:t>
            </w:r>
          </w:p>
        </w:tc>
        <w:tc>
          <w:tcPr>
            <w:tcW w:w="13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2,786</w:t>
            </w:r>
          </w:p>
        </w:tc>
        <w:tc>
          <w:tcPr>
            <w:tcW w:w="20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2,641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320" w:type="dxa"/>
            <w:vAlign w:val="bottom"/>
            <w:tcBorders>
              <w:bottom w:val="single" w:sz="8" w:color="auto"/>
            </w:tcBorders>
          </w:tcPr>
          <w:p>
            <w:pPr>
              <w:jc w:val="right"/>
              <w:ind w:right="114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2,436,403</w:t>
            </w:r>
          </w:p>
        </w:tc>
        <w:tc>
          <w:tcPr>
            <w:tcW w:w="200" w:type="dxa"/>
            <w:vAlign w:val="bottom"/>
          </w:tcPr>
          <w:p>
            <w:pPr>
              <w:spacing w:after="0"/>
              <w:rPr>
                <w:sz w:val="15"/>
                <w:szCs w:val="15"/>
                <w:color w:val="auto"/>
              </w:rPr>
            </w:pPr>
          </w:p>
        </w:tc>
        <w:tc>
          <w:tcPr>
            <w:tcW w:w="4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2,385,851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00" w:type="dxa"/>
            <w:vAlign w:val="bottom"/>
            <w:shd w:val="clear" w:color="auto" w:fill="CFF0FC"/>
          </w:tcPr>
          <w:p>
            <w:pPr>
              <w:ind w:left="1740"/>
              <w:spacing w:after="0" w:line="169" w:lineRule="exact"/>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13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1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1320" w:type="dxa"/>
            <w:vAlign w:val="bottom"/>
          </w:tcPr>
          <w:p>
            <w:pPr>
              <w:jc w:val="right"/>
              <w:ind w:right="114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19,875</w:t>
            </w:r>
          </w:p>
        </w:tc>
        <w:tc>
          <w:tcPr>
            <w:tcW w:w="200" w:type="dxa"/>
            <w:vAlign w:val="bottom"/>
          </w:tcPr>
          <w:p>
            <w:pPr>
              <w:spacing w:after="0"/>
              <w:rPr>
                <w:sz w:val="16"/>
                <w:szCs w:val="16"/>
                <w:color w:val="auto"/>
              </w:rPr>
            </w:pPr>
          </w:p>
        </w:tc>
        <w:tc>
          <w:tcPr>
            <w:tcW w:w="48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Accrued Liabilities</w:t>
            </w:r>
          </w:p>
        </w:tc>
        <w:tc>
          <w:tcPr>
            <w:tcW w:w="1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75,782</w:t>
            </w: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84,724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Acquisition Consideration Payable</w:t>
            </w:r>
          </w:p>
        </w:tc>
        <w:tc>
          <w:tcPr>
            <w:tcW w:w="13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Compensation Payable</w:t>
            </w:r>
          </w:p>
        </w:tc>
        <w:tc>
          <w:tcPr>
            <w:tcW w:w="1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7,856</w:t>
            </w: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12,022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Current Portion of Notes Payable</w:t>
            </w: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1,002</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Current Portion of Lease Liabilities</w:t>
            </w:r>
          </w:p>
        </w:tc>
        <w:tc>
          <w:tcPr>
            <w:tcW w:w="1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10,011</w:t>
            </w: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9,221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Contingent Consideration Payable</w:t>
            </w: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10,947</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50,284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Income Tax Payable</w:t>
            </w:r>
          </w:p>
        </w:tc>
        <w:tc>
          <w:tcPr>
            <w:tcW w:w="13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6,500</w:t>
            </w:r>
          </w:p>
        </w:tc>
        <w:tc>
          <w:tcPr>
            <w:tcW w:w="20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1,527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0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1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131,973</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204,379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1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Lease Liabilities, Net of Current Portion</w:t>
            </w: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249,149</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182,539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Notes Payable, Net of Current Portion and Debt Discount</w:t>
            </w:r>
          </w:p>
        </w:tc>
        <w:tc>
          <w:tcPr>
            <w:tcW w:w="1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252,429</w:t>
            </w: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239,151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Contingent Consideration Payable</w:t>
            </w: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29,847</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Warrant Liability</w:t>
            </w:r>
          </w:p>
        </w:tc>
        <w:tc>
          <w:tcPr>
            <w:tcW w:w="1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3,105</w:t>
            </w: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24,877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Income Taxes</w:t>
            </w:r>
          </w:p>
        </w:tc>
        <w:tc>
          <w:tcPr>
            <w:tcW w:w="1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81,846</w:t>
            </w: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81,846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3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748,349</w:t>
            </w: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766,373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1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SHAREHOLDERS' EQUITY</w:t>
            </w:r>
          </w:p>
        </w:tc>
        <w:tc>
          <w:tcPr>
            <w:tcW w:w="1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900" w:type="dxa"/>
            <w:vAlign w:val="bottom"/>
          </w:tcPr>
          <w:p>
            <w:pPr>
              <w:ind w:left="20"/>
              <w:spacing w:after="0" w:line="135" w:lineRule="exact"/>
              <w:rPr>
                <w:sz w:val="20"/>
                <w:szCs w:val="20"/>
                <w:color w:val="auto"/>
              </w:rPr>
            </w:pPr>
            <w:r>
              <w:rPr>
                <w:rFonts w:ascii="Times New Roman" w:cs="Times New Roman" w:eastAsia="Times New Roman" w:hAnsi="Times New Roman"/>
                <w:sz w:val="15"/>
                <w:szCs w:val="15"/>
                <w:color w:val="auto"/>
              </w:rPr>
              <w:t>Subordinate Voting Shares (Shares Authorized, Issued and Outstanding at June 30, 2022:</w:t>
            </w:r>
          </w:p>
        </w:tc>
        <w:tc>
          <w:tcPr>
            <w:tcW w:w="1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90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Unlimited, 203,733,065, and 203,733,065, respectively, at December 31, 2021:</w:t>
            </w: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Unlimited, 201,768,312, and 201,768,312, respectively)</w:t>
            </w:r>
          </w:p>
        </w:tc>
        <w:tc>
          <w:tcPr>
            <w:tcW w:w="13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9"/>
        </w:trPr>
        <w:tc>
          <w:tcPr>
            <w:tcW w:w="6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5"/>
                <w:szCs w:val="15"/>
                <w:color w:val="auto"/>
              </w:rPr>
              <w:t>Multiple Voting Shares (Shares Authorized, Issued and Outstanding at June 30, 2022:</w:t>
            </w:r>
          </w:p>
        </w:tc>
        <w:tc>
          <w:tcPr>
            <w:tcW w:w="13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900" w:type="dxa"/>
            <w:vAlign w:val="bottom"/>
            <w:shd w:val="clear" w:color="auto" w:fill="CFF0FC"/>
          </w:tcPr>
          <w:p>
            <w:pPr>
              <w:ind w:left="140"/>
              <w:spacing w:after="0" w:line="159" w:lineRule="exact"/>
              <w:rPr>
                <w:sz w:val="20"/>
                <w:szCs w:val="20"/>
                <w:color w:val="auto"/>
              </w:rPr>
            </w:pPr>
            <w:r>
              <w:rPr>
                <w:rFonts w:ascii="Times New Roman" w:cs="Times New Roman" w:eastAsia="Times New Roman" w:hAnsi="Times New Roman"/>
                <w:sz w:val="15"/>
                <w:szCs w:val="15"/>
                <w:color w:val="auto"/>
              </w:rPr>
              <w:t>Unlimited, 38,531 and 38,531, respectively, at December 31, 2021:</w:t>
            </w:r>
          </w:p>
        </w:tc>
        <w:tc>
          <w:tcPr>
            <w:tcW w:w="13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Unlimited, 38,531 and 38,531, respectively)</w:t>
            </w:r>
          </w:p>
        </w:tc>
        <w:tc>
          <w:tcPr>
            <w:tcW w:w="1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5"/>
        </w:trPr>
        <w:tc>
          <w:tcPr>
            <w:tcW w:w="6900" w:type="dxa"/>
            <w:vAlign w:val="bottom"/>
          </w:tcPr>
          <w:p>
            <w:pPr>
              <w:ind w:left="20"/>
              <w:spacing w:after="0" w:line="135" w:lineRule="exact"/>
              <w:rPr>
                <w:sz w:val="20"/>
                <w:szCs w:val="20"/>
                <w:color w:val="auto"/>
              </w:rPr>
            </w:pPr>
            <w:r>
              <w:rPr>
                <w:rFonts w:ascii="Times New Roman" w:cs="Times New Roman" w:eastAsia="Times New Roman" w:hAnsi="Times New Roman"/>
                <w:sz w:val="15"/>
                <w:szCs w:val="15"/>
                <w:color w:val="auto"/>
              </w:rPr>
              <w:t>Super Voting Shares (Shares Authorized, Issued and Outstanding at June 30, 2022:</w:t>
            </w:r>
          </w:p>
        </w:tc>
        <w:tc>
          <w:tcPr>
            <w:tcW w:w="1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90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Unlimited, 280,031 and 280,031, respectively, at December 31, 2021:</w:t>
            </w: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Unlimited, 285,031 and 285,031, respectively)</w:t>
            </w:r>
          </w:p>
        </w:tc>
        <w:tc>
          <w:tcPr>
            <w:tcW w:w="13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Share Capital</w:t>
            </w:r>
          </w:p>
        </w:tc>
        <w:tc>
          <w:tcPr>
            <w:tcW w:w="1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1,659,000</w:t>
            </w: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1,633,672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Contributed Surplus</w:t>
            </w: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9,165</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 Share Issuances</w:t>
            </w:r>
          </w:p>
        </w:tc>
        <w:tc>
          <w:tcPr>
            <w:tcW w:w="1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36,262</w:t>
            </w: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36,262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Accumulated Deficit</w:t>
            </w:r>
          </w:p>
        </w:tc>
        <w:tc>
          <w:tcPr>
            <w:tcW w:w="13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(16,687 )</w:t>
            </w:r>
          </w:p>
        </w:tc>
        <w:tc>
          <w:tcPr>
            <w:tcW w:w="480" w:type="dxa"/>
            <w:vAlign w:val="bottom"/>
          </w:tcPr>
          <w:p>
            <w:pPr>
              <w:spacing w:after="0"/>
              <w:rPr>
                <w:sz w:val="16"/>
                <w:szCs w:val="16"/>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(70,063 )</w:t>
            </w:r>
          </w:p>
        </w:tc>
        <w:tc>
          <w:tcPr>
            <w:tcW w:w="0" w:type="dxa"/>
            <w:vAlign w:val="bottom"/>
          </w:tcPr>
          <w:p>
            <w:pPr>
              <w:spacing w:after="0"/>
              <w:rPr>
                <w:sz w:val="1"/>
                <w:szCs w:val="1"/>
                <w:color w:val="auto"/>
              </w:rPr>
            </w:pPr>
          </w:p>
        </w:tc>
      </w:tr>
      <w:tr>
        <w:trPr>
          <w:trHeight w:val="183"/>
        </w:trPr>
        <w:tc>
          <w:tcPr>
            <w:tcW w:w="6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Equity of Green Thumb Industries Inc.</w:t>
            </w:r>
          </w:p>
        </w:tc>
        <w:tc>
          <w:tcPr>
            <w:tcW w:w="132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1,687,740</w:t>
            </w:r>
          </w:p>
        </w:tc>
        <w:tc>
          <w:tcPr>
            <w:tcW w:w="200" w:type="dxa"/>
            <w:vAlign w:val="bottom"/>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1,621,116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Noncontrolling interests</w:t>
            </w: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(1,638 )</w:t>
            </w:r>
          </w:p>
        </w:tc>
        <w:tc>
          <w:tcPr>
            <w:tcW w:w="0" w:type="dxa"/>
            <w:vAlign w:val="bottom"/>
          </w:tcPr>
          <w:p>
            <w:pPr>
              <w:spacing w:after="0"/>
              <w:rPr>
                <w:sz w:val="1"/>
                <w:szCs w:val="1"/>
                <w:color w:val="auto"/>
              </w:rPr>
            </w:pPr>
          </w:p>
        </w:tc>
      </w:tr>
      <w:tr>
        <w:trPr>
          <w:trHeight w:val="182"/>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1320" w:type="dxa"/>
            <w:vAlign w:val="bottom"/>
            <w:tcBorders>
              <w:top w:val="single" w:sz="8" w:color="auto"/>
              <w:bottom w:val="single" w:sz="8" w:color="auto"/>
            </w:tcBorders>
            <w:shd w:val="clear" w:color="auto" w:fill="CFF0FC"/>
          </w:tcPr>
          <w:p>
            <w:pPr>
              <w:spacing w:after="0"/>
              <w:rPr>
                <w:sz w:val="15"/>
                <w:szCs w:val="15"/>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1,688,054</w:t>
            </w:r>
          </w:p>
        </w:tc>
        <w:tc>
          <w:tcPr>
            <w:tcW w:w="20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top w:val="single" w:sz="8" w:color="auto"/>
              <w:bottom w:val="single" w:sz="8" w:color="auto"/>
            </w:tcBorders>
            <w:shd w:val="clear" w:color="auto" w:fill="CFF0FC"/>
          </w:tcPr>
          <w:p>
            <w:pPr>
              <w:spacing w:after="0"/>
              <w:rPr>
                <w:sz w:val="15"/>
                <w:szCs w:val="15"/>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1,619,478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1320" w:type="dxa"/>
            <w:vAlign w:val="bottom"/>
            <w:tcBorders>
              <w:bottom w:val="single" w:sz="8" w:color="auto"/>
            </w:tcBorders>
          </w:tcPr>
          <w:p>
            <w:pPr>
              <w:jc w:val="right"/>
              <w:ind w:right="114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2,436,403</w:t>
            </w:r>
          </w:p>
        </w:tc>
        <w:tc>
          <w:tcPr>
            <w:tcW w:w="200" w:type="dxa"/>
            <w:vAlign w:val="bottom"/>
          </w:tcPr>
          <w:p>
            <w:pPr>
              <w:spacing w:after="0"/>
              <w:rPr>
                <w:sz w:val="15"/>
                <w:szCs w:val="15"/>
                <w:color w:val="auto"/>
              </w:rPr>
            </w:pPr>
          </w:p>
        </w:tc>
        <w:tc>
          <w:tcPr>
            <w:tcW w:w="4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2,385,851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-5648325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-5648325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-4679950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-4679950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-3205480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-153670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Operations</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Three and Six Months Ended June 30, 2022 and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30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w:t>
            </w:r>
          </w:p>
        </w:tc>
        <w:tc>
          <w:tcPr>
            <w:tcW w:w="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83"/>
              </w:rPr>
              <w:t>thousands)</w:t>
            </w: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w:t>
            </w:r>
          </w:p>
        </w:tc>
        <w:tc>
          <w:tcPr>
            <w:tcW w:w="162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100" w:type="dxa"/>
            <w:vAlign w:val="bottom"/>
          </w:tcPr>
          <w:p>
            <w:pPr>
              <w:spacing w:after="0"/>
              <w:rPr>
                <w:sz w:val="18"/>
                <w:szCs w:val="18"/>
                <w:color w:val="auto"/>
              </w:rPr>
            </w:pPr>
          </w:p>
        </w:tc>
      </w:tr>
      <w:tr>
        <w:trPr>
          <w:trHeight w:val="210"/>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254,311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221,872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496,911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416,302</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(128,513 )</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(98,961 )</w:t>
            </w:r>
          </w:p>
        </w:tc>
        <w:tc>
          <w:tcPr>
            <w:tcW w:w="2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(248,173 )</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(182,526 )</w:t>
            </w:r>
          </w:p>
        </w:tc>
      </w:tr>
      <w:tr>
        <w:trPr>
          <w:trHeight w:val="209"/>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125,798</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122,911</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248,738</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63,535</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72,056</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131,923</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131,387</w:t>
            </w:r>
          </w:p>
        </w:tc>
        <w:tc>
          <w:tcPr>
            <w:tcW w:w="100" w:type="dxa"/>
            <w:vAlign w:val="bottom"/>
          </w:tcPr>
          <w:p>
            <w:pPr>
              <w:spacing w:after="0"/>
              <w:rPr>
                <w:sz w:val="18"/>
                <w:szCs w:val="18"/>
                <w:color w:val="auto"/>
              </w:rPr>
            </w:pPr>
          </w:p>
        </w:tc>
      </w:tr>
      <w:tr>
        <w:trPr>
          <w:trHeight w:val="209"/>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62,263</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50,855</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116,815</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(5,399 )</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(4,680 )</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(11,469 )</w:t>
            </w: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(8,803 )</w:t>
            </w:r>
          </w:p>
        </w:tc>
      </w:tr>
      <w:tr>
        <w:trPr>
          <w:trHeight w:val="20"/>
        </w:trPr>
        <w:tc>
          <w:tcPr>
            <w:tcW w:w="45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5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(6,777 )</w:t>
            </w:r>
          </w:p>
        </w:tc>
      </w:tr>
      <w:tr>
        <w:trPr>
          <w:trHeight w:val="160"/>
        </w:trPr>
        <w:tc>
          <w:tcPr>
            <w:tcW w:w="4540" w:type="dxa"/>
            <w:vAlign w:val="bottom"/>
            <w:shd w:val="clear" w:color="auto" w:fill="CFF0FC"/>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Income Before Provision for Income Taxes And Non-</w:t>
            </w:r>
          </w:p>
        </w:tc>
        <w:tc>
          <w:tcPr>
            <w:tcW w:w="220" w:type="dxa"/>
            <w:vAlign w:val="bottom"/>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38"/>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 Interest</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63,071</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53,301</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123,888</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95,612</w:t>
            </w:r>
          </w:p>
        </w:tc>
        <w:tc>
          <w:tcPr>
            <w:tcW w:w="100" w:type="dxa"/>
            <w:vAlign w:val="bottom"/>
            <w:shd w:val="clear" w:color="auto" w:fill="CFF0FC"/>
          </w:tcPr>
          <w:p>
            <w:pPr>
              <w:spacing w:after="0"/>
              <w:rPr>
                <w:sz w:val="20"/>
                <w:szCs w:val="20"/>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60,883</w:t>
            </w:r>
          </w:p>
        </w:tc>
        <w:tc>
          <w:tcPr>
            <w:tcW w:w="100" w:type="dxa"/>
            <w:vAlign w:val="bottom"/>
          </w:tcPr>
          <w:p>
            <w:pPr>
              <w:spacing w:after="0"/>
              <w:rPr>
                <w:sz w:val="18"/>
                <w:szCs w:val="18"/>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34,729</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Pr>
          <w:p>
            <w:pPr>
              <w:spacing w:after="0"/>
              <w:rPr>
                <w:sz w:val="18"/>
                <w:szCs w:val="18"/>
                <w:color w:val="auto"/>
              </w:rPr>
            </w:pPr>
          </w:p>
        </w:tc>
      </w:tr>
      <w:tr>
        <w:trPr>
          <w:trHeight w:val="249"/>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Green Thumb Industries Inc.</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24,437</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22,051</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53,376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4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4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5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4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22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236,783,625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220,323,622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236,313,896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218,276,376</w:t>
            </w:r>
          </w:p>
        </w:tc>
        <w:tc>
          <w:tcPr>
            <w:tcW w:w="100" w:type="dxa"/>
            <w:vAlign w:val="bottom"/>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5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22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237,762,903</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224,843,155</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237,869,300</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222,927,120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-2785745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-2785745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-2785745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-2785745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-2502535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-2502535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-2502535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-2211070</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-2211070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-2211070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-1654175</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-1654175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-1654175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-1654175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-676910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-659765</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-676910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-659765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-676910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-659765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-351155</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-334010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-351155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-334010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-351155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-334010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-25400</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-8255</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Equity</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Three and Six Months Ended June 30, 2022 and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0"/>
          <w:szCs w:val="20"/>
          <w:color w:val="auto"/>
        </w:rPr>
      </w:pPr>
    </w:p>
    <w:tbl>
      <w:tblPr>
        <w:tblLayout w:type="fixed"/>
        <w:tblInd w:w="3580" w:type="dxa"/>
        <w:tblCellMar>
          <w:top w:w="0" w:type="dxa"/>
          <w:left w:w="0" w:type="dxa"/>
          <w:bottom w:w="0" w:type="dxa"/>
          <w:right w:w="0" w:type="dxa"/>
        </w:tblCellMar>
      </w:tblPr>
      <w:tr>
        <w:trPr>
          <w:trHeight w:val="184"/>
        </w:trPr>
        <w:tc>
          <w:tcPr>
            <w:tcW w:w="86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Contributed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Non-</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860" w:type="dxa"/>
            <w:vAlign w:val="bottom"/>
            <w:vMerge w:val="continue"/>
          </w:tcPr>
          <w:p>
            <w:pPr>
              <w:spacing w:after="0"/>
              <w:rPr>
                <w:sz w:val="7"/>
                <w:szCs w:val="7"/>
                <w:color w:val="auto"/>
              </w:rPr>
            </w:pPr>
          </w:p>
        </w:tc>
        <w:tc>
          <w:tcPr>
            <w:tcW w:w="150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Surplus</w:t>
            </w:r>
          </w:p>
        </w:tc>
        <w:tc>
          <w:tcPr>
            <w:tcW w:w="1180" w:type="dxa"/>
            <w:vAlign w:val="bottom"/>
            <w:vMerge w:val="restart"/>
          </w:tcPr>
          <w:p>
            <w:pPr>
              <w:jc w:val="center"/>
              <w:ind w:left="39"/>
              <w:spacing w:after="0" w:line="173" w:lineRule="exact"/>
              <w:rPr>
                <w:sz w:val="20"/>
                <w:szCs w:val="20"/>
                <w:color w:val="auto"/>
              </w:rPr>
            </w:pPr>
            <w:r>
              <w:rPr>
                <w:rFonts w:ascii="Times New Roman" w:cs="Times New Roman" w:eastAsia="Times New Roman" w:hAnsi="Times New Roman"/>
                <w:sz w:val="16"/>
                <w:szCs w:val="16"/>
                <w:b w:val="1"/>
                <w:bCs w:val="1"/>
                <w:color w:val="auto"/>
              </w:rPr>
              <w:t>Share</w:t>
            </w:r>
          </w:p>
        </w:tc>
        <w:tc>
          <w:tcPr>
            <w:tcW w:w="142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Earnings</w:t>
            </w:r>
          </w:p>
        </w:tc>
        <w:tc>
          <w:tcPr>
            <w:tcW w:w="1460" w:type="dxa"/>
            <w:vAlign w:val="bottom"/>
            <w:vMerge w:val="restart"/>
          </w:tcPr>
          <w:p>
            <w:pPr>
              <w:jc w:val="center"/>
              <w:ind w:right="59"/>
              <w:spacing w:after="0" w:line="173"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780" w:type="dxa"/>
            <w:vAlign w:val="bottom"/>
            <w:vMerge w:val="restart"/>
          </w:tcPr>
          <w:p>
            <w:pPr>
              <w:ind w:left="420"/>
              <w:spacing w:after="0" w:line="173"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92"/>
        </w:trPr>
        <w:tc>
          <w:tcPr>
            <w:tcW w:w="86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5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60" w:type="dxa"/>
            <w:vAlign w:val="bottom"/>
            <w:vMerge w:val="continue"/>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118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8"/>
              </w:rPr>
              <w:t>Issuance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86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-114935</wp:posOffset>
            </wp:positionV>
            <wp:extent cx="49720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p>
      <w:pPr>
        <w:spacing w:after="0" w:line="32" w:lineRule="exact"/>
        <w:rPr>
          <w:sz w:val="20"/>
          <w:szCs w:val="20"/>
          <w:color w:val="auto"/>
        </w:rPr>
      </w:pPr>
    </w:p>
    <w:p>
      <w:pPr>
        <w:ind w:left="20"/>
        <w:spacing w:after="0"/>
        <w:tabs>
          <w:tab w:leader="none" w:pos="3160" w:val="left"/>
        </w:tabs>
        <w:rPr>
          <w:sz w:val="20"/>
          <w:szCs w:val="20"/>
          <w:color w:val="auto"/>
        </w:rPr>
      </w:pPr>
      <w:r>
        <w:rPr>
          <w:rFonts w:ascii="Times New Roman" w:cs="Times New Roman" w:eastAsia="Times New Roman" w:hAnsi="Times New Roman"/>
          <w:sz w:val="16"/>
          <w:szCs w:val="16"/>
          <w:b w:val="1"/>
          <w:bCs w:val="1"/>
          <w:color w:val="auto"/>
        </w:rPr>
        <w:t>Balance, April 1, 2021</w:t>
      </w:r>
      <w:r>
        <w:rPr>
          <w:sz w:val="20"/>
          <w:szCs w:val="20"/>
          <w:color w:val="auto"/>
        </w:rPr>
        <w:tab/>
      </w:r>
      <w:r>
        <w:rPr>
          <w:rFonts w:ascii="Times New Roman" w:cs="Times New Roman" w:eastAsia="Times New Roman" w:hAnsi="Times New Roman"/>
          <w:sz w:val="16"/>
          <w:szCs w:val="16"/>
          <w:color w:val="auto"/>
        </w:rPr>
        <w:t>$</w:t>
      </w:r>
    </w:p>
    <w:p>
      <w:pPr>
        <w:spacing w:after="0" w:line="28" w:lineRule="exact"/>
        <w:rPr>
          <w:sz w:val="20"/>
          <w:szCs w:val="20"/>
          <w:color w:val="auto"/>
        </w:rPr>
      </w:pPr>
    </w:p>
    <w:p>
      <w:pPr>
        <w:ind w:left="20" w:right="140"/>
        <w:spacing w:after="0" w:line="237" w:lineRule="auto"/>
        <w:rPr>
          <w:sz w:val="20"/>
          <w:szCs w:val="20"/>
          <w:color w:val="auto"/>
        </w:rPr>
      </w:pPr>
      <w:r>
        <w:rPr>
          <w:rFonts w:ascii="Times New Roman" w:cs="Times New Roman" w:eastAsia="Times New Roman" w:hAnsi="Times New Roman"/>
          <w:sz w:val="16"/>
          <w:szCs w:val="16"/>
          <w:color w:val="auto"/>
        </w:rPr>
        <w:t>Issuance of shares under business combinations and investments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Issuance of deferred shares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Exercise of options, RSUs and warrants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19" w:lineRule="exact"/>
        <w:rPr>
          <w:sz w:val="20"/>
          <w:szCs w:val="20"/>
          <w:color w:val="auto"/>
        </w:rPr>
      </w:pPr>
    </w:p>
    <w:p>
      <w:pPr>
        <w:ind w:left="20" w:right="240"/>
        <w:spacing w:after="0" w:line="237" w:lineRule="auto"/>
        <w:rPr>
          <w:sz w:val="20"/>
          <w:szCs w:val="20"/>
          <w:color w:val="auto"/>
        </w:rPr>
      </w:pPr>
      <w:r>
        <w:rPr>
          <w:rFonts w:ascii="Times New Roman" w:cs="Times New Roman" w:eastAsia="Times New Roman" w:hAnsi="Times New Roman"/>
          <w:sz w:val="16"/>
          <w:szCs w:val="16"/>
          <w:color w:val="auto"/>
        </w:rPr>
        <w:t>Warrants and shares issued in association with note payable</w:t>
      </w:r>
    </w:p>
    <w:p>
      <w:pPr>
        <w:spacing w:after="0" w:line="1" w:lineRule="exact"/>
        <w:rPr>
          <w:sz w:val="20"/>
          <w:szCs w:val="20"/>
          <w:color w:val="auto"/>
        </w:rPr>
      </w:pPr>
    </w:p>
    <w:p>
      <w:pPr>
        <w:ind w:left="20" w:right="660"/>
        <w:spacing w:after="0" w:line="237" w:lineRule="auto"/>
        <w:rPr>
          <w:sz w:val="20"/>
          <w:szCs w:val="20"/>
          <w:color w:val="auto"/>
        </w:rPr>
      </w:pPr>
      <w:r>
        <w:rPr>
          <w:rFonts w:ascii="Times New Roman" w:cs="Times New Roman" w:eastAsia="Times New Roman" w:hAnsi="Times New Roman"/>
          <w:sz w:val="16"/>
          <w:szCs w:val="16"/>
          <w:color w:val="auto"/>
        </w:rPr>
        <w:t>Shares issued for settlement of business obligation</w:t>
      </w:r>
    </w:p>
    <w:p>
      <w:pPr>
        <w:spacing w:after="0" w:line="1" w:lineRule="exact"/>
        <w:rPr>
          <w:sz w:val="20"/>
          <w:szCs w:val="20"/>
          <w:color w:val="auto"/>
        </w:rPr>
      </w:pPr>
    </w:p>
    <w:p>
      <w:pPr>
        <w:ind w:left="20" w:right="260"/>
        <w:spacing w:after="0" w:line="237" w:lineRule="auto"/>
        <w:rPr>
          <w:sz w:val="20"/>
          <w:szCs w:val="20"/>
          <w:color w:val="auto"/>
        </w:rPr>
      </w:pPr>
      <w:r>
        <w:rPr>
          <w:rFonts w:ascii="Times New Roman" w:cs="Times New Roman" w:eastAsia="Times New Roman" w:hAnsi="Times New Roman"/>
          <w:sz w:val="16"/>
          <w:szCs w:val="16"/>
          <w:color w:val="auto"/>
        </w:rPr>
        <w:t>Distributions to limited liability company unit holders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1,236,988</w:t>
            </w:r>
          </w:p>
        </w:tc>
        <w:tc>
          <w:tcPr>
            <w:tcW w:w="5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(2,788 )  $</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3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(135,130 ) $</w:t>
            </w:r>
          </w:p>
        </w:tc>
        <w:tc>
          <w:tcPr>
            <w:tcW w:w="9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2,948</w:t>
            </w:r>
          </w:p>
        </w:tc>
        <w:tc>
          <w:tcPr>
            <w:tcW w:w="3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1,102,770</w:t>
            </w:r>
          </w:p>
        </w:tc>
        <w:tc>
          <w:tcPr>
            <w:tcW w:w="60" w:type="dxa"/>
            <w:vAlign w:val="bottom"/>
          </w:tcPr>
          <w:p>
            <w:pPr>
              <w:spacing w:after="0"/>
              <w:rPr>
                <w:sz w:val="18"/>
                <w:szCs w:val="18"/>
                <w:color w:val="auto"/>
              </w:rPr>
            </w:pPr>
          </w:p>
        </w:tc>
      </w:tr>
      <w:tr>
        <w:trPr>
          <w:trHeight w:val="269"/>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56,755</w:t>
            </w:r>
          </w:p>
        </w:tc>
        <w:tc>
          <w:tcPr>
            <w:tcW w:w="500" w:type="dxa"/>
            <w:vAlign w:val="bottom"/>
          </w:tcPr>
          <w:p>
            <w:pPr>
              <w:spacing w:after="0"/>
              <w:rPr>
                <w:sz w:val="23"/>
                <w:szCs w:val="23"/>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3"/>
                <w:szCs w:val="23"/>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56,755</w:t>
            </w:r>
          </w:p>
        </w:tc>
        <w:tc>
          <w:tcPr>
            <w:tcW w:w="60" w:type="dxa"/>
            <w:vAlign w:val="bottom"/>
          </w:tcPr>
          <w:p>
            <w:pPr>
              <w:spacing w:after="0"/>
              <w:rPr>
                <w:sz w:val="23"/>
                <w:szCs w:val="23"/>
                <w:color w:val="auto"/>
              </w:rPr>
            </w:pPr>
          </w:p>
        </w:tc>
      </w:tr>
      <w:tr>
        <w:trPr>
          <w:trHeight w:val="276"/>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3"/>
                <w:szCs w:val="23"/>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7,814</w:t>
            </w:r>
          </w:p>
        </w:tc>
        <w:tc>
          <w:tcPr>
            <w:tcW w:w="380" w:type="dxa"/>
            <w:vAlign w:val="bottom"/>
          </w:tcPr>
          <w:p>
            <w:pPr>
              <w:spacing w:after="0"/>
              <w:rPr>
                <w:sz w:val="23"/>
                <w:szCs w:val="23"/>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7,814</w:t>
            </w:r>
          </w:p>
        </w:tc>
        <w:tc>
          <w:tcPr>
            <w:tcW w:w="60" w:type="dxa"/>
            <w:vAlign w:val="bottom"/>
          </w:tcPr>
          <w:p>
            <w:pPr>
              <w:spacing w:after="0"/>
              <w:rPr>
                <w:sz w:val="23"/>
                <w:szCs w:val="23"/>
                <w:color w:val="auto"/>
              </w:rPr>
            </w:pPr>
          </w:p>
        </w:tc>
      </w:tr>
      <w:tr>
        <w:trPr>
          <w:trHeight w:val="203"/>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15,316</w:t>
            </w:r>
          </w:p>
        </w:tc>
        <w:tc>
          <w:tcPr>
            <w:tcW w:w="500" w:type="dxa"/>
            <w:vAlign w:val="bottom"/>
          </w:tcPr>
          <w:p>
            <w:pPr>
              <w:spacing w:after="0"/>
              <w:rPr>
                <w:sz w:val="17"/>
                <w:szCs w:val="17"/>
                <w:color w:val="auto"/>
              </w:rPr>
            </w:pPr>
          </w:p>
        </w:tc>
        <w:tc>
          <w:tcPr>
            <w:tcW w:w="14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(11,984 )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60" w:type="dxa"/>
            <w:vAlign w:val="bottom"/>
          </w:tcPr>
          <w:p>
            <w:pPr>
              <w:spacing w:after="0"/>
              <w:rPr>
                <w:sz w:val="17"/>
                <w:szCs w:val="17"/>
                <w:color w:val="auto"/>
              </w:rPr>
            </w:pPr>
          </w:p>
        </w:tc>
      </w:tr>
      <w:tr>
        <w:trPr>
          <w:trHeight w:val="210"/>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5,672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5,672</w:t>
            </w:r>
          </w:p>
        </w:tc>
        <w:tc>
          <w:tcPr>
            <w:tcW w:w="60" w:type="dxa"/>
            <w:vAlign w:val="bottom"/>
          </w:tcPr>
          <w:p>
            <w:pPr>
              <w:spacing w:after="0"/>
              <w:rPr>
                <w:sz w:val="18"/>
                <w:szCs w:val="18"/>
                <w:color w:val="auto"/>
              </w:rPr>
            </w:pPr>
          </w:p>
        </w:tc>
      </w:tr>
      <w:tr>
        <w:trPr>
          <w:trHeight w:val="283"/>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500" w:type="dxa"/>
            <w:vAlign w:val="bottom"/>
          </w:tcPr>
          <w:p>
            <w:pPr>
              <w:spacing w:after="0"/>
              <w:rPr>
                <w:sz w:val="24"/>
                <w:szCs w:val="24"/>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22,259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22,530</w:t>
            </w:r>
          </w:p>
        </w:tc>
        <w:tc>
          <w:tcPr>
            <w:tcW w:w="60" w:type="dxa"/>
            <w:vAlign w:val="bottom"/>
          </w:tcPr>
          <w:p>
            <w:pPr>
              <w:spacing w:after="0"/>
              <w:rPr>
                <w:sz w:val="24"/>
                <w:szCs w:val="24"/>
                <w:color w:val="auto"/>
              </w:rPr>
            </w:pPr>
          </w:p>
        </w:tc>
      </w:tr>
      <w:tr>
        <w:trPr>
          <w:trHeight w:val="365"/>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500" w:type="dxa"/>
            <w:vAlign w:val="bottom"/>
          </w:tcPr>
          <w:p>
            <w:pPr>
              <w:spacing w:after="0"/>
              <w:rPr>
                <w:sz w:val="24"/>
                <w:szCs w:val="24"/>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60" w:type="dxa"/>
            <w:vAlign w:val="bottom"/>
          </w:tcPr>
          <w:p>
            <w:pPr>
              <w:spacing w:after="0"/>
              <w:rPr>
                <w:sz w:val="24"/>
                <w:szCs w:val="24"/>
                <w:color w:val="auto"/>
              </w:rPr>
            </w:pPr>
          </w:p>
        </w:tc>
      </w:tr>
      <w:tr>
        <w:trPr>
          <w:trHeight w:val="36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4"/>
                <w:szCs w:val="24"/>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3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-1384300</wp:posOffset>
            </wp:positionV>
            <wp:extent cx="713232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-1024255</wp:posOffset>
            </wp:positionV>
            <wp:extent cx="713232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-767080</wp:posOffset>
            </wp:positionV>
            <wp:extent cx="713232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-407035</wp:posOffset>
            </wp:positionV>
            <wp:extent cx="7132320" cy="2317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3260" w:space="40"/>
            <w:col w:w="7940"/>
          </w:cols>
          <w:pgMar w:left="320" w:top="320"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22,051</w:t>
            </w:r>
          </w:p>
        </w:tc>
        <w:tc>
          <w:tcPr>
            <w:tcW w:w="2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30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23,274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96"/>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1,316,465</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13,159</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(113,079 ) $</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1,229,157</w:t>
            </w:r>
          </w:p>
        </w:tc>
        <w:tc>
          <w:tcPr>
            <w:tcW w:w="100" w:type="dxa"/>
            <w:vAlign w:val="bottom"/>
          </w:tcPr>
          <w:p>
            <w:pPr>
              <w:spacing w:after="0"/>
              <w:rPr>
                <w:sz w:val="17"/>
                <w:szCs w:val="17"/>
                <w:color w:val="auto"/>
              </w:rPr>
            </w:pPr>
          </w:p>
        </w:tc>
      </w:tr>
      <w:tr>
        <w:trPr>
          <w:trHeight w:val="20"/>
        </w:trPr>
        <w:tc>
          <w:tcPr>
            <w:tcW w:w="2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-162560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-162560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-162560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-162560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-162560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p>
      <w:pPr>
        <w:ind w:left="20"/>
        <w:spacing w:after="0"/>
        <w:tabs>
          <w:tab w:leader="none" w:pos="3160" w:val="left"/>
        </w:tabs>
        <w:rPr>
          <w:sz w:val="20"/>
          <w:szCs w:val="20"/>
          <w:color w:val="auto"/>
        </w:rPr>
      </w:pPr>
      <w:r>
        <w:rPr>
          <w:rFonts w:ascii="Times New Roman" w:cs="Times New Roman" w:eastAsia="Times New Roman" w:hAnsi="Times New Roman"/>
          <w:sz w:val="16"/>
          <w:szCs w:val="16"/>
          <w:b w:val="1"/>
          <w:bCs w:val="1"/>
          <w:color w:val="auto"/>
        </w:rPr>
        <w:t>Balance, January 1, 2021</w:t>
      </w:r>
      <w:r>
        <w:rPr>
          <w:sz w:val="20"/>
          <w:szCs w:val="20"/>
          <w:color w:val="auto"/>
        </w:rPr>
        <w:tab/>
      </w:r>
      <w:r>
        <w:rPr>
          <w:rFonts w:ascii="Times New Roman" w:cs="Times New Roman" w:eastAsia="Times New Roman" w:hAnsi="Times New Roman"/>
          <w:sz w:val="16"/>
          <w:szCs w:val="16"/>
          <w:color w:val="auto"/>
        </w:rPr>
        <w:t>$</w:t>
      </w:r>
    </w:p>
    <w:p>
      <w:pPr>
        <w:spacing w:after="0" w:line="13" w:lineRule="exact"/>
        <w:rPr>
          <w:sz w:val="20"/>
          <w:szCs w:val="20"/>
          <w:color w:val="auto"/>
        </w:rPr>
      </w:pPr>
    </w:p>
    <w:p>
      <w:pPr>
        <w:ind w:left="20" w:right="140"/>
        <w:spacing w:after="0" w:line="237" w:lineRule="auto"/>
        <w:rPr>
          <w:sz w:val="20"/>
          <w:szCs w:val="20"/>
          <w:color w:val="auto"/>
        </w:rPr>
      </w:pPr>
      <w:r>
        <w:rPr>
          <w:rFonts w:ascii="Times New Roman" w:cs="Times New Roman" w:eastAsia="Times New Roman" w:hAnsi="Times New Roman"/>
          <w:sz w:val="16"/>
          <w:szCs w:val="16"/>
          <w:color w:val="auto"/>
        </w:rPr>
        <w:t>Issuance of shares under business combinations and investments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Shares issued as contingent consideration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Issuance of deferred shares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Distribution of deferred shares</w:t>
      </w:r>
    </w:p>
    <w:p>
      <w:pPr>
        <w:spacing w:after="0" w:line="19" w:lineRule="exact"/>
        <w:rPr>
          <w:sz w:val="20"/>
          <w:szCs w:val="20"/>
          <w:color w:val="auto"/>
        </w:rPr>
      </w:pPr>
    </w:p>
    <w:p>
      <w:pPr>
        <w:ind w:left="20" w:right="220"/>
        <w:spacing w:after="0" w:line="237" w:lineRule="auto"/>
        <w:rPr>
          <w:sz w:val="20"/>
          <w:szCs w:val="20"/>
          <w:color w:val="auto"/>
        </w:rPr>
      </w:pPr>
      <w:r>
        <w:rPr>
          <w:rFonts w:ascii="Times New Roman" w:cs="Times New Roman" w:eastAsia="Times New Roman" w:hAnsi="Times New Roman"/>
          <w:sz w:val="16"/>
          <w:szCs w:val="16"/>
          <w:color w:val="auto"/>
        </w:rPr>
        <w:t>Issuance of registered shares pursuant to Form S-1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1,048,640</w:t>
            </w:r>
          </w:p>
        </w:tc>
        <w:tc>
          <w:tcPr>
            <w:tcW w:w="5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4,893</w:t>
            </w:r>
          </w:p>
        </w:tc>
        <w:tc>
          <w:tcPr>
            <w:tcW w:w="4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2,587</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(145,499 ) $</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3,537</w:t>
            </w:r>
          </w:p>
        </w:tc>
        <w:tc>
          <w:tcPr>
            <w:tcW w:w="4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914,158</w:t>
            </w:r>
          </w:p>
        </w:tc>
      </w:tr>
      <w:tr>
        <w:trPr>
          <w:trHeight w:val="270"/>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57,793</w:t>
            </w: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4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3"/>
                <w:szCs w:val="23"/>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57,755</w:t>
            </w:r>
          </w:p>
        </w:tc>
      </w:tr>
      <w:tr>
        <w:trPr>
          <w:trHeight w:val="276"/>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12,673</w:t>
            </w:r>
          </w:p>
        </w:tc>
        <w:tc>
          <w:tcPr>
            <w:tcW w:w="56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3"/>
                <w:szCs w:val="23"/>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12,673</w:t>
            </w:r>
          </w:p>
        </w:tc>
      </w:tr>
      <w:tr>
        <w:trPr>
          <w:trHeight w:val="203"/>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7,814</w:t>
            </w:r>
          </w:p>
        </w:tc>
        <w:tc>
          <w:tcPr>
            <w:tcW w:w="340" w:type="dxa"/>
            <w:vAlign w:val="bottom"/>
          </w:tcPr>
          <w:p>
            <w:pPr>
              <w:spacing w:after="0"/>
              <w:rPr>
                <w:sz w:val="17"/>
                <w:szCs w:val="17"/>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7,814</w:t>
            </w:r>
          </w:p>
        </w:tc>
      </w:tr>
      <w:tr>
        <w:trPr>
          <w:trHeight w:val="210"/>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56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(1,835 )</w:t>
            </w:r>
          </w:p>
        </w:tc>
        <w:tc>
          <w:tcPr>
            <w:tcW w:w="340" w:type="dxa"/>
            <w:vAlign w:val="bottom"/>
          </w:tcPr>
          <w:p>
            <w:pPr>
              <w:spacing w:after="0"/>
              <w:rPr>
                <w:sz w:val="18"/>
                <w:szCs w:val="18"/>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83"/>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155,803</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(305 )</w:t>
            </w:r>
          </w:p>
        </w:tc>
        <w:tc>
          <w:tcPr>
            <w:tcW w:w="46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-561340</wp:posOffset>
            </wp:positionV>
            <wp:extent cx="713232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-304165</wp:posOffset>
            </wp:positionV>
            <wp:extent cx="713232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3260" w:space="440"/>
            <w:col w:w="7540"/>
          </w:cols>
          <w:pgMar w:left="320" w:top="320" w:right="339" w:bottom="1440" w:gutter="0" w:footer="0" w:header="0"/>
          <w:type w:val="continuous"/>
        </w:sectPr>
      </w:pPr>
    </w:p>
    <w:p>
      <w:pPr>
        <w:ind w:left="20" w:right="580"/>
        <w:spacing w:after="0" w:line="264" w:lineRule="auto"/>
        <w:rPr>
          <w:sz w:val="20"/>
          <w:szCs w:val="20"/>
          <w:color w:val="auto"/>
        </w:rPr>
      </w:pPr>
      <w:r>
        <w:rPr>
          <w:rFonts w:ascii="Times New Roman" w:cs="Times New Roman" w:eastAsia="Times New Roman" w:hAnsi="Times New Roman"/>
          <w:sz w:val="16"/>
          <w:szCs w:val="16"/>
          <w:color w:val="auto"/>
        </w:rPr>
        <w:t>Exercise of options, RSUs and warrants Stock-based compensation</w:t>
      </w:r>
    </w:p>
    <w:p>
      <w:pPr>
        <w:ind w:left="20" w:right="160"/>
        <w:spacing w:after="0" w:line="237" w:lineRule="auto"/>
        <w:rPr>
          <w:sz w:val="20"/>
          <w:szCs w:val="20"/>
          <w:color w:val="auto"/>
        </w:rPr>
      </w:pPr>
      <w:r>
        <w:rPr>
          <w:rFonts w:ascii="Times New Roman" w:cs="Times New Roman" w:eastAsia="Times New Roman" w:hAnsi="Times New Roman"/>
          <w:sz w:val="16"/>
          <w:szCs w:val="16"/>
          <w:color w:val="auto"/>
        </w:rPr>
        <w:t>Warrants and shares issued in association with note payable</w:t>
      </w:r>
    </w:p>
    <w:p>
      <w:pPr>
        <w:spacing w:after="0" w:line="1" w:lineRule="exact"/>
        <w:rPr>
          <w:sz w:val="20"/>
          <w:szCs w:val="20"/>
          <w:color w:val="auto"/>
        </w:rPr>
      </w:pPr>
    </w:p>
    <w:p>
      <w:pPr>
        <w:ind w:left="20" w:right="580"/>
        <w:spacing w:after="0" w:line="237" w:lineRule="auto"/>
        <w:rPr>
          <w:sz w:val="20"/>
          <w:szCs w:val="20"/>
          <w:color w:val="auto"/>
        </w:rPr>
      </w:pPr>
      <w:r>
        <w:rPr>
          <w:rFonts w:ascii="Times New Roman" w:cs="Times New Roman" w:eastAsia="Times New Roman" w:hAnsi="Times New Roman"/>
          <w:sz w:val="16"/>
          <w:szCs w:val="16"/>
          <w:color w:val="auto"/>
        </w:rPr>
        <w:t>Shares issued for settlement of business obligation</w:t>
      </w:r>
    </w:p>
    <w:p>
      <w:pPr>
        <w:spacing w:after="0" w:line="1" w:lineRule="exact"/>
        <w:rPr>
          <w:sz w:val="20"/>
          <w:szCs w:val="20"/>
          <w:color w:val="auto"/>
        </w:rPr>
      </w:pPr>
    </w:p>
    <w:p>
      <w:pPr>
        <w:ind w:left="20" w:right="180"/>
        <w:spacing w:after="0" w:line="237" w:lineRule="auto"/>
        <w:rPr>
          <w:sz w:val="20"/>
          <w:szCs w:val="20"/>
          <w:color w:val="auto"/>
        </w:rPr>
      </w:pPr>
      <w:r>
        <w:rPr>
          <w:rFonts w:ascii="Times New Roman" w:cs="Times New Roman" w:eastAsia="Times New Roman" w:hAnsi="Times New Roman"/>
          <w:sz w:val="16"/>
          <w:szCs w:val="16"/>
          <w:color w:val="auto"/>
        </w:rPr>
        <w:t>Distributions to limited liability company unit 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32,324</w:t>
            </w:r>
          </w:p>
        </w:tc>
        <w:tc>
          <w:tcPr>
            <w:tcW w:w="15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(23,353 )</w:t>
            </w:r>
          </w:p>
        </w:tc>
        <w:tc>
          <w:tcPr>
            <w:tcW w:w="12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8,971</w:t>
            </w:r>
          </w:p>
        </w:tc>
      </w:tr>
      <w:tr>
        <w:trPr>
          <w:trHeight w:val="210"/>
        </w:trPr>
        <w:tc>
          <w:tcPr>
            <w:tcW w:w="9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9,703</w:t>
            </w:r>
          </w:p>
        </w:tc>
        <w:tc>
          <w:tcPr>
            <w:tcW w:w="12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9,703</w:t>
            </w:r>
          </w:p>
        </w:tc>
      </w:tr>
      <w:tr>
        <w:trPr>
          <w:trHeight w:val="284"/>
        </w:trPr>
        <w:tc>
          <w:tcPr>
            <w:tcW w:w="9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271</w:t>
            </w: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22,259</w:t>
            </w:r>
          </w:p>
        </w:tc>
        <w:tc>
          <w:tcPr>
            <w:tcW w:w="12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22,530</w:t>
            </w:r>
          </w:p>
        </w:tc>
      </w:tr>
      <w:tr>
        <w:trPr>
          <w:trHeight w:val="364"/>
        </w:trPr>
        <w:tc>
          <w:tcPr>
            <w:tcW w:w="9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7,135</w:t>
            </w: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w:t>
            </w:r>
          </w:p>
        </w:tc>
      </w:tr>
      <w:tr>
        <w:trPr>
          <w:trHeight w:val="365"/>
        </w:trPr>
        <w:tc>
          <w:tcPr>
            <w:tcW w:w="9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(1,800 )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-895350</wp:posOffset>
            </wp:positionV>
            <wp:extent cx="713232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-638175</wp:posOffset>
            </wp:positionV>
            <wp:extent cx="7132320" cy="2317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-175895</wp:posOffset>
            </wp:positionV>
            <wp:extent cx="7132320" cy="2317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3180" w:space="720"/>
            <w:col w:w="7340"/>
          </w:cols>
          <w:pgMar w:left="320" w:top="320"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32,420</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3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34,729</w:t>
            </w:r>
          </w:p>
        </w:tc>
        <w:tc>
          <w:tcPr>
            <w:tcW w:w="100" w:type="dxa"/>
            <w:vAlign w:val="bottom"/>
          </w:tcPr>
          <w:p>
            <w:pPr>
              <w:spacing w:after="0"/>
              <w:rPr>
                <w:sz w:val="18"/>
                <w:szCs w:val="18"/>
                <w:color w:val="auto"/>
              </w:rPr>
            </w:pPr>
          </w:p>
        </w:tc>
      </w:tr>
      <w:tr>
        <w:trPr>
          <w:trHeight w:val="236"/>
        </w:trPr>
        <w:tc>
          <w:tcPr>
            <w:tcW w:w="2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2021</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1,316,465</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13,159</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8,566</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(113,079</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1,229,157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-25400</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-8255</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-25400</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-8255</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ind w:right="4120"/>
        <w:spacing w:after="0" w:line="241" w:lineRule="auto"/>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Equity Three and Six Months Ended June 30, 2022 and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ectPr>
          <w:pgSz w:w="11900" w:h="16838" w:orient="portrait"/>
          <w:cols w:equalWidth="0" w:num="1">
            <w:col w:w="11200"/>
          </w:cols>
          <w:pgMar w:left="320" w:top="53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3160" w:val="left"/>
        </w:tabs>
        <w:rPr>
          <w:sz w:val="20"/>
          <w:szCs w:val="20"/>
          <w:color w:val="auto"/>
        </w:rPr>
      </w:pPr>
      <w:r>
        <w:rPr>
          <w:rFonts w:ascii="Times New Roman" w:cs="Times New Roman" w:eastAsia="Times New Roman" w:hAnsi="Times New Roman"/>
          <w:sz w:val="16"/>
          <w:szCs w:val="16"/>
          <w:b w:val="1"/>
          <w:bCs w:val="1"/>
          <w:color w:val="auto"/>
        </w:rPr>
        <w:t>Balance, April 1, 2022</w:t>
      </w:r>
      <w:r>
        <w:rPr>
          <w:sz w:val="20"/>
          <w:szCs w:val="20"/>
          <w:color w:val="auto"/>
        </w:rPr>
        <w:tab/>
      </w:r>
      <w:r>
        <w:rPr>
          <w:rFonts w:ascii="Times New Roman" w:cs="Times New Roman" w:eastAsia="Times New Roman" w:hAnsi="Times New Roman"/>
          <w:sz w:val="16"/>
          <w:szCs w:val="16"/>
          <w:color w:val="auto"/>
        </w:rPr>
        <w:t>$</w:t>
      </w:r>
    </w:p>
    <w:p>
      <w:pPr>
        <w:spacing w:after="0" w:line="28" w:lineRule="exact"/>
        <w:rPr>
          <w:sz w:val="20"/>
          <w:szCs w:val="20"/>
          <w:color w:val="auto"/>
        </w:rPr>
      </w:pPr>
    </w:p>
    <w:p>
      <w:pPr>
        <w:ind w:left="20" w:right="660"/>
        <w:spacing w:after="0" w:line="264" w:lineRule="auto"/>
        <w:rPr>
          <w:sz w:val="20"/>
          <w:szCs w:val="20"/>
          <w:color w:val="auto"/>
        </w:rPr>
      </w:pPr>
      <w:r>
        <w:rPr>
          <w:rFonts w:ascii="Times New Roman" w:cs="Times New Roman" w:eastAsia="Times New Roman" w:hAnsi="Times New Roman"/>
          <w:sz w:val="16"/>
          <w:szCs w:val="16"/>
          <w:color w:val="auto"/>
        </w:rPr>
        <w:t>Exercise of options, RSUs and warrants Stock-based compensation</w:t>
      </w:r>
    </w:p>
    <w:p>
      <w:pPr>
        <w:ind w:left="20" w:right="660"/>
        <w:spacing w:after="0" w:line="237" w:lineRule="auto"/>
        <w:rPr>
          <w:sz w:val="20"/>
          <w:szCs w:val="20"/>
          <w:color w:val="auto"/>
        </w:rPr>
      </w:pPr>
      <w:r>
        <w:rPr>
          <w:rFonts w:ascii="Times New Roman" w:cs="Times New Roman" w:eastAsia="Times New Roman" w:hAnsi="Times New Roman"/>
          <w:sz w:val="16"/>
          <w:szCs w:val="16"/>
          <w:color w:val="auto"/>
        </w:rPr>
        <w:t>Shares issued for settlement of business obligation</w:t>
      </w:r>
    </w:p>
    <w:p>
      <w:pPr>
        <w:spacing w:after="0" w:line="1" w:lineRule="exact"/>
        <w:rPr>
          <w:sz w:val="20"/>
          <w:szCs w:val="20"/>
          <w:color w:val="auto"/>
        </w:rPr>
      </w:pPr>
    </w:p>
    <w:p>
      <w:pPr>
        <w:ind w:left="20" w:right="260"/>
        <w:spacing w:after="0" w:line="237" w:lineRule="auto"/>
        <w:rPr>
          <w:sz w:val="20"/>
          <w:szCs w:val="20"/>
          <w:color w:val="auto"/>
        </w:rPr>
      </w:pPr>
      <w:r>
        <w:rPr>
          <w:rFonts w:ascii="Times New Roman" w:cs="Times New Roman" w:eastAsia="Times New Roman" w:hAnsi="Times New Roman"/>
          <w:sz w:val="16"/>
          <w:szCs w:val="16"/>
          <w:color w:val="auto"/>
        </w:rPr>
        <w:t>Distributions to limited liability company unit holders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June 30,</w:t>
            </w:r>
          </w:p>
        </w:tc>
        <w:tc>
          <w:tcPr>
            <w:tcW w:w="1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1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January</w:t>
            </w:r>
          </w:p>
        </w:tc>
        <w:tc>
          <w:tcPr>
            <w:tcW w:w="1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1, 2022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ind w:left="20" w:right="180"/>
        <w:spacing w:after="0" w:line="237" w:lineRule="auto"/>
        <w:rPr>
          <w:sz w:val="20"/>
          <w:szCs w:val="20"/>
          <w:color w:val="auto"/>
        </w:rPr>
      </w:pPr>
      <w:r>
        <w:rPr>
          <w:rFonts w:ascii="Times New Roman" w:cs="Times New Roman" w:eastAsia="Times New Roman" w:hAnsi="Times New Roman"/>
          <w:sz w:val="16"/>
          <w:szCs w:val="16"/>
          <w:color w:val="auto"/>
        </w:rPr>
        <w:t>Noncontrolling interests adjustment for change in ownership</w:t>
      </w:r>
    </w:p>
    <w:p>
      <w:pPr>
        <w:spacing w:after="0" w:line="1" w:lineRule="exact"/>
        <w:rPr>
          <w:sz w:val="20"/>
          <w:szCs w:val="20"/>
          <w:color w:val="auto"/>
        </w:rPr>
      </w:pPr>
    </w:p>
    <w:p>
      <w:pPr>
        <w:ind w:left="20" w:right="140"/>
        <w:spacing w:after="0" w:line="237" w:lineRule="auto"/>
        <w:rPr>
          <w:sz w:val="20"/>
          <w:szCs w:val="20"/>
          <w:color w:val="auto"/>
        </w:rPr>
      </w:pPr>
      <w:r>
        <w:rPr>
          <w:rFonts w:ascii="Times New Roman" w:cs="Times New Roman" w:eastAsia="Times New Roman" w:hAnsi="Times New Roman"/>
          <w:sz w:val="16"/>
          <w:szCs w:val="16"/>
          <w:color w:val="auto"/>
        </w:rPr>
        <w:t>Issuance of shares under business combinations and investments</w:t>
      </w:r>
    </w:p>
    <w:p>
      <w:pPr>
        <w:spacing w:after="0" w:line="1" w:lineRule="exact"/>
        <w:rPr>
          <w:sz w:val="20"/>
          <w:szCs w:val="20"/>
          <w:color w:val="auto"/>
        </w:rPr>
      </w:pPr>
    </w:p>
    <w:p>
      <w:pPr>
        <w:ind w:left="20" w:right="540"/>
        <w:spacing w:after="0" w:line="264" w:lineRule="auto"/>
        <w:rPr>
          <w:sz w:val="20"/>
          <w:szCs w:val="20"/>
          <w:color w:val="auto"/>
        </w:rPr>
      </w:pPr>
      <w:r>
        <w:rPr>
          <w:rFonts w:ascii="Times New Roman" w:cs="Times New Roman" w:eastAsia="Times New Roman" w:hAnsi="Times New Roman"/>
          <w:sz w:val="16"/>
          <w:szCs w:val="16"/>
          <w:color w:val="auto"/>
        </w:rPr>
        <w:t>Shares issued as contingent consideration Exercise of options, RSUs and warrants</w:t>
      </w:r>
    </w:p>
    <w:p>
      <w:pPr>
        <w:ind w:left="20" w:right="660"/>
        <w:spacing w:after="0" w:line="237" w:lineRule="auto"/>
        <w:rPr>
          <w:sz w:val="20"/>
          <w:szCs w:val="20"/>
          <w:color w:val="auto"/>
        </w:rPr>
      </w:pPr>
      <w:r>
        <w:rPr>
          <w:rFonts w:ascii="Times New Roman" w:cs="Times New Roman" w:eastAsia="Times New Roman" w:hAnsi="Times New Roman"/>
          <w:sz w:val="16"/>
          <w:szCs w:val="16"/>
          <w:color w:val="auto"/>
        </w:rPr>
        <w:t>Shares issued for settlement of business obligation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19" w:lineRule="exact"/>
        <w:rPr>
          <w:sz w:val="20"/>
          <w:szCs w:val="20"/>
          <w:color w:val="auto"/>
        </w:rPr>
      </w:pPr>
    </w:p>
    <w:p>
      <w:pPr>
        <w:ind w:left="20" w:right="260"/>
        <w:spacing w:after="0" w:line="237" w:lineRule="auto"/>
        <w:rPr>
          <w:sz w:val="20"/>
          <w:szCs w:val="20"/>
          <w:color w:val="auto"/>
        </w:rPr>
      </w:pPr>
      <w:r>
        <w:rPr>
          <w:rFonts w:ascii="Times New Roman" w:cs="Times New Roman" w:eastAsia="Times New Roman" w:hAnsi="Times New Roman"/>
          <w:sz w:val="16"/>
          <w:szCs w:val="16"/>
          <w:color w:val="auto"/>
        </w:rPr>
        <w:t>Distributions to limited liability company unit holders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w:t>
      </w:r>
    </w:p>
    <w:p>
      <w:pPr>
        <w:spacing w:after="0" w:line="36" w:lineRule="exact"/>
        <w:rPr>
          <w:sz w:val="20"/>
          <w:szCs w:val="20"/>
          <w:color w:val="auto"/>
        </w:rPr>
      </w:pPr>
    </w:p>
    <w:p>
      <w:pPr>
        <w:ind w:left="20"/>
        <w:spacing w:after="0"/>
        <w:tabs>
          <w:tab w:leader="none" w:pos="3160" w:val="left"/>
        </w:tabs>
        <w:rPr>
          <w:sz w:val="20"/>
          <w:szCs w:val="20"/>
          <w:color w:val="auto"/>
        </w:rPr>
      </w:pPr>
      <w:r>
        <w:rPr>
          <w:rFonts w:ascii="Times New Roman" w:cs="Times New Roman" w:eastAsia="Times New Roman" w:hAnsi="Times New Roman"/>
          <w:sz w:val="16"/>
          <w:szCs w:val="16"/>
          <w:b w:val="1"/>
          <w:bCs w:val="1"/>
          <w:color w:val="auto"/>
        </w:rPr>
        <w:t>Balance, June 30, 2022</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30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Contributed</w:t>
            </w: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220" w:type="dxa"/>
            <w:vAlign w:val="bottom"/>
          </w:tcPr>
          <w:p>
            <w:pPr>
              <w:spacing w:after="0"/>
              <w:rPr>
                <w:sz w:val="16"/>
                <w:szCs w:val="16"/>
                <w:color w:val="auto"/>
              </w:rPr>
            </w:pPr>
          </w:p>
        </w:tc>
        <w:tc>
          <w:tcPr>
            <w:tcW w:w="126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114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jc w:val="center"/>
              <w:ind w:right="180"/>
              <w:spacing w:after="0" w:line="173" w:lineRule="exact"/>
              <w:rPr>
                <w:sz w:val="20"/>
                <w:szCs w:val="20"/>
                <w:color w:val="auto"/>
              </w:rPr>
            </w:pPr>
            <w:r>
              <w:rPr>
                <w:rFonts w:ascii="Times New Roman" w:cs="Times New Roman" w:eastAsia="Times New Roman" w:hAnsi="Times New Roman"/>
                <w:sz w:val="16"/>
                <w:szCs w:val="16"/>
                <w:b w:val="1"/>
                <w:bCs w:val="1"/>
                <w:color w:val="auto"/>
              </w:rPr>
              <w:t>Surplus</w:t>
            </w:r>
          </w:p>
        </w:tc>
        <w:tc>
          <w:tcPr>
            <w:tcW w:w="160" w:type="dxa"/>
            <w:vAlign w:val="bottom"/>
          </w:tcPr>
          <w:p>
            <w:pPr>
              <w:spacing w:after="0"/>
              <w:rPr>
                <w:sz w:val="7"/>
                <w:szCs w:val="7"/>
                <w:color w:val="auto"/>
              </w:rPr>
            </w:pPr>
          </w:p>
        </w:tc>
        <w:tc>
          <w:tcPr>
            <w:tcW w:w="104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Share</w:t>
            </w:r>
          </w:p>
        </w:tc>
        <w:tc>
          <w:tcPr>
            <w:tcW w:w="220" w:type="dxa"/>
            <w:vAlign w:val="bottom"/>
          </w:tcPr>
          <w:p>
            <w:pPr>
              <w:spacing w:after="0"/>
              <w:rPr>
                <w:sz w:val="7"/>
                <w:szCs w:val="7"/>
                <w:color w:val="auto"/>
              </w:rPr>
            </w:pPr>
          </w:p>
        </w:tc>
        <w:tc>
          <w:tcPr>
            <w:tcW w:w="1260" w:type="dxa"/>
            <w:vAlign w:val="bottom"/>
            <w:gridSpan w:val="2"/>
            <w:vMerge w:val="restart"/>
          </w:tcPr>
          <w:p>
            <w:pPr>
              <w:jc w:val="center"/>
              <w:ind w:right="99"/>
              <w:spacing w:after="0" w:line="173"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7"/>
                <w:szCs w:val="7"/>
                <w:color w:val="auto"/>
              </w:rPr>
            </w:pPr>
          </w:p>
        </w:tc>
        <w:tc>
          <w:tcPr>
            <w:tcW w:w="1140" w:type="dxa"/>
            <w:vAlign w:val="bottom"/>
            <w:gridSpan w:val="2"/>
            <w:vMerge w:val="restart"/>
          </w:tcPr>
          <w:p>
            <w:pPr>
              <w:jc w:val="center"/>
              <w:ind w:right="59"/>
              <w:spacing w:after="0" w:line="173"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80" w:type="dxa"/>
            <w:vAlign w:val="bottom"/>
          </w:tcPr>
          <w:p>
            <w:pPr>
              <w:spacing w:after="0"/>
              <w:rPr>
                <w:sz w:val="7"/>
                <w:szCs w:val="7"/>
                <w:color w:val="auto"/>
              </w:rPr>
            </w:pPr>
          </w:p>
        </w:tc>
        <w:tc>
          <w:tcPr>
            <w:tcW w:w="1140" w:type="dxa"/>
            <w:vAlign w:val="bottom"/>
            <w:gridSpan w:val="2"/>
            <w:vMerge w:val="restart"/>
          </w:tcPr>
          <w:p>
            <w:pPr>
              <w:jc w:val="right"/>
              <w:ind w:right="420"/>
              <w:spacing w:after="0" w:line="173"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92"/>
        </w:trPr>
        <w:tc>
          <w:tcPr>
            <w:tcW w:w="10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Issuance</w:t>
            </w:r>
          </w:p>
        </w:tc>
        <w:tc>
          <w:tcPr>
            <w:tcW w:w="22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0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0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w:t>
            </w:r>
          </w:p>
        </w:tc>
        <w:tc>
          <w:tcPr>
            <w:tcW w:w="1360" w:type="dxa"/>
            <w:vAlign w:val="bottom"/>
            <w:tcBorders>
              <w:bottom w:val="single" w:sz="8" w:color="auto"/>
            </w:tcBorders>
            <w:gridSpan w:val="2"/>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1,653,703</w:t>
            </w: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5,966</w:t>
            </w:r>
          </w:p>
        </w:tc>
        <w:tc>
          <w:tcPr>
            <w:tcW w:w="12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36,262</w:t>
            </w:r>
          </w:p>
        </w:tc>
        <w:tc>
          <w:tcPr>
            <w:tcW w:w="2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(41,124 )</w:t>
            </w:r>
          </w:p>
        </w:tc>
        <w:tc>
          <w:tcPr>
            <w:tcW w:w="1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1,654,961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w:t>
            </w:r>
          </w:p>
        </w:tc>
        <w:tc>
          <w:tcPr>
            <w:tcW w:w="30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(3,730 )</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0" w:type="dxa"/>
            <w:vAlign w:val="bottom"/>
          </w:tcPr>
          <w:p>
            <w:pPr>
              <w:spacing w:after="0"/>
              <w:rPr>
                <w:sz w:val="1"/>
                <w:szCs w:val="1"/>
                <w:color w:val="auto"/>
              </w:rPr>
            </w:pPr>
          </w:p>
        </w:tc>
      </w:tr>
      <w:tr>
        <w:trPr>
          <w:trHeight w:val="284"/>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1,659,000</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(16,687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1,688,054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1,633,672</w:t>
            </w:r>
          </w:p>
        </w:tc>
        <w:tc>
          <w:tcPr>
            <w:tcW w:w="300" w:type="dxa"/>
            <w:vAlign w:val="bottom"/>
            <w:vMerge w:val="continue"/>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21,245</w:t>
            </w: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220" w:type="dxa"/>
            <w:vAlign w:val="bottom"/>
            <w:vMerge w:val="continue"/>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(70,063</w:t>
            </w:r>
          </w:p>
        </w:tc>
        <w:tc>
          <w:tcPr>
            <w:tcW w:w="1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1,619,478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300" w:type="dxa"/>
            <w:vAlign w:val="bottom"/>
          </w:tcPr>
          <w:p>
            <w:pPr>
              <w:spacing w:after="0"/>
              <w:rPr>
                <w:sz w:val="23"/>
                <w:szCs w:val="23"/>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(17,735 )</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65"/>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3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13,111</w:t>
            </w:r>
          </w:p>
        </w:tc>
        <w:tc>
          <w:tcPr>
            <w:tcW w:w="30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7,528</w:t>
            </w: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(5,925 )</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(14,445 )</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(14,445 )</w:t>
            </w:r>
          </w:p>
        </w:tc>
        <w:tc>
          <w:tcPr>
            <w:tcW w:w="0" w:type="dxa"/>
            <w:vAlign w:val="bottom"/>
          </w:tcPr>
          <w:p>
            <w:pPr>
              <w:spacing w:after="0"/>
              <w:rPr>
                <w:sz w:val="1"/>
                <w:szCs w:val="1"/>
                <w:color w:val="auto"/>
              </w:rPr>
            </w:pPr>
          </w:p>
        </w:tc>
      </w:tr>
      <w:tr>
        <w:trPr>
          <w:trHeight w:val="283"/>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53,376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1,659,000</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(16,687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1,688,054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-3368040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-2870835</wp:posOffset>
            </wp:positionV>
            <wp:extent cx="7132320"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-2613660</wp:posOffset>
            </wp:positionV>
            <wp:extent cx="713232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-2253615</wp:posOffset>
            </wp:positionV>
            <wp:extent cx="7132320" cy="2311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-1885315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-1602740</wp:posOffset>
            </wp:positionV>
            <wp:extent cx="7132320" cy="2311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-1139190</wp:posOffset>
            </wp:positionV>
            <wp:extent cx="7132320"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-882015</wp:posOffset>
            </wp:positionV>
            <wp:extent cx="7132320" cy="2311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-522605</wp:posOffset>
            </wp:positionV>
            <wp:extent cx="7132320" cy="2317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-153670</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40"/>
            <w:col w:w="7900"/>
          </w:cols>
          <w:pgMar w:left="320" w:top="536" w:right="37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color w:val="auto"/>
        </w:rPr>
        <w:t>Green Thumb Industries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Unaudited Interim Condensed Consolidated Statements of Cash Flows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Six Months Ended June 30, 2022 and 2021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960" w:type="dxa"/>
            <w:vAlign w:val="bottom"/>
          </w:tcPr>
          <w:p>
            <w:pPr>
              <w:spacing w:after="0"/>
              <w:rPr>
                <w:sz w:val="19"/>
                <w:szCs w:val="19"/>
                <w:color w:val="auto"/>
              </w:rPr>
            </w:pPr>
          </w:p>
        </w:tc>
        <w:tc>
          <w:tcPr>
            <w:tcW w:w="348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696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7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96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(in</w:t>
            </w:r>
          </w:p>
        </w:tc>
        <w:tc>
          <w:tcPr>
            <w:tcW w:w="1600" w:type="dxa"/>
            <w:vAlign w:val="bottom"/>
            <w:tcBorders>
              <w:bottom w:val="single" w:sz="8" w:color="auto"/>
            </w:tcBorders>
            <w:gridSpan w:val="2"/>
          </w:tcPr>
          <w:p>
            <w:pPr>
              <w:jc w:val="center"/>
              <w:ind w:right="795"/>
              <w:spacing w:after="0"/>
              <w:rPr>
                <w:sz w:val="20"/>
                <w:szCs w:val="20"/>
                <w:color w:val="auto"/>
              </w:rPr>
            </w:pPr>
            <w:r>
              <w:rPr>
                <w:rFonts w:ascii="Times New Roman" w:cs="Times New Roman" w:eastAsia="Times New Roman" w:hAnsi="Times New Roman"/>
                <w:sz w:val="17"/>
                <w:szCs w:val="17"/>
                <w:b w:val="1"/>
                <w:bCs w:val="1"/>
                <w:color w:val="auto"/>
                <w:w w:val="90"/>
              </w:rPr>
              <w:t>thousands)</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 FROM OPERATING ACTIVITIES</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 attributable to Green Thumb Industries Inc.</w:t>
            </w:r>
          </w:p>
        </w:tc>
        <w:tc>
          <w:tcPr>
            <w:tcW w:w="1180" w:type="dxa"/>
            <w:vAlign w:val="bottom"/>
          </w:tcPr>
          <w:p>
            <w:pPr>
              <w:jc w:val="right"/>
              <w:ind w:right="99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53,376</w:t>
            </w:r>
          </w:p>
        </w:tc>
        <w:tc>
          <w:tcPr>
            <w:tcW w:w="300" w:type="dxa"/>
            <w:vAlign w:val="bottom"/>
          </w:tcPr>
          <w:p>
            <w:pPr>
              <w:spacing w:after="0"/>
              <w:rPr>
                <w:sz w:val="17"/>
                <w:szCs w:val="17"/>
                <w:color w:val="auto"/>
              </w:rPr>
            </w:pPr>
          </w:p>
        </w:tc>
        <w:tc>
          <w:tcPr>
            <w:tcW w:w="1300" w:type="dxa"/>
            <w:vAlign w:val="bottom"/>
          </w:tcPr>
          <w:p>
            <w:pPr>
              <w:jc w:val="center"/>
              <w:ind w:right="109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32,420</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2,309</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47,188</w:t>
            </w: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30,066</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Amortization of operating lease assets</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20,022</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16,028</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37"/>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9,882</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Loss (earnings) on equity method investment</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1,941</w:t>
            </w: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(1,646 )</w:t>
            </w:r>
          </w:p>
        </w:tc>
      </w:tr>
      <w:tr>
        <w:trPr>
          <w:trHeight w:val="203"/>
        </w:trPr>
        <w:tc>
          <w:tcPr>
            <w:tcW w:w="6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Gain from lease modification</w:t>
            </w:r>
          </w:p>
        </w:tc>
        <w:tc>
          <w:tcPr>
            <w:tcW w:w="1180" w:type="dxa"/>
            <w:vAlign w:val="bottom"/>
          </w:tcPr>
          <w:p>
            <w:pPr>
              <w:spacing w:after="0"/>
              <w:rPr>
                <w:sz w:val="17"/>
                <w:szCs w:val="17"/>
                <w:color w:val="auto"/>
              </w:rPr>
            </w:pPr>
          </w:p>
        </w:tc>
        <w:tc>
          <w:tcPr>
            <w:tcW w:w="100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(3,330 )</w:t>
            </w:r>
          </w:p>
        </w:tc>
        <w:tc>
          <w:tcPr>
            <w:tcW w:w="13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Bad debt expense</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Deferred income taxes</w:t>
            </w:r>
          </w:p>
        </w:tc>
        <w:tc>
          <w:tcPr>
            <w:tcW w:w="1180" w:type="dxa"/>
            <w:vAlign w:val="bottom"/>
          </w:tcPr>
          <w:p>
            <w:pPr>
              <w:spacing w:after="0"/>
              <w:rPr>
                <w:sz w:val="17"/>
                <w:szCs w:val="17"/>
                <w:color w:val="auto"/>
              </w:rPr>
            </w:pPr>
          </w:p>
        </w:tc>
        <w:tc>
          <w:tcPr>
            <w:tcW w:w="1000" w:type="dxa"/>
            <w:vAlign w:val="bottom"/>
            <w:gridSpan w:val="2"/>
          </w:tcPr>
          <w:p>
            <w:pPr>
              <w:jc w:val="right"/>
              <w:ind w:right="237"/>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11,484</w:t>
            </w: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9,703</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Decrease (increase) in fair value of investments</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3,201</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(18,754 )</w:t>
            </w:r>
          </w:p>
        </w:tc>
      </w:tr>
      <w:tr>
        <w:trPr>
          <w:trHeight w:val="203"/>
        </w:trPr>
        <w:tc>
          <w:tcPr>
            <w:tcW w:w="6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Interest on contingent consideration payable and acquisition liabilities</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2,018</w:t>
            </w: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(Decrease) increase in fair value of contingent consideration</w:t>
            </w:r>
          </w:p>
        </w:tc>
        <w:tc>
          <w:tcPr>
            <w:tcW w:w="1180" w:type="dxa"/>
            <w:vAlign w:val="bottom"/>
          </w:tcPr>
          <w:p>
            <w:pPr>
              <w:spacing w:after="0"/>
              <w:rPr>
                <w:sz w:val="17"/>
                <w:szCs w:val="17"/>
                <w:color w:val="auto"/>
              </w:rPr>
            </w:pPr>
          </w:p>
        </w:tc>
        <w:tc>
          <w:tcPr>
            <w:tcW w:w="100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(31,978 )</w:t>
            </w:r>
          </w:p>
        </w:tc>
        <w:tc>
          <w:tcPr>
            <w:tcW w:w="1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(Decrease) increase in fair value of warrants</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rPr>
              <w:t>(21,772 )</w:t>
            </w:r>
          </w:p>
        </w:tc>
        <w:tc>
          <w:tcPr>
            <w:tcW w:w="13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8,011</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Shares issued for settlement of business obligation</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7,135</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4,559</w:t>
            </w: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2,764</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Accounts receivable</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rPr>
              <w:t>(3,976 )</w:t>
            </w:r>
          </w:p>
        </w:tc>
        <w:tc>
          <w:tcPr>
            <w:tcW w:w="1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(2,793 )</w:t>
            </w:r>
          </w:p>
        </w:tc>
      </w:tr>
      <w:tr>
        <w:trPr>
          <w:trHeight w:val="203"/>
        </w:trPr>
        <w:tc>
          <w:tcPr>
            <w:tcW w:w="6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Inventories</w:t>
            </w:r>
          </w:p>
        </w:tc>
        <w:tc>
          <w:tcPr>
            <w:tcW w:w="1180" w:type="dxa"/>
            <w:vAlign w:val="bottom"/>
          </w:tcPr>
          <w:p>
            <w:pPr>
              <w:spacing w:after="0"/>
              <w:rPr>
                <w:sz w:val="17"/>
                <w:szCs w:val="17"/>
                <w:color w:val="auto"/>
              </w:rPr>
            </w:pPr>
          </w:p>
        </w:tc>
        <w:tc>
          <w:tcPr>
            <w:tcW w:w="100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(27,361 )</w:t>
            </w:r>
          </w:p>
        </w:tc>
        <w:tc>
          <w:tcPr>
            <w:tcW w:w="13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(10,373 )</w:t>
            </w:r>
          </w:p>
        </w:tc>
      </w:tr>
      <w:tr>
        <w:trPr>
          <w:trHeight w:val="202"/>
        </w:trPr>
        <w:tc>
          <w:tcPr>
            <w:tcW w:w="6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rPr>
              <w:t>(996 )</w:t>
            </w:r>
          </w:p>
        </w:tc>
        <w:tc>
          <w:tcPr>
            <w:tcW w:w="1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(6,303 )</w:t>
            </w:r>
          </w:p>
        </w:tc>
      </w:tr>
      <w:tr>
        <w:trPr>
          <w:trHeight w:val="203"/>
        </w:trPr>
        <w:tc>
          <w:tcPr>
            <w:tcW w:w="6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Deposits and other assets</w:t>
            </w:r>
          </w:p>
        </w:tc>
        <w:tc>
          <w:tcPr>
            <w:tcW w:w="1180" w:type="dxa"/>
            <w:vAlign w:val="bottom"/>
          </w:tcPr>
          <w:p>
            <w:pPr>
              <w:spacing w:after="0"/>
              <w:rPr>
                <w:sz w:val="17"/>
                <w:szCs w:val="17"/>
                <w:color w:val="auto"/>
              </w:rPr>
            </w:pPr>
          </w:p>
        </w:tc>
        <w:tc>
          <w:tcPr>
            <w:tcW w:w="100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(147 )</w:t>
            </w:r>
          </w:p>
        </w:tc>
        <w:tc>
          <w:tcPr>
            <w:tcW w:w="13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(1,398 )</w:t>
            </w:r>
          </w:p>
        </w:tc>
      </w:tr>
      <w:tr>
        <w:trPr>
          <w:trHeight w:val="203"/>
        </w:trPr>
        <w:tc>
          <w:tcPr>
            <w:tcW w:w="6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Accounts payable</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5,779</w:t>
            </w: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(6,074 )</w:t>
            </w:r>
          </w:p>
        </w:tc>
      </w:tr>
      <w:tr>
        <w:trPr>
          <w:trHeight w:val="203"/>
        </w:trPr>
        <w:tc>
          <w:tcPr>
            <w:tcW w:w="6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Accrued liabilities</w:t>
            </w:r>
          </w:p>
        </w:tc>
        <w:tc>
          <w:tcPr>
            <w:tcW w:w="1180" w:type="dxa"/>
            <w:vAlign w:val="bottom"/>
          </w:tcPr>
          <w:p>
            <w:pPr>
              <w:spacing w:after="0"/>
              <w:rPr>
                <w:sz w:val="17"/>
                <w:szCs w:val="17"/>
                <w:color w:val="auto"/>
              </w:rPr>
            </w:pPr>
          </w:p>
        </w:tc>
        <w:tc>
          <w:tcPr>
            <w:tcW w:w="100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(9,998 )</w:t>
            </w:r>
          </w:p>
        </w:tc>
        <w:tc>
          <w:tcPr>
            <w:tcW w:w="1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3,995</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rPr>
              <w:t>(17,234 )</w:t>
            </w:r>
          </w:p>
        </w:tc>
        <w:tc>
          <w:tcPr>
            <w:tcW w:w="1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(12,586 )</w:t>
            </w:r>
          </w:p>
        </w:tc>
      </w:tr>
      <w:tr>
        <w:trPr>
          <w:trHeight w:val="203"/>
        </w:trPr>
        <w:tc>
          <w:tcPr>
            <w:tcW w:w="6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Income tax payable</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4,973</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(15,614 )</w:t>
            </w:r>
          </w:p>
        </w:tc>
      </w:tr>
      <w:tr>
        <w:trPr>
          <w:trHeight w:val="196"/>
        </w:trPr>
        <w:tc>
          <w:tcPr>
            <w:tcW w:w="69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18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39,914</w:t>
            </w:r>
          </w:p>
        </w:tc>
        <w:tc>
          <w:tcPr>
            <w:tcW w:w="30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48,297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 FROM INVESTING ACTIVITIES</w:t>
            </w: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rPr>
              <w:t>(71,131 )</w:t>
            </w:r>
          </w:p>
        </w:tc>
        <w:tc>
          <w:tcPr>
            <w:tcW w:w="1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(44,157 )</w:t>
            </w:r>
          </w:p>
        </w:tc>
      </w:tr>
      <w:tr>
        <w:trPr>
          <w:trHeight w:val="202"/>
        </w:trPr>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disposal of property and equipment</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Investments in securities</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rPr>
              <w:t>(5,453 )</w:t>
            </w:r>
          </w:p>
        </w:tc>
        <w:tc>
          <w:tcPr>
            <w:tcW w:w="1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(18,136 )</w:t>
            </w:r>
          </w:p>
        </w:tc>
      </w:tr>
      <w:tr>
        <w:trPr>
          <w:trHeight w:val="203"/>
        </w:trPr>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sale of investments</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18,417</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Settlement of acquisition consideration payable</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rPr>
              <w:t>(31,732 )</w:t>
            </w:r>
          </w:p>
        </w:tc>
        <w:tc>
          <w:tcPr>
            <w:tcW w:w="1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Purchase of businesses, net of cash acquired</w:t>
            </w:r>
          </w:p>
        </w:tc>
        <w:tc>
          <w:tcPr>
            <w:tcW w:w="1180" w:type="dxa"/>
            <w:vAlign w:val="bottom"/>
          </w:tcPr>
          <w:p>
            <w:pPr>
              <w:spacing w:after="0"/>
              <w:rPr>
                <w:sz w:val="17"/>
                <w:szCs w:val="17"/>
                <w:color w:val="auto"/>
              </w:rPr>
            </w:pPr>
          </w:p>
        </w:tc>
        <w:tc>
          <w:tcPr>
            <w:tcW w:w="100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(7,255 )</w:t>
            </w:r>
          </w:p>
        </w:tc>
        <w:tc>
          <w:tcPr>
            <w:tcW w:w="1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17"/>
                <w:szCs w:val="17"/>
                <w:color w:val="auto"/>
              </w:rPr>
            </w:pPr>
          </w:p>
        </w:tc>
      </w:tr>
      <w:tr>
        <w:trPr>
          <w:trHeight w:val="196"/>
        </w:trPr>
        <w:tc>
          <w:tcPr>
            <w:tcW w:w="69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18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(114,296</w:t>
            </w:r>
          </w:p>
        </w:tc>
        <w:tc>
          <w:tcPr>
            <w:tcW w:w="300" w:type="dxa"/>
            <w:vAlign w:val="bottom"/>
            <w:tcBorders>
              <w:bottom w:val="single" w:sz="8" w:color="CFF0FC"/>
            </w:tcBorders>
            <w:shd w:val="clear" w:color="auto" w:fill="CFF0FC"/>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(43,583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6"/>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 FROM FINANCING ACTIVITIES</w:t>
            </w: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Distributions to third parties and limited liability company unit holders</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rPr>
              <w:t>(14,445 )</w:t>
            </w:r>
          </w:p>
        </w:tc>
        <w:tc>
          <w:tcPr>
            <w:tcW w:w="1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(1,800 )</w:t>
            </w:r>
          </w:p>
        </w:tc>
      </w:tr>
      <w:tr>
        <w:trPr>
          <w:trHeight w:val="203"/>
        </w:trPr>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Contributions from unconsolidated subsidiaries</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Net proceeds from issuance of registered shares pursuant to Form S-1</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37"/>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155,498</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exercise of options and warrants</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8,971</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from issuance of notes payable</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2,102</w:t>
            </w: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175,500</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Principal repayment of notes payable</w:t>
            </w:r>
          </w:p>
        </w:tc>
        <w:tc>
          <w:tcPr>
            <w:tcW w:w="1180" w:type="dxa"/>
            <w:vAlign w:val="bottom"/>
          </w:tcPr>
          <w:p>
            <w:pPr>
              <w:spacing w:after="0"/>
              <w:rPr>
                <w:sz w:val="17"/>
                <w:szCs w:val="17"/>
                <w:color w:val="auto"/>
              </w:rPr>
            </w:pPr>
          </w:p>
        </w:tc>
        <w:tc>
          <w:tcPr>
            <w:tcW w:w="100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(571 )</w:t>
            </w:r>
          </w:p>
        </w:tc>
        <w:tc>
          <w:tcPr>
            <w:tcW w:w="13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(64,602 )</w:t>
            </w:r>
          </w:p>
        </w:tc>
      </w:tr>
      <w:tr>
        <w:trPr>
          <w:trHeight w:val="203"/>
        </w:trPr>
        <w:tc>
          <w:tcPr>
            <w:tcW w:w="6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Prepayment penalty and other costs associated with refinancing</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(3,200 )</w:t>
            </w:r>
          </w:p>
        </w:tc>
      </w:tr>
      <w:tr>
        <w:trPr>
          <w:trHeight w:val="20"/>
        </w:trPr>
        <w:tc>
          <w:tcPr>
            <w:tcW w:w="69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96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NET CASH (USED IN) PROVIDED BY FINANCING ACTIVITIES</w:t>
            </w:r>
          </w:p>
        </w:tc>
        <w:tc>
          <w:tcPr>
            <w:tcW w:w="1180" w:type="dxa"/>
            <w:vAlign w:val="bottom"/>
          </w:tcPr>
          <w:p>
            <w:pPr>
              <w:spacing w:after="0"/>
              <w:rPr>
                <w:sz w:val="17"/>
                <w:szCs w:val="17"/>
                <w:color w:val="auto"/>
              </w:rPr>
            </w:pPr>
          </w:p>
        </w:tc>
        <w:tc>
          <w:tcPr>
            <w:tcW w:w="100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(10,761 )</w:t>
            </w:r>
          </w:p>
        </w:tc>
        <w:tc>
          <w:tcPr>
            <w:tcW w:w="1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270,717</w:t>
            </w:r>
          </w:p>
        </w:tc>
        <w:tc>
          <w:tcPr>
            <w:tcW w:w="100" w:type="dxa"/>
            <w:vAlign w:val="bottom"/>
          </w:tcPr>
          <w:p>
            <w:pPr>
              <w:spacing w:after="0"/>
              <w:rPr>
                <w:sz w:val="17"/>
                <w:szCs w:val="17"/>
                <w:color w:val="auto"/>
              </w:rPr>
            </w:pPr>
          </w:p>
        </w:tc>
      </w:tr>
      <w:tr>
        <w:trPr>
          <w:trHeight w:val="196"/>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w:t>
            </w:r>
          </w:p>
        </w:tc>
        <w:tc>
          <w:tcPr>
            <w:tcW w:w="1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63"/>
        </w:trPr>
        <w:tc>
          <w:tcPr>
            <w:tcW w:w="6960" w:type="dxa"/>
            <w:vAlign w:val="bottom"/>
          </w:tcPr>
          <w:p>
            <w:pPr>
              <w:ind w:left="380"/>
              <w:spacing w:after="0" w:line="163" w:lineRule="exact"/>
              <w:rPr>
                <w:sz w:val="20"/>
                <w:szCs w:val="20"/>
                <w:color w:val="auto"/>
              </w:rPr>
            </w:pPr>
            <w:r>
              <w:rPr>
                <w:rFonts w:ascii="Times New Roman" w:cs="Times New Roman" w:eastAsia="Times New Roman" w:hAnsi="Times New Roman"/>
                <w:sz w:val="17"/>
                <w:szCs w:val="17"/>
                <w:b w:val="1"/>
                <w:bCs w:val="1"/>
                <w:color w:val="auto"/>
              </w:rPr>
              <w:t>NET (DECREASE) INCREASE IN CASH AND CASH EQUIVALENTS AND</w:t>
            </w: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7"/>
        </w:trPr>
        <w:tc>
          <w:tcPr>
            <w:tcW w:w="696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RESTRICTED CASH</w:t>
            </w:r>
          </w:p>
        </w:tc>
        <w:tc>
          <w:tcPr>
            <w:tcW w:w="1180" w:type="dxa"/>
            <w:vAlign w:val="bottom"/>
          </w:tcPr>
          <w:p>
            <w:pPr>
              <w:spacing w:after="0"/>
              <w:rPr>
                <w:sz w:val="19"/>
                <w:szCs w:val="19"/>
                <w:color w:val="auto"/>
              </w:rPr>
            </w:pPr>
          </w:p>
        </w:tc>
        <w:tc>
          <w:tcPr>
            <w:tcW w:w="100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(85,143 )</w:t>
            </w:r>
          </w:p>
        </w:tc>
        <w:tc>
          <w:tcPr>
            <w:tcW w:w="1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275,431</w:t>
            </w:r>
          </w:p>
        </w:tc>
        <w:tc>
          <w:tcPr>
            <w:tcW w:w="100" w:type="dxa"/>
            <w:vAlign w:val="bottom"/>
          </w:tcPr>
          <w:p>
            <w:pPr>
              <w:spacing w:after="0"/>
              <w:rPr>
                <w:sz w:val="19"/>
                <w:szCs w:val="19"/>
                <w:color w:val="auto"/>
              </w:rPr>
            </w:pPr>
          </w:p>
        </w:tc>
      </w:tr>
      <w:tr>
        <w:trPr>
          <w:trHeight w:val="203"/>
        </w:trPr>
        <w:tc>
          <w:tcPr>
            <w:tcW w:w="69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BEGINNING OF PERIOD</w:t>
            </w:r>
          </w:p>
        </w:tc>
        <w:tc>
          <w:tcPr>
            <w:tcW w:w="1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230,420</w:t>
            </w:r>
          </w:p>
        </w:tc>
        <w:tc>
          <w:tcPr>
            <w:tcW w:w="30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83,758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6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118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145,277</w:t>
            </w:r>
          </w:p>
        </w:tc>
        <w:tc>
          <w:tcPr>
            <w:tcW w:w="300" w:type="dxa"/>
            <w:vAlign w:val="bottom"/>
          </w:tcPr>
          <w:p>
            <w:pPr>
              <w:spacing w:after="0"/>
              <w:rPr>
                <w:sz w:val="17"/>
                <w:szCs w:val="17"/>
                <w:color w:val="auto"/>
              </w:rPr>
            </w:pPr>
          </w:p>
        </w:tc>
        <w:tc>
          <w:tcPr>
            <w:tcW w:w="1300" w:type="dxa"/>
            <w:vAlign w:val="bottom"/>
            <w:tcBorders>
              <w:bottom w:val="single" w:sz="8" w:color="auto"/>
            </w:tcBorders>
          </w:tcPr>
          <w:p>
            <w:pPr>
              <w:jc w:val="center"/>
              <w:ind w:right="10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359,189</w:t>
            </w:r>
          </w:p>
        </w:tc>
        <w:tc>
          <w:tcPr>
            <w:tcW w:w="100" w:type="dxa"/>
            <w:vAlign w:val="bottom"/>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-2896870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-1851025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-813435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-161925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color w:val="auto"/>
        </w:rPr>
        <w:t>Green Thumb Industries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Unaudited Interim Condensed Consolidated Statements of Cash Flows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Six Months Ended June 30, 2022 and 2021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(Amounts Expressed in United States Dollars)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60" w:type="dxa"/>
            <w:vAlign w:val="bottom"/>
            <w:tcBorders>
              <w:top w:val="single" w:sz="8" w:color="auto"/>
            </w:tcBorders>
          </w:tcPr>
          <w:p>
            <w:pPr>
              <w:spacing w:after="0"/>
              <w:rPr>
                <w:sz w:val="17"/>
                <w:szCs w:val="17"/>
                <w:color w:val="auto"/>
              </w:rPr>
            </w:pPr>
          </w:p>
        </w:tc>
        <w:tc>
          <w:tcPr>
            <w:tcW w:w="3500" w:type="dxa"/>
            <w:vAlign w:val="bottom"/>
            <w:tcBorders>
              <w:top w:val="single" w:sz="8" w:color="auto"/>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196"/>
        </w:trPr>
        <w:tc>
          <w:tcPr>
            <w:tcW w:w="6960" w:type="dxa"/>
            <w:vAlign w:val="bottom"/>
          </w:tcPr>
          <w:p>
            <w:pPr>
              <w:spacing w:after="0"/>
              <w:rPr>
                <w:sz w:val="17"/>
                <w:szCs w:val="17"/>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2022</w:t>
            </w:r>
          </w:p>
        </w:tc>
        <w:tc>
          <w:tcPr>
            <w:tcW w:w="6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9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(in</w:t>
            </w:r>
          </w:p>
        </w:tc>
        <w:tc>
          <w:tcPr>
            <w:tcW w:w="1620" w:type="dxa"/>
            <w:vAlign w:val="bottom"/>
            <w:tcBorders>
              <w:bottom w:val="single" w:sz="8" w:color="auto"/>
            </w:tcBorders>
            <w:gridSpan w:val="2"/>
          </w:tcPr>
          <w:p>
            <w:pPr>
              <w:jc w:val="center"/>
              <w:ind w:right="815"/>
              <w:spacing w:after="0"/>
              <w:rPr>
                <w:sz w:val="20"/>
                <w:szCs w:val="20"/>
                <w:color w:val="auto"/>
              </w:rPr>
            </w:pPr>
            <w:r>
              <w:rPr>
                <w:rFonts w:ascii="Times New Roman" w:cs="Times New Roman" w:eastAsia="Times New Roman" w:hAnsi="Times New Roman"/>
                <w:sz w:val="17"/>
                <w:szCs w:val="17"/>
                <w:b w:val="1"/>
                <w:bCs w:val="1"/>
                <w:color w:val="auto"/>
                <w:w w:val="90"/>
              </w:rPr>
              <w:t>thousands)</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paid</w:t>
            </w:r>
          </w:p>
        </w:tc>
        <w:tc>
          <w:tcPr>
            <w:tcW w:w="1220" w:type="dxa"/>
            <w:vAlign w:val="bottom"/>
            <w:tcBorders>
              <w:bottom w:val="single" w:sz="8" w:color="auto"/>
            </w:tcBorders>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9,028</w:t>
            </w:r>
          </w:p>
        </w:tc>
        <w:tc>
          <w:tcPr>
            <w:tcW w:w="320" w:type="dxa"/>
            <w:vAlign w:val="bottom"/>
          </w:tcPr>
          <w:p>
            <w:pPr>
              <w:spacing w:after="0"/>
              <w:rPr>
                <w:sz w:val="17"/>
                <w:szCs w:val="17"/>
                <w:color w:val="auto"/>
              </w:rPr>
            </w:pPr>
          </w:p>
        </w:tc>
        <w:tc>
          <w:tcPr>
            <w:tcW w:w="1300" w:type="dxa"/>
            <w:vAlign w:val="bottom"/>
            <w:tcBorders>
              <w:bottom w:val="single" w:sz="8" w:color="auto"/>
            </w:tcBorders>
          </w:tcPr>
          <w:p>
            <w:pPr>
              <w:jc w:val="center"/>
              <w:ind w:right="109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6,825</w:t>
            </w:r>
          </w:p>
        </w:tc>
        <w:tc>
          <w:tcPr>
            <w:tcW w:w="100" w:type="dxa"/>
            <w:vAlign w:val="bottom"/>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96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NONCASH INVESTING AND FINANCING ACTIVITIES</w:t>
            </w:r>
          </w:p>
        </w:tc>
        <w:tc>
          <w:tcPr>
            <w:tcW w:w="1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capital expenditures</w:t>
            </w:r>
          </w:p>
        </w:tc>
        <w:tc>
          <w:tcPr>
            <w:tcW w:w="1220" w:type="dxa"/>
            <w:vAlign w:val="bottom"/>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177"/>
              <w:spacing w:after="0"/>
              <w:rPr>
                <w:sz w:val="20"/>
                <w:szCs w:val="20"/>
                <w:color w:val="auto"/>
              </w:rPr>
            </w:pPr>
            <w:r>
              <w:rPr>
                <w:rFonts w:ascii="Times New Roman" w:cs="Times New Roman" w:eastAsia="Times New Roman" w:hAnsi="Times New Roman"/>
                <w:sz w:val="17"/>
                <w:szCs w:val="17"/>
                <w:color w:val="auto"/>
              </w:rPr>
              <w:t>(3,761 )</w:t>
            </w:r>
          </w:p>
        </w:tc>
        <w:tc>
          <w:tcPr>
            <w:tcW w:w="1300" w:type="dxa"/>
            <w:vAlign w:val="bottom"/>
          </w:tcPr>
          <w:p>
            <w:pPr>
              <w:jc w:val="center"/>
              <w:ind w:right="109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13,808</w:t>
            </w:r>
          </w:p>
        </w:tc>
        <w:tc>
          <w:tcPr>
            <w:tcW w:w="100" w:type="dxa"/>
            <w:vAlign w:val="bottom"/>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6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Noncash increase in right of use asset</w:t>
            </w:r>
          </w:p>
        </w:tc>
        <w:tc>
          <w:tcPr>
            <w:tcW w:w="1220" w:type="dxa"/>
            <w:vAlign w:val="bottom"/>
            <w:tcBorders>
              <w:bottom w:val="single" w:sz="8" w:color="auto"/>
            </w:tcBorders>
            <w:shd w:val="clear" w:color="auto" w:fill="CFF0FC"/>
          </w:tcPr>
          <w:p>
            <w:pPr>
              <w:jc w:val="right"/>
              <w:ind w:right="10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(69,821</w:t>
            </w:r>
          </w:p>
        </w:tc>
        <w:tc>
          <w:tcPr>
            <w:tcW w:w="320" w:type="dxa"/>
            <w:vAlign w:val="bottom"/>
            <w:tcBorders>
              <w:bottom w:val="single" w:sz="8" w:color="CFF0FC"/>
            </w:tcBorders>
            <w:shd w:val="clear" w:color="auto" w:fill="CFF0FC"/>
          </w:tcPr>
          <w:p>
            <w:pPr>
              <w:jc w:val="right"/>
              <w:ind w:right="177"/>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FF0FC"/>
          </w:tcPr>
          <w:p>
            <w:pPr>
              <w:jc w:val="center"/>
              <w:ind w:right="10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(10,781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3"/>
        </w:trPr>
        <w:tc>
          <w:tcPr>
            <w:tcW w:w="69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Noncash increase in lease liability</w:t>
            </w:r>
          </w:p>
        </w:tc>
        <w:tc>
          <w:tcPr>
            <w:tcW w:w="1220" w:type="dxa"/>
            <w:vAlign w:val="bottom"/>
            <w:tcBorders>
              <w:bottom w:val="single" w:sz="8" w:color="auto"/>
            </w:tcBorders>
          </w:tcPr>
          <w:p>
            <w:pPr>
              <w:jc w:val="right"/>
              <w:ind w:right="10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69,821</w:t>
            </w:r>
          </w:p>
        </w:tc>
        <w:tc>
          <w:tcPr>
            <w:tcW w:w="320" w:type="dxa"/>
            <w:vAlign w:val="bottom"/>
          </w:tcPr>
          <w:p>
            <w:pPr>
              <w:spacing w:after="0"/>
              <w:rPr>
                <w:sz w:val="15"/>
                <w:szCs w:val="15"/>
                <w:color w:val="auto"/>
              </w:rPr>
            </w:pPr>
          </w:p>
        </w:tc>
        <w:tc>
          <w:tcPr>
            <w:tcW w:w="1300" w:type="dxa"/>
            <w:vAlign w:val="bottom"/>
            <w:tcBorders>
              <w:bottom w:val="single" w:sz="8" w:color="auto"/>
            </w:tcBorders>
          </w:tcPr>
          <w:p>
            <w:pPr>
              <w:jc w:val="center"/>
              <w:ind w:right="10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10,781</w:t>
            </w:r>
          </w:p>
        </w:tc>
        <w:tc>
          <w:tcPr>
            <w:tcW w:w="100" w:type="dxa"/>
            <w:vAlign w:val="bottom"/>
          </w:tcPr>
          <w:p>
            <w:pPr>
              <w:spacing w:after="0"/>
              <w:rPr>
                <w:sz w:val="15"/>
                <w:szCs w:val="15"/>
                <w:color w:val="auto"/>
              </w:rPr>
            </w:pPr>
          </w:p>
        </w:tc>
      </w:tr>
      <w:tr>
        <w:trPr>
          <w:trHeight w:val="20"/>
        </w:trPr>
        <w:tc>
          <w:tcPr>
            <w:tcW w:w="69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6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Warrant issuance associated with note payable</w:t>
            </w:r>
          </w:p>
        </w:tc>
        <w:tc>
          <w:tcPr>
            <w:tcW w:w="1220" w:type="dxa"/>
            <w:vAlign w:val="bottom"/>
            <w:tcBorders>
              <w:bottom w:val="single" w:sz="8" w:color="auto"/>
            </w:tcBorders>
            <w:shd w:val="clear" w:color="auto" w:fill="CFF0FC"/>
          </w:tcPr>
          <w:p>
            <w:pPr>
              <w:jc w:val="right"/>
              <w:ind w:right="10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center"/>
              <w:ind w:right="10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22,530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69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Shares issued for purchase of noncontrolling interest</w:t>
            </w:r>
          </w:p>
        </w:tc>
        <w:tc>
          <w:tcPr>
            <w:tcW w:w="1220" w:type="dxa"/>
            <w:vAlign w:val="bottom"/>
          </w:tcPr>
          <w:p>
            <w:pPr>
              <w:jc w:val="right"/>
              <w:ind w:right="10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2,379</w:t>
            </w:r>
          </w:p>
        </w:tc>
        <w:tc>
          <w:tcPr>
            <w:tcW w:w="320" w:type="dxa"/>
            <w:vAlign w:val="bottom"/>
          </w:tcPr>
          <w:p>
            <w:pPr>
              <w:spacing w:after="0"/>
              <w:rPr>
                <w:sz w:val="15"/>
                <w:szCs w:val="15"/>
                <w:color w:val="auto"/>
              </w:rPr>
            </w:pPr>
          </w:p>
        </w:tc>
        <w:tc>
          <w:tcPr>
            <w:tcW w:w="1300" w:type="dxa"/>
            <w:vAlign w:val="bottom"/>
          </w:tcPr>
          <w:p>
            <w:pPr>
              <w:jc w:val="center"/>
              <w:ind w:right="10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17"/>
                <w:szCs w:val="17"/>
                <w:color w:val="auto"/>
              </w:rPr>
              <w:t>—</w:t>
            </w:r>
          </w:p>
        </w:tc>
      </w:tr>
      <w:tr>
        <w:trPr>
          <w:trHeight w:val="20"/>
        </w:trPr>
        <w:tc>
          <w:tcPr>
            <w:tcW w:w="69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6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Issuance of shares associated with contingent consideration</w:t>
            </w:r>
          </w:p>
        </w:tc>
        <w:tc>
          <w:tcPr>
            <w:tcW w:w="1220" w:type="dxa"/>
            <w:vAlign w:val="bottom"/>
            <w:tcBorders>
              <w:bottom w:val="single" w:sz="8" w:color="auto"/>
            </w:tcBorders>
            <w:shd w:val="clear" w:color="auto" w:fill="CFF0FC"/>
          </w:tcPr>
          <w:p>
            <w:pPr>
              <w:jc w:val="right"/>
              <w:ind w:right="10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13,111</w:t>
            </w:r>
          </w:p>
        </w:tc>
        <w:tc>
          <w:tcPr>
            <w:tcW w:w="3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center"/>
              <w:ind w:right="10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12,673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69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Deferred share issuances</w:t>
            </w:r>
          </w:p>
        </w:tc>
        <w:tc>
          <w:tcPr>
            <w:tcW w:w="1220" w:type="dxa"/>
            <w:vAlign w:val="bottom"/>
          </w:tcPr>
          <w:p>
            <w:pPr>
              <w:jc w:val="right"/>
              <w:ind w:right="10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257"/>
              <w:spacing w:after="0" w:line="183" w:lineRule="exact"/>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center"/>
              <w:ind w:right="10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7,814</w:t>
            </w:r>
          </w:p>
        </w:tc>
        <w:tc>
          <w:tcPr>
            <w:tcW w:w="100" w:type="dxa"/>
            <w:vAlign w:val="bottom"/>
          </w:tcPr>
          <w:p>
            <w:pPr>
              <w:spacing w:after="0"/>
              <w:rPr>
                <w:sz w:val="15"/>
                <w:szCs w:val="15"/>
                <w:color w:val="auto"/>
              </w:rPr>
            </w:pPr>
          </w:p>
        </w:tc>
      </w:tr>
      <w:tr>
        <w:trPr>
          <w:trHeight w:val="20"/>
        </w:trPr>
        <w:tc>
          <w:tcPr>
            <w:tcW w:w="69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6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Deferred share distributions</w:t>
            </w:r>
          </w:p>
        </w:tc>
        <w:tc>
          <w:tcPr>
            <w:tcW w:w="1220" w:type="dxa"/>
            <w:vAlign w:val="bottom"/>
            <w:tcBorders>
              <w:bottom w:val="single" w:sz="8" w:color="auto"/>
            </w:tcBorders>
            <w:shd w:val="clear" w:color="auto" w:fill="CFF0FC"/>
          </w:tcPr>
          <w:p>
            <w:pPr>
              <w:jc w:val="right"/>
              <w:ind w:right="10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center"/>
              <w:ind w:right="10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(1,835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3"/>
        </w:trPr>
        <w:tc>
          <w:tcPr>
            <w:tcW w:w="69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Issuance of shares under business combinations</w:t>
            </w:r>
          </w:p>
        </w:tc>
        <w:tc>
          <w:tcPr>
            <w:tcW w:w="1220" w:type="dxa"/>
            <w:vAlign w:val="bottom"/>
            <w:tcBorders>
              <w:bottom w:val="single" w:sz="8" w:color="auto"/>
            </w:tcBorders>
          </w:tcPr>
          <w:p>
            <w:pPr>
              <w:jc w:val="right"/>
              <w:ind w:right="10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1,406</w:t>
            </w:r>
          </w:p>
        </w:tc>
        <w:tc>
          <w:tcPr>
            <w:tcW w:w="320" w:type="dxa"/>
            <w:vAlign w:val="bottom"/>
          </w:tcPr>
          <w:p>
            <w:pPr>
              <w:spacing w:after="0"/>
              <w:rPr>
                <w:sz w:val="15"/>
                <w:szCs w:val="15"/>
                <w:color w:val="auto"/>
              </w:rPr>
            </w:pPr>
          </w:p>
        </w:tc>
        <w:tc>
          <w:tcPr>
            <w:tcW w:w="1300" w:type="dxa"/>
            <w:vAlign w:val="bottom"/>
            <w:tcBorders>
              <w:bottom w:val="single" w:sz="8" w:color="auto"/>
            </w:tcBorders>
          </w:tcPr>
          <w:p>
            <w:pPr>
              <w:jc w:val="center"/>
              <w:ind w:right="10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57,755</w:t>
            </w:r>
          </w:p>
        </w:tc>
        <w:tc>
          <w:tcPr>
            <w:tcW w:w="100" w:type="dxa"/>
            <w:vAlign w:val="bottom"/>
          </w:tcPr>
          <w:p>
            <w:pPr>
              <w:spacing w:after="0"/>
              <w:rPr>
                <w:sz w:val="15"/>
                <w:szCs w:val="15"/>
                <w:color w:val="auto"/>
              </w:rPr>
            </w:pPr>
          </w:p>
        </w:tc>
      </w:tr>
      <w:tr>
        <w:trPr>
          <w:trHeight w:val="20"/>
        </w:trPr>
        <w:tc>
          <w:tcPr>
            <w:tcW w:w="69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96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Acquisitions</w:t>
            </w:r>
          </w:p>
        </w:tc>
        <w:tc>
          <w:tcPr>
            <w:tcW w:w="1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Inventory</w:t>
            </w:r>
          </w:p>
        </w:tc>
        <w:tc>
          <w:tcPr>
            <w:tcW w:w="1220" w:type="dxa"/>
            <w:vAlign w:val="bottom"/>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320" w:type="dxa"/>
            <w:vAlign w:val="bottom"/>
          </w:tcPr>
          <w:p>
            <w:pPr>
              <w:spacing w:after="0"/>
              <w:rPr>
                <w:sz w:val="17"/>
                <w:szCs w:val="17"/>
                <w:color w:val="auto"/>
              </w:rPr>
            </w:pPr>
          </w:p>
        </w:tc>
        <w:tc>
          <w:tcPr>
            <w:tcW w:w="1300" w:type="dxa"/>
            <w:vAlign w:val="bottom"/>
          </w:tcPr>
          <w:p>
            <w:pPr>
              <w:jc w:val="center"/>
              <w:ind w:right="109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1,810</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Accounts receivable</w:t>
            </w:r>
          </w:p>
        </w:tc>
        <w:tc>
          <w:tcPr>
            <w:tcW w:w="1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7"/>
                <w:szCs w:val="17"/>
                <w:color w:val="auto"/>
              </w:rPr>
              <w:t>(370 )</w:t>
            </w:r>
          </w:p>
        </w:tc>
        <w:tc>
          <w:tcPr>
            <w:tcW w:w="13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Prepaid expenses</w:t>
            </w:r>
          </w:p>
        </w:tc>
        <w:tc>
          <w:tcPr>
            <w:tcW w:w="1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Property and equipment</w:t>
            </w:r>
          </w:p>
        </w:tc>
        <w:tc>
          <w:tcPr>
            <w:tcW w:w="1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3,713</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Right of use assets</w:t>
            </w:r>
          </w:p>
        </w:tc>
        <w:tc>
          <w:tcPr>
            <w:tcW w:w="1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12,267</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Intangible assets</w:t>
            </w:r>
          </w:p>
        </w:tc>
        <w:tc>
          <w:tcPr>
            <w:tcW w:w="1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14,143</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25,342</w:t>
            </w:r>
          </w:p>
        </w:tc>
        <w:tc>
          <w:tcPr>
            <w:tcW w:w="100" w:type="dxa"/>
            <w:vAlign w:val="bottom"/>
            <w:shd w:val="clear" w:color="auto" w:fill="CFF0FC"/>
          </w:tcPr>
          <w:p>
            <w:pPr>
              <w:spacing w:after="0"/>
              <w:rPr>
                <w:sz w:val="17"/>
                <w:szCs w:val="17"/>
                <w:color w:val="auto"/>
              </w:rPr>
            </w:pPr>
          </w:p>
        </w:tc>
      </w:tr>
      <w:tr>
        <w:trPr>
          <w:trHeight w:val="216"/>
        </w:trPr>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Goodwill</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8,869</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40,143</w:t>
            </w:r>
          </w:p>
        </w:tc>
        <w:tc>
          <w:tcPr>
            <w:tcW w:w="100" w:type="dxa"/>
            <w:vAlign w:val="bottom"/>
          </w:tcPr>
          <w:p>
            <w:pPr>
              <w:spacing w:after="0"/>
              <w:rPr>
                <w:sz w:val="18"/>
                <w:szCs w:val="18"/>
                <w:color w:val="auto"/>
              </w:rPr>
            </w:pPr>
          </w:p>
        </w:tc>
      </w:tr>
      <w:tr>
        <w:trPr>
          <w:trHeight w:val="203"/>
        </w:trPr>
        <w:tc>
          <w:tcPr>
            <w:tcW w:w="6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Deposits and other assets</w:t>
            </w:r>
          </w:p>
        </w:tc>
        <w:tc>
          <w:tcPr>
            <w:tcW w:w="1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shd w:val="clear" w:color="auto" w:fill="CFF0FC"/>
          </w:tcPr>
          <w:p>
            <w:pPr>
              <w:spacing w:after="0"/>
              <w:rPr>
                <w:sz w:val="17"/>
                <w:szCs w:val="17"/>
                <w:color w:val="auto"/>
              </w:rPr>
            </w:pPr>
          </w:p>
        </w:tc>
      </w:tr>
      <w:tr>
        <w:trPr>
          <w:trHeight w:val="202"/>
        </w:trPr>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Liabilities assumed</w:t>
            </w:r>
          </w:p>
        </w:tc>
        <w:tc>
          <w:tcPr>
            <w:tcW w:w="1220" w:type="dxa"/>
            <w:vAlign w:val="bottom"/>
          </w:tcPr>
          <w:p>
            <w:pPr>
              <w:spacing w:after="0"/>
              <w:rPr>
                <w:sz w:val="17"/>
                <w:szCs w:val="17"/>
                <w:color w:val="auto"/>
              </w:rPr>
            </w:pPr>
          </w:p>
        </w:tc>
        <w:tc>
          <w:tcPr>
            <w:tcW w:w="980" w:type="dxa"/>
            <w:vAlign w:val="bottom"/>
            <w:gridSpan w:val="2"/>
          </w:tcPr>
          <w:p>
            <w:pPr>
              <w:jc w:val="right"/>
              <w:ind w:right="177"/>
              <w:spacing w:after="0"/>
              <w:rPr>
                <w:sz w:val="20"/>
                <w:szCs w:val="20"/>
                <w:color w:val="auto"/>
              </w:rPr>
            </w:pPr>
            <w:r>
              <w:rPr>
                <w:rFonts w:ascii="Times New Roman" w:cs="Times New Roman" w:eastAsia="Times New Roman" w:hAnsi="Times New Roman"/>
                <w:sz w:val="17"/>
                <w:szCs w:val="17"/>
                <w:color w:val="auto"/>
              </w:rPr>
              <w:t>(466 )</w:t>
            </w:r>
          </w:p>
        </w:tc>
        <w:tc>
          <w:tcPr>
            <w:tcW w:w="13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(1,093 )</w:t>
            </w:r>
          </w:p>
        </w:tc>
      </w:tr>
      <w:tr>
        <w:trPr>
          <w:trHeight w:val="203"/>
        </w:trPr>
        <w:tc>
          <w:tcPr>
            <w:tcW w:w="6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Lease liabilities</w:t>
            </w:r>
          </w:p>
        </w:tc>
        <w:tc>
          <w:tcPr>
            <w:tcW w:w="1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7"/>
                <w:szCs w:val="17"/>
                <w:color w:val="auto"/>
              </w:rPr>
              <w:t>(743 )</w:t>
            </w:r>
          </w:p>
        </w:tc>
        <w:tc>
          <w:tcPr>
            <w:tcW w:w="13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(12,267 )</w:t>
            </w:r>
          </w:p>
        </w:tc>
      </w:tr>
      <w:tr>
        <w:trPr>
          <w:trHeight w:val="203"/>
        </w:trPr>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17,735</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Equity interests issued</w:t>
            </w:r>
          </w:p>
        </w:tc>
        <w:tc>
          <w:tcPr>
            <w:tcW w:w="1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7"/>
                <w:szCs w:val="17"/>
                <w:color w:val="auto"/>
              </w:rPr>
              <w:t>(3,785 )</w:t>
            </w:r>
          </w:p>
        </w:tc>
        <w:tc>
          <w:tcPr>
            <w:tcW w:w="13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(64,569 )</w:t>
            </w:r>
          </w:p>
        </w:tc>
      </w:tr>
      <w:tr>
        <w:trPr>
          <w:trHeight w:val="203"/>
        </w:trPr>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Fair value of previously held equity interest</w:t>
            </w:r>
          </w:p>
        </w:tc>
        <w:tc>
          <w:tcPr>
            <w:tcW w:w="1220" w:type="dxa"/>
            <w:vAlign w:val="bottom"/>
          </w:tcPr>
          <w:p>
            <w:pPr>
              <w:spacing w:after="0"/>
              <w:rPr>
                <w:sz w:val="17"/>
                <w:szCs w:val="17"/>
                <w:color w:val="auto"/>
              </w:rPr>
            </w:pPr>
          </w:p>
        </w:tc>
        <w:tc>
          <w:tcPr>
            <w:tcW w:w="980" w:type="dxa"/>
            <w:vAlign w:val="bottom"/>
            <w:gridSpan w:val="2"/>
          </w:tcPr>
          <w:p>
            <w:pPr>
              <w:jc w:val="right"/>
              <w:ind w:right="177"/>
              <w:spacing w:after="0"/>
              <w:rPr>
                <w:sz w:val="20"/>
                <w:szCs w:val="20"/>
                <w:color w:val="auto"/>
              </w:rPr>
            </w:pPr>
            <w:r>
              <w:rPr>
                <w:rFonts w:ascii="Times New Roman" w:cs="Times New Roman" w:eastAsia="Times New Roman" w:hAnsi="Times New Roman"/>
                <w:sz w:val="17"/>
                <w:szCs w:val="17"/>
                <w:color w:val="auto"/>
              </w:rPr>
              <w:t>(14,500 )</w:t>
            </w:r>
          </w:p>
        </w:tc>
        <w:tc>
          <w:tcPr>
            <w:tcW w:w="13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Deferred cash</w:t>
            </w:r>
          </w:p>
        </w:tc>
        <w:tc>
          <w:tcPr>
            <w:tcW w:w="1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7"/>
                <w:szCs w:val="17"/>
                <w:color w:val="auto"/>
              </w:rPr>
              <w:t>(250 )</w:t>
            </w:r>
          </w:p>
        </w:tc>
        <w:tc>
          <w:tcPr>
            <w:tcW w:w="13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1220" w:type="dxa"/>
            <w:vAlign w:val="bottom"/>
          </w:tcPr>
          <w:p>
            <w:pPr>
              <w:spacing w:after="0"/>
              <w:rPr>
                <w:sz w:val="17"/>
                <w:szCs w:val="17"/>
                <w:color w:val="auto"/>
              </w:rPr>
            </w:pPr>
          </w:p>
        </w:tc>
        <w:tc>
          <w:tcPr>
            <w:tcW w:w="980" w:type="dxa"/>
            <w:vAlign w:val="bottom"/>
            <w:gridSpan w:val="2"/>
          </w:tcPr>
          <w:p>
            <w:pPr>
              <w:jc w:val="right"/>
              <w:ind w:right="257"/>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(6,550 )</w:t>
            </w:r>
          </w:p>
        </w:tc>
      </w:tr>
      <w:tr>
        <w:trPr>
          <w:trHeight w:val="203"/>
        </w:trPr>
        <w:tc>
          <w:tcPr>
            <w:tcW w:w="6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Settlement of noncontrolling interests</w:t>
            </w:r>
          </w:p>
        </w:tc>
        <w:tc>
          <w:tcPr>
            <w:tcW w:w="1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7"/>
                <w:szCs w:val="17"/>
                <w:color w:val="auto"/>
              </w:rPr>
              <w:t>(15,356 )</w:t>
            </w:r>
          </w:p>
        </w:tc>
        <w:tc>
          <w:tcPr>
            <w:tcW w:w="13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9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960" w:type="dxa"/>
            <w:vAlign w:val="bottom"/>
          </w:tcPr>
          <w:p>
            <w:pPr>
              <w:spacing w:after="0"/>
              <w:rPr>
                <w:sz w:val="17"/>
                <w:szCs w:val="17"/>
                <w:color w:val="auto"/>
              </w:rPr>
            </w:pPr>
          </w:p>
        </w:tc>
        <w:tc>
          <w:tcPr>
            <w:tcW w:w="1220" w:type="dxa"/>
            <w:vAlign w:val="bottom"/>
          </w:tcPr>
          <w:p>
            <w:pPr>
              <w:jc w:val="right"/>
              <w:ind w:right="10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7,255</w:t>
            </w:r>
          </w:p>
        </w:tc>
        <w:tc>
          <w:tcPr>
            <w:tcW w:w="320" w:type="dxa"/>
            <w:vAlign w:val="bottom"/>
          </w:tcPr>
          <w:p>
            <w:pPr>
              <w:spacing w:after="0"/>
              <w:rPr>
                <w:sz w:val="17"/>
                <w:szCs w:val="17"/>
                <w:color w:val="auto"/>
              </w:rPr>
            </w:pPr>
          </w:p>
        </w:tc>
        <w:tc>
          <w:tcPr>
            <w:tcW w:w="1300" w:type="dxa"/>
            <w:vAlign w:val="bottom"/>
          </w:tcPr>
          <w:p>
            <w:pPr>
              <w:jc w:val="center"/>
              <w:ind w:right="10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(233 )</w:t>
            </w:r>
          </w:p>
        </w:tc>
      </w:tr>
      <w:tr>
        <w:trPr>
          <w:trHeight w:val="20"/>
        </w:trPr>
        <w:tc>
          <w:tcPr>
            <w:tcW w:w="69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96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ADDITIONAL SUPPLEMENTAL INFORMATION</w:t>
            </w:r>
          </w:p>
        </w:tc>
        <w:tc>
          <w:tcPr>
            <w:tcW w:w="1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Decrease (increase) in fair value of investments</w:t>
            </w:r>
          </w:p>
        </w:tc>
        <w:tc>
          <w:tcPr>
            <w:tcW w:w="1220" w:type="dxa"/>
            <w:vAlign w:val="bottom"/>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17,320</w:t>
            </w:r>
          </w:p>
        </w:tc>
        <w:tc>
          <w:tcPr>
            <w:tcW w:w="320" w:type="dxa"/>
            <w:vAlign w:val="bottom"/>
          </w:tcPr>
          <w:p>
            <w:pPr>
              <w:spacing w:after="0"/>
              <w:rPr>
                <w:sz w:val="17"/>
                <w:szCs w:val="17"/>
                <w:color w:val="auto"/>
              </w:rPr>
            </w:pPr>
          </w:p>
        </w:tc>
        <w:tc>
          <w:tcPr>
            <w:tcW w:w="1300" w:type="dxa"/>
            <w:vAlign w:val="bottom"/>
          </w:tcPr>
          <w:p>
            <w:pPr>
              <w:jc w:val="center"/>
              <w:ind w:right="109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(18,754 )</w:t>
            </w:r>
          </w:p>
        </w:tc>
      </w:tr>
      <w:tr>
        <w:trPr>
          <w:trHeight w:val="203"/>
        </w:trPr>
        <w:tc>
          <w:tcPr>
            <w:tcW w:w="6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Increase in fair value of equity method investments</w:t>
            </w:r>
          </w:p>
        </w:tc>
        <w:tc>
          <w:tcPr>
            <w:tcW w:w="1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7"/>
                <w:szCs w:val="17"/>
                <w:color w:val="auto"/>
              </w:rPr>
              <w:t>(14,119 )</w:t>
            </w:r>
          </w:p>
        </w:tc>
        <w:tc>
          <w:tcPr>
            <w:tcW w:w="13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9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DECREASE (INCREASE) IN FAIR VALUE OF INVESTMENTS</w:t>
            </w:r>
          </w:p>
        </w:tc>
        <w:tc>
          <w:tcPr>
            <w:tcW w:w="1220" w:type="dxa"/>
            <w:vAlign w:val="bottom"/>
          </w:tcPr>
          <w:p>
            <w:pPr>
              <w:jc w:val="right"/>
              <w:ind w:right="10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3,201</w:t>
            </w:r>
          </w:p>
        </w:tc>
        <w:tc>
          <w:tcPr>
            <w:tcW w:w="320" w:type="dxa"/>
            <w:vAlign w:val="bottom"/>
          </w:tcPr>
          <w:p>
            <w:pPr>
              <w:spacing w:after="0"/>
              <w:rPr>
                <w:sz w:val="17"/>
                <w:szCs w:val="17"/>
                <w:color w:val="auto"/>
              </w:rPr>
            </w:pPr>
          </w:p>
        </w:tc>
        <w:tc>
          <w:tcPr>
            <w:tcW w:w="1300" w:type="dxa"/>
            <w:vAlign w:val="bottom"/>
          </w:tcPr>
          <w:p>
            <w:pPr>
              <w:jc w:val="center"/>
              <w:ind w:right="10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(18,754 )</w:t>
            </w:r>
          </w:p>
        </w:tc>
      </w:tr>
      <w:tr>
        <w:trPr>
          <w:trHeight w:val="20"/>
        </w:trPr>
        <w:tc>
          <w:tcPr>
            <w:tcW w:w="69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-4011295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-3994150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-3702685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-3685540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-3394075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-3376930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-3394075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-3376930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-3085465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-3068320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-710565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-161925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189"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08" w:lineRule="exact"/>
        <w:rPr>
          <w:sz w:val="20"/>
          <w:szCs w:val="20"/>
          <w:color w:val="auto"/>
        </w:rPr>
      </w:pPr>
    </w:p>
    <w:p>
      <w:pPr>
        <w:ind w:left="520"/>
        <w:spacing w:after="0" w:line="243" w:lineRule="auto"/>
        <w:rPr>
          <w:sz w:val="20"/>
          <w:szCs w:val="20"/>
          <w:color w:val="auto"/>
        </w:rPr>
      </w:pPr>
      <w:r>
        <w:rPr>
          <w:rFonts w:ascii="Times New Roman" w:cs="Times New Roman" w:eastAsia="Times New Roman" w:hAnsi="Times New Roman"/>
          <w:sz w:val="18"/>
          <w:szCs w:val="18"/>
          <w:color w:val="auto"/>
        </w:rPr>
        <w:t>Green Thumb Industries Inc. (“Green Thumb” or the “Company”), a national cannabis consumer packaged goods company and retailer, promotes well-being through the power of cannabis while being committed to community and sustainable, profitable growth. Green Thumb owns, manufactures, and distributes a portfolio of cannabis consumer packaged goods brands including &amp;Shine, Beboe, Dogwalkers, Dr. Solomon’s, Good Green, incredibles, and RYTHM, to third-party Retail stores across the United States as well as to Green Thumb owned Retail cannabis stores. The Company also owns and operates Retail cannabis stores that include a rapidly growing national chain named RISE, which sell our products and third-party products. As of June 30, 2022, Green Thumb has operations in fifteen markets (California, Colorado, Connecticut, Florida, Illinois, Maryland, Massachusetts, Minnesota, Nevada, New Jersey, New York, Ohio, Pennsylvania, Rhode Island and Virginia), employs approximately 4,000 people and serves hundreds of thousands of patients and customers annually.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registered office is located at 250 Howe Street,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Vancouver, British Columbia, V6C 3R8. The Company’s U.S.</w:t>
      </w:r>
    </w:p>
    <w:p>
      <w:pPr>
        <w:ind w:left="520"/>
        <w:spacing w:after="0"/>
        <w:rPr>
          <w:sz w:val="20"/>
          <w:szCs w:val="20"/>
          <w:color w:val="auto"/>
        </w:rPr>
      </w:pPr>
      <w:r>
        <w:rPr>
          <w:rFonts w:ascii="Times New Roman" w:cs="Times New Roman" w:eastAsia="Times New Roman" w:hAnsi="Times New Roman"/>
          <w:sz w:val="18"/>
          <w:szCs w:val="18"/>
          <w:color w:val="auto"/>
        </w:rPr>
        <w:t>headquarters are at 325 W. Huron St., Suite 700, Chicago, IL 60654.</w:t>
      </w:r>
    </w:p>
    <w:p>
      <w:pPr>
        <w:spacing w:after="0" w:line="188"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08" w:lineRule="exact"/>
        <w:rPr>
          <w:sz w:val="20"/>
          <w:szCs w:val="20"/>
          <w:color w:val="auto"/>
        </w:rPr>
      </w:pPr>
    </w:p>
    <w:p>
      <w:pPr>
        <w:ind w:left="520"/>
        <w:spacing w:after="0" w:line="241"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include the accounts of Green Thumb and have been prepared in accordance with accounting principles generally accepted in the United States (“GAAP”) for interim financial information and in accordance with the rules and regulations of the U.S. Securities &amp; Exchange Commission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financial statements and accompanying notes included in the Company's Annual Report on Form 10-K for the year ended December 31, 2021, (the "2021 Form 10-K”). In the opinion of management, the financial data presented includes all adjustments necessary to present fairly the financial position, results of operations and cash flows for the interim periods presented. Certain previously reported amounts have been reclassified between line items to conform to the current period presentation. Results of interim periods should not be considered indicative of the results for the full year. These unaudited interim condensed consolidated financial statements include estimates and assumptions of management that affect the amounts reported in the unaudited interim condensed consolidated financial statements. Actual results could differ from these estimates.</w:t>
      </w:r>
    </w:p>
    <w:p>
      <w:pPr>
        <w:spacing w:after="0" w:line="188"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as described in Note 2 of the 2021 Form 10-K.</w:t>
      </w:r>
    </w:p>
    <w:p>
      <w:pPr>
        <w:spacing w:after="0" w:line="208"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08" w:lineRule="exact"/>
        <w:rPr>
          <w:sz w:val="20"/>
          <w:szCs w:val="20"/>
          <w:color w:val="auto"/>
        </w:rPr>
      </w:pPr>
    </w:p>
    <w:p>
      <w:pPr>
        <w:ind w:left="520" w:right="40"/>
        <w:spacing w:after="0" w:line="245" w:lineRule="auto"/>
        <w:rPr>
          <w:sz w:val="20"/>
          <w:szCs w:val="20"/>
          <w:color w:val="auto"/>
        </w:rPr>
      </w:pPr>
      <w:r>
        <w:rPr>
          <w:rFonts w:ascii="Times New Roman" w:cs="Times New Roman" w:eastAsia="Times New Roman" w:hAnsi="Times New Roman"/>
          <w:sz w:val="18"/>
          <w:szCs w:val="18"/>
          <w:color w:val="auto"/>
        </w:rPr>
        <w:t>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As of June 30, 2022, the Company had 6,036,849 options, 1,024,659 restricted stock units and 3,835,278 warrants outstanding. As of June 30, 2021, the Company had 5,819,363 options, 391,736 restricted stock units and 3,644,085 warrants outstanding.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412" w:hanging="412"/>
        <w:spacing w:after="0"/>
        <w:tabs>
          <w:tab w:leader="none" w:pos="41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Overview and Basis of Presentation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 w:hanging="452"/>
        <w:spacing w:after="0"/>
        <w:tabs>
          <w:tab w:leader="none" w:pos="45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12" w:right="40"/>
        <w:spacing w:after="0" w:line="241" w:lineRule="auto"/>
        <w:rPr>
          <w:sz w:val="20"/>
          <w:szCs w:val="20"/>
          <w:color w:val="auto"/>
        </w:rPr>
      </w:pPr>
      <w:r>
        <w:rPr>
          <w:rFonts w:ascii="Times New Roman" w:cs="Times New Roman" w:eastAsia="Times New Roman" w:hAnsi="Times New Roman"/>
          <w:sz w:val="18"/>
          <w:szCs w:val="18"/>
          <w:color w:val="auto"/>
        </w:rPr>
        <w:t>In order to determine diluted earnings per share, it is assumed that any proceeds from the vesting of dilutive unvested restricted stock units, or exercise of unvested stock options and warrants would be used to repurchase common shares at the average market price during the period. Under the treasury stock method, the diluted earnings per share calculation excludes any potential conversion of stock options and convertible debt that would increase earnings per share or decrease loss per share. For the three months ended June 30, 2022, the computation of diluted earnings per share included 842,440 options, 34,451 restricted stock units and 102,387 warrants. For the six months ended June 30, 2022, the computation of diluted earnings per share included 1,310,817 options, 34,618 restricted stock units and 209,969 warrants. For the three months ended June 30, 2021, the computation of diluted earnings per share included 3,191,752 options, 234,042 restricted stock units and 1,093,739 warrants. For the six months ended June 30, 2021, the computation of diluted earnings per share included 3,279,087 options, 224,774 restricted stock units and 1,146,883 warrants. For the three and six months ended June 30, 2022, the weighted average number of anti-dilutive stock options excluded from the computation of diluted earnings per share were 1,643,117 and 1,400,582, respectively. For the three and six months ended June 30, 2021, the weighted average number of anti-dilutive stock options excluded from the computation of diluted earnings per share were 511,187 and 504,536, respectively.</w:t>
      </w:r>
    </w:p>
    <w:p>
      <w:pPr>
        <w:spacing w:after="0" w:line="188" w:lineRule="exact"/>
        <w:rPr>
          <w:sz w:val="20"/>
          <w:szCs w:val="20"/>
          <w:color w:val="auto"/>
        </w:rPr>
      </w:pPr>
    </w:p>
    <w:p>
      <w:pPr>
        <w:ind w:left="432" w:hanging="432"/>
        <w:spacing w:after="0"/>
        <w:tabs>
          <w:tab w:leader="none" w:pos="43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Adopted Accounting Standards</w:t>
      </w:r>
    </w:p>
    <w:p>
      <w:pPr>
        <w:spacing w:after="0" w:line="198" w:lineRule="exact"/>
        <w:rPr>
          <w:sz w:val="20"/>
          <w:szCs w:val="20"/>
          <w:color w:val="auto"/>
        </w:rPr>
      </w:pPr>
    </w:p>
    <w:p>
      <w:pPr>
        <w:ind w:left="512" w:right="140"/>
        <w:spacing w:after="0" w:line="265" w:lineRule="auto"/>
        <w:rPr>
          <w:sz w:val="20"/>
          <w:szCs w:val="20"/>
          <w:color w:val="auto"/>
        </w:rPr>
      </w:pPr>
      <w:r>
        <w:rPr>
          <w:rFonts w:ascii="Times New Roman" w:cs="Times New Roman" w:eastAsia="Times New Roman" w:hAnsi="Times New Roman"/>
          <w:sz w:val="17"/>
          <w:szCs w:val="17"/>
          <w:color w:val="auto"/>
        </w:rPr>
        <w:t>In August 2020, the Financial Accounting Standards Board (“FASB”</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issued Accounting Standards Update (“ASU”) 2020-06, Debt—Debt with Conversion and Other Options (Subtopic 470-20) and Derivatives and Hedging—Contracts in Entity’s Own Equity (Subtopic 815-40): Accounting for Convertible Instruments and Contracts in an Entity’s Own Equity, to improve financial reporting associated with accounting for convertible instruments and contracts in an entity’s own equity. The amendments in this update are effective for public business entities for fiscal years beginning after December 15, 2021, including interim periods within those fiscal years. The Company adopted ASU 2020-06 on January 1, 2022. The adoption of the standard did not have a material impact on the Company's unaudited interim condensed consolidated financial statements.</w:t>
      </w:r>
    </w:p>
    <w:p>
      <w:pPr>
        <w:spacing w:after="0" w:line="149" w:lineRule="exact"/>
        <w:rPr>
          <w:sz w:val="20"/>
          <w:szCs w:val="20"/>
          <w:color w:val="auto"/>
        </w:rPr>
      </w:pPr>
    </w:p>
    <w:p>
      <w:pPr>
        <w:ind w:left="412" w:hanging="412"/>
        <w:spacing w:after="0"/>
        <w:tabs>
          <w:tab w:leader="none" w:pos="41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left="512" w:right="140"/>
        <w:spacing w:after="0" w:line="266" w:lineRule="auto"/>
        <w:rPr>
          <w:sz w:val="20"/>
          <w:szCs w:val="20"/>
          <w:color w:val="auto"/>
        </w:rPr>
      </w:pPr>
      <w:r>
        <w:rPr>
          <w:rFonts w:ascii="Times New Roman" w:cs="Times New Roman" w:eastAsia="Times New Roman" w:hAnsi="Times New Roman"/>
          <w:sz w:val="18"/>
          <w:szCs w:val="18"/>
          <w:color w:val="auto"/>
        </w:rPr>
        <w:t>The Company reviews recently issued accounting standards on a quarterly basis and has determined there are no standards yet to be adopted which are relevant to the business for disclosure.</w:t>
      </w:r>
    </w:p>
    <w:p>
      <w:pPr>
        <w:spacing w:after="0" w:line="158" w:lineRule="exact"/>
        <w:rPr>
          <w:sz w:val="20"/>
          <w:szCs w:val="20"/>
          <w:color w:val="auto"/>
        </w:rPr>
      </w:pPr>
    </w:p>
    <w:p>
      <w:pPr>
        <w:ind w:left="432" w:hanging="432"/>
        <w:spacing w:after="0"/>
        <w:tabs>
          <w:tab w:leader="none" w:pos="43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Coronavirus Pandemic</w:t>
      </w:r>
    </w:p>
    <w:p>
      <w:pPr>
        <w:spacing w:after="0" w:line="108" w:lineRule="exact"/>
        <w:rPr>
          <w:sz w:val="20"/>
          <w:szCs w:val="20"/>
          <w:color w:val="auto"/>
        </w:rPr>
      </w:pPr>
    </w:p>
    <w:p>
      <w:pPr>
        <w:ind w:left="512" w:right="220"/>
        <w:spacing w:after="0" w:line="250" w:lineRule="auto"/>
        <w:rPr>
          <w:sz w:val="20"/>
          <w:szCs w:val="20"/>
          <w:color w:val="auto"/>
        </w:rPr>
      </w:pPr>
      <w:r>
        <w:rPr>
          <w:rFonts w:ascii="Times New Roman" w:cs="Times New Roman" w:eastAsia="Times New Roman" w:hAnsi="Times New Roman"/>
          <w:sz w:val="18"/>
          <w:szCs w:val="18"/>
          <w:color w:val="auto"/>
        </w:rPr>
        <w:t>In March 2020, the World Health Organization categorized coronavirus disease 2019 (together with its variants, “COVID-19”) as a pandemic. COVID-19 continues to spread throughout the U.S. and other countries across the world, and the duration and severity of its effects are currently unknown. The Company continues to implement and evaluate actions to strengthen its financial position and support the continuity of its business and operations.</w:t>
      </w:r>
    </w:p>
    <w:p>
      <w:pPr>
        <w:spacing w:after="0" w:line="177" w:lineRule="exact"/>
        <w:rPr>
          <w:sz w:val="20"/>
          <w:szCs w:val="20"/>
          <w:color w:val="auto"/>
        </w:rPr>
      </w:pPr>
    </w:p>
    <w:p>
      <w:pPr>
        <w:ind w:left="512"/>
        <w:spacing w:after="0" w:line="244" w:lineRule="auto"/>
        <w:rPr>
          <w:sz w:val="20"/>
          <w:szCs w:val="20"/>
          <w:color w:val="auto"/>
        </w:rPr>
      </w:pPr>
      <w:r>
        <w:rPr>
          <w:rFonts w:ascii="Times New Roman" w:cs="Times New Roman" w:eastAsia="Times New Roman" w:hAnsi="Times New Roman"/>
          <w:sz w:val="18"/>
          <w:szCs w:val="18"/>
          <w:color w:val="auto"/>
        </w:rPr>
        <w:t>The Company’s unaudited interim condensed consolidated financial statements presented herein reflect estimates and assumptions made by management that affect the reported amounts of assets and liabilities and disclosure of contingent assets and liabilities at the date of the unaudited interim condensed consolidated financial statements and reported amounts of revenue and expenses during the periods presented. Such estimates and assumptions affect, among other things, the Company’s goodwill; long-lived assets and intangible assets; operating lease right of use assets and operating lease liabilities; valuation of deferred income taxes; the allowance for doubtful accounts; assessment of the Company’s lease and non-lease contract expenses; and measurement of compensation cost for bonus and other compensation plans. While the Company’s revenue, gross profit and operating income were not impacted during the first six months of 2022, the uncertain nature of the spread of COVID-19 and the uncertainty of the impact of nationwide vaccine programs may impact the Company’s business operations for reasons including the potential quarantine of the Company’s employees or those of its supply chain partners.</w:t>
      </w: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both"/>
        <w:ind w:left="2780" w:right="2720" w:hanging="19"/>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44"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inventories include the following at June 30, 2022 and December 31, 2021:</w:t>
      </w:r>
    </w:p>
    <w:p>
      <w:pPr>
        <w:spacing w:after="0" w:line="241"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9"/>
        </w:trPr>
        <w:tc>
          <w:tcPr>
            <w:tcW w:w="3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0" w:type="dxa"/>
            <w:vAlign w:val="bottom"/>
            <w:tcBorders>
              <w:bottom w:val="single" w:sz="8" w:color="auto"/>
            </w:tcBorders>
          </w:tcPr>
          <w:p>
            <w:pPr>
              <w:spacing w:after="0"/>
              <w:rPr>
                <w:sz w:val="17"/>
                <w:szCs w:val="17"/>
                <w:color w:val="auto"/>
              </w:rPr>
            </w:pPr>
          </w:p>
        </w:tc>
      </w:tr>
      <w:tr>
        <w:trPr>
          <w:trHeight w:val="19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5,278</w:t>
            </w:r>
          </w:p>
        </w:tc>
      </w:tr>
      <w:tr>
        <w:trPr>
          <w:trHeight w:val="203"/>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Packaging and Miscellaneous</w:t>
            </w:r>
          </w:p>
        </w:tc>
        <w:tc>
          <w:tcPr>
            <w:tcW w:w="1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8,622</w:t>
            </w:r>
          </w:p>
        </w:tc>
      </w:tr>
      <w:tr>
        <w:trPr>
          <w:trHeight w:val="203"/>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14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50,370</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42,403</w:t>
            </w:r>
          </w:p>
        </w:tc>
      </w:tr>
      <w:tr>
        <w:trPr>
          <w:trHeight w:val="203"/>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60,202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41,069</w:t>
            </w:r>
          </w:p>
        </w:tc>
      </w:tr>
      <w:tr>
        <w:trPr>
          <w:trHeight w:val="203"/>
        </w:trPr>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Reserve for Obsolete Inventory</w:t>
            </w:r>
          </w:p>
        </w:tc>
        <w:tc>
          <w:tcPr>
            <w:tcW w:w="142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2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w:t>
            </w:r>
          </w:p>
        </w:tc>
      </w:tr>
      <w:tr>
        <w:trPr>
          <w:trHeight w:val="196"/>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Inventories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123,245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95,471</w:t>
            </w:r>
          </w:p>
        </w:tc>
      </w:tr>
      <w:tr>
        <w:trPr>
          <w:trHeight w:val="20"/>
        </w:trPr>
        <w:tc>
          <w:tcPr>
            <w:tcW w:w="3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-162560</wp:posOffset>
            </wp:positionV>
            <wp:extent cx="14605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6050" cy="163195"/>
                    </a:xfrm>
                    <a:prstGeom prst="rect">
                      <a:avLst/>
                    </a:prstGeom>
                    <a:noFill/>
                  </pic:spPr>
                </pic:pic>
              </a:graphicData>
            </a:graphic>
          </wp:anchor>
        </w:drawing>
      </w:r>
    </w:p>
    <w:p>
      <w:pPr>
        <w:spacing w:after="0" w:line="390"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and December 31, 2021, property and equipment consisted of the following:</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9"/>
        </w:trPr>
        <w:tc>
          <w:tcPr>
            <w:tcW w:w="3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82"/>
              </w:rPr>
              <w:t>thousands)</w:t>
            </w:r>
          </w:p>
        </w:tc>
        <w:tc>
          <w:tcPr>
            <w:tcW w:w="1840" w:type="dxa"/>
            <w:vAlign w:val="bottom"/>
            <w:tcBorders>
              <w:bottom w:val="single" w:sz="8" w:color="auto"/>
            </w:tcBorders>
          </w:tcPr>
          <w:p>
            <w:pPr>
              <w:spacing w:after="0"/>
              <w:rPr>
                <w:sz w:val="18"/>
                <w:szCs w:val="18"/>
                <w:color w:val="auto"/>
              </w:rPr>
            </w:pPr>
          </w:p>
        </w:tc>
      </w:tr>
      <w:tr>
        <w:trPr>
          <w:trHeight w:val="20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129,597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101,283</w:t>
            </w:r>
          </w:p>
        </w:tc>
      </w:tr>
      <w:tr>
        <w:trPr>
          <w:trHeight w:val="203"/>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Equipment, Computers and Furniture</w:t>
            </w: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105,280</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83,281</w:t>
            </w:r>
          </w:p>
        </w:tc>
      </w:tr>
      <w:tr>
        <w:trPr>
          <w:trHeight w:val="203"/>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2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126,686</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114,303</w:t>
            </w:r>
          </w:p>
        </w:tc>
      </w:tr>
      <w:tr>
        <w:trPr>
          <w:trHeight w:val="203"/>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Land Improvements</w:t>
            </w: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03"/>
        </w:trPr>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Capitalized Interest</w:t>
            </w:r>
          </w:p>
        </w:tc>
        <w:tc>
          <w:tcPr>
            <w:tcW w:w="122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10,659</w:t>
            </w:r>
          </w:p>
        </w:tc>
        <w:tc>
          <w:tcPr>
            <w:tcW w:w="2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6,523</w:t>
            </w:r>
          </w:p>
        </w:tc>
      </w:tr>
      <w:tr>
        <w:trPr>
          <w:trHeight w:val="196"/>
        </w:trPr>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Property and Equipment</w:t>
            </w: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373,014</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305,997</w:t>
            </w:r>
          </w:p>
        </w:tc>
      </w:tr>
      <w:tr>
        <w:trPr>
          <w:trHeight w:val="203"/>
        </w:trPr>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22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(61,297)</w:t>
            </w:r>
          </w:p>
        </w:tc>
        <w:tc>
          <w:tcPr>
            <w:tcW w:w="2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(45,198)</w:t>
            </w:r>
          </w:p>
        </w:tc>
      </w:tr>
      <w:tr>
        <w:trPr>
          <w:trHeight w:val="196"/>
        </w:trPr>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22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311,717</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260,799</w:t>
            </w:r>
          </w:p>
        </w:tc>
      </w:tr>
      <w:tr>
        <w:trPr>
          <w:trHeight w:val="19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Land</w:t>
            </w:r>
          </w:p>
        </w:tc>
        <w:tc>
          <w:tcPr>
            <w:tcW w:w="12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23,743</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20,258</w:t>
            </w:r>
          </w:p>
        </w:tc>
      </w:tr>
      <w:tr>
        <w:trPr>
          <w:trHeight w:val="203"/>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Assets Under Construction</w:t>
            </w:r>
          </w:p>
        </w:tc>
        <w:tc>
          <w:tcPr>
            <w:tcW w:w="122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131,792</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128,017</w:t>
            </w:r>
          </w:p>
        </w:tc>
      </w:tr>
      <w:tr>
        <w:trPr>
          <w:trHeight w:val="236"/>
        </w:trPr>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467,252</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auto"/>
            </w:tcBorders>
            <w:shd w:val="clear" w:color="auto" w:fill="CFF0FC"/>
          </w:tcPr>
          <w:p>
            <w:pPr>
              <w:spacing w:after="0"/>
              <w:rPr>
                <w:sz w:val="20"/>
                <w:szCs w:val="20"/>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409,074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-830580</wp:posOffset>
            </wp:positionV>
            <wp:extent cx="13716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-565150</wp:posOffset>
            </wp:positionV>
            <wp:extent cx="137160"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137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Assets under construction represent construction in progress related to both cultivation and dispensary facilities not yet completed or otherwise not ready for use.</w:t>
      </w:r>
    </w:p>
    <w:p>
      <w:pPr>
        <w:spacing w:after="0" w:line="17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Depreciation expense for the three and six months ended June 30, 2022 totaled $9,101 thousand and $17,149 thousand, respectively, of which $5,918 thousand and $10,964 thousand, respectively, is included in cost of goods sold. Depreciation expense for the three and six months ended June 30, 2021 totaled $5,254 thousand and $10,020 thousand, respectively, of which $3,212 thousand and $6,092 thousand, respectively, is included in cost of goods sold.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The Company has determined that the below acquisitions are business combinations under Accounting Standards Codification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They are accounted for by applying the acquisition method, whereby the assets acquired and the liabilities assumed are recorded at their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with any excess of the aggregate consideration over the fair values of the identifiable net assets allocated to goodwill. Operating results have been included in these unaudited interim condensed consolidated financial statements from the date of the acquisition. Supplemental pro forma financial information has not been presented as the impact was not material to the Company's consolidated financial statements. The goodwill recorded primarily includes the expected synergies resulting from combining the operations of the acquired entity with those of the Company.</w:t>
      </w:r>
    </w:p>
    <w:p>
      <w:pPr>
        <w:spacing w:after="0" w:line="180" w:lineRule="exact"/>
        <w:rPr>
          <w:sz w:val="20"/>
          <w:szCs w:val="20"/>
          <w:color w:val="auto"/>
        </w:rPr>
      </w:pPr>
    </w:p>
    <w:p>
      <w:pPr>
        <w:ind w:left="480" w:hanging="472"/>
        <w:spacing w:after="0"/>
        <w:tabs>
          <w:tab w:leader="none" w:pos="4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ILDISP, LLC</w:t>
      </w:r>
    </w:p>
    <w:p>
      <w:pPr>
        <w:spacing w:after="0" w:line="202" w:lineRule="exact"/>
        <w:rPr>
          <w:sz w:val="20"/>
          <w:szCs w:val="20"/>
          <w:color w:val="auto"/>
        </w:rPr>
      </w:pPr>
    </w:p>
    <w:p>
      <w:pPr>
        <w:jc w:val="both"/>
        <w:ind w:left="520"/>
        <w:spacing w:after="0" w:line="250" w:lineRule="auto"/>
        <w:rPr>
          <w:sz w:val="20"/>
          <w:szCs w:val="20"/>
          <w:color w:val="auto"/>
        </w:rPr>
      </w:pPr>
      <w:r>
        <w:rPr>
          <w:rFonts w:ascii="Times New Roman" w:cs="Times New Roman" w:eastAsia="Times New Roman" w:hAnsi="Times New Roman"/>
          <w:sz w:val="18"/>
          <w:szCs w:val="18"/>
          <w:color w:val="auto"/>
        </w:rPr>
        <w:t>On March 1, 2022, the Company acquired the remaining 50% ownership interests of ILDISP, LLC (“ILDISP”) from the Company's former membership interest partner for the purposes of expanding the Company's operational capacity in the Illinois market. Prior to March 1, 2022, one of the two Retail stores owned by ILDISP, RISE Effingham, was consolidated by Green Thumb as the Company was determined to be the primary beneficiary of the variable interest entity. The other retail dispensary was accounted for as an equity method investment given the Company's 50% ownership interest and its ability to significantly influence the Retail store's operations.</w:t>
      </w:r>
    </w:p>
    <w:p>
      <w:pPr>
        <w:spacing w:after="0" w:line="164" w:lineRule="exact"/>
        <w:rPr>
          <w:sz w:val="20"/>
          <w:szCs w:val="20"/>
          <w:color w:val="auto"/>
        </w:rPr>
      </w:pPr>
    </w:p>
    <w:p>
      <w:pPr>
        <w:jc w:val="both"/>
        <w:ind w:left="520"/>
        <w:spacing w:after="0" w:line="250" w:lineRule="auto"/>
        <w:rPr>
          <w:sz w:val="20"/>
          <w:szCs w:val="20"/>
          <w:color w:val="auto"/>
        </w:rPr>
      </w:pPr>
      <w:r>
        <w:rPr>
          <w:rFonts w:ascii="Times New Roman" w:cs="Times New Roman" w:eastAsia="Times New Roman" w:hAnsi="Times New Roman"/>
          <w:sz w:val="18"/>
          <w:szCs w:val="18"/>
          <w:color w:val="auto"/>
        </w:rPr>
        <w:t>The total consideration exchanged included $18,623 thousand in cash, which included $250 thousand in deferred consideration, along with 204,036 Subordinate Voting Shares of Green Thumb valued at $3,785 thousand, based on the fair value of the securities on their date of issuance, which was the closing price of Green Thumb's Subordinate Voting Shares as traded on the Canadian Securities Exchange (“CSE”) on the date of the transaction.</w:t>
      </w:r>
    </w:p>
    <w:p>
      <w:pPr>
        <w:spacing w:after="0" w:line="177" w:lineRule="exact"/>
        <w:rPr>
          <w:sz w:val="20"/>
          <w:szCs w:val="20"/>
          <w:color w:val="auto"/>
        </w:rPr>
      </w:pPr>
    </w:p>
    <w:p>
      <w:pPr>
        <w:jc w:val="both"/>
        <w:ind w:left="520" w:right="300"/>
        <w:spacing w:after="0" w:line="250" w:lineRule="auto"/>
        <w:rPr>
          <w:sz w:val="20"/>
          <w:szCs w:val="20"/>
          <w:color w:val="auto"/>
        </w:rPr>
      </w:pPr>
      <w:r>
        <w:rPr>
          <w:rFonts w:ascii="Times New Roman" w:cs="Times New Roman" w:eastAsia="Times New Roman" w:hAnsi="Times New Roman"/>
          <w:sz w:val="18"/>
          <w:szCs w:val="18"/>
          <w:color w:val="auto"/>
        </w:rPr>
        <w:t>The Company allocated the total consideration exchanged to each of the acquired Retail stores. Accordingly, the consideration allocated to RISE Effingham was approximately $11,857 thousand in cash along with 128,218 Subordinate Voting Shares of Green Thumb that had a fair value of $2,379 thousand. The remaining equity associated with the Company's purchase of the noncontrolling interest was closed to contributed surplus (deficit) of Green Thumb as of March 1, 2022.</w:t>
      </w:r>
    </w:p>
    <w:p>
      <w:pPr>
        <w:spacing w:after="0" w:line="164" w:lineRule="exact"/>
        <w:rPr>
          <w:sz w:val="20"/>
          <w:szCs w:val="20"/>
          <w:color w:val="auto"/>
        </w:rPr>
      </w:pPr>
    </w:p>
    <w:p>
      <w:pPr>
        <w:ind w:left="520" w:right="140"/>
        <w:spacing w:after="0" w:line="262" w:lineRule="auto"/>
        <w:rPr>
          <w:sz w:val="20"/>
          <w:szCs w:val="20"/>
          <w:color w:val="auto"/>
        </w:rPr>
      </w:pPr>
      <w:r>
        <w:rPr>
          <w:rFonts w:ascii="Times New Roman" w:cs="Times New Roman" w:eastAsia="Times New Roman" w:hAnsi="Times New Roman"/>
          <w:sz w:val="17"/>
          <w:szCs w:val="17"/>
          <w:color w:val="auto"/>
        </w:rPr>
        <w:t>The equity method investment associated with the other dispensary owned by ILDISP was remeasured at fair value of $14,500 thousand as of the date of the transaction, and resulted in a gain on the fair value of the equity method investment of $14,119 thousand, which was recorded in other income (expense) on the unaudited interim condensed consolidated statement of operations. In addition, the Company allocated consideration of $6,766 thousand in cash along with 75,818 Subordinate Voting Shares of Green Thumb, with a fair value of $1,406 thousand to the acquisition of the other Retail store. After completing the preliminary allocation of the aggregate consideration exchanged for the assets acquired and liabilities assumed, the Company recorded a license intangible asset of $14,143 thousand and non-tax deductible goodwill of $7,718 thousand. The weighted average amortization period for the license intangible is 15 years. Acquisition related expenses associated with the transaction were not material.</w:t>
      </w:r>
    </w:p>
    <w:p>
      <w:pPr>
        <w:spacing w:after="0" w:line="167" w:lineRule="exact"/>
        <w:rPr>
          <w:sz w:val="20"/>
          <w:szCs w:val="20"/>
          <w:color w:val="auto"/>
        </w:rPr>
      </w:pPr>
    </w:p>
    <w:p>
      <w:pPr>
        <w:ind w:left="520" w:right="160"/>
        <w:spacing w:after="0" w:line="250" w:lineRule="auto"/>
        <w:rPr>
          <w:sz w:val="20"/>
          <w:szCs w:val="20"/>
          <w:color w:val="auto"/>
        </w:rPr>
      </w:pPr>
      <w:r>
        <w:rPr>
          <w:rFonts w:ascii="Times New Roman" w:cs="Times New Roman" w:eastAsia="Times New Roman" w:hAnsi="Times New Roman"/>
          <w:sz w:val="18"/>
          <w:szCs w:val="18"/>
          <w:color w:val="auto"/>
        </w:rPr>
        <w:t>The preliminary valuation was based on management's estimates and assumptions which are subject to change within the purchase price allocation period (generally one year from the acquisition date). The primary areas of the purchase price allocation that are not yet finalized relate to the valuation of the intangible asset acquired, the previously held equity method investment, and the residual goodwill.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08" w:lineRule="exact"/>
        <w:rPr>
          <w:sz w:val="20"/>
          <w:szCs w:val="20"/>
          <w:color w:val="auto"/>
        </w:rPr>
      </w:pPr>
    </w:p>
    <w:p>
      <w:pPr>
        <w:ind w:left="520" w:right="80"/>
        <w:spacing w:after="0" w:line="250"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June 30, 2022 and December 31, 2021, intangible assets consisted of the following:</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80" w:type="dxa"/>
            <w:vAlign w:val="bottom"/>
          </w:tcPr>
          <w:p>
            <w:pPr>
              <w:spacing w:after="0"/>
              <w:rPr>
                <w:sz w:val="11"/>
                <w:szCs w:val="11"/>
                <w:color w:val="auto"/>
              </w:rPr>
            </w:pPr>
          </w:p>
        </w:tc>
        <w:tc>
          <w:tcPr>
            <w:tcW w:w="1080" w:type="dxa"/>
            <w:vAlign w:val="bottom"/>
          </w:tcPr>
          <w:p>
            <w:pPr>
              <w:jc w:val="right"/>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1"/>
                <w:szCs w:val="11"/>
                <w:color w:val="auto"/>
              </w:rPr>
            </w:pPr>
          </w:p>
        </w:tc>
        <w:tc>
          <w:tcPr>
            <w:tcW w:w="11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36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Licenses and Permits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670,043</w:t>
            </w:r>
          </w:p>
        </w:tc>
        <w:tc>
          <w:tcPr>
            <w:tcW w:w="3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92,015</w:t>
            </w:r>
          </w:p>
        </w:tc>
        <w:tc>
          <w:tcPr>
            <w:tcW w:w="3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578,028</w:t>
            </w:r>
          </w:p>
        </w:tc>
        <w:tc>
          <w:tcPr>
            <w:tcW w:w="3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655,900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69,812</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586,088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98,936</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30,938</w:t>
            </w: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67,998</w:t>
            </w: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98,936</w:t>
            </w: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25,096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6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24,438</w:t>
            </w:r>
          </w:p>
        </w:tc>
        <w:tc>
          <w:tcPr>
            <w:tcW w:w="3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11,690</w:t>
            </w: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12,748</w:t>
            </w:r>
          </w:p>
        </w:tc>
        <w:tc>
          <w:tcPr>
            <w:tcW w:w="3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24,438</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9,944</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Non-Competition Agreements</w:t>
            </w: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2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64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795,982</w:t>
            </w:r>
          </w:p>
        </w:tc>
        <w:tc>
          <w:tcPr>
            <w:tcW w:w="38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136,387</w:t>
            </w:r>
          </w:p>
        </w:tc>
        <w:tc>
          <w:tcPr>
            <w:tcW w:w="38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659,595</w:t>
            </w:r>
          </w:p>
        </w:tc>
        <w:tc>
          <w:tcPr>
            <w:tcW w:w="36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781,839</w:t>
            </w:r>
          </w:p>
        </w:tc>
        <w:tc>
          <w:tcPr>
            <w:tcW w:w="30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106,348</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675,491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-25400</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-7620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-25400</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right="440"/>
        <w:spacing w:after="0" w:line="258" w:lineRule="auto"/>
        <w:rPr>
          <w:sz w:val="20"/>
          <w:szCs w:val="20"/>
          <w:color w:val="auto"/>
        </w:rPr>
      </w:pPr>
      <w:r>
        <w:rPr>
          <w:rFonts w:ascii="Times New Roman" w:cs="Times New Roman" w:eastAsia="Times New Roman" w:hAnsi="Times New Roman"/>
          <w:sz w:val="18"/>
          <w:szCs w:val="18"/>
          <w:color w:val="auto"/>
        </w:rPr>
        <w:t>The Company recorded amortization expense for the three and six months ended June 30, 2022 of $15,097 thousand and $30,039 thousand, respectively. The Company recorded amortization for the three and six months ended June 30, 2021 of $9,819 thousand and $20,046 thousand, respectively.</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outlines the estimated annual amortization expense related to intangible assets as of June 30, 2022:</w:t>
      </w:r>
    </w:p>
    <w:p>
      <w:pPr>
        <w:spacing w:after="0" w:line="206"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7"/>
        </w:trPr>
        <w:tc>
          <w:tcPr>
            <w:tcW w:w="3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69"/>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96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96"/>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Remainder of 2022</w:t>
            </w:r>
          </w:p>
        </w:tc>
        <w:tc>
          <w:tcPr>
            <w:tcW w:w="1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30,194</w:t>
            </w:r>
          </w:p>
        </w:tc>
      </w:tr>
      <w:tr>
        <w:trPr>
          <w:trHeight w:val="202"/>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96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60,388</w:t>
            </w:r>
          </w:p>
        </w:tc>
      </w:tr>
      <w:tr>
        <w:trPr>
          <w:trHeight w:val="203"/>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96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59,807</w:t>
            </w:r>
          </w:p>
        </w:tc>
      </w:tr>
      <w:tr>
        <w:trPr>
          <w:trHeight w:val="20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96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59,709</w:t>
            </w:r>
          </w:p>
        </w:tc>
      </w:tr>
      <w:tr>
        <w:trPr>
          <w:trHeight w:val="203"/>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96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51,697</w:t>
            </w:r>
          </w:p>
        </w:tc>
      </w:tr>
      <w:tr>
        <w:trPr>
          <w:trHeight w:val="20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 and Thereafter</w:t>
            </w:r>
          </w:p>
        </w:tc>
        <w:tc>
          <w:tcPr>
            <w:tcW w:w="1960" w:type="dxa"/>
            <w:vAlign w:val="bottom"/>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397,800</w:t>
            </w:r>
          </w:p>
        </w:tc>
      </w:tr>
      <w:tr>
        <w:trPr>
          <w:trHeight w:val="196"/>
        </w:trPr>
        <w:tc>
          <w:tcPr>
            <w:tcW w:w="3380" w:type="dxa"/>
            <w:vAlign w:val="bottom"/>
          </w:tcPr>
          <w:p>
            <w:pPr>
              <w:spacing w:after="0"/>
              <w:rPr>
                <w:sz w:val="17"/>
                <w:szCs w:val="17"/>
                <w:color w:val="auto"/>
              </w:rPr>
            </w:pPr>
          </w:p>
        </w:tc>
        <w:tc>
          <w:tcPr>
            <w:tcW w:w="19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659,595</w:t>
            </w:r>
          </w:p>
        </w:tc>
      </w:tr>
      <w:tr>
        <w:trPr>
          <w:trHeight w:val="20"/>
        </w:trPr>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2022, the weighted average amortization period remaining for intangible assets was 12.33 years.</w:t>
      </w:r>
    </w:p>
    <w:p>
      <w:pPr>
        <w:spacing w:after="0" w:line="3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June 30, 2022 and December 31, 2021 the balances of goodwill, by segment, consisted of the following:</w:t>
      </w:r>
    </w:p>
    <w:p>
      <w:pPr>
        <w:spacing w:after="0" w:line="381"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Consumer Package Goods</w:t>
            </w:r>
          </w:p>
        </w:tc>
        <w:tc>
          <w:tcPr>
            <w:tcW w:w="180" w:type="dxa"/>
            <w:vAlign w:val="bottom"/>
          </w:tcPr>
          <w:p>
            <w:pPr>
              <w:spacing w:after="0"/>
              <w:rPr>
                <w:sz w:val="16"/>
                <w:szCs w:val="16"/>
                <w:color w:val="auto"/>
              </w:rPr>
            </w:pPr>
          </w:p>
        </w:tc>
        <w:tc>
          <w:tcPr>
            <w:tcW w:w="208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6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274,811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358,038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632,849</w:t>
            </w: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of ILDISP, LLC</w:t>
            </w:r>
          </w:p>
        </w:tc>
        <w:tc>
          <w:tcPr>
            <w:tcW w:w="6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7,718</w:t>
            </w: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7,718</w:t>
            </w: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Preliminary Purchase Price Allocations</w:t>
            </w:r>
          </w:p>
        </w:tc>
        <w:tc>
          <w:tcPr>
            <w:tcW w:w="66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220" w:type="dxa"/>
            <w:vAlign w:val="bottom"/>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80" w:type="dxa"/>
            <w:vAlign w:val="bottom"/>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66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283,438</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358,280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641,718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-25400</wp:posOffset>
            </wp:positionV>
            <wp:extent cx="1371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-8255</wp:posOffset>
            </wp:positionV>
            <wp:extent cx="137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1200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12001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420" w:hanging="412"/>
        <w:spacing w:after="0"/>
        <w:tabs>
          <w:tab w:leader="none" w:pos="4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As of June 30, 2022 and December 31, 2021, the Company held various equity interests in cannabis companies as well as investments in convertible notes that had a combined fair value of $81,783 thousand and $94,902 thousand as of each period end,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p>
    <w:p>
      <w:pPr>
        <w:spacing w:after="0" w:line="18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investments during the six months ended June 30, 2022 and year ending December 31, 2021:</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199"/>
        </w:trPr>
        <w:tc>
          <w:tcPr>
            <w:tcW w:w="3000" w:type="dxa"/>
            <w:vAlign w:val="bottom"/>
            <w:tcBorders>
              <w:bottom w:val="single" w:sz="8" w:color="CFF0FC"/>
            </w:tcBorders>
          </w:tcPr>
          <w:p>
            <w:pPr>
              <w:spacing w:after="0"/>
              <w:rPr>
                <w:sz w:val="17"/>
                <w:szCs w:val="17"/>
                <w:color w:val="auto"/>
              </w:rPr>
            </w:pPr>
          </w:p>
        </w:tc>
        <w:tc>
          <w:tcPr>
            <w:tcW w:w="1760" w:type="dxa"/>
            <w:vAlign w:val="bottom"/>
            <w:tcBorders>
              <w:bottom w:val="single" w:sz="8" w:color="CFF0FC"/>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w:t>
            </w:r>
          </w:p>
        </w:tc>
        <w:tc>
          <w:tcPr>
            <w:tcW w:w="17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spacing w:after="0"/>
              <w:rPr>
                <w:sz w:val="24"/>
                <w:szCs w:val="2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94,902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FF0FC"/>
          </w:tcPr>
          <w:p>
            <w:pPr>
              <w:spacing w:after="0"/>
              <w:rPr>
                <w:sz w:val="24"/>
                <w:szCs w:val="24"/>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40,795</w:t>
            </w:r>
          </w:p>
        </w:tc>
        <w:tc>
          <w:tcPr>
            <w:tcW w:w="0" w:type="dxa"/>
            <w:vAlign w:val="bottom"/>
          </w:tcPr>
          <w:p>
            <w:pPr>
              <w:spacing w:after="0"/>
              <w:rPr>
                <w:sz w:val="1"/>
                <w:szCs w:val="1"/>
                <w:color w:val="auto"/>
              </w:rPr>
            </w:pPr>
          </w:p>
        </w:tc>
      </w:tr>
      <w:tr>
        <w:trPr>
          <w:trHeight w:val="365"/>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83,689</w:t>
            </w:r>
          </w:p>
        </w:tc>
        <w:tc>
          <w:tcPr>
            <w:tcW w:w="0" w:type="dxa"/>
            <w:vAlign w:val="bottom"/>
          </w:tcPr>
          <w:p>
            <w:pPr>
              <w:spacing w:after="0"/>
              <w:rPr>
                <w:sz w:val="1"/>
                <w:szCs w:val="1"/>
                <w:color w:val="auto"/>
              </w:rPr>
            </w:pPr>
          </w:p>
        </w:tc>
      </w:tr>
      <w:tr>
        <w:trPr>
          <w:trHeight w:val="162"/>
        </w:trPr>
        <w:tc>
          <w:tcPr>
            <w:tcW w:w="30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Disposals</w:t>
            </w:r>
          </w:p>
        </w:tc>
        <w:tc>
          <w:tcPr>
            <w:tcW w:w="176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3"/>
        </w:trPr>
        <w:tc>
          <w:tcPr>
            <w:tcW w:w="3000" w:type="dxa"/>
            <w:vAlign w:val="bottom"/>
            <w:vMerge w:val="continue"/>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60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364"/>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Fair value adjustment</w:t>
            </w: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6,377</w:t>
            </w:r>
          </w:p>
        </w:tc>
        <w:tc>
          <w:tcPr>
            <w:tcW w:w="0" w:type="dxa"/>
            <w:vAlign w:val="bottom"/>
          </w:tcPr>
          <w:p>
            <w:pPr>
              <w:spacing w:after="0"/>
              <w:rPr>
                <w:sz w:val="1"/>
                <w:szCs w:val="1"/>
                <w:color w:val="auto"/>
              </w:rPr>
            </w:pPr>
          </w:p>
        </w:tc>
      </w:tr>
      <w:tr>
        <w:trPr>
          <w:trHeight w:val="162"/>
        </w:trPr>
        <w:tc>
          <w:tcPr>
            <w:tcW w:w="300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3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Transfers out</w:t>
            </w:r>
          </w:p>
        </w:tc>
        <w:tc>
          <w:tcPr>
            <w:tcW w:w="176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358"/>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Ending</w:t>
            </w: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81,783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94,902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-264795</wp:posOffset>
            </wp:positionV>
            <wp:extent cx="68580" cy="265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265430"/>
                    </a:xfrm>
                    <a:prstGeom prst="rect">
                      <a:avLst/>
                    </a:prstGeom>
                    <a:noFill/>
                  </pic:spPr>
                </pic:pic>
              </a:graphicData>
            </a:graphic>
          </wp:anchor>
        </w:drawing>
      </w:r>
    </w:p>
    <w:p>
      <w:pPr>
        <w:spacing w:after="0" w:line="16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recorded fair value gains (losses) of $(7,865) thousand and $(17,320) thousand, respectively, of which $(8,018) thousand and $(17,627) thousand was recorded within other income (expense), respectively, and $153 thousand and $307 thousand relates to various note receivable investments and was recorded to interest income, respectively, on the unaudited interim condensed consolidated statement of operations.</w:t>
      </w:r>
    </w:p>
    <w:p>
      <w:pPr>
        <w:spacing w:after="0" w:line="173"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Investments</w:t>
      </w:r>
    </w:p>
    <w:p>
      <w:pPr>
        <w:spacing w:after="0" w:line="216" w:lineRule="exact"/>
        <w:rPr>
          <w:sz w:val="20"/>
          <w:szCs w:val="20"/>
          <w:color w:val="auto"/>
        </w:rPr>
      </w:pPr>
    </w:p>
    <w:p>
      <w:pPr>
        <w:ind w:left="520" w:right="60"/>
        <w:spacing w:after="0" w:line="243" w:lineRule="auto"/>
        <w:rPr>
          <w:sz w:val="20"/>
          <w:szCs w:val="20"/>
          <w:color w:val="auto"/>
        </w:rPr>
      </w:pPr>
      <w:r>
        <w:rPr>
          <w:rFonts w:ascii="Times New Roman" w:cs="Times New Roman" w:eastAsia="Times New Roman" w:hAnsi="Times New Roman"/>
          <w:sz w:val="18"/>
          <w:szCs w:val="18"/>
          <w:color w:val="auto"/>
        </w:rPr>
        <w:t>As of June 30, 2022 and December 31, 2021, the Company held equity investments in publicly traded entities which have readily determinable fair values, which are classified as Level 1 investments, of $6,131 thousand and $20,583 thousand, respectively. During the three and six months ended June 30, 2022, the Company recorded net gains (losses) on the change in fair value of such investments of $(6,396) thousand and $(14,293) thousand, respectively, within other income (expense) on the unaudited interim condensed consolidated statement of operations. During the three and six months ended June 30, 2021, the Company recorded net gains (losses) on the change in fair value of such investments of $13,645 thousand and $13,912 thousand, respectively, within other income (expense) on the consolidated statement of operations. During the six months ended June 30, 2022 and 2021, the Company received proceeds from the sale of such investments of $160 thousand and $18,417 thousand, respectively. These investments are classified as trading securities on the Company's unaudited interim condensed consolidated balance sheets.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2022 and December 31, 2021, the Company held equity investments in privately held entities that did not have readily determinable</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values, which are classified as Level 3 investments, of $42,326 thousand and $33,066 thousand, respectively. During the three and six months</w:t>
      </w:r>
    </w:p>
    <w:p>
      <w:pPr>
        <w:ind w:left="520"/>
        <w:spacing w:after="0" w:line="234" w:lineRule="auto"/>
        <w:rPr>
          <w:sz w:val="20"/>
          <w:szCs w:val="20"/>
          <w:color w:val="auto"/>
        </w:rPr>
      </w:pPr>
      <w:r>
        <w:rPr>
          <w:rFonts w:ascii="Times New Roman" w:cs="Times New Roman" w:eastAsia="Times New Roman" w:hAnsi="Times New Roman"/>
          <w:sz w:val="18"/>
          <w:szCs w:val="18"/>
          <w:color w:val="auto"/>
        </w:rPr>
        <w:t>ended June 30, 2022, the Company recorded net gains (losses) on the change in fair value of such investments of $22 thousand and $477 thousand,</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respectively, within other income (expense) on the unaudited interim condensed consolidated statement of operations. During the three and six</w:t>
      </w:r>
    </w:p>
    <w:p>
      <w:pPr>
        <w:spacing w:after="0" w:line="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months ended June 30, 2021, the Company recorded net gains (losses) on the change in fair value of such investments of $4,643 thousand and</w:t>
      </w:r>
    </w:p>
    <w:p>
      <w:pPr>
        <w:ind w:left="520"/>
        <w:spacing w:after="0" w:line="234" w:lineRule="auto"/>
        <w:rPr>
          <w:sz w:val="20"/>
          <w:szCs w:val="20"/>
          <w:color w:val="auto"/>
        </w:rPr>
      </w:pPr>
      <w:r>
        <w:rPr>
          <w:rFonts w:ascii="Times New Roman" w:cs="Times New Roman" w:eastAsia="Times New Roman" w:hAnsi="Times New Roman"/>
          <w:sz w:val="18"/>
          <w:szCs w:val="18"/>
          <w:color w:val="auto"/>
        </w:rPr>
        <w:t>$4,767 thousand, respectively, within other income (expense) on the consolidated statement of operations. There were no sales of these investments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these periods. These investments are classified as trading securities on the Company's unaudited interim condensed consolidated balance</w:t>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sheets.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14 - Fair Value Measurements for additional details.</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420" w:hanging="412"/>
        <w:spacing w:after="0"/>
        <w:tabs>
          <w:tab w:leader="none" w:pos="4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Investments </w:t>
      </w:r>
      <w:r>
        <w:rPr>
          <w:rFonts w:ascii="Times New Roman" w:cs="Times New Roman" w:eastAsia="Times New Roman" w:hAnsi="Times New Roman"/>
          <w:sz w:val="18"/>
          <w:szCs w:val="18"/>
          <w:i w:val="1"/>
          <w:iCs w:val="1"/>
          <w:color w:val="auto"/>
        </w:rPr>
        <w:t>(Continued)</w:t>
      </w:r>
    </w:p>
    <w:p>
      <w:pPr>
        <w:spacing w:after="0" w:line="202" w:lineRule="exact"/>
        <w:rPr>
          <w:sz w:val="20"/>
          <w:szCs w:val="20"/>
          <w:color w:val="auto"/>
        </w:rPr>
      </w:pPr>
    </w:p>
    <w:p>
      <w:pPr>
        <w:jc w:val="both"/>
        <w:ind w:left="520" w:right="140"/>
        <w:spacing w:after="0" w:line="258" w:lineRule="auto"/>
        <w:rPr>
          <w:sz w:val="20"/>
          <w:szCs w:val="20"/>
          <w:color w:val="auto"/>
        </w:rPr>
      </w:pPr>
      <w:r>
        <w:rPr>
          <w:rFonts w:ascii="Times New Roman" w:cs="Times New Roman" w:eastAsia="Times New Roman" w:hAnsi="Times New Roman"/>
          <w:sz w:val="18"/>
          <w:szCs w:val="18"/>
          <w:color w:val="auto"/>
        </w:rPr>
        <w:t>Unrealized gains and (losses) recognized on equity investments held during the three and six months ended June 30, 2022 were $(6,367) thousand and $(13,792) thousand, respectively. Unrealized gains and (losses) recognized on equity investments held during the three and six months ended June 30, 2021 were $18,352 thousand and $18,733 thousand, respectively.</w:t>
      </w:r>
    </w:p>
    <w:p>
      <w:pPr>
        <w:spacing w:after="0" w:line="16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Convertible Notes Receivable</w:t>
      </w:r>
    </w:p>
    <w:p>
      <w:pPr>
        <w:spacing w:after="0" w:line="202" w:lineRule="exact"/>
        <w:rPr>
          <w:sz w:val="20"/>
          <w:szCs w:val="20"/>
          <w:color w:val="auto"/>
        </w:rPr>
      </w:pPr>
    </w:p>
    <w:p>
      <w:pPr>
        <w:ind w:left="520" w:right="600"/>
        <w:spacing w:after="0" w:line="282" w:lineRule="auto"/>
        <w:rPr>
          <w:sz w:val="20"/>
          <w:szCs w:val="20"/>
          <w:color w:val="auto"/>
        </w:rPr>
      </w:pPr>
      <w:r>
        <w:rPr>
          <w:rFonts w:ascii="Times New Roman" w:cs="Times New Roman" w:eastAsia="Times New Roman" w:hAnsi="Times New Roman"/>
          <w:sz w:val="18"/>
          <w:szCs w:val="18"/>
          <w:color w:val="auto"/>
        </w:rPr>
        <w:t>The Company has made multiple investments in various note receivable instruments, including note receivable instruments with conversion features.</w:t>
      </w:r>
    </w:p>
    <w:p>
      <w:pPr>
        <w:spacing w:after="0" w:line="135" w:lineRule="exact"/>
        <w:rPr>
          <w:sz w:val="20"/>
          <w:szCs w:val="20"/>
          <w:color w:val="auto"/>
        </w:rPr>
      </w:pPr>
    </w:p>
    <w:p>
      <w:pPr>
        <w:ind w:left="520" w:right="60"/>
        <w:spacing w:after="0" w:line="245" w:lineRule="auto"/>
        <w:rPr>
          <w:sz w:val="20"/>
          <w:szCs w:val="20"/>
          <w:color w:val="auto"/>
        </w:rPr>
      </w:pPr>
      <w:r>
        <w:rPr>
          <w:rFonts w:ascii="Times New Roman" w:cs="Times New Roman" w:eastAsia="Times New Roman" w:hAnsi="Times New Roman"/>
          <w:sz w:val="18"/>
          <w:szCs w:val="18"/>
          <w:color w:val="auto"/>
        </w:rPr>
        <w:t>As of June 30, 2022 and December 31, 2021, the Company held note receivable instruments, which were classified as a Level 1 investment as they represent public debt of a publicly traded entity, and had a fair value of $21,796 thousand and $23,534 thousand, respectively. During the three and six months ended June 30, 2022 , the Company recorded net gains (losses) on the change in fair value of such investments of $(378) thousand and $(654) thousand, respectively, within other income (expense) on the unaudited interim condensed consolidated statement of operations. There were no gains or (losses) recognized on these investments during the three and six months ended June 30, 2021. The note receivable instruments have a stated interest rate of 13% and a maturity date of April 29, 2025. These notes did not contain conversion features and are currently classified as trading securities on the Company's unaudited interim condensed consolidated balance sheets.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2022 and December 31, 2021, the Company held note receivable instruments which were classified as Level 3 investments as they</w:t>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represent loans provided to privately held entities that do not have readily determinable fair values. The note receivable instruments had a combined</w:t>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fair value of $11,530 thousand and $17,719 thousand, respectively, with stated interest ranging between 0.91% - 10% and terms between 15 months</w:t>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five years. During the three and six months ended June 30, 2022, the Company recorded net gains (losses) on the change in fair value of such</w:t>
      </w:r>
    </w:p>
    <w:p>
      <w:pPr>
        <w:ind w:left="520"/>
        <w:spacing w:after="0" w:line="234" w:lineRule="auto"/>
        <w:rPr>
          <w:sz w:val="20"/>
          <w:szCs w:val="20"/>
          <w:color w:val="auto"/>
        </w:rPr>
      </w:pPr>
      <w:r>
        <w:rPr>
          <w:rFonts w:ascii="Times New Roman" w:cs="Times New Roman" w:eastAsia="Times New Roman" w:hAnsi="Times New Roman"/>
          <w:sz w:val="18"/>
          <w:szCs w:val="18"/>
          <w:color w:val="auto"/>
        </w:rPr>
        <w:t>investments of $(1,266) thousand and $(3,157) thousand, respectively, within other income (expense) and accrued interest of $153 thousand and</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$307 thousand, respectively, within interest income on the unaudited interim condensed consolidated statement of operations. During the three and</w:t>
      </w:r>
    </w:p>
    <w:p>
      <w:pPr>
        <w:spacing w:after="0" w:line="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six months ended June 30, 2021, there were no gains or (losses) recognized on these investments within other income (expense), however the</w:t>
      </w:r>
    </w:p>
    <w:p>
      <w:pPr>
        <w:ind w:left="520"/>
        <w:spacing w:after="0" w:line="234" w:lineRule="auto"/>
        <w:rPr>
          <w:sz w:val="20"/>
          <w:szCs w:val="20"/>
          <w:color w:val="auto"/>
        </w:rPr>
      </w:pPr>
      <w:r>
        <w:rPr>
          <w:rFonts w:ascii="Times New Roman" w:cs="Times New Roman" w:eastAsia="Times New Roman" w:hAnsi="Times New Roman"/>
          <w:sz w:val="18"/>
          <w:szCs w:val="18"/>
          <w:color w:val="auto"/>
        </w:rPr>
        <w:t>company recorded accrued interest of $38 thousand and $75 thousand, respectively, within interest income on the unaudited interim condensed</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 of operations. These notes are classified as trading securities on the Company's unaudited interim condensed consolidated</w:t>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balance sheets.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14 - Fair Value Measurements for additional details.</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420" w:hanging="412"/>
        <w:spacing w:after="0"/>
        <w:tabs>
          <w:tab w:leader="none" w:pos="4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0" w:hanging="432"/>
        <w:spacing w:after="0"/>
        <w:tabs>
          <w:tab w:leader="none" w:pos="4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16" w:lineRule="exact"/>
        <w:rPr>
          <w:sz w:val="20"/>
          <w:szCs w:val="20"/>
          <w:color w:val="auto"/>
        </w:rPr>
      </w:pPr>
    </w:p>
    <w:p>
      <w:pPr>
        <w:jc w:val="both"/>
        <w:ind w:left="520" w:right="120"/>
        <w:spacing w:after="0" w:line="258" w:lineRule="auto"/>
        <w:rPr>
          <w:sz w:val="20"/>
          <w:szCs w:val="20"/>
          <w:color w:val="auto"/>
        </w:rPr>
      </w:pPr>
      <w:r>
        <w:rPr>
          <w:rFonts w:ascii="Times New Roman" w:cs="Times New Roman" w:eastAsia="Times New Roman" w:hAnsi="Times New Roman"/>
          <w:sz w:val="18"/>
          <w:szCs w:val="18"/>
          <w:color w:val="auto"/>
        </w:rPr>
        <w:t>The Company has operating leases for its Retail stores and processing and cultivation facilities located throughout the U.S, as well as for corporate office space located in Illinois. Operating lease right-of-use assets and operating lease liabilities are recognized based on the present value of future minimum lease payments over the lease term at commencement date.</w:t>
      </w:r>
    </w:p>
    <w:p>
      <w:pPr>
        <w:spacing w:after="0" w:line="169" w:lineRule="exact"/>
        <w:rPr>
          <w:sz w:val="20"/>
          <w:szCs w:val="20"/>
          <w:color w:val="auto"/>
        </w:rPr>
      </w:pPr>
    </w:p>
    <w:p>
      <w:pPr>
        <w:ind w:left="520" w:right="40"/>
        <w:spacing w:after="0" w:line="250" w:lineRule="auto"/>
        <w:rPr>
          <w:sz w:val="20"/>
          <w:szCs w:val="20"/>
          <w:color w:val="auto"/>
        </w:rPr>
      </w:pPr>
      <w:r>
        <w:rPr>
          <w:rFonts w:ascii="Times New Roman" w:cs="Times New Roman" w:eastAsia="Times New Roman" w:hAnsi="Times New Roman"/>
          <w:sz w:val="18"/>
          <w:szCs w:val="18"/>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fixed and variable non-lease components, such as taxes, insurance and maintenance. The Company accounts for each real estate lease and the related non-lease components together as a single component.</w:t>
      </w:r>
    </w:p>
    <w:p>
      <w:pPr>
        <w:spacing w:after="0" w:line="177" w:lineRule="exact"/>
        <w:rPr>
          <w:sz w:val="20"/>
          <w:szCs w:val="20"/>
          <w:color w:val="auto"/>
        </w:rPr>
      </w:pPr>
    </w:p>
    <w:p>
      <w:pPr>
        <w:ind w:left="520"/>
        <w:spacing w:after="0" w:line="24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three and six months ended June 30, 2022, the Company recorded operating lease expense of $10,201 thousand and $20,022 thousand, respectively compared to operating lease expense of $8,276 thousand and $16,028 thousand for the three and six months ended June 30, 2021, respectively.</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operating leases as of June 30, 2022 and December 31, 2021 were as follows:</w:t>
      </w:r>
    </w:p>
    <w:p>
      <w:pPr>
        <w:spacing w:after="0" w:line="313" w:lineRule="exact"/>
        <w:rPr>
          <w:sz w:val="20"/>
          <w:szCs w:val="20"/>
          <w:color w:val="auto"/>
        </w:rPr>
      </w:pPr>
    </w:p>
    <w:tbl>
      <w:tblPr>
        <w:tblLayout w:type="fixed"/>
        <w:tblInd w:w="1200" w:type="dxa"/>
        <w:tblCellMar>
          <w:top w:w="0" w:type="dxa"/>
          <w:left w:w="0" w:type="dxa"/>
          <w:bottom w:w="0" w:type="dxa"/>
          <w:right w:w="0" w:type="dxa"/>
        </w:tblCellMar>
      </w:tblPr>
      <w:tr>
        <w:trPr>
          <w:trHeight w:val="187"/>
        </w:trPr>
        <w:tc>
          <w:tcPr>
            <w:tcW w:w="4060" w:type="dxa"/>
            <w:vAlign w:val="bottom"/>
          </w:tcPr>
          <w:p>
            <w:pPr>
              <w:spacing w:after="0"/>
              <w:rPr>
                <w:sz w:val="16"/>
                <w:szCs w:val="16"/>
                <w:color w:val="auto"/>
              </w:rPr>
            </w:pPr>
          </w:p>
        </w:tc>
        <w:tc>
          <w:tcPr>
            <w:tcW w:w="18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18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shd w:val="clear" w:color="auto" w:fill="CFF0FC"/>
          </w:tcPr>
          <w:p>
            <w:pPr>
              <w:spacing w:after="0"/>
              <w:rPr>
                <w:sz w:val="14"/>
                <w:szCs w:val="14"/>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11.82</w:t>
            </w:r>
          </w:p>
        </w:tc>
      </w:tr>
      <w:tr>
        <w:trPr>
          <w:trHeight w:val="188"/>
        </w:trPr>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13.60%</w:t>
            </w:r>
          </w:p>
        </w:tc>
      </w:tr>
    </w:tbl>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for operating leases as of June 30, 2022 were as follows:</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Maturities of Lease Liability</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Third Party</w:t>
            </w:r>
          </w:p>
        </w:tc>
        <w:tc>
          <w:tcPr>
            <w:tcW w:w="220" w:type="dxa"/>
            <w:vAlign w:val="bottom"/>
          </w:tcPr>
          <w:p>
            <w:pPr>
              <w:spacing w:after="0"/>
              <w:rPr>
                <w:sz w:val="14"/>
                <w:szCs w:val="14"/>
                <w:color w:val="auto"/>
              </w:rPr>
            </w:pPr>
          </w:p>
        </w:tc>
        <w:tc>
          <w:tcPr>
            <w:tcW w:w="16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200" w:type="dxa"/>
            <w:vAlign w:val="bottom"/>
          </w:tcPr>
          <w:p>
            <w:pPr>
              <w:spacing w:after="0"/>
              <w:rPr>
                <w:sz w:val="14"/>
                <w:szCs w:val="14"/>
                <w:color w:val="auto"/>
              </w:rPr>
            </w:pP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9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Borders>
              <w:top w:val="single" w:sz="8" w:color="auto"/>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Remainder of 2022</w:t>
            </w:r>
          </w:p>
        </w:tc>
        <w:tc>
          <w:tcPr>
            <w:tcW w:w="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20,307</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20,871</w:t>
            </w:r>
          </w:p>
        </w:tc>
        <w:tc>
          <w:tcPr>
            <w:tcW w:w="0" w:type="dxa"/>
            <w:vAlign w:val="bottom"/>
          </w:tcPr>
          <w:p>
            <w:pPr>
              <w:spacing w:after="0"/>
              <w:rPr>
                <w:sz w:val="1"/>
                <w:szCs w:val="1"/>
                <w:color w:val="auto"/>
              </w:rPr>
            </w:pPr>
          </w:p>
        </w:tc>
      </w:tr>
      <w:tr>
        <w:trPr>
          <w:trHeight w:val="175"/>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40,976</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42,120</w:t>
            </w: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40,472</w:t>
            </w:r>
          </w:p>
        </w:tc>
        <w:tc>
          <w:tcPr>
            <w:tcW w:w="2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41,499</w:t>
            </w:r>
          </w:p>
        </w:tc>
        <w:tc>
          <w:tcPr>
            <w:tcW w:w="0" w:type="dxa"/>
            <w:vAlign w:val="bottom"/>
          </w:tcPr>
          <w:p>
            <w:pPr>
              <w:spacing w:after="0"/>
              <w:rPr>
                <w:sz w:val="1"/>
                <w:szCs w:val="1"/>
                <w:color w:val="auto"/>
              </w:rPr>
            </w:pPr>
          </w:p>
        </w:tc>
      </w:tr>
      <w:tr>
        <w:trPr>
          <w:trHeight w:val="175"/>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38,138</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39,086</w:t>
            </w: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36,406</w:t>
            </w:r>
          </w:p>
        </w:tc>
        <w:tc>
          <w:tcPr>
            <w:tcW w:w="2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37,376</w:t>
            </w:r>
          </w:p>
        </w:tc>
        <w:tc>
          <w:tcPr>
            <w:tcW w:w="0" w:type="dxa"/>
            <w:vAlign w:val="bottom"/>
          </w:tcPr>
          <w:p>
            <w:pPr>
              <w:spacing w:after="0"/>
              <w:rPr>
                <w:sz w:val="1"/>
                <w:szCs w:val="1"/>
                <w:color w:val="auto"/>
              </w:rPr>
            </w:pPr>
          </w:p>
        </w:tc>
      </w:tr>
      <w:tr>
        <w:trPr>
          <w:trHeight w:val="175"/>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2027 and Thereafter</w:t>
            </w:r>
          </w:p>
        </w:tc>
        <w:tc>
          <w:tcPr>
            <w:tcW w:w="34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375,416</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382,482</w:t>
            </w:r>
          </w:p>
        </w:tc>
        <w:tc>
          <w:tcPr>
            <w:tcW w:w="0" w:type="dxa"/>
            <w:vAlign w:val="bottom"/>
          </w:tcPr>
          <w:p>
            <w:pPr>
              <w:spacing w:after="0"/>
              <w:rPr>
                <w:sz w:val="1"/>
                <w:szCs w:val="1"/>
                <w:color w:val="auto"/>
              </w:rPr>
            </w:pPr>
          </w:p>
        </w:tc>
      </w:tr>
      <w:tr>
        <w:trPr>
          <w:trHeight w:val="169"/>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340" w:type="dxa"/>
            <w:vAlign w:val="bottom"/>
            <w:tcBorders>
              <w:bottom w:val="single" w:sz="8" w:color="CFF0FC"/>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551,715</w:t>
            </w:r>
          </w:p>
        </w:tc>
        <w:tc>
          <w:tcPr>
            <w:tcW w:w="220" w:type="dxa"/>
            <w:vAlign w:val="bottom"/>
            <w:tcBorders>
              <w:bottom w:val="single" w:sz="8" w:color="CFF0FC"/>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11,719</w:t>
            </w: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563,434</w:t>
            </w:r>
          </w:p>
        </w:tc>
        <w:tc>
          <w:tcPr>
            <w:tcW w:w="0" w:type="dxa"/>
            <w:vAlign w:val="bottom"/>
          </w:tcPr>
          <w:p>
            <w:pPr>
              <w:spacing w:after="0"/>
              <w:rPr>
                <w:sz w:val="1"/>
                <w:szCs w:val="1"/>
                <w:color w:val="auto"/>
              </w:rPr>
            </w:pPr>
          </w:p>
        </w:tc>
      </w:tr>
      <w:tr>
        <w:trPr>
          <w:trHeight w:val="169"/>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Less: Interest</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(298,970)</w:t>
            </w:r>
          </w:p>
        </w:tc>
        <w:tc>
          <w:tcPr>
            <w:tcW w:w="220" w:type="dxa"/>
            <w:vAlign w:val="bottom"/>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(304,274)</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Present Value of Lease Liability</w:t>
            </w:r>
          </w:p>
        </w:tc>
        <w:tc>
          <w:tcPr>
            <w:tcW w:w="3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252,745</w:t>
            </w:r>
          </w:p>
        </w:tc>
        <w:tc>
          <w:tcPr>
            <w:tcW w:w="2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6,415</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259,160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-264795</wp:posOffset>
            </wp:positionV>
            <wp:extent cx="1460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-264795</wp:posOffset>
            </wp:positionV>
            <wp:extent cx="1714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1460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1460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1714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1714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60"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Operating Leases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entered into related party transactions with respect to its leasing arrangements for certain facilities in Florida, Maryland,</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Massachusetts and Nevada. Wendy Berger, a director of the Company, is a principal of WBS Equities, LLC, which is the Manager of Mosaic Real</w:t>
      </w:r>
    </w:p>
    <w:p>
      <w:pPr>
        <w:ind w:left="520"/>
        <w:spacing w:after="0"/>
        <w:rPr>
          <w:sz w:val="20"/>
          <w:szCs w:val="20"/>
          <w:color w:val="auto"/>
        </w:rPr>
      </w:pPr>
      <w:r>
        <w:rPr>
          <w:rFonts w:ascii="Times New Roman" w:cs="Times New Roman" w:eastAsia="Times New Roman" w:hAnsi="Times New Roman"/>
          <w:sz w:val="18"/>
          <w:szCs w:val="18"/>
          <w:color w:val="auto"/>
        </w:rPr>
        <w:t>Estate, LLC, and owns the facilities leased by the Company. Additionally, Mosaic Real Estate, LLC is indirectly owned in part by Ms. Berger</w:t>
      </w:r>
    </w:p>
    <w:p>
      <w:pPr>
        <w:spacing w:after="0" w:line="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(through the Wendy Berger 1998 Revocable Trust), Benjamin Kovler, the Chief Executive Officer and a director of the Company (through KP</w:t>
      </w:r>
    </w:p>
    <w:p>
      <w:pPr>
        <w:ind w:left="520"/>
        <w:spacing w:after="0" w:line="234" w:lineRule="auto"/>
        <w:rPr>
          <w:sz w:val="20"/>
          <w:szCs w:val="20"/>
          <w:color w:val="auto"/>
        </w:rPr>
      </w:pPr>
      <w:r>
        <w:rPr>
          <w:rFonts w:ascii="Times New Roman" w:cs="Times New Roman" w:eastAsia="Times New Roman" w:hAnsi="Times New Roman"/>
          <w:sz w:val="18"/>
          <w:szCs w:val="18"/>
          <w:color w:val="auto"/>
        </w:rPr>
        <w:t>Capital, LLC), and Anthony Georgiadis, the Chief Financial Officer and a director of the Company (through Three One Four Holdings, LLC). The</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terms of these leases range from 7 years to 15 years. For the three and six months ended June 30, 2022, the Company recorded lease expense of</w:t>
      </w:r>
    </w:p>
    <w:p>
      <w:pPr>
        <w:spacing w:after="0" w:line="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$296 thousand and $589 thousand, respectively, compared to lease expense of $301 thousand and $595 thousand for the three and six months ended</w:t>
      </w:r>
    </w:p>
    <w:p>
      <w:pPr>
        <w:ind w:left="520"/>
        <w:spacing w:after="0"/>
        <w:rPr>
          <w:sz w:val="20"/>
          <w:szCs w:val="20"/>
          <w:color w:val="auto"/>
        </w:rPr>
      </w:pPr>
      <w:r>
        <w:rPr>
          <w:rFonts w:ascii="Times New Roman" w:cs="Times New Roman" w:eastAsia="Times New Roman" w:hAnsi="Times New Roman"/>
          <w:sz w:val="18"/>
          <w:szCs w:val="18"/>
          <w:color w:val="auto"/>
        </w:rPr>
        <w:t>June 30, 2021, respectively, associated with these leasing arrangements.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92" w:lineRule="exact"/>
        <w:rPr>
          <w:sz w:val="20"/>
          <w:szCs w:val="20"/>
          <w:color w:val="auto"/>
        </w:rPr>
      </w:pPr>
    </w:p>
    <w:p>
      <w:pPr>
        <w:ind w:left="412" w:hanging="412"/>
        <w:spacing w:after="0"/>
        <w:tabs>
          <w:tab w:leader="none" w:pos="41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32" w:hanging="432"/>
        <w:spacing w:after="0"/>
        <w:tabs>
          <w:tab w:leader="none" w:pos="43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Modification</w:t>
      </w:r>
    </w:p>
    <w:p>
      <w:pPr>
        <w:spacing w:after="0" w:line="200"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i w:val="1"/>
          <w:iCs w:val="1"/>
          <w:color w:val="auto"/>
        </w:rPr>
        <w:t>Danville Cultivation and Processing Facility</w:t>
      </w:r>
    </w:p>
    <w:p>
      <w:pPr>
        <w:spacing w:after="0" w:line="214" w:lineRule="exact"/>
        <w:rPr>
          <w:sz w:val="20"/>
          <w:szCs w:val="20"/>
          <w:color w:val="auto"/>
        </w:rPr>
      </w:pPr>
    </w:p>
    <w:p>
      <w:pPr>
        <w:ind w:left="512"/>
        <w:spacing w:after="0" w:line="247" w:lineRule="auto"/>
        <w:rPr>
          <w:sz w:val="20"/>
          <w:szCs w:val="20"/>
          <w:color w:val="auto"/>
        </w:rPr>
      </w:pPr>
      <w:r>
        <w:rPr>
          <w:rFonts w:ascii="Times New Roman" w:cs="Times New Roman" w:eastAsia="Times New Roman" w:hAnsi="Times New Roman"/>
          <w:sz w:val="18"/>
          <w:szCs w:val="18"/>
          <w:color w:val="auto"/>
        </w:rPr>
        <w:t>On June 29, 2022 the Company entered into the third amendment ("the Amendment") to its existing lease agreement with Innovative Industrial Properties, Inc. ("IIP") associated with its Danville, Pennsylvania cultivation and processing facility. The Amendment provided an additional tenant improvement allowance of $55,000 thousand to be used on enhancements to the facility. In addition to the tenant improvement allowance of $19,300 thousand received in prior years, the total tenant improvement allowance provided by IIP will be $74,300 thousand, and brings IIP's total investment in the property to $94,600 thousand. The Amendment to the lease was treated as a modification and resulted in a gain of $3,061 thousand as well as an increase in the right of use asset and related lease liability of $81,720 thousand.</w:t>
      </w: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both"/>
        <w:ind w:left="2780" w:right="2760" w:hanging="41"/>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141" w:lineRule="exact"/>
        <w:rPr>
          <w:sz w:val="20"/>
          <w:szCs w:val="20"/>
          <w:color w:val="auto"/>
        </w:rPr>
      </w:pPr>
    </w:p>
    <w:p>
      <w:pPr>
        <w:ind w:left="420" w:hanging="412"/>
        <w:spacing w:after="0"/>
        <w:tabs>
          <w:tab w:leader="none" w:pos="4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and December 31, 2021, notes payable consisted of the following:</w:t>
      </w:r>
    </w:p>
    <w:p>
      <w:pPr>
        <w:spacing w:after="0" w:line="255"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9"/>
        </w:trPr>
        <w:tc>
          <w:tcPr>
            <w:tcW w:w="4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w:t>
            </w: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0"/>
              </w:rPr>
              <w:t>thousands)</w:t>
            </w:r>
          </w:p>
        </w:tc>
        <w:tc>
          <w:tcPr>
            <w:tcW w:w="1400" w:type="dxa"/>
            <w:vAlign w:val="bottom"/>
            <w:tcBorders>
              <w:bottom w:val="single" w:sz="8" w:color="auto"/>
            </w:tcBorders>
          </w:tcPr>
          <w:p>
            <w:pPr>
              <w:spacing w:after="0"/>
              <w:rPr>
                <w:sz w:val="18"/>
                <w:szCs w:val="18"/>
                <w:color w:val="auto"/>
              </w:rPr>
            </w:pPr>
          </w:p>
        </w:tc>
      </w:tr>
      <w:tr>
        <w:trPr>
          <w:trHeight w:val="200"/>
        </w:trPr>
        <w:tc>
          <w:tcPr>
            <w:tcW w:w="4540" w:type="dxa"/>
            <w:vAlign w:val="bottom"/>
            <w:shd w:val="clear" w:color="auto" w:fill="CFF0FC"/>
          </w:tcPr>
          <w:p>
            <w:pPr>
              <w:spacing w:after="0" w:line="200" w:lineRule="exact"/>
              <w:rPr>
                <w:sz w:val="20"/>
                <w:szCs w:val="20"/>
                <w:color w:val="auto"/>
              </w:rPr>
            </w:pPr>
            <w:r>
              <w:rPr>
                <w:rFonts w:ascii="Times New Roman" w:cs="Times New Roman" w:eastAsia="Times New Roman" w:hAnsi="Times New Roman"/>
                <w:sz w:val="16"/>
                <w:szCs w:val="16"/>
                <w:color w:val="auto"/>
              </w:rPr>
              <w:t xml:space="preserve">Charitable Contributions </w:t>
            </w:r>
            <w:r>
              <w:rPr>
                <w:rFonts w:ascii="Times New Roman" w:cs="Times New Roman" w:eastAsia="Times New Roman" w:hAnsi="Times New Roman"/>
                <w:sz w:val="21"/>
                <w:szCs w:val="21"/>
                <w:color w:val="auto"/>
                <w:vertAlign w:val="superscript"/>
              </w:rPr>
              <w:t>1</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1,238</w:t>
            </w:r>
          </w:p>
        </w:tc>
      </w:tr>
      <w:tr>
        <w:trPr>
          <w:trHeight w:val="203"/>
        </w:trPr>
        <w:tc>
          <w:tcPr>
            <w:tcW w:w="454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Private placement debt dated April 30, 2021</w:t>
            </w:r>
            <w:r>
              <w:rPr>
                <w:rFonts w:ascii="Times New Roman" w:cs="Times New Roman" w:eastAsia="Times New Roman" w:hAnsi="Times New Roman"/>
                <w:sz w:val="21"/>
                <w:szCs w:val="21"/>
                <w:color w:val="auto"/>
                <w:vertAlign w:val="superscript"/>
              </w:rPr>
              <w:t>2</w:t>
            </w:r>
          </w:p>
        </w:tc>
        <w:tc>
          <w:tcPr>
            <w:tcW w:w="17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233,243</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228,690</w:t>
            </w:r>
          </w:p>
        </w:tc>
      </w:tr>
      <w:tr>
        <w:trPr>
          <w:trHeight w:val="203"/>
        </w:trPr>
        <w:tc>
          <w:tcPr>
            <w:tcW w:w="4540" w:type="dxa"/>
            <w:vAlign w:val="bottom"/>
            <w:tcBorders>
              <w:bottom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Mortgage notes</w:t>
            </w:r>
            <w:r>
              <w:rPr>
                <w:rFonts w:ascii="Times New Roman" w:cs="Times New Roman" w:eastAsia="Times New Roman" w:hAnsi="Times New Roman"/>
                <w:sz w:val="21"/>
                <w:szCs w:val="21"/>
                <w:color w:val="auto"/>
                <w:vertAlign w:val="superscript"/>
              </w:rPr>
              <w:t>3</w:t>
            </w:r>
          </w:p>
        </w:tc>
        <w:tc>
          <w:tcPr>
            <w:tcW w:w="178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19,329</w:t>
            </w:r>
          </w:p>
        </w:tc>
        <w:tc>
          <w:tcPr>
            <w:tcW w:w="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10,006</w:t>
            </w:r>
          </w:p>
        </w:tc>
      </w:tr>
      <w:tr>
        <w:trPr>
          <w:trHeight w:val="196"/>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notes payable</w:t>
            </w:r>
          </w:p>
        </w:tc>
        <w:tc>
          <w:tcPr>
            <w:tcW w:w="17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253,431</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239,934</w:t>
            </w:r>
          </w:p>
        </w:tc>
      </w:tr>
      <w:tr>
        <w:trPr>
          <w:trHeight w:val="203"/>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current portion of notes payable</w:t>
            </w:r>
          </w:p>
        </w:tc>
        <w:tc>
          <w:tcPr>
            <w:tcW w:w="178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w:t>
            </w:r>
          </w:p>
        </w:tc>
      </w:tr>
      <w:tr>
        <w:trPr>
          <w:trHeight w:val="196"/>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Notes payable, net of current portion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252,429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239,151</w:t>
            </w:r>
          </w:p>
        </w:tc>
      </w:tr>
      <w:tr>
        <w:trPr>
          <w:trHeight w:val="20"/>
        </w:trPr>
        <w:tc>
          <w:tcPr>
            <w:tcW w:w="4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-427990</wp:posOffset>
            </wp:positionV>
            <wp:extent cx="13716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-161925</wp:posOffset>
            </wp:positionV>
            <wp:extent cx="137160" cy="162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162560"/>
                    </a:xfrm>
                    <a:prstGeom prst="rect">
                      <a:avLst/>
                    </a:prstGeom>
                    <a:noFill/>
                  </pic:spPr>
                </pic:pic>
              </a:graphicData>
            </a:graphic>
          </wp:anchor>
        </w:drawing>
      </w:r>
    </w:p>
    <w:p>
      <w:pPr>
        <w:spacing w:after="0" w:line="182" w:lineRule="exact"/>
        <w:rPr>
          <w:sz w:val="20"/>
          <w:szCs w:val="20"/>
          <w:color w:val="auto"/>
        </w:rPr>
      </w:pPr>
    </w:p>
    <w:p>
      <w:pPr>
        <w:ind w:left="1020" w:right="120" w:firstLine="6"/>
        <w:spacing w:after="0" w:line="227" w:lineRule="auto"/>
        <w:tabs>
          <w:tab w:leader="none" w:pos="1115" w:val="left"/>
        </w:tabs>
        <w:numPr>
          <w:ilvl w:val="0"/>
          <w:numId w:val="29"/>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In connection with acquisitions completed in 2017 and 2019, the Company is required to make quarterly charitable contributions of $50 thousand through October 2024 and annual charitable contributions of $250 thousand through May 2024, respectively. The net present value of these required payments has been recorded as a liability with interest rates ranging between 2.17% - 7.00%.</w:t>
      </w:r>
    </w:p>
    <w:p>
      <w:pPr>
        <w:spacing w:after="0" w:line="209" w:lineRule="exact"/>
        <w:rPr>
          <w:sz w:val="20"/>
          <w:szCs w:val="20"/>
          <w:color w:val="auto"/>
        </w:rPr>
      </w:pPr>
    </w:p>
    <w:p>
      <w:pPr>
        <w:ind w:left="1020" w:right="160" w:firstLine="6"/>
        <w:spacing w:after="0" w:line="222" w:lineRule="auto"/>
        <w:tabs>
          <w:tab w:leader="none" w:pos="1115" w:val="left"/>
        </w:tabs>
        <w:numPr>
          <w:ilvl w:val="0"/>
          <w:numId w:val="30"/>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The April 30, 2021 private placement debt (the "Notes") was issued in an original amount of $249,934 thousand with an interest rate of 7.00%, maturing on April 30, 2024. The debt was issued at a discount, the carrying value of which was $16,691 thousand and $21,244 thousand as of June 30, 2022 and December 31, 2021, respectively.</w:t>
      </w:r>
    </w:p>
    <w:p>
      <w:pPr>
        <w:spacing w:after="0" w:line="209" w:lineRule="exact"/>
        <w:rPr>
          <w:sz w:val="20"/>
          <w:szCs w:val="20"/>
          <w:color w:val="auto"/>
        </w:rPr>
      </w:pPr>
    </w:p>
    <w:p>
      <w:pPr>
        <w:ind w:left="1020" w:firstLine="6"/>
        <w:spacing w:after="0" w:line="231" w:lineRule="auto"/>
        <w:tabs>
          <w:tab w:leader="none" w:pos="1115" w:val="left"/>
        </w:tabs>
        <w:numPr>
          <w:ilvl w:val="1"/>
          <w:numId w:val="31"/>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Mortgage notes in the original amount of $19,947 thousand and $10,437 thousand as of June 30, 2022 and December 31, 2021, respectively, were issued by the Company in connection with various operating properties. These mortgage notes were issued at a discount, the carrying value of which, as of June 30, 2022 and December 31, 2021, was $156 thousand and $162 thousand, respectively, and are presented net of principal payments of $462 thousand and $269 thousand, respectively. The mortgage notes mature between August 20, 2025 and June 5, 2035.</w:t>
      </w:r>
    </w:p>
    <w:p>
      <w:pPr>
        <w:spacing w:after="0" w:line="188" w:lineRule="exact"/>
        <w:rPr>
          <w:rFonts w:ascii="Times New Roman" w:cs="Times New Roman" w:eastAsia="Times New Roman" w:hAnsi="Times New Roman"/>
          <w:sz w:val="22"/>
          <w:szCs w:val="22"/>
          <w:b w:val="1"/>
          <w:bCs w:val="1"/>
          <w:color w:val="auto"/>
          <w:vertAlign w:val="superscript"/>
        </w:rPr>
      </w:pPr>
    </w:p>
    <w:p>
      <w:pPr>
        <w:ind w:left="440" w:hanging="432"/>
        <w:spacing w:after="0"/>
        <w:tabs>
          <w:tab w:leader="none" w:pos="4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Extension of Maturity Date on April 30, 2021 Notes</w:t>
      </w:r>
    </w:p>
    <w:p>
      <w:pPr>
        <w:spacing w:after="0" w:line="202"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On July 14, 2022, the Company exercised its right to extend the maturity date of the Notes by one year from April 30, 2024 to April 30, 2025. The extension to the maturity date did not involve any amendment to the Notes or any additional consideration to the existing lenders.</w:t>
      </w:r>
    </w:p>
    <w:p>
      <w:pPr>
        <w:spacing w:after="0" w:line="131" w:lineRule="exact"/>
        <w:rPr>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21" w:lineRule="exact"/>
        <w:rPr>
          <w:sz w:val="20"/>
          <w:szCs w:val="20"/>
          <w:color w:val="auto"/>
        </w:rPr>
      </w:pPr>
    </w:p>
    <w:p>
      <w:pPr>
        <w:ind w:left="520" w:right="120"/>
        <w:spacing w:after="0" w:line="246" w:lineRule="auto"/>
        <w:rPr>
          <w:sz w:val="20"/>
          <w:szCs w:val="20"/>
          <w:color w:val="auto"/>
        </w:rPr>
      </w:pPr>
      <w:r>
        <w:rPr>
          <w:rFonts w:ascii="Times New Roman" w:cs="Times New Roman" w:eastAsia="Times New Roman" w:hAnsi="Times New Roman"/>
          <w:sz w:val="18"/>
          <w:szCs w:val="18"/>
          <w:color w:val="auto"/>
        </w:rPr>
        <w:t>A portion of the April 30, 2021 Notes are held by related parties as well as unrelated third-party lenders at a percentage of approximately 1% and 99%, respectively. The related parties consist of Benjamin Kovler, the Chief Executive Officer and Chairman of the Company (held through KP Capital, LLC and Outsiders Capital, LLC); Andrew Grossman, the Executive Vice President of Capital Markets of the Company (held through AG Funding Group, LLC); Anthony Georgiadis, the Chief Financial Officer and a director of the Corporation (held through Three One Four Holdings, LLC); and Anthony Georgiadis and William Gruver, a director of the Corporation (held through ABG, LLC).</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16" w:lineRule="exact"/>
        <w:rPr>
          <w:sz w:val="20"/>
          <w:szCs w:val="20"/>
          <w:color w:val="auto"/>
        </w:rPr>
      </w:pPr>
    </w:p>
    <w:p>
      <w:pPr>
        <w:ind w:left="420" w:hanging="412"/>
        <w:spacing w:after="0"/>
        <w:tabs>
          <w:tab w:leader="none" w:pos="4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As part of the financing of the Company’s Notes, as well as other financing arrangements, the Company issued warrants to related parties, as well as unrelated third parties, which allow the holders to purchase Subordinate Voting Shares at an exercise price determined at the time of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number of warrants outstanding as of June 30, 2022 and December 31,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Liability Classified</w:t>
            </w: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Equity Classified</w:t>
            </w: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2"/>
          </w:tcPr>
          <w:p>
            <w:pPr>
              <w:jc w:val="center"/>
              <w:ind w:right="160"/>
              <w:spacing w:after="0" w:line="156"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6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120" w:type="dxa"/>
            <w:vAlign w:val="bottom"/>
          </w:tcPr>
          <w:p>
            <w:pPr>
              <w:spacing w:after="0"/>
              <w:rPr>
                <w:sz w:val="14"/>
                <w:szCs w:val="14"/>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80" w:type="dxa"/>
            <w:vAlign w:val="bottom"/>
          </w:tcPr>
          <w:p>
            <w:pPr>
              <w:spacing w:after="0"/>
              <w:rPr>
                <w:sz w:val="14"/>
                <w:szCs w:val="14"/>
                <w:color w:val="auto"/>
              </w:rPr>
            </w:pPr>
          </w:p>
        </w:tc>
        <w:tc>
          <w:tcPr>
            <w:tcW w:w="1120" w:type="dxa"/>
            <w:vAlign w:val="bottom"/>
            <w:gridSpan w:val="2"/>
          </w:tcPr>
          <w:p>
            <w:pPr>
              <w:jc w:val="center"/>
              <w:ind w:right="1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40" w:type="dxa"/>
            <w:vAlign w:val="bottom"/>
          </w:tcPr>
          <w:p>
            <w:pPr>
              <w:spacing w:after="0"/>
              <w:rPr>
                <w:sz w:val="14"/>
                <w:szCs w:val="14"/>
                <w:color w:val="auto"/>
              </w:rPr>
            </w:pPr>
          </w:p>
        </w:tc>
        <w:tc>
          <w:tcPr>
            <w:tcW w:w="1080" w:type="dxa"/>
            <w:vAlign w:val="bottom"/>
            <w:gridSpan w:val="2"/>
          </w:tcPr>
          <w:p>
            <w:pPr>
              <w:jc w:val="center"/>
              <w:ind w:right="1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2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Price (C$)</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8"/>
                <w:szCs w:val="18"/>
                <w:color w:val="auto"/>
              </w:rPr>
            </w:pP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4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Price (USD)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2,097,931</w:t>
            </w:r>
          </w:p>
        </w:tc>
        <w:tc>
          <w:tcPr>
            <w:tcW w:w="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shd w:val="clear" w:color="auto" w:fill="CFF0FC"/>
          </w:tcPr>
          <w:p>
            <w:pPr>
              <w:spacing w:after="0"/>
              <w:rPr>
                <w:sz w:val="17"/>
                <w:szCs w:val="17"/>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1,737,347</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20" w:type="dxa"/>
            <w:vAlign w:val="bottom"/>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2,097,931</w:t>
            </w:r>
          </w:p>
        </w:tc>
        <w:tc>
          <w:tcPr>
            <w:tcW w:w="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1,737,347</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-157480</wp:posOffset>
            </wp:positionV>
            <wp:extent cx="102235" cy="1708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-157480</wp:posOffset>
            </wp:positionV>
            <wp:extent cx="102870" cy="1708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4526915</wp:posOffset>
            </wp:positionH>
            <wp:positionV relativeFrom="paragraph">
              <wp:posOffset>-157480</wp:posOffset>
            </wp:positionV>
            <wp:extent cx="93980" cy="1708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-157480</wp:posOffset>
            </wp:positionV>
            <wp:extent cx="93980" cy="1708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-157480</wp:posOffset>
            </wp:positionV>
            <wp:extent cx="93980" cy="1708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-157480</wp:posOffset>
            </wp:positionV>
            <wp:extent cx="93980" cy="1708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3980" cy="170815"/>
                    </a:xfrm>
                    <a:prstGeom prst="rect">
                      <a:avLst/>
                    </a:prstGeom>
                    <a:noFill/>
                  </pic:spPr>
                </pic:pic>
              </a:graphicData>
            </a:graphic>
          </wp:anchor>
        </w:drawing>
      </w:r>
    </w:p>
    <w:p>
      <w:pPr>
        <w:spacing w:after="0" w:line="174" w:lineRule="exact"/>
        <w:rPr>
          <w:sz w:val="20"/>
          <w:szCs w:val="20"/>
          <w:color w:val="auto"/>
        </w:rPr>
      </w:pPr>
    </w:p>
    <w:p>
      <w:pPr>
        <w:ind w:left="400" w:hanging="392"/>
        <w:spacing w:after="0"/>
        <w:tabs>
          <w:tab w:leader="none" w:pos="4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Classified Warrants Outstanding</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fair value of the liability classified warrants at June 30, 2022 and December 31,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Warrant Liability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Strike Price</w:t>
            </w:r>
          </w:p>
        </w:tc>
        <w:tc>
          <w:tcPr>
            <w:tcW w:w="120" w:type="dxa"/>
            <w:vAlign w:val="bottom"/>
          </w:tcPr>
          <w:p>
            <w:pPr>
              <w:spacing w:after="0"/>
              <w:rPr>
                <w:sz w:val="13"/>
                <w:szCs w:val="13"/>
                <w:color w:val="auto"/>
              </w:rPr>
            </w:pPr>
          </w:p>
        </w:tc>
        <w:tc>
          <w:tcPr>
            <w:tcW w:w="1500" w:type="dxa"/>
            <w:vAlign w:val="bottom"/>
            <w:gridSpan w:val="2"/>
          </w:tcPr>
          <w:p>
            <w:pPr>
              <w:jc w:val="center"/>
              <w:ind w:right="140"/>
              <w:spacing w:after="0" w:line="159" w:lineRule="exact"/>
              <w:rPr>
                <w:sz w:val="20"/>
                <w:szCs w:val="20"/>
                <w:color w:val="auto"/>
              </w:rPr>
            </w:pPr>
            <w:r>
              <w:rPr>
                <w:rFonts w:ascii="Times New Roman" w:cs="Times New Roman" w:eastAsia="Times New Roman" w:hAnsi="Times New Roman"/>
                <w:sz w:val="16"/>
                <w:szCs w:val="16"/>
                <w:b w:val="1"/>
                <w:bCs w:val="1"/>
                <w:color w:val="auto"/>
              </w:rPr>
              <w:t>Warrants</w:t>
            </w:r>
          </w:p>
        </w:tc>
        <w:tc>
          <w:tcPr>
            <w:tcW w:w="100" w:type="dxa"/>
            <w:vAlign w:val="bottom"/>
          </w:tcPr>
          <w:p>
            <w:pPr>
              <w:spacing w:after="0"/>
              <w:rPr>
                <w:sz w:val="13"/>
                <w:szCs w:val="13"/>
                <w:color w:val="auto"/>
              </w:rPr>
            </w:pPr>
          </w:p>
        </w:tc>
        <w:tc>
          <w:tcPr>
            <w:tcW w:w="10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99"/>
              <w:spacing w:after="0" w:line="159"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5"/>
        </w:trPr>
        <w:tc>
          <w:tcPr>
            <w:tcW w:w="46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Bridge Financing Warrants Issued April 2019</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C$22.90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100,723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4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Placement Financing Warrants Issued May 2019</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C$19.39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1,606,533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(16,478 )</w:t>
            </w: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Modification Warrants Issued November 2019</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C$12.04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316,947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(3,745 )</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Modification Warrants Issued May 2020</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C$14.03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73,728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(874 )</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1000" w:type="dxa"/>
            <w:vAlign w:val="bottom"/>
            <w:tcBorders>
              <w:top w:val="single" w:sz="8" w:color="auto"/>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2,097,931</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3,105</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24,877</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(21,772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20"/>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the Company recorded a gain of $13,843 thousand and $21,772 thousand, and a loss of $2,160 thousand and $8,011 thousand, respectively, on the change in the fair value of the warrant liability within other income (expense) on the unaudited interim condensed consolidated statements of operations.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significant assumptions used in determining the fair value of the warrant liability as of each reporting date (see</w:t>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 14 - Fair Value Measurements for additional details):</w:t>
      </w:r>
    </w:p>
    <w:p>
      <w:pPr>
        <w:spacing w:after="0" w:line="194" w:lineRule="exact"/>
        <w:rPr>
          <w:sz w:val="20"/>
          <w:szCs w:val="20"/>
          <w:color w:val="auto"/>
        </w:rPr>
      </w:pPr>
    </w:p>
    <w:tbl>
      <w:tblPr>
        <w:tblLayout w:type="fixed"/>
        <w:tblInd w:w="96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40" w:type="dxa"/>
            <w:vAlign w:val="bottom"/>
          </w:tcPr>
          <w:p>
            <w:pPr>
              <w:spacing w:after="0"/>
              <w:rPr>
                <w:sz w:val="18"/>
                <w:szCs w:val="18"/>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Significant Assumptions</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60" w:type="dxa"/>
            <w:vAlign w:val="bottom"/>
            <w:gridSpan w:val="3"/>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19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62.23%</w:t>
            </w:r>
          </w:p>
        </w:tc>
        <w:tc>
          <w:tcPr>
            <w:tcW w:w="10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- 68.30%</w:t>
            </w:r>
          </w:p>
        </w:tc>
        <w:tc>
          <w:tcPr>
            <w:tcW w:w="34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59.95%</w:t>
            </w:r>
          </w:p>
        </w:tc>
        <w:tc>
          <w:tcPr>
            <w:tcW w:w="1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- 74.04%</w:t>
            </w:r>
          </w:p>
        </w:tc>
      </w:tr>
      <w:tr>
        <w:trPr>
          <w:trHeight w:val="20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Remaining Term</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0.28 - 2.89 years</w:t>
            </w:r>
          </w:p>
        </w:tc>
        <w:tc>
          <w:tcPr>
            <w:tcW w:w="340" w:type="dxa"/>
            <w:vAlign w:val="bottom"/>
          </w:tcPr>
          <w:p>
            <w:pPr>
              <w:spacing w:after="0"/>
              <w:rPr>
                <w:sz w:val="17"/>
                <w:szCs w:val="17"/>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0.78 - 3.39 years</w:t>
            </w:r>
          </w:p>
        </w:tc>
      </w:tr>
      <w:tr>
        <w:trPr>
          <w:trHeight w:val="20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 Free Rate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- 3.14%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- 1.06%</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both"/>
        <w:ind w:left="2780" w:right="2720" w:hanging="41"/>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200" w:lineRule="exact"/>
        <w:rPr>
          <w:sz w:val="20"/>
          <w:szCs w:val="20"/>
          <w:color w:val="auto"/>
        </w:rPr>
      </w:pPr>
    </w:p>
    <w:p>
      <w:pPr>
        <w:spacing w:after="0" w:line="252" w:lineRule="exact"/>
        <w:rPr>
          <w:sz w:val="20"/>
          <w:szCs w:val="20"/>
          <w:color w:val="auto"/>
        </w:rPr>
      </w:pPr>
    </w:p>
    <w:p>
      <w:pPr>
        <w:ind w:left="420" w:hanging="412"/>
        <w:spacing w:after="0"/>
        <w:tabs>
          <w:tab w:leader="none" w:pos="4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Equity Classified Warrants Outstanding</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fair value of the equity classified warrants at June 30, 2022 and December 31, 2021:</w:t>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r>
      <w:tr>
        <w:trPr>
          <w:trHeight w:val="186"/>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220" w:type="dxa"/>
            <w:vAlign w:val="bottom"/>
          </w:tcPr>
          <w:p>
            <w:pPr>
              <w:spacing w:after="0"/>
              <w:rPr>
                <w:sz w:val="16"/>
                <w:szCs w:val="16"/>
                <w:color w:val="auto"/>
              </w:rPr>
            </w:pPr>
          </w:p>
        </w:tc>
        <w:tc>
          <w:tcPr>
            <w:tcW w:w="10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r>
      <w:tr>
        <w:trPr>
          <w:trHeight w:val="218"/>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 Included in Contributed Surplus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Strike Price</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r>
      <w:tr>
        <w:trPr>
          <w:trHeight w:val="196"/>
        </w:trPr>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7"/>
                <w:szCs w:val="17"/>
                <w:color w:val="auto"/>
              </w:rPr>
            </w:pPr>
          </w:p>
        </w:tc>
      </w:tr>
      <w:tr>
        <w:trPr>
          <w:trHeight w:val="19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 Warrants Issued June 2020</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 Refinance Warrants Issued April 2021</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1,459,044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22,259</w:t>
            </w:r>
          </w:p>
        </w:tc>
        <w:tc>
          <w:tcPr>
            <w:tcW w:w="100" w:type="dxa"/>
            <w:vAlign w:val="bottom"/>
          </w:tcPr>
          <w:p>
            <w:pPr>
              <w:spacing w:after="0"/>
              <w:rPr>
                <w:sz w:val="17"/>
                <w:szCs w:val="17"/>
                <w:color w:val="auto"/>
              </w:rPr>
            </w:pPr>
          </w:p>
        </w:tc>
      </w:tr>
      <w:tr>
        <w:trPr>
          <w:trHeight w:val="203"/>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Private Placement Refinance Warrants Issued October 2021</w:t>
            </w:r>
          </w:p>
        </w:tc>
        <w:tc>
          <w:tcPr>
            <w:tcW w:w="2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243,303</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1,737,347</w:t>
            </w:r>
          </w:p>
        </w:tc>
        <w:tc>
          <w:tcPr>
            <w:tcW w:w="10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25,056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25,056</w:t>
            </w:r>
          </w:p>
        </w:tc>
        <w:tc>
          <w:tcPr>
            <w:tcW w:w="10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-162560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-162560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-162560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540"/>
        <w:spacing w:after="0" w:line="266" w:lineRule="auto"/>
        <w:rPr>
          <w:sz w:val="20"/>
          <w:szCs w:val="20"/>
          <w:color w:val="auto"/>
        </w:rPr>
      </w:pPr>
      <w:r>
        <w:rPr>
          <w:rFonts w:ascii="Times New Roman" w:cs="Times New Roman" w:eastAsia="Times New Roman" w:hAnsi="Times New Roman"/>
          <w:sz w:val="18"/>
          <w:szCs w:val="18"/>
          <w:color w:val="auto"/>
        </w:rPr>
        <w:t>The equity warrants were valued as of the date of issuance using a Black Scholes Option Pricing model. The following table summarizes the significant assumptions used in determining the fair value of the warrants as of each respective issuance date:</w:t>
      </w:r>
    </w:p>
    <w:p>
      <w:pPr>
        <w:spacing w:after="0" w:line="145"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15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Private Placement</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 Placement</w:t>
            </w:r>
          </w:p>
        </w:tc>
        <w:tc>
          <w:tcPr>
            <w:tcW w:w="11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Dispensary</w:t>
            </w:r>
          </w:p>
        </w:tc>
      </w:tr>
      <w:tr>
        <w:trPr>
          <w:trHeight w:val="173"/>
        </w:trPr>
        <w:tc>
          <w:tcPr>
            <w:tcW w:w="3640" w:type="dxa"/>
            <w:vAlign w:val="bottom"/>
          </w:tcPr>
          <w:p>
            <w:pPr>
              <w:spacing w:after="0"/>
              <w:rPr>
                <w:sz w:val="15"/>
                <w:szCs w:val="15"/>
                <w:color w:val="auto"/>
              </w:rPr>
            </w:pPr>
          </w:p>
        </w:tc>
        <w:tc>
          <w:tcPr>
            <w:tcW w:w="1500" w:type="dxa"/>
            <w:vAlign w:val="bottom"/>
          </w:tcPr>
          <w:p>
            <w:pPr>
              <w:jc w:val="center"/>
              <w:ind w:right="19"/>
              <w:spacing w:after="0" w:line="173" w:lineRule="exact"/>
              <w:rPr>
                <w:sz w:val="20"/>
                <w:szCs w:val="20"/>
                <w:color w:val="auto"/>
              </w:rPr>
            </w:pPr>
            <w:r>
              <w:rPr>
                <w:rFonts w:ascii="Times New Roman" w:cs="Times New Roman" w:eastAsia="Times New Roman" w:hAnsi="Times New Roman"/>
                <w:sz w:val="16"/>
                <w:szCs w:val="16"/>
                <w:b w:val="1"/>
                <w:bCs w:val="1"/>
                <w:color w:val="auto"/>
              </w:rPr>
              <w:t>Refinancing</w:t>
            </w:r>
          </w:p>
        </w:tc>
        <w:tc>
          <w:tcPr>
            <w:tcW w:w="156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Refinancing</w:t>
            </w:r>
          </w:p>
        </w:tc>
        <w:tc>
          <w:tcPr>
            <w:tcW w:w="1160" w:type="dxa"/>
            <w:vAlign w:val="bottom"/>
          </w:tcPr>
          <w:p>
            <w:pPr>
              <w:jc w:val="center"/>
              <w:ind w:right="39"/>
              <w:spacing w:after="0" w:line="173" w:lineRule="exact"/>
              <w:rPr>
                <w:sz w:val="20"/>
                <w:szCs w:val="20"/>
                <w:color w:val="auto"/>
              </w:rPr>
            </w:pPr>
            <w:r>
              <w:rPr>
                <w:rFonts w:ascii="Times New Roman" w:cs="Times New Roman" w:eastAsia="Times New Roman" w:hAnsi="Times New Roman"/>
                <w:sz w:val="16"/>
                <w:szCs w:val="16"/>
                <w:b w:val="1"/>
                <w:bCs w:val="1"/>
                <w:color w:val="auto"/>
              </w:rPr>
              <w:t>Mortgage</w:t>
            </w:r>
          </w:p>
        </w:tc>
      </w:tr>
      <w:tr>
        <w:trPr>
          <w:trHeight w:val="218"/>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Significant Assumptions</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tc>
      </w:tr>
      <w:tr>
        <w:trPr>
          <w:trHeight w:val="196"/>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Date of Issuance</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15, 2021</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30, 2021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2020</w:t>
            </w:r>
          </w:p>
        </w:tc>
      </w:tr>
      <w:tr>
        <w:trPr>
          <w:trHeight w:val="203"/>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Volatility</w:t>
            </w:r>
          </w:p>
        </w:tc>
        <w:tc>
          <w:tcPr>
            <w:tcW w:w="150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73%</w:t>
            </w:r>
          </w:p>
        </w:tc>
        <w:tc>
          <w:tcPr>
            <w:tcW w:w="1560" w:type="dxa"/>
            <w:vAlign w:val="bottom"/>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rPr>
              <w:t>73%</w:t>
            </w:r>
          </w:p>
        </w:tc>
        <w:tc>
          <w:tcPr>
            <w:tcW w:w="116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Estimated Term</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years</w:t>
            </w:r>
          </w:p>
        </w:tc>
        <w:tc>
          <w:tcPr>
            <w:tcW w:w="156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4 years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r>
      <w:tr>
        <w:trPr>
          <w:trHeight w:val="203"/>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Risk Free Rate</w:t>
            </w:r>
          </w:p>
        </w:tc>
        <w:tc>
          <w:tcPr>
            <w:tcW w:w="1500" w:type="dxa"/>
            <w:vAlign w:val="bottom"/>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rPr>
              <w:t>1.12%</w:t>
            </w:r>
          </w:p>
        </w:tc>
        <w:tc>
          <w:tcPr>
            <w:tcW w:w="156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0.74%</w:t>
            </w:r>
          </w:p>
        </w:tc>
        <w:tc>
          <w:tcPr>
            <w:tcW w:w="116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0.37%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00" w:lineRule="exact"/>
        <w:rPr>
          <w:sz w:val="20"/>
          <w:szCs w:val="20"/>
          <w:color w:val="auto"/>
        </w:rPr>
      </w:pPr>
    </w:p>
    <w:p>
      <w:pPr>
        <w:spacing w:after="0" w:line="300" w:lineRule="exact"/>
        <w:rPr>
          <w:sz w:val="20"/>
          <w:szCs w:val="20"/>
          <w:color w:val="auto"/>
        </w:rPr>
      </w:pPr>
    </w:p>
    <w:p>
      <w:pPr>
        <w:ind w:left="500" w:hanging="492"/>
        <w:spacing w:after="0"/>
        <w:tabs>
          <w:tab w:leader="none" w:pos="5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400" w:hanging="392"/>
        <w:spacing w:after="0"/>
        <w:tabs>
          <w:tab w:leader="none" w:pos="4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the following classes of share capital, with each class having no par value:</w:t>
      </w:r>
    </w:p>
    <w:p>
      <w:pPr>
        <w:spacing w:after="0" w:line="208" w:lineRule="exact"/>
        <w:rPr>
          <w:sz w:val="20"/>
          <w:szCs w:val="20"/>
          <w:color w:val="auto"/>
        </w:rPr>
      </w:pPr>
    </w:p>
    <w:p>
      <w:pPr>
        <w:ind w:left="860" w:hanging="343"/>
        <w:spacing w:after="0"/>
        <w:tabs>
          <w:tab w:leader="none" w:pos="8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Subordinate Voting Shares</w:t>
      </w:r>
    </w:p>
    <w:p>
      <w:pPr>
        <w:spacing w:after="0" w:line="108" w:lineRule="exact"/>
        <w:rPr>
          <w:sz w:val="20"/>
          <w:szCs w:val="20"/>
          <w:color w:val="auto"/>
        </w:rPr>
      </w:pPr>
    </w:p>
    <w:p>
      <w:pPr>
        <w:ind w:left="1140" w:right="20"/>
        <w:spacing w:after="0" w:line="246" w:lineRule="auto"/>
        <w:rPr>
          <w:sz w:val="20"/>
          <w:szCs w:val="20"/>
          <w:color w:val="auto"/>
        </w:rPr>
      </w:pPr>
      <w:r>
        <w:rPr>
          <w:rFonts w:ascii="Times New Roman" w:cs="Times New Roman" w:eastAsia="Times New Roman" w:hAnsi="Times New Roman"/>
          <w:sz w:val="18"/>
          <w:szCs w:val="18"/>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 During the six months ended June 30, 2022, the shareholders of the Company converted 5,000 Multiple Voting Shares into 500,000 Subordinate Voting Shares.</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(ii)  Multiple Voting Shares</w:t>
      </w:r>
    </w:p>
    <w:p>
      <w:pPr>
        <w:spacing w:after="0" w:line="108" w:lineRule="exact"/>
        <w:rPr>
          <w:sz w:val="20"/>
          <w:szCs w:val="20"/>
          <w:color w:val="auto"/>
        </w:rPr>
      </w:pPr>
    </w:p>
    <w:p>
      <w:pPr>
        <w:ind w:left="1140" w:right="60"/>
        <w:spacing w:after="0" w:line="246" w:lineRule="auto"/>
        <w:rPr>
          <w:sz w:val="20"/>
          <w:szCs w:val="20"/>
          <w:color w:val="auto"/>
        </w:rPr>
      </w:pPr>
      <w:r>
        <w:rPr>
          <w:rFonts w:ascii="Times New Roman" w:cs="Times New Roman" w:eastAsia="Times New Roman" w:hAnsi="Times New Roman"/>
          <w:sz w:val="18"/>
          <w:szCs w:val="18"/>
          <w:color w:val="auto"/>
        </w:rPr>
        <w:t>Each Multiple Voting Share is entitled to 100 votes per share at shareholder meetings of the Company and is exchangeable for 100 Subordinate Voting Shares. At June 30, 2022, the Company had 38,531 issued and outstanding Multiple Voting Shares, which convert into 3,853,100 Subordinate Voting Shares. The Company is authorized to issue an unlimited number of Multiple Voting Shares. During the six months ended June 30, 2022, the shareholders of the Company converted 5,000 Super Voting Shares into 5,000 Multiple Voting Shares and 5,000 Multiple Voting Shares into 500,000 Subordinate Voting Shares.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(iii) Super Voting Shares</w:t>
      </w:r>
    </w:p>
    <w:p>
      <w:pPr>
        <w:spacing w:after="0" w:line="121" w:lineRule="exact"/>
        <w:rPr>
          <w:sz w:val="20"/>
          <w:szCs w:val="20"/>
          <w:color w:val="auto"/>
        </w:rPr>
      </w:pPr>
    </w:p>
    <w:p>
      <w:pPr>
        <w:ind w:left="1140"/>
        <w:spacing w:after="0" w:line="246" w:lineRule="auto"/>
        <w:rPr>
          <w:sz w:val="20"/>
          <w:szCs w:val="20"/>
          <w:color w:val="auto"/>
        </w:rPr>
      </w:pPr>
      <w:r>
        <w:rPr>
          <w:rFonts w:ascii="Times New Roman" w:cs="Times New Roman" w:eastAsia="Times New Roman" w:hAnsi="Times New Roman"/>
          <w:sz w:val="18"/>
          <w:szCs w:val="18"/>
          <w:color w:val="auto"/>
        </w:rPr>
        <w:t>Each Super Voting Share is entitled to 1,000 votes per share at shareholder meetings of the Company and is exchangeable for 100 Subordinate Voting Shares or one Multiple Voting Share. At June 30, 2022, the Company had 280,031 issued and outstanding Super Voting Shares which convert into 28,003,100 Subordinate Voting Shares. The Company is authorized to issue an unlimited number of Super Voting Shares. During the six months ended June 30, 2022, the shareholders of the Company converted 5,000 Super Voting Shares into 5,000 Multiple Voting Shares.</w:t>
      </w:r>
    </w:p>
    <w:p>
      <w:pPr>
        <w:spacing w:after="0" w:line="17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Issued and Outstanding</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the issued and outstanding shares by class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Issued and Outstanding</w:t>
            </w: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00" w:type="dxa"/>
            <w:vAlign w:val="bottom"/>
          </w:tcPr>
          <w:p>
            <w:pPr>
              <w:jc w:val="right"/>
              <w:ind w:right="279"/>
              <w:spacing w:after="0" w:line="131" w:lineRule="exact"/>
              <w:rPr>
                <w:sz w:val="20"/>
                <w:szCs w:val="20"/>
                <w:color w:val="auto"/>
              </w:rPr>
            </w:pPr>
            <w:r>
              <w:rPr>
                <w:rFonts w:ascii="Times New Roman" w:cs="Times New Roman" w:eastAsia="Times New Roman" w:hAnsi="Times New Roman"/>
                <w:sz w:val="14"/>
                <w:szCs w:val="14"/>
                <w:b w:val="1"/>
                <w:bCs w:val="1"/>
                <w:color w:val="auto"/>
              </w:rPr>
              <w:t>Subordinate</w:t>
            </w:r>
          </w:p>
        </w:tc>
        <w:tc>
          <w:tcPr>
            <w:tcW w:w="300" w:type="dxa"/>
            <w:vAlign w:val="bottom"/>
          </w:tcPr>
          <w:p>
            <w:pPr>
              <w:spacing w:after="0"/>
              <w:rPr>
                <w:sz w:val="11"/>
                <w:szCs w:val="11"/>
                <w:color w:val="auto"/>
              </w:rPr>
            </w:pPr>
          </w:p>
        </w:tc>
        <w:tc>
          <w:tcPr>
            <w:tcW w:w="14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Multiple</w:t>
            </w:r>
          </w:p>
        </w:tc>
        <w:tc>
          <w:tcPr>
            <w:tcW w:w="280" w:type="dxa"/>
            <w:vAlign w:val="bottom"/>
          </w:tcPr>
          <w:p>
            <w:pPr>
              <w:spacing w:after="0"/>
              <w:rPr>
                <w:sz w:val="11"/>
                <w:szCs w:val="11"/>
                <w:color w:val="auto"/>
              </w:rPr>
            </w:pPr>
          </w:p>
        </w:tc>
        <w:tc>
          <w:tcPr>
            <w:tcW w:w="1520" w:type="dxa"/>
            <w:vAlign w:val="bottom"/>
          </w:tcPr>
          <w:p>
            <w:pPr>
              <w:jc w:val="right"/>
              <w:ind w:right="495"/>
              <w:spacing w:after="0" w:line="131" w:lineRule="exact"/>
              <w:rPr>
                <w:sz w:val="20"/>
                <w:szCs w:val="20"/>
                <w:color w:val="auto"/>
              </w:rPr>
            </w:pPr>
            <w:r>
              <w:rPr>
                <w:rFonts w:ascii="Times New Roman" w:cs="Times New Roman" w:eastAsia="Times New Roman" w:hAnsi="Times New Roman"/>
                <w:sz w:val="14"/>
                <w:szCs w:val="14"/>
                <w:b w:val="1"/>
                <w:bCs w:val="1"/>
                <w:color w:val="auto"/>
              </w:rPr>
              <w:t>Super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00" w:type="dxa"/>
            <w:vAlign w:val="bottom"/>
          </w:tcPr>
          <w:p>
            <w:pPr>
              <w:jc w:val="right"/>
              <w:ind w:right="459"/>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3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280" w:type="dxa"/>
            <w:vAlign w:val="bottom"/>
          </w:tcPr>
          <w:p>
            <w:pPr>
              <w:spacing w:after="0"/>
              <w:rPr>
                <w:sz w:val="12"/>
                <w:szCs w:val="12"/>
                <w:color w:val="auto"/>
              </w:rPr>
            </w:pPr>
          </w:p>
        </w:tc>
        <w:tc>
          <w:tcPr>
            <w:tcW w:w="162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94"/>
        </w:trPr>
        <w:tc>
          <w:tcPr>
            <w:tcW w:w="5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at January 1, 2022</w:t>
            </w:r>
          </w:p>
        </w:tc>
        <w:tc>
          <w:tcPr>
            <w:tcW w:w="96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201,768,312</w:t>
            </w:r>
          </w:p>
        </w:tc>
        <w:tc>
          <w:tcPr>
            <w:tcW w:w="30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28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under business combinations and investments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204,036</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667,080</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upon exercise of options and warrants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177,044</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336,005</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for settlement of business obligation</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80,588</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of shares</w:t>
            </w:r>
          </w:p>
        </w:tc>
        <w:tc>
          <w:tcPr>
            <w:tcW w:w="9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(5,000 )</w:t>
            </w:r>
          </w:p>
        </w:tc>
        <w:tc>
          <w:tcPr>
            <w:tcW w:w="0" w:type="dxa"/>
            <w:vAlign w:val="bottom"/>
          </w:tcPr>
          <w:p>
            <w:pPr>
              <w:spacing w:after="0"/>
              <w:rPr>
                <w:sz w:val="1"/>
                <w:szCs w:val="1"/>
                <w:color w:val="auto"/>
              </w:rPr>
            </w:pPr>
          </w:p>
        </w:tc>
      </w:tr>
      <w:tr>
        <w:trPr>
          <w:trHeight w:val="210"/>
        </w:trPr>
        <w:tc>
          <w:tcPr>
            <w:tcW w:w="5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at June 30, 2022</w:t>
            </w:r>
          </w:p>
        </w:tc>
        <w:tc>
          <w:tcPr>
            <w:tcW w:w="960" w:type="dxa"/>
            <w:vAlign w:val="bottom"/>
            <w:tcBorders>
              <w:top w:val="single" w:sz="8" w:color="CFF0FC"/>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203,733,065</w:t>
            </w:r>
          </w:p>
        </w:tc>
        <w:tc>
          <w:tcPr>
            <w:tcW w:w="300" w:type="dxa"/>
            <w:vAlign w:val="bottom"/>
            <w:tcBorders>
              <w:top w:val="single" w:sz="8" w:color="CFF0FC"/>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38,531</w:t>
            </w:r>
          </w:p>
        </w:tc>
        <w:tc>
          <w:tcPr>
            <w:tcW w:w="280" w:type="dxa"/>
            <w:vAlign w:val="bottom"/>
            <w:tcBorders>
              <w:top w:val="single" w:sz="8" w:color="CFF0FC"/>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280,031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9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22</w:t>
            </w: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51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-650875</wp:posOffset>
            </wp:positionV>
            <wp:extent cx="768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-650875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00" w:lineRule="exact"/>
        <w:rPr>
          <w:sz w:val="20"/>
          <w:szCs w:val="20"/>
          <w:color w:val="auto"/>
        </w:rPr>
      </w:pPr>
    </w:p>
    <w:p>
      <w:pPr>
        <w:spacing w:after="0" w:line="300" w:lineRule="exact"/>
        <w:rPr>
          <w:sz w:val="20"/>
          <w:szCs w:val="20"/>
          <w:color w:val="auto"/>
        </w:rPr>
      </w:pPr>
    </w:p>
    <w:p>
      <w:pPr>
        <w:ind w:left="500" w:hanging="492"/>
        <w:spacing w:after="0"/>
        <w:tabs>
          <w:tab w:leader="none" w:pos="50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346"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Issued and Outstanding </w:t>
      </w:r>
      <w:r>
        <w:rPr>
          <w:rFonts w:ascii="Times New Roman" w:cs="Times New Roman" w:eastAsia="Times New Roman" w:hAnsi="Times New Roman"/>
          <w:sz w:val="18"/>
          <w:szCs w:val="18"/>
          <w:i w:val="1"/>
          <w:iCs w:val="1"/>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800" w:hanging="342"/>
        <w:spacing w:after="0"/>
        <w:tabs>
          <w:tab w:leader="none" w:pos="800" w:val="left"/>
        </w:tabs>
        <w:numPr>
          <w:ilvl w:val="2"/>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Shares Under Business Combinations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ILDISP, LLC</w:t>
      </w:r>
    </w:p>
    <w:p>
      <w:pPr>
        <w:spacing w:after="0" w:line="106" w:lineRule="exact"/>
        <w:rPr>
          <w:sz w:val="20"/>
          <w:szCs w:val="20"/>
          <w:color w:val="auto"/>
        </w:rPr>
      </w:pPr>
    </w:p>
    <w:p>
      <w:pPr>
        <w:ind w:left="1140" w:right="120"/>
        <w:spacing w:after="0" w:line="250" w:lineRule="auto"/>
        <w:rPr>
          <w:sz w:val="20"/>
          <w:szCs w:val="20"/>
          <w:color w:val="auto"/>
        </w:rPr>
      </w:pPr>
      <w:r>
        <w:rPr>
          <w:rFonts w:ascii="Times New Roman" w:cs="Times New Roman" w:eastAsia="Times New Roman" w:hAnsi="Times New Roman"/>
          <w:sz w:val="18"/>
          <w:szCs w:val="18"/>
          <w:color w:val="auto"/>
        </w:rPr>
        <w:t>On March 1, 2022, the Company issued 204,036 Subordinate Voting Shares with a value of approximately $3,785 thousand, based on a 20 consecutive day volume weighted average price (“VWAP”), in connection with the Company's acquisition of the remaining ownership interests in Illinois-based Retail stores. The shares issued resulted in an increase in the Company's share capital and a corresponding increase in the net assets acquired. See Note 4 - Acquisitions for additional details.</w:t>
      </w:r>
    </w:p>
    <w:p>
      <w:pPr>
        <w:spacing w:after="0" w:line="65" w:lineRule="exact"/>
        <w:rPr>
          <w:sz w:val="20"/>
          <w:szCs w:val="20"/>
          <w:color w:val="auto"/>
        </w:rPr>
      </w:pPr>
    </w:p>
    <w:p>
      <w:pPr>
        <w:ind w:left="1140" w:right="7260" w:hanging="682"/>
        <w:spacing w:after="0" w:line="449" w:lineRule="auto"/>
        <w:tabs>
          <w:tab w:leader="none" w:pos="806"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Distribution of Contingent Consideration </w:t>
      </w:r>
      <w:r>
        <w:rPr>
          <w:rFonts w:ascii="Times New Roman" w:cs="Times New Roman" w:eastAsia="Times New Roman" w:hAnsi="Times New Roman"/>
          <w:sz w:val="17"/>
          <w:szCs w:val="17"/>
          <w:i w:val="1"/>
          <w:iCs w:val="1"/>
          <w:color w:val="auto"/>
        </w:rPr>
        <w:t>Dharma Pharmaceuticals, LLC</w:t>
      </w:r>
    </w:p>
    <w:p>
      <w:pPr>
        <w:spacing w:after="0" w:line="2" w:lineRule="exact"/>
        <w:rPr>
          <w:sz w:val="20"/>
          <w:szCs w:val="20"/>
          <w:color w:val="auto"/>
        </w:rPr>
      </w:pPr>
    </w:p>
    <w:p>
      <w:pPr>
        <w:ind w:left="1140" w:right="60"/>
        <w:spacing w:after="0" w:line="247" w:lineRule="auto"/>
        <w:rPr>
          <w:sz w:val="20"/>
          <w:szCs w:val="20"/>
          <w:color w:val="auto"/>
        </w:rPr>
      </w:pPr>
      <w:r>
        <w:rPr>
          <w:rFonts w:ascii="Times New Roman" w:cs="Times New Roman" w:eastAsia="Times New Roman" w:hAnsi="Times New Roman"/>
          <w:sz w:val="18"/>
          <w:szCs w:val="18"/>
          <w:color w:val="auto"/>
        </w:rPr>
        <w:t>In connection with the Company's 2021 acquisition of Dharma Pharmaceuticals, LLC (“Dharma”), the purchase agreement included contingent consideration of up to $65,000 thousand in Subordinate Voting Shares of Green Thumb, dependent upon the successful opening of up to 5 Retail stores in the Virginia area within the first three years following the signing of the agreement and the legal sale of adult use cannabis in a Retail dispensary by January 1, 2025. On February 25, 2022, the Company issued 667,080 Subordinate Voting Shares to the former owners of Dharma in connection with the successful opening of two Retail stores in Virginia. The shares had a fair value of $13,111 thousand at the date of issuance.</w:t>
      </w:r>
    </w:p>
    <w:p>
      <w:pPr>
        <w:spacing w:after="0" w:line="180" w:lineRule="exact"/>
        <w:rPr>
          <w:sz w:val="20"/>
          <w:szCs w:val="20"/>
          <w:color w:val="auto"/>
        </w:rPr>
      </w:pPr>
    </w:p>
    <w:p>
      <w:pPr>
        <w:ind w:left="1140" w:right="80"/>
        <w:spacing w:after="0" w:line="245" w:lineRule="auto"/>
        <w:rPr>
          <w:sz w:val="20"/>
          <w:szCs w:val="20"/>
          <w:color w:val="auto"/>
        </w:rPr>
      </w:pPr>
      <w:r>
        <w:rPr>
          <w:rFonts w:ascii="Times New Roman" w:cs="Times New Roman" w:eastAsia="Times New Roman" w:hAnsi="Times New Roman"/>
          <w:sz w:val="18"/>
          <w:szCs w:val="18"/>
          <w:color w:val="auto"/>
        </w:rPr>
        <w:t>As of June 30, 2022 and December 31, 2021, the estimated fair value of the contingent consideration associated with the acquisition of Dharma, which was valued based on a probability weighting of the potential payments, was $40,074 thousand and $48,665 thousand, respectively. As of June 30, 2022 and December 31, 2021, $10,947 thousand and $20,884 thousand, respectively, was included as a current liability on the Company's unaudited interim condensed consolidated balance sheets.</w:t>
      </w:r>
    </w:p>
    <w:p>
      <w:pPr>
        <w:spacing w:after="0" w:line="8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Stock-Based Compensation</w:t>
      </w:r>
    </w:p>
    <w:p>
      <w:pPr>
        <w:spacing w:after="0" w:line="108" w:lineRule="exact"/>
        <w:rPr>
          <w:sz w:val="20"/>
          <w:szCs w:val="20"/>
          <w:color w:val="auto"/>
        </w:rPr>
      </w:pPr>
    </w:p>
    <w:p>
      <w:pPr>
        <w:ind w:left="520" w:right="160"/>
        <w:spacing w:after="0" w:line="247" w:lineRule="auto"/>
        <w:rPr>
          <w:sz w:val="20"/>
          <w:szCs w:val="20"/>
          <w:color w:val="auto"/>
        </w:rPr>
      </w:pPr>
      <w:r>
        <w:rPr>
          <w:rFonts w:ascii="Times New Roman" w:cs="Times New Roman" w:eastAsia="Times New Roman" w:hAnsi="Times New Roman"/>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72"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In June 2018, the Company established the Green Thumb Industries Inc. 2018 Stock and Incentive Plan, which was amended by Amendment No. 1 thereto (as amended, the “Plan”). The maximum number of Restricted Stock Units (“RSUs”) and options issued under the Plan shall not exceed 10% of the issued and outstanding shares on an as-converted basis.</w:t>
      </w:r>
    </w:p>
    <w:p>
      <w:pPr>
        <w:spacing w:after="0" w:line="61" w:lineRule="exact"/>
        <w:rPr>
          <w:sz w:val="20"/>
          <w:szCs w:val="20"/>
          <w:color w:val="auto"/>
        </w:rPr>
      </w:pPr>
    </w:p>
    <w:p>
      <w:pPr>
        <w:ind w:left="520" w:right="120"/>
        <w:spacing w:after="0" w:line="250" w:lineRule="auto"/>
        <w:rPr>
          <w:sz w:val="20"/>
          <w:szCs w:val="20"/>
          <w:color w:val="auto"/>
        </w:rPr>
      </w:pPr>
      <w:r>
        <w:rPr>
          <w:rFonts w:ascii="Times New Roman" w:cs="Times New Roman" w:eastAsia="Times New Roman" w:hAnsi="Times New Roman"/>
          <w:sz w:val="18"/>
          <w:szCs w:val="18"/>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p>
    <w:p>
      <w:pPr>
        <w:spacing w:after="0" w:line="69" w:lineRule="exact"/>
        <w:rPr>
          <w:sz w:val="20"/>
          <w:szCs w:val="20"/>
          <w:color w:val="auto"/>
        </w:rPr>
      </w:pPr>
    </w:p>
    <w:p>
      <w:pPr>
        <w:ind w:left="520" w:right="40"/>
        <w:spacing w:after="0" w:line="258" w:lineRule="auto"/>
        <w:rPr>
          <w:sz w:val="20"/>
          <w:szCs w:val="20"/>
          <w:color w:val="auto"/>
        </w:rPr>
      </w:pPr>
      <w:r>
        <w:rPr>
          <w:rFonts w:ascii="Times New Roman" w:cs="Times New Roman" w:eastAsia="Times New Roman" w:hAnsi="Times New Roman"/>
          <w:sz w:val="18"/>
          <w:szCs w:val="18"/>
          <w:color w:val="auto"/>
        </w:rPr>
        <w:t>Option and RSU awards generally vest over three years, and options typically have a life of five to ten years. Option and RSU grants are determined by the Compensation Committee of the Company’s Board of Directors with the option price set at no less than 100% of the fair market value of a share on the date of grant.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both"/>
        <w:ind w:left="2780" w:right="2780" w:hanging="41"/>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200" w:lineRule="exact"/>
        <w:rPr>
          <w:sz w:val="20"/>
          <w:szCs w:val="20"/>
          <w:color w:val="auto"/>
        </w:rPr>
      </w:pPr>
    </w:p>
    <w:p>
      <w:pPr>
        <w:spacing w:after="0" w:line="252" w:lineRule="exact"/>
        <w:rPr>
          <w:sz w:val="20"/>
          <w:szCs w:val="20"/>
          <w:color w:val="auto"/>
        </w:rPr>
      </w:pPr>
    </w:p>
    <w:p>
      <w:pPr>
        <w:ind w:left="500" w:hanging="492"/>
        <w:spacing w:after="0"/>
        <w:tabs>
          <w:tab w:leader="none" w:pos="50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346"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is summarized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2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204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Price C$</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5,383,275</w:t>
            </w: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959,702</w:t>
            </w:r>
          </w:p>
        </w:tc>
        <w:tc>
          <w:tcPr>
            <w:tcW w:w="1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(177,044 )</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(129,084 )</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2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6,036,849</w:t>
            </w:r>
          </w:p>
        </w:tc>
        <w:tc>
          <w:tcPr>
            <w:tcW w:w="120" w:type="dxa"/>
            <w:vAlign w:val="bottom"/>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4,515,359</w:t>
            </w:r>
          </w:p>
        </w:tc>
        <w:tc>
          <w:tcPr>
            <w:tcW w:w="1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of June 30, 2022</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3,065,200</w:t>
            </w: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520" w:right="20"/>
        <w:spacing w:after="0" w:line="24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Company’s closing stock price on June 30, 2022 and December 31, 2021, respectively, and the exercise price, multiplied by the number of in-the-money options) that would have been received by the option holders had all option holders exercised their in-the-money options on June 30, 2022 and December 31, 2021. This amount will change in future periods based on the fair market value of the Company’s Subordinate Voting Shares and the number of options outstanding.</w:t>
      </w:r>
    </w:p>
    <w:p>
      <w:pPr>
        <w:spacing w:after="0" w:line="87"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weighted average grant date fair value and intrinsic value of options exercised for the six months ended June 30, 2022 and 2021:</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540" w:type="dxa"/>
            <w:vAlign w:val="bottom"/>
          </w:tcPr>
          <w:p>
            <w:pPr>
              <w:spacing w:after="0"/>
              <w:rPr>
                <w:sz w:val="14"/>
                <w:szCs w:val="14"/>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4"/>
        </w:trPr>
        <w:tc>
          <w:tcPr>
            <w:tcW w:w="454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Weighted average grant date fair value (per share) of stock</w:t>
            </w:r>
          </w:p>
        </w:tc>
        <w:tc>
          <w:tcPr>
            <w:tcW w:w="14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34"/>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 units granted (C$)</w:t>
            </w:r>
          </w:p>
        </w:tc>
        <w:tc>
          <w:tcPr>
            <w:tcW w:w="14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shd w:val="clear" w:color="auto" w:fill="CFF0FC"/>
          </w:tcPr>
          <w:p>
            <w:pPr>
              <w:spacing w:after="0"/>
              <w:rPr>
                <w:sz w:val="20"/>
                <w:szCs w:val="20"/>
                <w:color w:val="auto"/>
              </w:rPr>
            </w:pPr>
          </w:p>
        </w:tc>
      </w:tr>
      <w:tr>
        <w:trPr>
          <w:trHeight w:val="169"/>
        </w:trPr>
        <w:tc>
          <w:tcPr>
            <w:tcW w:w="45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Intrinsic value of stock option units exercised, using market</w:t>
            </w: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price at vest date (US$) </w:t>
            </w:r>
            <w:r>
              <w:rPr>
                <w:rFonts w:ascii="Times New Roman" w:cs="Times New Roman" w:eastAsia="Times New Roman" w:hAnsi="Times New Roman"/>
                <w:sz w:val="18"/>
                <w:szCs w:val="18"/>
                <w:i w:val="1"/>
                <w:iCs w:val="1"/>
                <w:color w:val="auto"/>
              </w:rPr>
              <w:t>(in thousands)</w:t>
            </w:r>
          </w:p>
        </w:tc>
        <w:tc>
          <w:tcPr>
            <w:tcW w:w="1440" w:type="dxa"/>
            <w:vAlign w:val="bottom"/>
          </w:tcPr>
          <w:p>
            <w:pPr>
              <w:jc w:val="right"/>
              <w:ind w:right="125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80" w:type="dxa"/>
            <w:vAlign w:val="bottom"/>
          </w:tcPr>
          <w:p>
            <w:pPr>
              <w:spacing w:after="0"/>
              <w:rPr>
                <w:sz w:val="20"/>
                <w:szCs w:val="20"/>
                <w:color w:val="auto"/>
              </w:rPr>
            </w:pPr>
          </w:p>
        </w:tc>
      </w:tr>
    </w:tbl>
    <w:p>
      <w:pPr>
        <w:spacing w:after="0" w:line="184" w:lineRule="exact"/>
        <w:rPr>
          <w:sz w:val="20"/>
          <w:szCs w:val="20"/>
          <w:color w:val="auto"/>
        </w:rPr>
      </w:pPr>
    </w:p>
    <w:p>
      <w:pPr>
        <w:ind w:left="520" w:right="240"/>
        <w:spacing w:after="0" w:line="266" w:lineRule="auto"/>
        <w:rPr>
          <w:sz w:val="20"/>
          <w:szCs w:val="20"/>
          <w:color w:val="auto"/>
        </w:rPr>
      </w:pPr>
      <w:r>
        <w:rPr>
          <w:rFonts w:ascii="Times New Roman" w:cs="Times New Roman" w:eastAsia="Times New Roman" w:hAnsi="Times New Roman"/>
          <w:sz w:val="18"/>
          <w:szCs w:val="18"/>
          <w:color w:val="auto"/>
        </w:rPr>
        <w:t>The Company used the Black-Scholes option pricing model to estimate the fair value of the options granted during the six months ended June 30, 2022 and the year ended December 31, 2021, using the following ranges of assumptions:</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480" w:type="dxa"/>
            <w:vAlign w:val="bottom"/>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1.18% - 2.87%</w:t>
            </w:r>
          </w:p>
        </w:tc>
        <w:tc>
          <w:tcPr>
            <w:tcW w:w="2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0.33% - 1.39%</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60 - 64%</w:t>
            </w:r>
          </w:p>
        </w:tc>
        <w:tc>
          <w:tcPr>
            <w:tcW w:w="2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life</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4.5 years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3.5 years</w:t>
            </w:r>
          </w:p>
        </w:tc>
      </w:tr>
    </w:tbl>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permitted under ASC 718, the Company has made an accounting policy choice to account for forfeitures when they occur.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00" w:lineRule="exact"/>
        <w:rPr>
          <w:sz w:val="20"/>
          <w:szCs w:val="20"/>
          <w:color w:val="auto"/>
        </w:rPr>
      </w:pPr>
    </w:p>
    <w:p>
      <w:pPr>
        <w:spacing w:after="0" w:line="300" w:lineRule="exact"/>
        <w:rPr>
          <w:sz w:val="20"/>
          <w:szCs w:val="20"/>
          <w:color w:val="auto"/>
        </w:rPr>
      </w:pPr>
    </w:p>
    <w:p>
      <w:pPr>
        <w:ind w:left="492" w:hanging="492"/>
        <w:spacing w:after="0"/>
        <w:tabs>
          <w:tab w:leader="none" w:pos="492"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346" w:lineRule="exact"/>
        <w:rPr>
          <w:rFonts w:ascii="Times New Roman" w:cs="Times New Roman" w:eastAsia="Times New Roman" w:hAnsi="Times New Roman"/>
          <w:sz w:val="18"/>
          <w:szCs w:val="18"/>
          <w:b w:val="1"/>
          <w:bCs w:val="1"/>
          <w:color w:val="auto"/>
        </w:rPr>
      </w:pPr>
    </w:p>
    <w:p>
      <w:pPr>
        <w:ind w:left="372" w:hanging="372"/>
        <w:spacing w:after="0"/>
        <w:tabs>
          <w:tab w:leader="none" w:pos="37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12" w:right="2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unvested RSU awards as of June 30, 2022 and December 31, 2021 and the changes during the six months ended June 30, 2022:</w:t>
      </w:r>
    </w:p>
    <w:p>
      <w:pPr>
        <w:spacing w:after="0" w:line="197" w:lineRule="exact"/>
        <w:rPr>
          <w:sz w:val="20"/>
          <w:szCs w:val="20"/>
          <w:color w:val="auto"/>
        </w:rPr>
      </w:pPr>
    </w:p>
    <w:tbl>
      <w:tblPr>
        <w:tblLayout w:type="fixed"/>
        <w:tblInd w:w="952"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0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 Date Fair Value</w:t>
            </w:r>
          </w:p>
        </w:tc>
        <w:tc>
          <w:tcPr>
            <w:tcW w:w="0" w:type="dxa"/>
            <w:vAlign w:val="bottom"/>
          </w:tcPr>
          <w:p>
            <w:pPr>
              <w:spacing w:after="0"/>
              <w:rPr>
                <w:sz w:val="1"/>
                <w:szCs w:val="1"/>
                <w:color w:val="auto"/>
              </w:rPr>
            </w:pPr>
          </w:p>
        </w:tc>
      </w:tr>
      <w:tr>
        <w:trPr>
          <w:trHeight w:val="109"/>
        </w:trPr>
        <w:tc>
          <w:tcPr>
            <w:tcW w:w="46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2620" w:type="dxa"/>
            <w:vAlign w:val="bottom"/>
            <w:vMerge w:val="restart"/>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78"/>
        </w:trPr>
        <w:tc>
          <w:tcPr>
            <w:tcW w:w="4620" w:type="dxa"/>
            <w:vAlign w:val="bottom"/>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2021</w:t>
            </w:r>
          </w:p>
        </w:tc>
        <w:tc>
          <w:tcPr>
            <w:tcW w:w="2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376,127</w:t>
            </w: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1,021,221</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(36,684)</w:t>
            </w: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(336,005)</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June 30, 2022</w:t>
            </w:r>
          </w:p>
        </w:tc>
        <w:tc>
          <w:tcPr>
            <w:tcW w:w="2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1,024,659</w:t>
            </w: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12" w:right="1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weighted average grant date fair value of RSUs granted and total fair value of RSUs vested for the six months ended June 30, 2022 and 2021:</w:t>
      </w:r>
    </w:p>
    <w:p>
      <w:pPr>
        <w:spacing w:after="0" w:line="223" w:lineRule="exact"/>
        <w:rPr>
          <w:sz w:val="20"/>
          <w:szCs w:val="20"/>
          <w:color w:val="auto"/>
        </w:rPr>
      </w:pPr>
    </w:p>
    <w:tbl>
      <w:tblPr>
        <w:tblLayout w:type="fixed"/>
        <w:tblInd w:w="952" w:type="dxa"/>
        <w:tblCellMar>
          <w:top w:w="0" w:type="dxa"/>
          <w:left w:w="0" w:type="dxa"/>
          <w:bottom w:w="0" w:type="dxa"/>
          <w:right w:w="0" w:type="dxa"/>
        </w:tblCellMar>
      </w:tblPr>
      <w:tr>
        <w:trPr>
          <w:trHeight w:val="195"/>
        </w:trPr>
        <w:tc>
          <w:tcPr>
            <w:tcW w:w="4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4060" w:type="dxa"/>
            <w:vAlign w:val="bottom"/>
          </w:tcPr>
          <w:p>
            <w:pPr>
              <w:spacing w:after="0"/>
              <w:rPr>
                <w:sz w:val="16"/>
                <w:szCs w:val="16"/>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171"/>
        </w:trPr>
        <w:tc>
          <w:tcPr>
            <w:tcW w:w="40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600" w:type="dxa"/>
            <w:vAlign w:val="bottom"/>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34"/>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RSUs granted (C$)</w:t>
            </w:r>
          </w:p>
        </w:tc>
        <w:tc>
          <w:tcPr>
            <w:tcW w:w="6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80" w:type="dxa"/>
            <w:vAlign w:val="bottom"/>
            <w:shd w:val="clear" w:color="auto" w:fill="CFF0FC"/>
          </w:tcPr>
          <w:p>
            <w:pPr>
              <w:spacing w:after="0"/>
              <w:rPr>
                <w:sz w:val="20"/>
                <w:szCs w:val="20"/>
                <w:color w:val="auto"/>
              </w:rPr>
            </w:pPr>
          </w:p>
        </w:tc>
      </w:tr>
      <w:tr>
        <w:trPr>
          <w:trHeight w:val="169"/>
        </w:trPr>
        <w:tc>
          <w:tcPr>
            <w:tcW w:w="40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Intrinsic value of RSUs vested, using market</w:t>
            </w: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6"/>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price at vest date (US$) </w:t>
            </w:r>
            <w:r>
              <w:rPr>
                <w:rFonts w:ascii="Times New Roman" w:cs="Times New Roman" w:eastAsia="Times New Roman" w:hAnsi="Times New Roman"/>
                <w:sz w:val="18"/>
                <w:szCs w:val="18"/>
                <w:i w:val="1"/>
                <w:iCs w:val="1"/>
                <w:color w:val="auto"/>
              </w:rPr>
              <w:t>(in thousands)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2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80" w:type="dxa"/>
            <w:vAlign w:val="bottom"/>
          </w:tcPr>
          <w:p>
            <w:pPr>
              <w:spacing w:after="0"/>
              <w:rPr>
                <w:sz w:val="20"/>
                <w:szCs w:val="20"/>
                <w:color w:val="auto"/>
              </w:rPr>
            </w:pPr>
          </w:p>
        </w:tc>
      </w:tr>
    </w:tbl>
    <w:p>
      <w:pPr>
        <w:spacing w:after="0" w:line="29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The stock-based compensation expense for the three and six months ended June 30, 2022 and 2021 was as follows:</w:t>
      </w:r>
    </w:p>
    <w:p>
      <w:pPr>
        <w:spacing w:after="0" w:line="200" w:lineRule="exact"/>
        <w:rPr>
          <w:sz w:val="20"/>
          <w:szCs w:val="20"/>
          <w:color w:val="auto"/>
        </w:rPr>
      </w:pPr>
    </w:p>
    <w:p>
      <w:pPr>
        <w:spacing w:after="0" w:line="235" w:lineRule="exact"/>
        <w:rPr>
          <w:sz w:val="20"/>
          <w:szCs w:val="20"/>
          <w:color w:val="auto"/>
        </w:rPr>
      </w:pPr>
    </w:p>
    <w:tbl>
      <w:tblPr>
        <w:tblLayout w:type="fixed"/>
        <w:tblInd w:w="412"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6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3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6"/>
        </w:trPr>
        <w:tc>
          <w:tcPr>
            <w:tcW w:w="3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3"/>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r>
      <w:tr>
        <w:trPr>
          <w:trHeight w:val="23"/>
        </w:trPr>
        <w:tc>
          <w:tcPr>
            <w:tcW w:w="3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expense</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3,709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6,338</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1,963</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w:t>
            </w:r>
          </w:p>
        </w:tc>
      </w:tr>
      <w:tr>
        <w:trPr>
          <w:trHeight w:val="250"/>
        </w:trPr>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5,672</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1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-24765</wp:posOffset>
            </wp:positionV>
            <wp:extent cx="15430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-7620</wp:posOffset>
            </wp:positionV>
            <wp:extent cx="1543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4766310</wp:posOffset>
            </wp:positionH>
            <wp:positionV relativeFrom="paragraph">
              <wp:posOffset>-24765</wp:posOffset>
            </wp:positionV>
            <wp:extent cx="1371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4766310</wp:posOffset>
            </wp:positionH>
            <wp:positionV relativeFrom="paragraph">
              <wp:posOffset>-7620</wp:posOffset>
            </wp:positionV>
            <wp:extent cx="137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-24765</wp:posOffset>
            </wp:positionV>
            <wp:extent cx="1028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-7620</wp:posOffset>
            </wp:positionV>
            <wp:extent cx="1028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4" w:lineRule="exact"/>
        <w:rPr>
          <w:sz w:val="20"/>
          <w:szCs w:val="20"/>
          <w:color w:val="auto"/>
        </w:rPr>
      </w:pPr>
    </w:p>
    <w:p>
      <w:pPr>
        <w:ind w:left="512"/>
        <w:spacing w:after="0" w:line="282" w:lineRule="auto"/>
        <w:rPr>
          <w:sz w:val="20"/>
          <w:szCs w:val="20"/>
          <w:color w:val="auto"/>
        </w:rPr>
      </w:pPr>
      <w:r>
        <w:rPr>
          <w:rFonts w:ascii="Times New Roman" w:cs="Times New Roman" w:eastAsia="Times New Roman" w:hAnsi="Times New Roman"/>
          <w:sz w:val="18"/>
          <w:szCs w:val="18"/>
          <w:color w:val="auto"/>
        </w:rPr>
        <w:t>As of June 30, 2022, $37,405 thousand of total unrecognized expense related to stock-based compensation awards is expected to be recognized over a weighted-average period of 2.32 years.</w:t>
      </w:r>
    </w:p>
    <w:p>
      <w:pPr>
        <w:spacing w:after="0" w:line="33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17" w:right="39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00" w:lineRule="exact"/>
        <w:rPr>
          <w:sz w:val="20"/>
          <w:szCs w:val="20"/>
          <w:color w:val="auto"/>
        </w:rPr>
      </w:pPr>
    </w:p>
    <w:p>
      <w:pPr>
        <w:spacing w:after="0" w:line="300" w:lineRule="exact"/>
        <w:rPr>
          <w:sz w:val="20"/>
          <w:szCs w:val="20"/>
          <w:color w:val="auto"/>
        </w:rPr>
      </w:pPr>
    </w:p>
    <w:p>
      <w:pPr>
        <w:ind w:left="500" w:hanging="492"/>
        <w:spacing w:after="0"/>
        <w:tabs>
          <w:tab w:leader="none" w:pos="5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income tax expense and effective tax rates for the three and six months ended June 30, 2022 and 2021:</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2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1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8"/>
                <w:szCs w:val="18"/>
                <w:color w:val="auto"/>
              </w:rPr>
            </w:pPr>
          </w:p>
        </w:tc>
        <w:tc>
          <w:tcPr>
            <w:tcW w:w="3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99"/>
        </w:trPr>
        <w:tc>
          <w:tcPr>
            <w:tcW w:w="2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7"/>
                <w:szCs w:val="17"/>
                <w:color w:val="auto"/>
              </w:rPr>
            </w:pPr>
          </w:p>
        </w:tc>
        <w:tc>
          <w:tcPr>
            <w:tcW w:w="18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2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82"/>
              </w:rPr>
              <w:t>thousands)</w:t>
            </w:r>
          </w:p>
        </w:tc>
        <w:tc>
          <w:tcPr>
            <w:tcW w:w="10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tcBorders>
              <w:bottom w:val="single" w:sz="8" w:color="auto"/>
            </w:tcBorders>
            <w:gridSpan w:val="3"/>
          </w:tcPr>
          <w:p>
            <w:pPr>
              <w:jc w:val="center"/>
              <w:ind w:left="11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60" w:type="dxa"/>
            <w:vAlign w:val="bottom"/>
            <w:tcBorders>
              <w:bottom w:val="single" w:sz="8" w:color="auto"/>
            </w:tcBorders>
          </w:tcPr>
          <w:p>
            <w:pPr>
              <w:spacing w:after="0"/>
              <w:rPr>
                <w:sz w:val="17"/>
                <w:szCs w:val="17"/>
                <w:color w:val="auto"/>
              </w:rPr>
            </w:pPr>
          </w:p>
        </w:tc>
      </w:tr>
      <w:tr>
        <w:trPr>
          <w:trHeight w:val="358"/>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63,071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53,301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123,888</w:t>
            </w: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95,612</w:t>
            </w:r>
          </w:p>
        </w:tc>
      </w:tr>
      <w:tr>
        <w:trPr>
          <w:trHeight w:val="20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7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38,340</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30,027</w:t>
            </w:r>
          </w:p>
        </w:tc>
        <w:tc>
          <w:tcPr>
            <w:tcW w:w="2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69,471</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60,883</w:t>
            </w:r>
          </w:p>
        </w:tc>
      </w:tr>
      <w:tr>
        <w:trPr>
          <w:trHeight w:val="20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7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26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w:t>
            </w:r>
          </w:p>
        </w:tc>
      </w:tr>
    </w:tbl>
    <w:p>
      <w:pPr>
        <w:spacing w:after="0" w:line="19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effective tax rates for the three and six months ended June 30, 2022 and 2021 were based on the Company’s forecasted annualized effective tax rates and were adjusted for discrete items that occurred within the periods presented.</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Due to its cannabis operations, the Company is subject to the limitations of the U.S. Internal Revenue Code of 1986, as amended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paid during the six months ended June 30, 2022 and 2021 were $64,803 thousand and $75,455 thousand,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both"/>
        <w:ind w:left="2780" w:right="2740" w:hanging="41"/>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200" w:lineRule="exact"/>
        <w:rPr>
          <w:sz w:val="20"/>
          <w:szCs w:val="20"/>
          <w:color w:val="auto"/>
        </w:rPr>
      </w:pPr>
    </w:p>
    <w:p>
      <w:pPr>
        <w:spacing w:after="0" w:line="252" w:lineRule="exact"/>
        <w:rPr>
          <w:sz w:val="20"/>
          <w:szCs w:val="20"/>
          <w:color w:val="auto"/>
        </w:rPr>
      </w:pPr>
    </w:p>
    <w:p>
      <w:pPr>
        <w:ind w:left="500" w:hanging="492"/>
        <w:spacing w:after="0"/>
        <w:tabs>
          <w:tab w:leader="none" w:pos="5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2022 and 2021 other income (expense) was comprised of the following:</w:t>
      </w:r>
    </w:p>
    <w:p>
      <w:pPr>
        <w:sectPr>
          <w:pgSz w:w="11900" w:h="16838" w:orient="portrait"/>
          <w:cols w:equalWidth="0" w:num="1">
            <w:col w:w="11200"/>
          </w:cols>
          <w:pgMar w:left="320" w:top="117" w:right="379" w:bottom="1440" w:gutter="0" w:footer="0" w:header="0"/>
        </w:sectPr>
      </w:pPr>
    </w:p>
    <w:p>
      <w:pPr>
        <w:spacing w:after="0" w:line="20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8" w:lineRule="exact"/>
        <w:rPr>
          <w:sz w:val="20"/>
          <w:szCs w:val="20"/>
          <w:color w:val="auto"/>
        </w:rPr>
      </w:pPr>
    </w:p>
    <w:tbl>
      <w:tblPr>
        <w:tblLayout w:type="fixed"/>
        <w:tblInd w:w="4700" w:type="dxa"/>
        <w:tblCellMar>
          <w:top w:w="0" w:type="dxa"/>
          <w:left w:w="0" w:type="dxa"/>
          <w:bottom w:w="0" w:type="dxa"/>
          <w:right w:w="0" w:type="dxa"/>
        </w:tblCellMar>
      </w:tblPr>
      <w:tr>
        <w:trPr>
          <w:trHeight w:val="202"/>
        </w:trPr>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76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(in</w:t>
            </w:r>
          </w:p>
        </w:tc>
        <w:tc>
          <w:tcPr>
            <w:tcW w:w="156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6"/>
              </w:rPr>
              <w:t>thousands)</w:t>
            </w:r>
          </w:p>
        </w:tc>
      </w:tr>
    </w:tbl>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78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w:t>
            </w:r>
          </w:p>
        </w:tc>
        <w:tc>
          <w:tcPr>
            <w:tcW w:w="152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w w:val="88"/>
              </w:rPr>
              <w:t>thousands)</w:t>
            </w:r>
          </w:p>
        </w:tc>
      </w:tr>
    </w:tbl>
    <w:p>
      <w:pPr>
        <w:spacing w:after="0" w:line="1" w:lineRule="exact"/>
        <w:rPr>
          <w:sz w:val="20"/>
          <w:szCs w:val="20"/>
          <w:color w:val="auto"/>
        </w:rPr>
      </w:pPr>
    </w:p>
    <w:p>
      <w:pPr>
        <w:sectPr>
          <w:pgSz w:w="11900" w:h="16838" w:orient="portrait"/>
          <w:cols w:equalWidth="0" w:num="2">
            <w:col w:w="7320" w:space="500"/>
            <w:col w:w="3380"/>
          </w:cols>
          <w:pgMar w:left="320" w:top="117" w:right="379" w:bottom="1440" w:gutter="0" w:footer="0" w:header="0"/>
          <w:type w:val="continuous"/>
        </w:sectPr>
      </w:pPr>
    </w:p>
    <w:tbl>
      <w:tblPr>
        <w:tblLayout w:type="fixed"/>
        <w:tblInd w:w="680" w:type="dxa"/>
        <w:tblCellMar>
          <w:top w:w="0" w:type="dxa"/>
          <w:left w:w="0" w:type="dxa"/>
          <w:bottom w:w="0" w:type="dxa"/>
          <w:right w:w="0" w:type="dxa"/>
        </w:tblCellMar>
      </w:tblPr>
      <w:tr>
        <w:trPr>
          <w:trHeight w:val="19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adjustments on equity investments</w:t>
            </w:r>
          </w:p>
        </w:tc>
        <w:tc>
          <w:tcPr>
            <w:tcW w:w="3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(8,018 )</w:t>
            </w:r>
          </w:p>
        </w:tc>
        <w:tc>
          <w:tcPr>
            <w:tcW w:w="24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18,288</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(17,627 )</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18,679</w:t>
            </w:r>
          </w:p>
        </w:tc>
        <w:tc>
          <w:tcPr>
            <w:tcW w:w="80" w:type="dxa"/>
            <w:vAlign w:val="bottom"/>
            <w:shd w:val="clear" w:color="auto" w:fill="CFF0FC"/>
          </w:tcPr>
          <w:p>
            <w:pPr>
              <w:spacing w:after="0"/>
              <w:rPr>
                <w:sz w:val="17"/>
                <w:szCs w:val="17"/>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adjustments on equity method investments</w:t>
            </w:r>
          </w:p>
        </w:tc>
        <w:tc>
          <w:tcPr>
            <w:tcW w:w="3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(9,882 )</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(9,882 )</w:t>
            </w: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adjustments on warrants issued</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(2,160 )</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(8,011 )</w:t>
            </w:r>
          </w:p>
        </w:tc>
      </w:tr>
      <w:tr>
        <w:trPr>
          <w:trHeight w:val="203"/>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(loss) from equity method investments</w:t>
            </w:r>
          </w:p>
        </w:tc>
        <w:tc>
          <w:tcPr>
            <w:tcW w:w="3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(738 )</w:t>
            </w: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(1,941 )</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80" w:type="dxa"/>
            <w:vAlign w:val="bottom"/>
            <w:shd w:val="clear" w:color="auto" w:fill="CFF0FC"/>
          </w:tcPr>
          <w:p>
            <w:pPr>
              <w:spacing w:after="0"/>
              <w:rPr>
                <w:sz w:val="17"/>
                <w:szCs w:val="17"/>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(439 )</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(752 )</w:t>
            </w:r>
          </w:p>
        </w:tc>
      </w:tr>
      <w:tr>
        <w:trPr>
          <w:trHeight w:val="236"/>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Income (Expense)</w:t>
            </w:r>
          </w:p>
        </w:tc>
        <w:tc>
          <w:tcPr>
            <w:tcW w:w="3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5,583</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6,830</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17,018</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1,680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59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-24765</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-7620</wp:posOffset>
            </wp:positionV>
            <wp:extent cx="596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76" w:lineRule="exact"/>
        <w:rPr>
          <w:sz w:val="20"/>
          <w:szCs w:val="20"/>
          <w:color w:val="auto"/>
        </w:rPr>
      </w:pPr>
    </w:p>
    <w:p>
      <w:pPr>
        <w:ind w:left="500" w:hanging="492"/>
        <w:spacing w:after="0"/>
        <w:tabs>
          <w:tab w:leader="none" w:pos="5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7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 of operations.</w:t>
      </w:r>
    </w:p>
    <w:p>
      <w:pPr>
        <w:spacing w:after="0" w:line="65" w:lineRule="exact"/>
        <w:rPr>
          <w:sz w:val="20"/>
          <w:szCs w:val="20"/>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08" w:lineRule="exact"/>
        <w:rPr>
          <w:sz w:val="20"/>
          <w:szCs w:val="20"/>
          <w:color w:val="auto"/>
        </w:rPr>
      </w:pPr>
    </w:p>
    <w:p>
      <w:pPr>
        <w:ind w:left="520" w:right="60"/>
        <w:spacing w:after="0" w:line="250"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The Company may be subject to regulatory fines, penalties, or restrictions in the future as cannabis and other regulations continue to evolve and are subject to differing interpretations.</w:t>
      </w:r>
    </w:p>
    <w:p>
      <w:pPr>
        <w:spacing w:after="0" w:line="6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Claims and Litigation</w:t>
      </w:r>
    </w:p>
    <w:p>
      <w:pPr>
        <w:spacing w:after="0" w:line="121" w:lineRule="exact"/>
        <w:rPr>
          <w:sz w:val="20"/>
          <w:szCs w:val="20"/>
          <w:color w:val="auto"/>
        </w:rPr>
      </w:pPr>
    </w:p>
    <w:p>
      <w:pPr>
        <w:ind w:left="520" w:right="40"/>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At June 30, 2022 and December 31, 2021,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6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Construction Commitments</w:t>
      </w:r>
    </w:p>
    <w:p>
      <w:pPr>
        <w:spacing w:after="0" w:line="108" w:lineRule="exact"/>
        <w:rPr>
          <w:sz w:val="20"/>
          <w:szCs w:val="20"/>
          <w:color w:val="auto"/>
        </w:rPr>
      </w:pPr>
    </w:p>
    <w:p>
      <w:pPr>
        <w:ind w:left="520" w:right="760"/>
        <w:spacing w:after="0" w:line="282" w:lineRule="auto"/>
        <w:rPr>
          <w:sz w:val="20"/>
          <w:szCs w:val="20"/>
          <w:color w:val="auto"/>
        </w:rPr>
      </w:pPr>
      <w:r>
        <w:rPr>
          <w:rFonts w:ascii="Times New Roman" w:cs="Times New Roman" w:eastAsia="Times New Roman" w:hAnsi="Times New Roman"/>
          <w:sz w:val="18"/>
          <w:szCs w:val="18"/>
          <w:color w:val="auto"/>
        </w:rPr>
        <w:t>As of June 30, 2022, the Company held approximately $67,361 thousand of open construction commitments to contractors on work being performed.</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00" w:lineRule="exact"/>
        <w:rPr>
          <w:sz w:val="20"/>
          <w:szCs w:val="20"/>
          <w:color w:val="auto"/>
        </w:rPr>
      </w:pPr>
    </w:p>
    <w:p>
      <w:pPr>
        <w:spacing w:after="0" w:line="300" w:lineRule="exact"/>
        <w:rPr>
          <w:sz w:val="20"/>
          <w:szCs w:val="20"/>
          <w:color w:val="auto"/>
        </w:rPr>
      </w:pPr>
    </w:p>
    <w:p>
      <w:pPr>
        <w:ind w:left="500" w:hanging="492"/>
        <w:spacing w:after="0"/>
        <w:tabs>
          <w:tab w:leader="none" w:pos="5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82"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10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102" w:lineRule="exact"/>
        <w:rPr>
          <w:sz w:val="20"/>
          <w:szCs w:val="20"/>
          <w:color w:val="auto"/>
        </w:rPr>
      </w:pPr>
    </w:p>
    <w:p>
      <w:pPr>
        <w:ind w:left="400" w:hanging="392"/>
        <w:spacing w:after="0"/>
        <w:tabs>
          <w:tab w:leader="none" w:pos="4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08" w:lineRule="exact"/>
        <w:rPr>
          <w:sz w:val="20"/>
          <w:szCs w:val="20"/>
          <w:color w:val="auto"/>
        </w:rPr>
      </w:pPr>
    </w:p>
    <w:p>
      <w:pPr>
        <w:ind w:left="520" w:right="6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investments, accounts payable and accrued liabilities, notes payable, warrant liability, and contingent consideration payable.</w:t>
      </w:r>
    </w:p>
    <w:p>
      <w:pPr>
        <w:spacing w:after="0" w:line="40" w:lineRule="exact"/>
        <w:rPr>
          <w:sz w:val="20"/>
          <w:szCs w:val="20"/>
          <w:color w:val="auto"/>
        </w:rPr>
      </w:pPr>
    </w:p>
    <w:p>
      <w:pPr>
        <w:jc w:val="both"/>
        <w:ind w:left="520" w:right="20"/>
        <w:spacing w:after="0" w:line="250" w:lineRule="auto"/>
        <w:rPr>
          <w:sz w:val="20"/>
          <w:szCs w:val="20"/>
          <w:color w:val="auto"/>
        </w:rPr>
      </w:pPr>
      <w:r>
        <w:rPr>
          <w:rFonts w:ascii="Times New Roman" w:cs="Times New Roman" w:eastAsia="Times New Roman" w:hAnsi="Times New Roman"/>
          <w:sz w:val="18"/>
          <w:szCs w:val="18"/>
          <w:color w:val="auto"/>
        </w:rPr>
        <w:t>For the Company's long-term notes payable (which consist of charitable contributions, private placement debt and mortgage notes), for which there were no quoted market prices or active trading markets, it was not practicable to estimate the fair value of these financial instruments. The carrying amount of notes payable at June 30, 2022 and December 31, 2021 was $253,431 thousand and $239,934 thousand, which includes $1,002 thousand and $783 thousand, respectively, of short-term debt due within one year.</w:t>
      </w:r>
    </w:p>
    <w:p>
      <w:pPr>
        <w:spacing w:after="0" w:line="69" w:lineRule="exact"/>
        <w:rPr>
          <w:sz w:val="20"/>
          <w:szCs w:val="20"/>
          <w:color w:val="auto"/>
        </w:rPr>
      </w:pPr>
    </w:p>
    <w:p>
      <w:pPr>
        <w:ind w:left="520" w:right="580"/>
        <w:spacing w:after="0" w:line="266"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 The fair values of the Company’s financial instruments associated with each of the three levels of the hierarchy are:</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w w:val="99"/>
              </w:rPr>
              <w:t>As of June 30, 2022</w:t>
            </w: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7"/>
                <w:szCs w:val="17"/>
                <w:color w:val="auto"/>
              </w:rPr>
            </w:pPr>
          </w:p>
        </w:tc>
        <w:tc>
          <w:tcPr>
            <w:tcW w:w="2020" w:type="dxa"/>
            <w:vAlign w:val="bottom"/>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160" w:type="dxa"/>
            <w:vAlign w:val="bottom"/>
          </w:tcPr>
          <w:p>
            <w:pPr>
              <w:spacing w:after="0"/>
              <w:rPr>
                <w:sz w:val="17"/>
                <w:szCs w:val="17"/>
                <w:color w:val="auto"/>
              </w:rPr>
            </w:pPr>
          </w:p>
        </w:tc>
        <w:tc>
          <w:tcPr>
            <w:tcW w:w="14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145,277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145,277</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27,927</w:t>
            </w:r>
          </w:p>
        </w:tc>
        <w:tc>
          <w:tcPr>
            <w:tcW w:w="180" w:type="dxa"/>
            <w:vAlign w:val="bottom"/>
          </w:tcPr>
          <w:p>
            <w:pPr>
              <w:spacing w:after="0"/>
              <w:rPr>
                <w:sz w:val="17"/>
                <w:szCs w:val="17"/>
                <w:color w:val="auto"/>
              </w:rPr>
            </w:pPr>
          </w:p>
        </w:tc>
        <w:tc>
          <w:tcPr>
            <w:tcW w:w="202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53,856</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81,783</w:t>
            </w: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6"/>
                <w:szCs w:val="16"/>
                <w:color w:val="auto"/>
              </w:rPr>
              <w:t>Contingent Consideration Payable</w:t>
            </w:r>
          </w:p>
        </w:tc>
        <w:tc>
          <w:tcPr>
            <w:tcW w:w="180" w:type="dxa"/>
            <w:vAlign w:val="bottom"/>
            <w:shd w:val="clear" w:color="auto" w:fill="CFF0FC"/>
          </w:tcPr>
          <w:p>
            <w:pPr>
              <w:spacing w:after="0"/>
              <w:rPr>
                <w:sz w:val="14"/>
                <w:szCs w:val="14"/>
                <w:color w:val="auto"/>
              </w:rPr>
            </w:pPr>
          </w:p>
        </w:tc>
        <w:tc>
          <w:tcPr>
            <w:tcW w:w="1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4"/>
                <w:szCs w:val="14"/>
                <w:color w:val="auto"/>
              </w:rPr>
            </w:pPr>
          </w:p>
        </w:tc>
        <w:tc>
          <w:tcPr>
            <w:tcW w:w="2020" w:type="dxa"/>
            <w:vAlign w:val="bottom"/>
            <w:gridSpan w:val="3"/>
            <w:vMerge w:val="restart"/>
            <w:shd w:val="clear" w:color="auto" w:fill="CFF0FC"/>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6"/>
                <w:szCs w:val="16"/>
                <w:color w:val="auto"/>
              </w:rPr>
              <w:t>(40,794</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6"/>
                <w:szCs w:val="16"/>
                <w:color w:val="auto"/>
              </w:rPr>
              <w:t>(40,794</w:t>
            </w: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20" w:type="dxa"/>
            <w:vAlign w:val="bottom"/>
            <w:gridSpan w:val="3"/>
            <w:vMerge w:val="continue"/>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6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Warrant Liability</w:t>
            </w: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2020" w:type="dxa"/>
            <w:vAlign w:val="bottom"/>
            <w:gridSpan w:val="3"/>
            <w:vMerge w:val="restart"/>
          </w:tcPr>
          <w:p>
            <w:pPr>
              <w:jc w:val="right"/>
              <w:ind w:right="640"/>
              <w:spacing w:after="0"/>
              <w:rPr>
                <w:sz w:val="20"/>
                <w:szCs w:val="20"/>
                <w:color w:val="auto"/>
              </w:rPr>
            </w:pPr>
            <w:r>
              <w:rPr>
                <w:rFonts w:ascii="Calibri" w:cs="Calibri" w:eastAsia="Calibri" w:hAnsi="Calibri"/>
                <w:sz w:val="16"/>
                <w:szCs w:val="16"/>
                <w:color w:val="auto"/>
              </w:rPr>
              <w:t>—</w:t>
            </w:r>
          </w:p>
        </w:tc>
        <w:tc>
          <w:tcPr>
            <w:tcW w:w="96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(3,105</w:t>
            </w:r>
          </w:p>
        </w:tc>
        <w:tc>
          <w:tcPr>
            <w:tcW w:w="160" w:type="dxa"/>
            <w:vAlign w:val="bottom"/>
          </w:tcPr>
          <w:p>
            <w:pPr>
              <w:spacing w:after="0"/>
              <w:rPr>
                <w:sz w:val="14"/>
                <w:szCs w:val="14"/>
                <w:color w:val="auto"/>
              </w:rPr>
            </w:pPr>
          </w:p>
        </w:tc>
        <w:tc>
          <w:tcPr>
            <w:tcW w:w="14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(3,105</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3"/>
            <w:vMerge w:val="continue"/>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173,204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9,957</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183,161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-25400</wp:posOffset>
            </wp:positionV>
            <wp:extent cx="1111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-8255</wp:posOffset>
            </wp:positionV>
            <wp:extent cx="1111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1028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1028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1028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1028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8" w:name="page29"/>
    <w:bookmarkEnd w:id="2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both"/>
        <w:ind w:left="2780" w:right="2760" w:hanging="41"/>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44" w:lineRule="exact"/>
        <w:rPr>
          <w:sz w:val="20"/>
          <w:szCs w:val="20"/>
          <w:color w:val="auto"/>
        </w:rPr>
      </w:pPr>
    </w:p>
    <w:p>
      <w:pPr>
        <w:ind w:left="500" w:hanging="492"/>
        <w:spacing w:after="0"/>
        <w:tabs>
          <w:tab w:leader="none" w:pos="5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(a)</w:t>
        <w:tab/>
        <w:t xml:space="preserve">Financial Instruments </w:t>
      </w:r>
      <w:r>
        <w:rPr>
          <w:rFonts w:ascii="Times New Roman" w:cs="Times New Roman" w:eastAsia="Times New Roman" w:hAnsi="Times New Roman"/>
          <w:sz w:val="18"/>
          <w:szCs w:val="18"/>
          <w:i w:val="1"/>
          <w:iCs w:val="1"/>
          <w:color w:val="auto"/>
        </w:rPr>
        <w:t>(Continued)</w:t>
      </w:r>
    </w:p>
    <w:p>
      <w:pPr>
        <w:spacing w:after="0" w:line="205"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7"/>
                <w:szCs w:val="17"/>
                <w:color w:val="auto"/>
              </w:rPr>
            </w:pP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1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17"/>
                <w:szCs w:val="17"/>
                <w:color w:val="auto"/>
              </w:rPr>
            </w:pPr>
          </w:p>
        </w:tc>
        <w:tc>
          <w:tcPr>
            <w:tcW w:w="14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230,420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230,420</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44,117</w:t>
            </w:r>
          </w:p>
        </w:tc>
        <w:tc>
          <w:tcPr>
            <w:tcW w:w="180" w:type="dxa"/>
            <w:vAlign w:val="bottom"/>
          </w:tcPr>
          <w:p>
            <w:pPr>
              <w:spacing w:after="0"/>
              <w:rPr>
                <w:sz w:val="17"/>
                <w:szCs w:val="17"/>
                <w:color w:val="auto"/>
              </w:rPr>
            </w:pPr>
          </w:p>
        </w:tc>
        <w:tc>
          <w:tcPr>
            <w:tcW w:w="1880" w:type="dxa"/>
            <w:vAlign w:val="bottom"/>
            <w:gridSpan w:val="3"/>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50,785</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94,902</w:t>
            </w: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6"/>
                <w:szCs w:val="16"/>
                <w:color w:val="auto"/>
              </w:rPr>
              <w:t>Contingent Consideration Payable</w:t>
            </w:r>
          </w:p>
        </w:tc>
        <w:tc>
          <w:tcPr>
            <w:tcW w:w="180" w:type="dxa"/>
            <w:vAlign w:val="bottom"/>
            <w:shd w:val="clear" w:color="auto" w:fill="CFF0FC"/>
          </w:tcPr>
          <w:p>
            <w:pPr>
              <w:spacing w:after="0"/>
              <w:rPr>
                <w:sz w:val="14"/>
                <w:szCs w:val="14"/>
                <w:color w:val="auto"/>
              </w:rPr>
            </w:pPr>
          </w:p>
        </w:tc>
        <w:tc>
          <w:tcPr>
            <w:tcW w:w="1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4"/>
                <w:szCs w:val="14"/>
                <w:color w:val="auto"/>
              </w:rPr>
            </w:pPr>
          </w:p>
        </w:tc>
        <w:tc>
          <w:tcPr>
            <w:tcW w:w="1880" w:type="dxa"/>
            <w:vAlign w:val="bottom"/>
            <w:gridSpan w:val="3"/>
            <w:vMerge w:val="restart"/>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6"/>
                <w:szCs w:val="16"/>
                <w:color w:val="auto"/>
              </w:rPr>
              <w:t>(83,865</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6"/>
                <w:szCs w:val="16"/>
                <w:color w:val="auto"/>
              </w:rPr>
              <w:t>(83,865</w:t>
            </w:r>
          </w:p>
        </w:tc>
        <w:tc>
          <w:tcPr>
            <w:tcW w:w="0" w:type="dxa"/>
            <w:vAlign w:val="bottom"/>
          </w:tcPr>
          <w:p>
            <w:pPr>
              <w:spacing w:after="0"/>
              <w:rPr>
                <w:sz w:val="1"/>
                <w:szCs w:val="1"/>
                <w:color w:val="auto"/>
              </w:rPr>
            </w:pPr>
          </w:p>
        </w:tc>
      </w:tr>
      <w:tr>
        <w:trPr>
          <w:trHeight w:val="116"/>
        </w:trPr>
        <w:tc>
          <w:tcPr>
            <w:tcW w:w="36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660" w:type="dxa"/>
            <w:vAlign w:val="bottom"/>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880" w:type="dxa"/>
            <w:vAlign w:val="bottom"/>
            <w:gridSpan w:val="3"/>
            <w:vMerge w:val="continue"/>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0"/>
                <w:szCs w:val="10"/>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87"/>
        </w:trPr>
        <w:tc>
          <w:tcPr>
            <w:tcW w:w="366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66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40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1100" w:type="dxa"/>
            <w:vAlign w:val="bottom"/>
            <w:vMerge w:val="continue"/>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40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Warrant Liability</w:t>
            </w: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880" w:type="dxa"/>
            <w:vAlign w:val="bottom"/>
            <w:gridSpan w:val="3"/>
            <w:vMerge w:val="restart"/>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(24,877</w:t>
            </w:r>
          </w:p>
        </w:tc>
        <w:tc>
          <w:tcPr>
            <w:tcW w:w="160" w:type="dxa"/>
            <w:vAlign w:val="bottom"/>
          </w:tcPr>
          <w:p>
            <w:pPr>
              <w:spacing w:after="0"/>
              <w:rPr>
                <w:sz w:val="14"/>
                <w:szCs w:val="14"/>
                <w:color w:val="auto"/>
              </w:rPr>
            </w:pPr>
          </w:p>
        </w:tc>
        <w:tc>
          <w:tcPr>
            <w:tcW w:w="14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(24,877</w:t>
            </w:r>
          </w:p>
        </w:tc>
        <w:tc>
          <w:tcPr>
            <w:tcW w:w="0" w:type="dxa"/>
            <w:vAlign w:val="bottom"/>
          </w:tcPr>
          <w:p>
            <w:pPr>
              <w:spacing w:after="0"/>
              <w:rPr>
                <w:sz w:val="1"/>
                <w:szCs w:val="1"/>
                <w:color w:val="auto"/>
              </w:rPr>
            </w:pPr>
          </w:p>
        </w:tc>
      </w:tr>
      <w:tr>
        <w:trPr>
          <w:trHeight w:val="116"/>
        </w:trPr>
        <w:tc>
          <w:tcPr>
            <w:tcW w:w="3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87"/>
        </w:trPr>
        <w:tc>
          <w:tcPr>
            <w:tcW w:w="3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00" w:type="dxa"/>
            <w:vAlign w:val="bottom"/>
            <w:vMerge w:val="restart"/>
            <w:shd w:val="clear" w:color="auto" w:fill="CFF0FC"/>
          </w:tcPr>
          <w:p>
            <w:pPr>
              <w:jc w:val="right"/>
              <w:spacing w:after="0" w:line="153" w:lineRule="exact"/>
              <w:rPr>
                <w:sz w:val="20"/>
                <w:szCs w:val="20"/>
                <w:color w:val="auto"/>
              </w:rPr>
            </w:pPr>
            <w:r>
              <w:rPr>
                <w:rFonts w:ascii="Times New Roman" w:cs="Times New Roman" w:eastAsia="Times New Roman" w:hAnsi="Times New Roman"/>
                <w:sz w:val="16"/>
                <w:szCs w:val="16"/>
                <w:b w:val="1"/>
                <w:bCs w:val="1"/>
                <w:color w:val="auto"/>
              </w:rPr>
              <w:t>(57,957</w:t>
            </w:r>
          </w:p>
        </w:tc>
        <w:tc>
          <w:tcPr>
            <w:tcW w:w="16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60" w:type="dxa"/>
            <w:vAlign w:val="bottom"/>
            <w:shd w:val="clear" w:color="auto" w:fill="CFF0FC"/>
          </w:tcPr>
          <w:p>
            <w:pPr>
              <w:spacing w:after="0"/>
              <w:rPr>
                <w:sz w:val="11"/>
                <w:szCs w:val="11"/>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274,537</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80" w:type="dxa"/>
            <w:vAlign w:val="bottom"/>
            <w:gridSpan w:val="3"/>
            <w:vMerge w:val="restart"/>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1100" w:type="dxa"/>
            <w:vAlign w:val="bottom"/>
            <w:vMerge w:val="continue"/>
            <w:shd w:val="clear" w:color="auto" w:fill="CFF0FC"/>
          </w:tcPr>
          <w:p>
            <w:pPr>
              <w:spacing w:after="0"/>
              <w:rPr>
                <w:sz w:val="11"/>
                <w:szCs w:val="11"/>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216,580</w:t>
            </w:r>
          </w:p>
        </w:tc>
        <w:tc>
          <w:tcPr>
            <w:tcW w:w="0" w:type="dxa"/>
            <w:vAlign w:val="bottom"/>
          </w:tcPr>
          <w:p>
            <w:pPr>
              <w:spacing w:after="0"/>
              <w:rPr>
                <w:sz w:val="1"/>
                <w:szCs w:val="1"/>
                <w:color w:val="auto"/>
              </w:rPr>
            </w:pPr>
          </w:p>
        </w:tc>
      </w:tr>
      <w:tr>
        <w:trPr>
          <w:trHeight w:val="225"/>
        </w:trPr>
        <w:tc>
          <w:tcPr>
            <w:tcW w:w="3660" w:type="dxa"/>
            <w:vAlign w:val="bottom"/>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660" w:type="dxa"/>
            <w:vAlign w:val="bottom"/>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880" w:type="dxa"/>
            <w:vAlign w:val="bottom"/>
            <w:gridSpan w:val="3"/>
            <w:vMerge w:val="continue"/>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vMerge w:val="continue"/>
            <w:shd w:val="clear" w:color="auto" w:fill="CFF0FC"/>
          </w:tcPr>
          <w:p>
            <w:pPr>
              <w:spacing w:after="0"/>
              <w:rPr>
                <w:sz w:val="19"/>
                <w:szCs w:val="19"/>
                <w:color w:val="auto"/>
              </w:rPr>
            </w:pPr>
          </w:p>
        </w:tc>
        <w:tc>
          <w:tcPr>
            <w:tcW w:w="14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-25400</wp:posOffset>
            </wp:positionV>
            <wp:extent cx="1111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1111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-256540</wp:posOffset>
            </wp:positionV>
            <wp:extent cx="1111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1028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1028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-256540</wp:posOffset>
            </wp:positionV>
            <wp:extent cx="1028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1028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1028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6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Remeasurement of Contingent Consideration Arrangements</w:t>
      </w:r>
    </w:p>
    <w:p>
      <w:pPr>
        <w:spacing w:after="0" w:line="216" w:lineRule="exact"/>
        <w:rPr>
          <w:sz w:val="20"/>
          <w:szCs w:val="20"/>
          <w:color w:val="auto"/>
        </w:rPr>
      </w:pPr>
    </w:p>
    <w:p>
      <w:pPr>
        <w:ind w:left="520"/>
        <w:spacing w:after="0" w:line="247"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remeasured its contingent consideration arrangements associated with its 2021 acquisitions of Mobley Pain Management and Wellness Center LLC and Canwell Processing LLC (collectively “Summit”) and GreenStar Herbals Inc. (“GreenStar”) using Monte Carlo simulation models. During the three and six months ended June 30, 2022, the remeasurement resulted in a net gain of $15,501 thousand and $34,480 thousand, respectively. The change in the fair value of the contingent consideration was driven by a change in Management's estimates and projections of the acquired entities' ability to achieve the performance targets as agreed to in the 2021 acquisition agreements along with the change in fair value of the shares to be issued.</w:t>
      </w:r>
    </w:p>
    <w:p>
      <w:pPr>
        <w:spacing w:after="0" w:line="72" w:lineRule="exact"/>
        <w:rPr>
          <w:sz w:val="20"/>
          <w:szCs w:val="20"/>
          <w:color w:val="auto"/>
        </w:rPr>
      </w:pPr>
    </w:p>
    <w:p>
      <w:pPr>
        <w:jc w:val="both"/>
        <w:ind w:left="520" w:right="220"/>
        <w:spacing w:after="0" w:line="258" w:lineRule="auto"/>
        <w:rPr>
          <w:sz w:val="20"/>
          <w:szCs w:val="20"/>
          <w:color w:val="auto"/>
        </w:rPr>
      </w:pPr>
      <w:r>
        <w:rPr>
          <w:rFonts w:ascii="Times New Roman" w:cs="Times New Roman" w:eastAsia="Times New Roman" w:hAnsi="Times New Roman"/>
          <w:sz w:val="18"/>
          <w:szCs w:val="18"/>
          <w:color w:val="auto"/>
        </w:rPr>
        <w:t>The amount was recorded, net, within selling, general, and administrative expenses on the unaudited interim condensed consolidated statement of operations. Significant assumptions used in the Company's June 30, 2022 remeasurement include Green Thumb's stock price as of June 30, 2022 and projected EBITDA and revenue targets as of such period then ended.</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00" w:lineRule="exact"/>
        <w:rPr>
          <w:sz w:val="20"/>
          <w:szCs w:val="20"/>
          <w:color w:val="auto"/>
        </w:rPr>
      </w:pPr>
    </w:p>
    <w:p>
      <w:pPr>
        <w:spacing w:after="0" w:line="300" w:lineRule="exact"/>
        <w:rPr>
          <w:sz w:val="20"/>
          <w:szCs w:val="20"/>
          <w:color w:val="auto"/>
        </w:rPr>
      </w:pPr>
    </w:p>
    <w:p>
      <w:pPr>
        <w:ind w:left="500" w:hanging="492"/>
        <w:spacing w:after="0"/>
        <w:tabs>
          <w:tab w:leader="none" w:pos="5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The following table presents the summarized financial information about the Company’s consolidated variable interest entities (“VIEs”) which are included in the unaudited interim condensed consolidated balance sheet as of June 30, 2022 and the consolidated balance sheet as of December 31, 2021. All of these entities were determined to be VIEs as the Company possesses the power to direct activities through management services agreements (“MSAs”):</w:t>
      </w:r>
    </w:p>
    <w:p>
      <w:pPr>
        <w:sectPr>
          <w:pgSz w:w="11900" w:h="16838" w:orient="portrait"/>
          <w:cols w:equalWidth="0" w:num="1">
            <w:col w:w="11240"/>
          </w:cols>
          <w:pgMar w:left="320" w:top="117" w:right="339" w:bottom="1440" w:gutter="0" w:footer="0" w:header="0"/>
        </w:sectPr>
      </w:pPr>
    </w:p>
    <w:p>
      <w:pPr>
        <w:spacing w:after="0" w:line="133" w:lineRule="exact"/>
        <w:rPr>
          <w:sz w:val="20"/>
          <w:szCs w:val="20"/>
          <w:color w:val="auto"/>
        </w:rPr>
      </w:pPr>
    </w:p>
    <w:tbl>
      <w:tblPr>
        <w:tblLayout w:type="fixed"/>
        <w:tblInd w:w="4620" w:type="dxa"/>
        <w:tblCellMar>
          <w:top w:w="0" w:type="dxa"/>
          <w:left w:w="0" w:type="dxa"/>
          <w:bottom w:w="0" w:type="dxa"/>
          <w:right w:w="0" w:type="dxa"/>
        </w:tblCellMar>
      </w:tblPr>
      <w:tr>
        <w:trPr>
          <w:trHeight w:val="184"/>
        </w:trPr>
        <w:tc>
          <w:tcPr>
            <w:tcW w:w="1040" w:type="dxa"/>
            <w:vAlign w:val="bottom"/>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w w:val="97"/>
              </w:rPr>
              <w:t>ILDISP,</w:t>
            </w:r>
          </w:p>
        </w:tc>
        <w:tc>
          <w:tcPr>
            <w:tcW w:w="2120" w:type="dxa"/>
            <w:vAlign w:val="bottom"/>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205"/>
        </w:trPr>
        <w:tc>
          <w:tcPr>
            <w:tcW w:w="1040" w:type="dxa"/>
            <w:vAlign w:val="bottom"/>
            <w:tcBorders>
              <w:bottom w:val="single" w:sz="8" w:color="auto"/>
            </w:tcBorders>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LLC</w:t>
            </w:r>
          </w:p>
        </w:tc>
        <w:tc>
          <w:tcPr>
            <w:tcW w:w="2120" w:type="dxa"/>
            <w:vAlign w:val="bottom"/>
            <w:tcBorders>
              <w:bottom w:val="single" w:sz="8" w:color="auto"/>
            </w:tcBorders>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Non-material VIEs</w:t>
            </w:r>
          </w:p>
        </w:tc>
      </w:tr>
      <w:tr>
        <w:trPr>
          <w:trHeight w:val="196"/>
        </w:trPr>
        <w:tc>
          <w:tcPr>
            <w:tcW w:w="10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196"/>
        </w:trPr>
        <w:tc>
          <w:tcPr>
            <w:tcW w:w="1040" w:type="dxa"/>
            <w:vAlign w:val="bottom"/>
          </w:tcPr>
          <w:p>
            <w:pPr>
              <w:spacing w:after="0"/>
              <w:rPr>
                <w:sz w:val="17"/>
                <w:szCs w:val="17"/>
                <w:color w:val="auto"/>
              </w:rPr>
            </w:pPr>
          </w:p>
        </w:tc>
        <w:tc>
          <w:tcPr>
            <w:tcW w:w="21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6"/>
          <w:szCs w:val="16"/>
          <w:b w:val="1"/>
          <w:bCs w:val="1"/>
          <w:color w:val="auto"/>
        </w:rPr>
        <w:t>ILDISP,</w:t>
      </w:r>
      <w:r>
        <w:rPr>
          <w:sz w:val="20"/>
          <w:szCs w:val="20"/>
          <w:color w:val="auto"/>
        </w:rPr>
        <w:tab/>
      </w:r>
      <w:r>
        <w:rPr>
          <w:rFonts w:ascii="Times New Roman" w:cs="Times New Roman" w:eastAsia="Times New Roman" w:hAnsi="Times New Roman"/>
          <w:sz w:val="16"/>
          <w:szCs w:val="16"/>
          <w:b w:val="1"/>
          <w:bCs w:val="1"/>
          <w:color w:val="auto"/>
        </w:rPr>
        <w:t>Other</w:t>
      </w:r>
    </w:p>
    <w:p>
      <w:pPr>
        <w:spacing w:after="0" w:line="12" w:lineRule="exact"/>
        <w:rPr>
          <w:sz w:val="20"/>
          <w:szCs w:val="20"/>
          <w:color w:val="auto"/>
        </w:rPr>
      </w:pPr>
    </w:p>
    <w:p>
      <w:pPr>
        <w:ind w:left="140"/>
        <w:spacing w:after="0"/>
        <w:tabs>
          <w:tab w:leader="none" w:pos="1260" w:val="left"/>
        </w:tabs>
        <w:rPr>
          <w:sz w:val="20"/>
          <w:szCs w:val="20"/>
          <w:color w:val="auto"/>
        </w:rPr>
      </w:pPr>
      <w:r>
        <w:rPr>
          <w:rFonts w:ascii="Times New Roman" w:cs="Times New Roman" w:eastAsia="Times New Roman" w:hAnsi="Times New Roman"/>
          <w:sz w:val="16"/>
          <w:szCs w:val="16"/>
          <w:b w:val="1"/>
          <w:bCs w:val="1"/>
          <w:color w:val="auto"/>
        </w:rPr>
        <w:t>LLC</w:t>
      </w:r>
      <w:r>
        <w:rPr>
          <w:sz w:val="20"/>
          <w:szCs w:val="20"/>
          <w:color w:val="auto"/>
        </w:rPr>
        <w:tab/>
      </w:r>
      <w:r>
        <w:rPr>
          <w:rFonts w:ascii="Times New Roman" w:cs="Times New Roman" w:eastAsia="Times New Roman" w:hAnsi="Times New Roman"/>
          <w:sz w:val="16"/>
          <w:szCs w:val="16"/>
          <w:b w:val="1"/>
          <w:bCs w:val="1"/>
          <w:color w:val="auto"/>
        </w:rPr>
        <w:t>Non-material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635</wp:posOffset>
            </wp:positionV>
            <wp:extent cx="197167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-114935</wp:posOffset>
            </wp:positionV>
            <wp:extent cx="197167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7840" w:space="720"/>
            <w:col w:w="26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394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Current assets</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Borders>
              <w:top w:val="single" w:sz="8" w:color="auto"/>
            </w:tcBorders>
            <w:vMerge w:val="restart"/>
            <w:shd w:val="clear" w:color="auto" w:fill="CFF0FC"/>
          </w:tcPr>
          <w:p>
            <w:pPr>
              <w:ind w:left="1280"/>
              <w:spacing w:after="0" w:line="358"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2"/>
                <w:szCs w:val="32"/>
                <w:color w:val="auto"/>
                <w:vertAlign w:val="superscript"/>
              </w:rPr>
              <w:t>$</w:t>
            </w:r>
          </w:p>
        </w:tc>
        <w:tc>
          <w:tcPr>
            <w:tcW w:w="980" w:type="dxa"/>
            <w:vAlign w:val="bottom"/>
            <w:tcBorders>
              <w:top w:val="single" w:sz="8" w:color="auto"/>
            </w:tcBorders>
            <w:shd w:val="clear" w:color="auto" w:fill="CFF0FC"/>
          </w:tcPr>
          <w:p>
            <w:pPr>
              <w:spacing w:after="0"/>
              <w:rPr>
                <w:sz w:val="13"/>
                <w:szCs w:val="13"/>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4,1</w:t>
            </w:r>
          </w:p>
        </w:tc>
        <w:tc>
          <w:tcPr>
            <w:tcW w:w="760" w:type="dxa"/>
            <w:vAlign w:val="bottom"/>
            <w:tcBorders>
              <w:top w:val="single" w:sz="8" w:color="auto"/>
            </w:tcBorders>
            <w:vMerge w:val="restart"/>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FF0FC"/>
          </w:tcPr>
          <w:p>
            <w:pPr>
              <w:ind w:left="640"/>
              <w:spacing w:after="0" w:line="155" w:lineRule="exact"/>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203"/>
        </w:trPr>
        <w:tc>
          <w:tcPr>
            <w:tcW w:w="3940" w:type="dxa"/>
            <w:vAlign w:val="bottom"/>
            <w:vMerge w:val="continue"/>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2180" w:type="dxa"/>
            <w:vAlign w:val="bottom"/>
            <w:vMerge w:val="continue"/>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360" w:type="dxa"/>
            <w:vAlign w:val="bottom"/>
            <w:vMerge w:val="continue"/>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760" w:type="dxa"/>
            <w:vAlign w:val="bottom"/>
            <w:vMerge w:val="continue"/>
            <w:shd w:val="clear" w:color="auto" w:fill="CFF0FC"/>
          </w:tcPr>
          <w:p>
            <w:pPr>
              <w:spacing w:after="0"/>
              <w:rPr>
                <w:sz w:val="17"/>
                <w:szCs w:val="17"/>
                <w:color w:val="auto"/>
              </w:rPr>
            </w:pPr>
          </w:p>
        </w:tc>
        <w:tc>
          <w:tcPr>
            <w:tcW w:w="8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62"/>
        </w:trPr>
        <w:tc>
          <w:tcPr>
            <w:tcW w:w="3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Non-current assets</w:t>
            </w:r>
          </w:p>
        </w:tc>
        <w:tc>
          <w:tcPr>
            <w:tcW w:w="680" w:type="dxa"/>
            <w:vAlign w:val="bottom"/>
          </w:tcPr>
          <w:p>
            <w:pPr>
              <w:spacing w:after="0"/>
              <w:rPr>
                <w:sz w:val="14"/>
                <w:szCs w:val="14"/>
                <w:color w:val="auto"/>
              </w:rPr>
            </w:pPr>
          </w:p>
        </w:tc>
        <w:tc>
          <w:tcPr>
            <w:tcW w:w="2180" w:type="dxa"/>
            <w:vAlign w:val="bottom"/>
            <w:vMerge w:val="restart"/>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3,2</w:t>
            </w:r>
          </w:p>
        </w:tc>
        <w:tc>
          <w:tcPr>
            <w:tcW w:w="760" w:type="dxa"/>
            <w:vAlign w:val="bottom"/>
          </w:tcPr>
          <w:p>
            <w:pPr>
              <w:spacing w:after="0"/>
              <w:rPr>
                <w:sz w:val="14"/>
                <w:szCs w:val="14"/>
                <w:color w:val="auto"/>
              </w:rPr>
            </w:pPr>
          </w:p>
        </w:tc>
        <w:tc>
          <w:tcPr>
            <w:tcW w:w="860" w:type="dxa"/>
            <w:vAlign w:val="bottom"/>
          </w:tcPr>
          <w:p>
            <w:pPr>
              <w:ind w:left="640"/>
              <w:spacing w:after="0" w:line="161" w:lineRule="exact"/>
              <w:rPr>
                <w:sz w:val="20"/>
                <w:szCs w:val="20"/>
                <w:color w:val="auto"/>
              </w:rPr>
            </w:pPr>
            <w:r>
              <w:rPr>
                <w:rFonts w:ascii="Times New Roman" w:cs="Times New Roman" w:eastAsia="Times New Roman" w:hAnsi="Times New Roman"/>
                <w:sz w:val="16"/>
                <w:szCs w:val="16"/>
                <w:color w:val="auto"/>
                <w:w w:val="99"/>
              </w:rPr>
              <w:t>1,7</w:t>
            </w:r>
          </w:p>
        </w:tc>
        <w:tc>
          <w:tcPr>
            <w:tcW w:w="0" w:type="dxa"/>
            <w:vAlign w:val="bottom"/>
          </w:tcPr>
          <w:p>
            <w:pPr>
              <w:spacing w:after="0"/>
              <w:rPr>
                <w:sz w:val="1"/>
                <w:szCs w:val="1"/>
                <w:color w:val="auto"/>
              </w:rPr>
            </w:pPr>
          </w:p>
        </w:tc>
      </w:tr>
      <w:tr>
        <w:trPr>
          <w:trHeight w:val="203"/>
        </w:trPr>
        <w:tc>
          <w:tcPr>
            <w:tcW w:w="39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180" w:type="dxa"/>
            <w:vAlign w:val="bottom"/>
            <w:vMerge w:val="continue"/>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76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62"/>
        </w:trPr>
        <w:tc>
          <w:tcPr>
            <w:tcW w:w="394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Current liabilities</w:t>
            </w:r>
          </w:p>
        </w:tc>
        <w:tc>
          <w:tcPr>
            <w:tcW w:w="680" w:type="dxa"/>
            <w:vAlign w:val="bottom"/>
            <w:shd w:val="clear" w:color="auto" w:fill="CFF0FC"/>
          </w:tcPr>
          <w:p>
            <w:pPr>
              <w:spacing w:after="0"/>
              <w:rPr>
                <w:sz w:val="14"/>
                <w:szCs w:val="14"/>
                <w:color w:val="auto"/>
              </w:rPr>
            </w:pPr>
          </w:p>
        </w:tc>
        <w:tc>
          <w:tcPr>
            <w:tcW w:w="2180" w:type="dxa"/>
            <w:vAlign w:val="bottom"/>
            <w:vMerge w:val="restart"/>
            <w:shd w:val="clear" w:color="auto" w:fill="CFF0FC"/>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6"/>
                <w:szCs w:val="16"/>
                <w:color w:val="auto"/>
              </w:rPr>
              <w:t>10,7</w:t>
            </w:r>
          </w:p>
        </w:tc>
        <w:tc>
          <w:tcPr>
            <w:tcW w:w="760" w:type="dxa"/>
            <w:vAlign w:val="bottom"/>
            <w:shd w:val="clear" w:color="auto" w:fill="CFF0FC"/>
          </w:tcPr>
          <w:p>
            <w:pPr>
              <w:spacing w:after="0"/>
              <w:rPr>
                <w:sz w:val="14"/>
                <w:szCs w:val="14"/>
                <w:color w:val="auto"/>
              </w:rPr>
            </w:pPr>
          </w:p>
        </w:tc>
        <w:tc>
          <w:tcPr>
            <w:tcW w:w="860" w:type="dxa"/>
            <w:vAlign w:val="bottom"/>
            <w:shd w:val="clear" w:color="auto" w:fill="CFF0FC"/>
          </w:tcPr>
          <w:p>
            <w:pPr>
              <w:ind w:left="760"/>
              <w:spacing w:after="0" w:line="161" w:lineRule="exact"/>
              <w:rPr>
                <w:sz w:val="20"/>
                <w:szCs w:val="20"/>
                <w:color w:val="auto"/>
              </w:rPr>
            </w:pPr>
            <w:r>
              <w:rPr>
                <w:rFonts w:ascii="Times New Roman" w:cs="Times New Roman" w:eastAsia="Times New Roman" w:hAnsi="Times New Roman"/>
                <w:sz w:val="16"/>
                <w:szCs w:val="16"/>
                <w:color w:val="auto"/>
                <w:w w:val="99"/>
              </w:rPr>
              <w:t>8</w:t>
            </w:r>
          </w:p>
        </w:tc>
        <w:tc>
          <w:tcPr>
            <w:tcW w:w="0" w:type="dxa"/>
            <w:vAlign w:val="bottom"/>
          </w:tcPr>
          <w:p>
            <w:pPr>
              <w:spacing w:after="0"/>
              <w:rPr>
                <w:sz w:val="1"/>
                <w:szCs w:val="1"/>
                <w:color w:val="auto"/>
              </w:rPr>
            </w:pPr>
          </w:p>
        </w:tc>
      </w:tr>
      <w:tr>
        <w:trPr>
          <w:trHeight w:val="203"/>
        </w:trPr>
        <w:tc>
          <w:tcPr>
            <w:tcW w:w="3940" w:type="dxa"/>
            <w:vAlign w:val="bottom"/>
            <w:vMerge w:val="continue"/>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180" w:type="dxa"/>
            <w:vAlign w:val="bottom"/>
            <w:vMerge w:val="continue"/>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3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760" w:type="dxa"/>
            <w:vAlign w:val="bottom"/>
            <w:shd w:val="clear" w:color="auto" w:fill="CFF0FC"/>
          </w:tcPr>
          <w:p>
            <w:pPr>
              <w:spacing w:after="0"/>
              <w:rPr>
                <w:sz w:val="17"/>
                <w:szCs w:val="17"/>
                <w:color w:val="auto"/>
              </w:rPr>
            </w:pPr>
          </w:p>
        </w:tc>
        <w:tc>
          <w:tcPr>
            <w:tcW w:w="8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62"/>
        </w:trPr>
        <w:tc>
          <w:tcPr>
            <w:tcW w:w="3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Non-current liabilities</w:t>
            </w:r>
          </w:p>
        </w:tc>
        <w:tc>
          <w:tcPr>
            <w:tcW w:w="680" w:type="dxa"/>
            <w:vAlign w:val="bottom"/>
          </w:tcPr>
          <w:p>
            <w:pPr>
              <w:spacing w:after="0"/>
              <w:rPr>
                <w:sz w:val="14"/>
                <w:szCs w:val="14"/>
                <w:color w:val="auto"/>
              </w:rPr>
            </w:pPr>
          </w:p>
        </w:tc>
        <w:tc>
          <w:tcPr>
            <w:tcW w:w="2180" w:type="dxa"/>
            <w:vAlign w:val="bottom"/>
            <w:vMerge w:val="restart"/>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4</w:t>
            </w:r>
          </w:p>
        </w:tc>
        <w:tc>
          <w:tcPr>
            <w:tcW w:w="760" w:type="dxa"/>
            <w:vAlign w:val="bottom"/>
          </w:tcPr>
          <w:p>
            <w:pPr>
              <w:spacing w:after="0"/>
              <w:rPr>
                <w:sz w:val="14"/>
                <w:szCs w:val="14"/>
                <w:color w:val="auto"/>
              </w:rPr>
            </w:pPr>
          </w:p>
        </w:tc>
        <w:tc>
          <w:tcPr>
            <w:tcW w:w="860" w:type="dxa"/>
            <w:vAlign w:val="bottom"/>
          </w:tcPr>
          <w:p>
            <w:pPr>
              <w:ind w:left="760"/>
              <w:spacing w:after="0" w:line="161" w:lineRule="exact"/>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203"/>
        </w:trPr>
        <w:tc>
          <w:tcPr>
            <w:tcW w:w="39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180" w:type="dxa"/>
            <w:vAlign w:val="bottom"/>
            <w:vMerge w:val="continue"/>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76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162"/>
        </w:trPr>
        <w:tc>
          <w:tcPr>
            <w:tcW w:w="394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680" w:type="dxa"/>
            <w:vAlign w:val="bottom"/>
            <w:shd w:val="clear" w:color="auto" w:fill="CFF0FC"/>
          </w:tcPr>
          <w:p>
            <w:pPr>
              <w:spacing w:after="0"/>
              <w:rPr>
                <w:sz w:val="14"/>
                <w:szCs w:val="14"/>
                <w:color w:val="auto"/>
              </w:rPr>
            </w:pPr>
          </w:p>
        </w:tc>
        <w:tc>
          <w:tcPr>
            <w:tcW w:w="2180" w:type="dxa"/>
            <w:vAlign w:val="bottom"/>
            <w:vMerge w:val="restart"/>
            <w:shd w:val="clear" w:color="auto" w:fill="CFF0FC"/>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6"/>
                <w:szCs w:val="16"/>
                <w:color w:val="auto"/>
              </w:rPr>
              <w:t>(1,86</w:t>
            </w:r>
          </w:p>
        </w:tc>
        <w:tc>
          <w:tcPr>
            <w:tcW w:w="760" w:type="dxa"/>
            <w:vAlign w:val="bottom"/>
            <w:shd w:val="clear" w:color="auto" w:fill="CFF0FC"/>
          </w:tcPr>
          <w:p>
            <w:pPr>
              <w:spacing w:after="0"/>
              <w:rPr>
                <w:sz w:val="14"/>
                <w:szCs w:val="14"/>
                <w:color w:val="auto"/>
              </w:rPr>
            </w:pPr>
          </w:p>
        </w:tc>
        <w:tc>
          <w:tcPr>
            <w:tcW w:w="860" w:type="dxa"/>
            <w:vAlign w:val="bottom"/>
            <w:shd w:val="clear" w:color="auto" w:fill="CFF0FC"/>
          </w:tcPr>
          <w:p>
            <w:pPr>
              <w:ind w:left="760"/>
              <w:spacing w:after="0" w:line="161" w:lineRule="exact"/>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03"/>
        </w:trPr>
        <w:tc>
          <w:tcPr>
            <w:tcW w:w="3940" w:type="dxa"/>
            <w:vAlign w:val="bottom"/>
            <w:vMerge w:val="continue"/>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180" w:type="dxa"/>
            <w:vAlign w:val="bottom"/>
            <w:vMerge w:val="continue"/>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3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760" w:type="dxa"/>
            <w:vAlign w:val="bottom"/>
            <w:shd w:val="clear" w:color="auto" w:fill="CFF0FC"/>
          </w:tcPr>
          <w:p>
            <w:pPr>
              <w:spacing w:after="0"/>
              <w:rPr>
                <w:sz w:val="17"/>
                <w:szCs w:val="17"/>
                <w:color w:val="auto"/>
              </w:rPr>
            </w:pPr>
          </w:p>
        </w:tc>
        <w:tc>
          <w:tcPr>
            <w:tcW w:w="8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62"/>
        </w:trPr>
        <w:tc>
          <w:tcPr>
            <w:tcW w:w="3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Equity attributable to Green Thumb Industries Inc.</w:t>
            </w:r>
          </w:p>
        </w:tc>
        <w:tc>
          <w:tcPr>
            <w:tcW w:w="680" w:type="dxa"/>
            <w:vAlign w:val="bottom"/>
          </w:tcPr>
          <w:p>
            <w:pPr>
              <w:spacing w:after="0"/>
              <w:rPr>
                <w:sz w:val="14"/>
                <w:szCs w:val="14"/>
                <w:color w:val="auto"/>
              </w:rPr>
            </w:pPr>
          </w:p>
        </w:tc>
        <w:tc>
          <w:tcPr>
            <w:tcW w:w="2180" w:type="dxa"/>
            <w:vAlign w:val="bottom"/>
            <w:vMerge w:val="restart"/>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(1,86</w:t>
            </w:r>
          </w:p>
        </w:tc>
        <w:tc>
          <w:tcPr>
            <w:tcW w:w="760" w:type="dxa"/>
            <w:vAlign w:val="bottom"/>
          </w:tcPr>
          <w:p>
            <w:pPr>
              <w:spacing w:after="0"/>
              <w:rPr>
                <w:sz w:val="14"/>
                <w:szCs w:val="14"/>
                <w:color w:val="auto"/>
              </w:rPr>
            </w:pPr>
          </w:p>
        </w:tc>
        <w:tc>
          <w:tcPr>
            <w:tcW w:w="860" w:type="dxa"/>
            <w:vAlign w:val="bottom"/>
          </w:tcPr>
          <w:p>
            <w:pPr>
              <w:ind w:left="640"/>
              <w:spacing w:after="0" w:line="161" w:lineRule="exact"/>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18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76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On March 1, 2022, the Company acquired the remaining 50% minority interest in ILDISP, LLC, for $11,857 thousand in cash and the issuance of 128,218 shares of Green Thumb, which had a fair value of $2,379 thousand. As a result, the remaining equity associated with the noncontrolling interest was closed to accumulated surplus (deficit) of Green Thumb as of March 1, 2022. See Note 4 - Acquisitions for details.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00" w:lineRule="exact"/>
        <w:rPr>
          <w:sz w:val="20"/>
          <w:szCs w:val="20"/>
          <w:color w:val="auto"/>
        </w:rPr>
      </w:pPr>
    </w:p>
    <w:p>
      <w:pPr>
        <w:spacing w:after="0" w:line="300" w:lineRule="exact"/>
        <w:rPr>
          <w:sz w:val="20"/>
          <w:szCs w:val="20"/>
          <w:color w:val="auto"/>
        </w:rPr>
      </w:pPr>
    </w:p>
    <w:p>
      <w:pPr>
        <w:ind w:left="500" w:hanging="492"/>
        <w:spacing w:after="0"/>
        <w:tabs>
          <w:tab w:leader="none" w:pos="5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VARIABLE INTEREST ENTITIES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summarized financial information about the Company’s VIEs which are included in the unaudited interim condensed consolidated statements of operations for the three and six months ended June 30, 2022 and 2021:</w:t>
      </w:r>
    </w:p>
    <w:p>
      <w:pPr>
        <w:spacing w:after="0" w:line="245"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2" w:lineRule="exact"/>
        <w:rPr>
          <w:sz w:val="20"/>
          <w:szCs w:val="20"/>
          <w:color w:val="auto"/>
        </w:rPr>
      </w:pPr>
    </w:p>
    <w:p>
      <w:pPr>
        <w:ind w:left="4760"/>
        <w:spacing w:after="0"/>
        <w:tabs>
          <w:tab w:leader="none" w:pos="8940" w:val="left"/>
        </w:tabs>
        <w:rPr>
          <w:sz w:val="20"/>
          <w:szCs w:val="20"/>
          <w:color w:val="auto"/>
        </w:rPr>
      </w:pPr>
      <w:r>
        <w:rPr>
          <w:rFonts w:ascii="Times New Roman" w:cs="Times New Roman" w:eastAsia="Times New Roman" w:hAnsi="Times New Roman"/>
          <w:sz w:val="16"/>
          <w:szCs w:val="16"/>
          <w:b w:val="1"/>
          <w:bCs w:val="1"/>
          <w:color w:val="auto"/>
        </w:rPr>
        <w:t>June 30, 2022</w:t>
      </w:r>
      <w:r>
        <w:rPr>
          <w:sz w:val="20"/>
          <w:szCs w:val="20"/>
          <w:color w:val="auto"/>
        </w:rPr>
        <w:tab/>
      </w:r>
      <w:r>
        <w:rPr>
          <w:rFonts w:ascii="Times New Roman" w:cs="Times New Roman" w:eastAsia="Times New Roman" w:hAnsi="Times New Roman"/>
          <w:sz w:val="16"/>
          <w:szCs w:val="16"/>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-114935</wp:posOffset>
            </wp:positionV>
            <wp:extent cx="506603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06603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8" w:lineRule="exact"/>
        <w:rPr>
          <w:sz w:val="20"/>
          <w:szCs w:val="20"/>
          <w:color w:val="auto"/>
        </w:rPr>
      </w:pPr>
    </w:p>
    <w:tbl>
      <w:tblPr>
        <w:tblLayout w:type="fixed"/>
        <w:tblInd w:w="3260" w:type="dxa"/>
        <w:tblCellMar>
          <w:top w:w="0" w:type="dxa"/>
          <w:left w:w="0" w:type="dxa"/>
          <w:bottom w:w="0" w:type="dxa"/>
          <w:right w:w="0" w:type="dxa"/>
        </w:tblCellMar>
      </w:tblPr>
      <w:tr>
        <w:trPr>
          <w:trHeight w:val="159"/>
        </w:trPr>
        <w:tc>
          <w:tcPr>
            <w:tcW w:w="1280" w:type="dxa"/>
            <w:vAlign w:val="bottom"/>
            <w:tcBorders>
              <w:top w:val="single" w:sz="8" w:color="auto"/>
            </w:tcBorders>
          </w:tcPr>
          <w:p>
            <w:pPr>
              <w:jc w:val="center"/>
              <w:ind w:left="199"/>
              <w:spacing w:after="0" w:line="159" w:lineRule="exact"/>
              <w:rPr>
                <w:sz w:val="20"/>
                <w:szCs w:val="20"/>
                <w:color w:val="auto"/>
              </w:rPr>
            </w:pPr>
            <w:r>
              <w:rPr>
                <w:rFonts w:ascii="Times New Roman" w:cs="Times New Roman" w:eastAsia="Times New Roman" w:hAnsi="Times New Roman"/>
                <w:sz w:val="16"/>
                <w:szCs w:val="16"/>
                <w:b w:val="1"/>
                <w:bCs w:val="1"/>
                <w:color w:val="auto"/>
                <w:w w:val="97"/>
              </w:rPr>
              <w:t>ILDISP,</w:t>
            </w: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Other</w:t>
            </w:r>
          </w:p>
        </w:tc>
      </w:tr>
      <w:tr>
        <w:trPr>
          <w:trHeight w:val="205"/>
        </w:trPr>
        <w:tc>
          <w:tcPr>
            <w:tcW w:w="128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w w:val="97"/>
              </w:rPr>
              <w:t>LLC</w:t>
            </w:r>
          </w:p>
        </w:tc>
        <w:tc>
          <w:tcPr>
            <w:tcW w:w="3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Non-material VIEs</w:t>
            </w:r>
          </w:p>
        </w:tc>
      </w:tr>
      <w:tr>
        <w:trPr>
          <w:trHeight w:val="196"/>
        </w:trPr>
        <w:tc>
          <w:tcPr>
            <w:tcW w:w="1280" w:type="dxa"/>
            <w:vAlign w:val="bottom"/>
          </w:tcPr>
          <w:p>
            <w:pPr>
              <w:spacing w:after="0"/>
              <w:rPr>
                <w:sz w:val="17"/>
                <w:szCs w:val="17"/>
                <w:color w:val="auto"/>
              </w:rPr>
            </w:pPr>
          </w:p>
        </w:tc>
        <w:tc>
          <w:tcPr>
            <w:tcW w:w="26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(in thousands)</w:t>
            </w:r>
          </w:p>
        </w:tc>
      </w:tr>
    </w:tbl>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1200" w:type="dxa"/>
            <w:vAlign w:val="bottom"/>
            <w:tcBorders>
              <w:top w:val="single" w:sz="8" w:color="auto"/>
            </w:tcBorders>
          </w:tcPr>
          <w:p>
            <w:pPr>
              <w:jc w:val="center"/>
              <w:ind w:left="359"/>
              <w:spacing w:after="0" w:line="159" w:lineRule="exact"/>
              <w:rPr>
                <w:sz w:val="20"/>
                <w:szCs w:val="20"/>
                <w:color w:val="auto"/>
              </w:rPr>
            </w:pPr>
            <w:r>
              <w:rPr>
                <w:rFonts w:ascii="Times New Roman" w:cs="Times New Roman" w:eastAsia="Times New Roman" w:hAnsi="Times New Roman"/>
                <w:sz w:val="16"/>
                <w:szCs w:val="16"/>
                <w:b w:val="1"/>
                <w:bCs w:val="1"/>
                <w:color w:val="auto"/>
                <w:w w:val="97"/>
              </w:rPr>
              <w:t>ILDISP,</w:t>
            </w:r>
          </w:p>
        </w:tc>
        <w:tc>
          <w:tcPr>
            <w:tcW w:w="4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Other</w:t>
            </w:r>
          </w:p>
        </w:tc>
      </w:tr>
      <w:tr>
        <w:trPr>
          <w:trHeight w:val="205"/>
        </w:trPr>
        <w:tc>
          <w:tcPr>
            <w:tcW w:w="120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w w:val="97"/>
              </w:rPr>
              <w:t>LLC</w:t>
            </w:r>
          </w:p>
        </w:tc>
        <w:tc>
          <w:tcPr>
            <w:tcW w:w="4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Non-material VIEs</w:t>
            </w:r>
          </w:p>
        </w:tc>
      </w:tr>
      <w:tr>
        <w:trPr>
          <w:trHeight w:val="196"/>
        </w:trPr>
        <w:tc>
          <w:tcPr>
            <w:tcW w:w="1200" w:type="dxa"/>
            <w:vAlign w:val="bottom"/>
          </w:tcPr>
          <w:p>
            <w:pPr>
              <w:spacing w:after="0"/>
              <w:rPr>
                <w:sz w:val="17"/>
                <w:szCs w:val="17"/>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(in</w:t>
            </w:r>
          </w:p>
        </w:tc>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r>
    </w:tbl>
    <w:p>
      <w:pPr>
        <w:spacing w:after="0" w:line="1" w:lineRule="exact"/>
        <w:rPr>
          <w:sz w:val="20"/>
          <w:szCs w:val="20"/>
          <w:color w:val="auto"/>
        </w:rPr>
      </w:pPr>
    </w:p>
    <w:p>
      <w:pPr>
        <w:sectPr>
          <w:pgSz w:w="11900" w:h="16838" w:orient="portrait"/>
          <w:cols w:equalWidth="0" w:num="2">
            <w:col w:w="7220" w:space="420"/>
            <w:col w:w="36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6,217</w:t>
            </w:r>
          </w:p>
        </w:tc>
        <w:tc>
          <w:tcPr>
            <w:tcW w:w="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3,823</w:t>
            </w:r>
          </w:p>
        </w:tc>
        <w:tc>
          <w:tcPr>
            <w:tcW w:w="0" w:type="dxa"/>
            <w:vAlign w:val="bottom"/>
          </w:tcPr>
          <w:p>
            <w:pPr>
              <w:spacing w:after="0"/>
              <w:rPr>
                <w:sz w:val="1"/>
                <w:szCs w:val="1"/>
                <w:color w:val="auto"/>
              </w:rPr>
            </w:pPr>
          </w:p>
        </w:tc>
      </w:tr>
      <w:tr>
        <w:trPr>
          <w:trHeight w:val="162"/>
        </w:trPr>
        <w:tc>
          <w:tcPr>
            <w:tcW w:w="2880" w:type="dxa"/>
            <w:vAlign w:val="bottom"/>
            <w:shd w:val="clear" w:color="auto" w:fill="CFF0FC"/>
          </w:tcPr>
          <w:p>
            <w:pPr>
              <w:ind w:left="20"/>
              <w:spacing w:after="0" w:line="161"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380" w:type="dxa"/>
            <w:vAlign w:val="bottom"/>
            <w:shd w:val="clear" w:color="auto" w:fill="CFF0FC"/>
          </w:tcPr>
          <w:p>
            <w:pPr>
              <w:spacing w:after="0"/>
              <w:rPr>
                <w:sz w:val="14"/>
                <w:szCs w:val="14"/>
                <w:color w:val="auto"/>
              </w:rPr>
            </w:pPr>
          </w:p>
        </w:tc>
        <w:tc>
          <w:tcPr>
            <w:tcW w:w="1600" w:type="dxa"/>
            <w:vAlign w:val="bottom"/>
            <w:vMerge w:val="restart"/>
            <w:shd w:val="clear" w:color="auto" w:fill="CFF0FC"/>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4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03"/>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380" w:type="dxa"/>
            <w:vAlign w:val="bottom"/>
            <w:shd w:val="clear" w:color="auto" w:fill="CFF0FC"/>
          </w:tcPr>
          <w:p>
            <w:pPr>
              <w:spacing w:after="0"/>
              <w:rPr>
                <w:sz w:val="17"/>
                <w:szCs w:val="17"/>
                <w:color w:val="auto"/>
              </w:rPr>
            </w:pPr>
          </w:p>
        </w:tc>
        <w:tc>
          <w:tcPr>
            <w:tcW w:w="160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60" w:type="dxa"/>
            <w:vAlign w:val="bottom"/>
            <w:vMerge w:val="continue"/>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Net income attributable to Green Thumb</w:t>
            </w:r>
          </w:p>
        </w:tc>
        <w:tc>
          <w:tcPr>
            <w:tcW w:w="380" w:type="dxa"/>
            <w:vAlign w:val="bottom"/>
          </w:tcPr>
          <w:p>
            <w:pPr>
              <w:spacing w:after="0"/>
              <w:rPr>
                <w:sz w:val="14"/>
                <w:szCs w:val="14"/>
                <w:color w:val="auto"/>
              </w:rPr>
            </w:pPr>
          </w:p>
        </w:tc>
        <w:tc>
          <w:tcPr>
            <w:tcW w:w="1600" w:type="dxa"/>
            <w:vAlign w:val="bottom"/>
            <w:vMerge w:val="restart"/>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Industries Inc.</w:t>
            </w:r>
          </w:p>
        </w:tc>
        <w:tc>
          <w:tcPr>
            <w:tcW w:w="38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FF0FC"/>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545</w:t>
            </w:r>
          </w:p>
        </w:tc>
        <w:tc>
          <w:tcPr>
            <w:tcW w:w="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1,716</w:t>
            </w:r>
          </w:p>
        </w:tc>
        <w:tc>
          <w:tcPr>
            <w:tcW w:w="2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838</w:t>
            </w:r>
          </w:p>
        </w:tc>
        <w:tc>
          <w:tcPr>
            <w:tcW w:w="0" w:type="dxa"/>
            <w:vAlign w:val="bottom"/>
          </w:tcPr>
          <w:p>
            <w:pPr>
              <w:spacing w:after="0"/>
              <w:rPr>
                <w:sz w:val="1"/>
                <w:szCs w:val="1"/>
                <w:color w:val="auto"/>
              </w:rPr>
            </w:pPr>
          </w:p>
        </w:tc>
      </w:tr>
      <w:tr>
        <w:trPr>
          <w:trHeight w:val="383"/>
        </w:trPr>
        <w:tc>
          <w:tcPr>
            <w:tcW w:w="2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gridSpan w:val="3"/>
          </w:tcPr>
          <w:p>
            <w:pPr>
              <w:ind w:left="15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6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-419735</wp:posOffset>
            </wp:positionV>
            <wp:extent cx="2991485"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991485"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tbl>
      <w:tblPr>
        <w:tblLayout w:type="fixed"/>
        <w:tblInd w:w="3260" w:type="dxa"/>
        <w:tblCellMar>
          <w:top w:w="0" w:type="dxa"/>
          <w:left w:w="0" w:type="dxa"/>
          <w:bottom w:w="0" w:type="dxa"/>
          <w:right w:w="0" w:type="dxa"/>
        </w:tblCellMar>
      </w:tblPr>
      <w:tr>
        <w:trPr>
          <w:trHeight w:val="153"/>
        </w:trPr>
        <w:tc>
          <w:tcPr>
            <w:tcW w:w="1280" w:type="dxa"/>
            <w:vAlign w:val="bottom"/>
            <w:tcBorders>
              <w:top w:val="single" w:sz="8" w:color="auto"/>
            </w:tcBorders>
          </w:tcPr>
          <w:p>
            <w:pPr>
              <w:jc w:val="center"/>
              <w:ind w:left="199"/>
              <w:spacing w:after="0" w:line="153" w:lineRule="exact"/>
              <w:rPr>
                <w:sz w:val="20"/>
                <w:szCs w:val="20"/>
                <w:color w:val="auto"/>
              </w:rPr>
            </w:pPr>
            <w:r>
              <w:rPr>
                <w:rFonts w:ascii="Times New Roman" w:cs="Times New Roman" w:eastAsia="Times New Roman" w:hAnsi="Times New Roman"/>
                <w:sz w:val="16"/>
                <w:szCs w:val="16"/>
                <w:b w:val="1"/>
                <w:bCs w:val="1"/>
                <w:color w:val="auto"/>
                <w:w w:val="97"/>
              </w:rPr>
              <w:t>ILDISP,</w:t>
            </w: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Other</w:t>
            </w:r>
          </w:p>
        </w:tc>
      </w:tr>
      <w:tr>
        <w:trPr>
          <w:trHeight w:val="205"/>
        </w:trPr>
        <w:tc>
          <w:tcPr>
            <w:tcW w:w="128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w w:val="97"/>
              </w:rPr>
              <w:t>LLC</w:t>
            </w:r>
          </w:p>
        </w:tc>
        <w:tc>
          <w:tcPr>
            <w:tcW w:w="3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Non-material VIEs</w:t>
            </w:r>
          </w:p>
        </w:tc>
      </w:tr>
      <w:tr>
        <w:trPr>
          <w:trHeight w:val="196"/>
        </w:trPr>
        <w:tc>
          <w:tcPr>
            <w:tcW w:w="1280" w:type="dxa"/>
            <w:vAlign w:val="bottom"/>
          </w:tcPr>
          <w:p>
            <w:pPr>
              <w:spacing w:after="0"/>
              <w:rPr>
                <w:sz w:val="17"/>
                <w:szCs w:val="17"/>
                <w:color w:val="auto"/>
              </w:rPr>
            </w:pPr>
          </w:p>
        </w:tc>
        <w:tc>
          <w:tcPr>
            <w:tcW w:w="26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(in thousands)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200" w:type="dxa"/>
            <w:vAlign w:val="bottom"/>
            <w:tcBorders>
              <w:top w:val="single" w:sz="8" w:color="auto"/>
            </w:tcBorders>
          </w:tcPr>
          <w:p>
            <w:pPr>
              <w:jc w:val="center"/>
              <w:ind w:left="359"/>
              <w:spacing w:after="0" w:line="153" w:lineRule="exact"/>
              <w:rPr>
                <w:sz w:val="20"/>
                <w:szCs w:val="20"/>
                <w:color w:val="auto"/>
              </w:rPr>
            </w:pPr>
            <w:r>
              <w:rPr>
                <w:rFonts w:ascii="Times New Roman" w:cs="Times New Roman" w:eastAsia="Times New Roman" w:hAnsi="Times New Roman"/>
                <w:sz w:val="16"/>
                <w:szCs w:val="16"/>
                <w:b w:val="1"/>
                <w:bCs w:val="1"/>
                <w:color w:val="auto"/>
                <w:w w:val="97"/>
              </w:rPr>
              <w:t>ILDISP,</w:t>
            </w:r>
          </w:p>
        </w:tc>
        <w:tc>
          <w:tcPr>
            <w:tcW w:w="4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Other</w:t>
            </w:r>
          </w:p>
        </w:tc>
      </w:tr>
      <w:tr>
        <w:trPr>
          <w:trHeight w:val="205"/>
        </w:trPr>
        <w:tc>
          <w:tcPr>
            <w:tcW w:w="120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w w:val="97"/>
              </w:rPr>
              <w:t>LLC</w:t>
            </w:r>
          </w:p>
        </w:tc>
        <w:tc>
          <w:tcPr>
            <w:tcW w:w="4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Non-material VIEs</w:t>
            </w:r>
          </w:p>
        </w:tc>
      </w:tr>
      <w:tr>
        <w:trPr>
          <w:trHeight w:val="196"/>
        </w:trPr>
        <w:tc>
          <w:tcPr>
            <w:tcW w:w="1200" w:type="dxa"/>
            <w:vAlign w:val="bottom"/>
          </w:tcPr>
          <w:p>
            <w:pPr>
              <w:spacing w:after="0"/>
              <w:rPr>
                <w:sz w:val="17"/>
                <w:szCs w:val="17"/>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(in</w:t>
            </w:r>
          </w:p>
        </w:tc>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r>
    </w:tbl>
    <w:p>
      <w:pPr>
        <w:spacing w:after="0" w:line="1" w:lineRule="exact"/>
        <w:rPr>
          <w:sz w:val="20"/>
          <w:szCs w:val="20"/>
          <w:color w:val="auto"/>
        </w:rPr>
      </w:pPr>
    </w:p>
    <w:p>
      <w:pPr>
        <w:sectPr>
          <w:pgSz w:w="11900" w:h="16838" w:orient="portrait"/>
          <w:cols w:equalWidth="0" w:num="2">
            <w:col w:w="7220" w:space="420"/>
            <w:col w:w="36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3,543</w:t>
            </w:r>
          </w:p>
        </w:tc>
        <w:tc>
          <w:tcPr>
            <w:tcW w:w="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11,944</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7,134</w:t>
            </w:r>
          </w:p>
        </w:tc>
        <w:tc>
          <w:tcPr>
            <w:tcW w:w="0" w:type="dxa"/>
            <w:vAlign w:val="bottom"/>
          </w:tcPr>
          <w:p>
            <w:pPr>
              <w:spacing w:after="0"/>
              <w:rPr>
                <w:sz w:val="1"/>
                <w:szCs w:val="1"/>
                <w:color w:val="auto"/>
              </w:rPr>
            </w:pPr>
          </w:p>
        </w:tc>
      </w:tr>
      <w:tr>
        <w:trPr>
          <w:trHeight w:val="162"/>
        </w:trPr>
        <w:tc>
          <w:tcPr>
            <w:tcW w:w="2880" w:type="dxa"/>
            <w:vAlign w:val="bottom"/>
            <w:shd w:val="clear" w:color="auto" w:fill="CFF0FC"/>
          </w:tcPr>
          <w:p>
            <w:pPr>
              <w:ind w:left="20"/>
              <w:spacing w:after="0" w:line="161"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380" w:type="dxa"/>
            <w:vAlign w:val="bottom"/>
            <w:shd w:val="clear" w:color="auto" w:fill="CFF0FC"/>
          </w:tcPr>
          <w:p>
            <w:pPr>
              <w:spacing w:after="0"/>
              <w:rPr>
                <w:sz w:val="14"/>
                <w:szCs w:val="14"/>
                <w:color w:val="auto"/>
              </w:rPr>
            </w:pPr>
          </w:p>
        </w:tc>
        <w:tc>
          <w:tcPr>
            <w:tcW w:w="1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60" w:type="dxa"/>
            <w:vAlign w:val="bottom"/>
            <w:shd w:val="clear" w:color="auto" w:fill="CFF0FC"/>
          </w:tcPr>
          <w:p>
            <w:pPr>
              <w:spacing w:after="0"/>
              <w:rPr>
                <w:sz w:val="14"/>
                <w:szCs w:val="14"/>
                <w:color w:val="auto"/>
              </w:rPr>
            </w:pPr>
          </w:p>
        </w:tc>
        <w:tc>
          <w:tcPr>
            <w:tcW w:w="2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420" w:type="dxa"/>
            <w:vAlign w:val="bottom"/>
            <w:shd w:val="clear" w:color="auto" w:fill="CFF0FC"/>
          </w:tcPr>
          <w:p>
            <w:pPr>
              <w:spacing w:after="0"/>
              <w:rPr>
                <w:sz w:val="14"/>
                <w:szCs w:val="14"/>
                <w:color w:val="auto"/>
              </w:rPr>
            </w:pPr>
          </w:p>
        </w:tc>
        <w:tc>
          <w:tcPr>
            <w:tcW w:w="1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240" w:type="dxa"/>
            <w:vAlign w:val="bottom"/>
            <w:shd w:val="clear" w:color="auto" w:fill="CFF0FC"/>
          </w:tcPr>
          <w:p>
            <w:pPr>
              <w:spacing w:after="0"/>
              <w:rPr>
                <w:sz w:val="14"/>
                <w:szCs w:val="14"/>
                <w:color w:val="auto"/>
              </w:rPr>
            </w:pPr>
          </w:p>
        </w:tc>
        <w:tc>
          <w:tcPr>
            <w:tcW w:w="1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203"/>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380" w:type="dxa"/>
            <w:vAlign w:val="bottom"/>
            <w:shd w:val="clear" w:color="auto" w:fill="CFF0FC"/>
          </w:tcPr>
          <w:p>
            <w:pPr>
              <w:spacing w:after="0"/>
              <w:rPr>
                <w:sz w:val="17"/>
                <w:szCs w:val="17"/>
                <w:color w:val="auto"/>
              </w:rPr>
            </w:pPr>
          </w:p>
        </w:tc>
        <w:tc>
          <w:tcPr>
            <w:tcW w:w="160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100" w:type="dxa"/>
            <w:vAlign w:val="bottom"/>
            <w:vMerge w:val="continue"/>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8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Net income attributable to Green Thumb</w:t>
            </w:r>
          </w:p>
        </w:tc>
        <w:tc>
          <w:tcPr>
            <w:tcW w:w="38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60" w:type="dxa"/>
            <w:vAlign w:val="bottom"/>
          </w:tcPr>
          <w:p>
            <w:pPr>
              <w:spacing w:after="0"/>
              <w:rPr>
                <w:sz w:val="14"/>
                <w:szCs w:val="14"/>
                <w:color w:val="auto"/>
              </w:rPr>
            </w:pPr>
          </w:p>
        </w:tc>
        <w:tc>
          <w:tcPr>
            <w:tcW w:w="2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42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24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0" w:type="dxa"/>
            <w:vAlign w:val="bottom"/>
          </w:tcPr>
          <w:p>
            <w:pPr>
              <w:spacing w:after="0"/>
              <w:rPr>
                <w:sz w:val="1"/>
                <w:szCs w:val="1"/>
                <w:color w:val="auto"/>
              </w:rPr>
            </w:pPr>
          </w:p>
        </w:tc>
      </w:tr>
      <w:tr>
        <w:trPr>
          <w:trHeight w:val="194"/>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Industries Inc.</w:t>
            </w:r>
          </w:p>
        </w:tc>
        <w:tc>
          <w:tcPr>
            <w:tcW w:w="38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tcBorders>
              <w:bottom w:val="single" w:sz="8" w:color="auto"/>
            </w:tcBorders>
            <w:vMerge w:val="continue"/>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924</w:t>
            </w:r>
          </w:p>
        </w:tc>
        <w:tc>
          <w:tcPr>
            <w:tcW w:w="2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1,071</w:t>
            </w:r>
          </w:p>
        </w:tc>
        <w:tc>
          <w:tcPr>
            <w:tcW w:w="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3,282</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-24765</wp:posOffset>
            </wp:positionV>
            <wp:extent cx="1625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-7620</wp:posOffset>
            </wp:positionV>
            <wp:extent cx="1625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857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85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5430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5430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1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the VIE included in the Other Non-material VIEs is Bluepoint Wellness of Westport, LLC. As of June 30, 2021, VIEs included in the Other Non-material VIEs are Bluepoint Wellness of Westport, LLC and Meshow, LLC.</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00" w:lineRule="exact"/>
        <w:rPr>
          <w:sz w:val="20"/>
          <w:szCs w:val="20"/>
          <w:color w:val="auto"/>
        </w:rPr>
      </w:pPr>
    </w:p>
    <w:p>
      <w:pPr>
        <w:spacing w:after="0" w:line="300" w:lineRule="exact"/>
        <w:rPr>
          <w:sz w:val="20"/>
          <w:szCs w:val="20"/>
          <w:color w:val="auto"/>
        </w:rPr>
      </w:pPr>
    </w:p>
    <w:p>
      <w:pPr>
        <w:ind w:left="500" w:hanging="492"/>
        <w:spacing w:after="0"/>
        <w:tabs>
          <w:tab w:leader="none" w:pos="5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does not review total assets or net income (loss) by segments; therefore, such information is not presented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presents revenues by type for the three and six months ended June 30, 2022 and 2021:</w:t>
      </w:r>
    </w:p>
    <w:p>
      <w:pPr>
        <w:sectPr>
          <w:pgSz w:w="11900" w:h="16838" w:orient="portrait"/>
          <w:cols w:equalWidth="0" w:num="1">
            <w:col w:w="11240"/>
          </w:cols>
          <w:pgMar w:left="320" w:top="117" w:right="339" w:bottom="1440" w:gutter="0" w:footer="0" w:header="0"/>
        </w:sectPr>
      </w:pPr>
    </w:p>
    <w:p>
      <w:pPr>
        <w:spacing w:after="0" w:line="20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p>
      <w:pPr>
        <w:spacing w:after="0" w:line="31" w:lineRule="exact"/>
        <w:rPr>
          <w:sz w:val="20"/>
          <w:szCs w:val="20"/>
          <w:color w:val="auto"/>
        </w:rPr>
      </w:pPr>
    </w:p>
    <w:tbl>
      <w:tblPr>
        <w:tblLayout w:type="fixed"/>
        <w:tblInd w:w="3720" w:type="dxa"/>
        <w:tblCellMar>
          <w:top w:w="0" w:type="dxa"/>
          <w:left w:w="0" w:type="dxa"/>
          <w:bottom w:w="0" w:type="dxa"/>
          <w:right w:w="0" w:type="dxa"/>
        </w:tblCellMar>
      </w:tblPr>
      <w:tr>
        <w:trPr>
          <w:trHeight w:val="209"/>
        </w:trPr>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1120" w:type="dxa"/>
            <w:vAlign w:val="bottom"/>
          </w:tcPr>
          <w:p>
            <w:pPr>
              <w:spacing w:after="0"/>
              <w:rPr>
                <w:sz w:val="18"/>
                <w:szCs w:val="18"/>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w:t>
            </w:r>
          </w:p>
        </w:tc>
        <w:tc>
          <w:tcPr>
            <w:tcW w:w="188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w w:val="76"/>
              </w:rPr>
              <w:t>thousands)</w:t>
            </w:r>
          </w:p>
        </w:tc>
      </w:tr>
    </w:tbl>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19685</wp:posOffset>
            </wp:positionV>
            <wp:extent cx="21945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1" w:lineRule="exact"/>
        <w:rPr>
          <w:sz w:val="20"/>
          <w:szCs w:val="20"/>
          <w:color w:val="auto"/>
        </w:rPr>
      </w:pPr>
    </w:p>
    <w:p>
      <w:pPr>
        <w:ind w:left="4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14605</wp:posOffset>
            </wp:positionV>
            <wp:extent cx="21945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p>
      <w:pPr>
        <w:sectPr>
          <w:pgSz w:w="11900" w:h="16838" w:orient="portrait"/>
          <w:cols w:equalWidth="0" w:num="2">
            <w:col w:w="7460" w:space="720"/>
            <w:col w:w="3060"/>
          </w:cols>
          <w:pgMar w:left="320" w:top="117" w:right="339" w:bottom="1440" w:gutter="0" w:footer="0" w:header="0"/>
          <w:type w:val="continuous"/>
        </w:sectPr>
      </w:pPr>
    </w:p>
    <w:tbl>
      <w:tblPr>
        <w:tblLayout w:type="fixed"/>
        <w:tblInd w:w="300" w:type="dxa"/>
        <w:tblCellMar>
          <w:top w:w="0" w:type="dxa"/>
          <w:left w:w="0" w:type="dxa"/>
          <w:bottom w:w="0" w:type="dxa"/>
          <w:right w:w="0" w:type="dxa"/>
        </w:tblCellMar>
      </w:tblPr>
      <w:tr>
        <w:trPr>
          <w:trHeight w:val="209"/>
        </w:trPr>
        <w:tc>
          <w:tcPr>
            <w:tcW w:w="3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tc>
        <w:tc>
          <w:tcPr>
            <w:tcW w:w="36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Consumer Packaged Goods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221,941</w:t>
            </w: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3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192,734</w:t>
            </w: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150,116</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365,320</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280,225</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6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(59,027)</w:t>
            </w:r>
          </w:p>
        </w:tc>
        <w:tc>
          <w:tcPr>
            <w:tcW w:w="16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(46,108)</w:t>
            </w:r>
          </w:p>
        </w:tc>
        <w:tc>
          <w:tcPr>
            <w:tcW w:w="22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(109,425)</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(85,864)</w:t>
            </w:r>
          </w:p>
        </w:tc>
      </w:tr>
      <w:tr>
        <w:trPr>
          <w:trHeight w:val="250"/>
        </w:trPr>
        <w:tc>
          <w:tcPr>
            <w:tcW w:w="3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254,311</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221,872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496,911</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416,302</w:t>
            </w:r>
          </w:p>
        </w:tc>
      </w:tr>
      <w:tr>
        <w:trPr>
          <w:trHeight w:val="197"/>
        </w:trPr>
        <w:tc>
          <w:tcPr>
            <w:tcW w:w="3060" w:type="dxa"/>
            <w:vAlign w:val="bottom"/>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Packaged Goods</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16,414</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3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13,652</w:t>
            </w:r>
          </w:p>
        </w:tc>
      </w:tr>
      <w:tr>
        <w:trPr>
          <w:trHeight w:val="216"/>
        </w:trPr>
        <w:tc>
          <w:tcPr>
            <w:tcW w:w="3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6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15,073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30,066</w:t>
            </w:r>
          </w:p>
        </w:tc>
      </w:tr>
      <w:tr>
        <w:trPr>
          <w:trHeight w:val="20"/>
        </w:trPr>
        <w:tc>
          <w:tcPr>
            <w:tcW w:w="3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6"/>
        </w:trPr>
        <w:tc>
          <w:tcPr>
            <w:tcW w:w="3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Income Taxes</w:t>
            </w:r>
          </w:p>
        </w:tc>
        <w:tc>
          <w:tcPr>
            <w:tcW w:w="36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Consumer Packaged Goods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30,494</w:t>
            </w: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3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21,681</w:t>
            </w: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39,871</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30,389</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6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3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Income Taxes</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38,340</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30,027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69,471</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60,883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-1464945</wp:posOffset>
            </wp:positionV>
            <wp:extent cx="2580005" cy="1631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580005" cy="16319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-890905</wp:posOffset>
            </wp:positionV>
            <wp:extent cx="111125" cy="1714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-890905</wp:posOffset>
            </wp:positionV>
            <wp:extent cx="68580"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-890905</wp:posOffset>
            </wp:positionV>
            <wp:extent cx="111125"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-25400</wp:posOffset>
            </wp:positionV>
            <wp:extent cx="1111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-8255</wp:posOffset>
            </wp:positionV>
            <wp:extent cx="1111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-25400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-8255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1111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1111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6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Goodwill assigned to the Consumer Packaged Goods segment as of June 30, 2022 and December 31, 2021 was $358,280 thousand and $358,038 thousand, respectively. Intangible assets, net assigned to the Consumer Packaged Goods segment as of June 30, 2022 and December 31, 2021 was $303,923 thousand and $317,454 thousand, respectively.</w:t>
      </w:r>
    </w:p>
    <w:p>
      <w:pPr>
        <w:spacing w:after="0" w:line="16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Goodwill assigned to the Retail segment as of June 30, 2022 and December 31, 2021 was $283,438 thousand and $274,811 thousand, respectively. Intangible assets, net assigned to the Retail segment as of June 30, 2022 and December 31, 2021 was $355,672 thousand and $358,037 thousand, respectively.</w:t>
      </w:r>
    </w:p>
    <w:p>
      <w:pPr>
        <w:spacing w:after="0" w:line="1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Company’s assets are aggregated into two reportable segments (Retail and Consumer Packaged Goods). For the purposes of testing goodwill, Green Thumb has identified 30 reporting units. The Company determined its reporting units by first reviewing the operating segments based on the geographic areas in which Green Thumb conducts business (or each market). The markets were then further divided into reporting units based on the market operations (Retail and Consumer Packaged Goods) which were primarily determined based on the licenses each market holds. All revenues are derived from sales occurring in the United States and all assets are located in the United States.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 DISCUSSION AND ANALYSIS OF FINANCIAL CONDITION AND RESULTS OF OPERATION</w:t>
      </w:r>
    </w:p>
    <w:p>
      <w:pPr>
        <w:spacing w:after="0" w:line="121"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This management discussion and analysis (“MD&amp;A”) of the financial condition and results of operations of Green Thumb Industries Inc. (the “Company” or “Green Thumb”) is for the three and six months ended June 30, 2022 and 2021. It is supplemental to, and should be read in conjunction with, the Company’s unaudited interim condensed consolidated financial statements as of June 30, 2022 and the consolidated financial statements for the year ended December 31, 2021 included in the Company’s Annual Report on Form 10-K for the year ended December 31, 2021 filed with the U.S. Securities and Exchange Commission on March 1, 2022 (the “2021 Form 10-K”) and the accompanying notes for each respective period. The Company’s financial statements are prepared in accordance with accounting principles generally accepted in the United States (“GAAP”). Financial information presented in this MD&amp;A is presented in United States dollars (“$” or “US$”), unless otherwise indicated.</w:t>
      </w:r>
    </w:p>
    <w:p>
      <w:pPr>
        <w:spacing w:after="0" w:line="181"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This MD&amp;A contains certain “forward-looking statements” and certain “forward-looking information” as defined under applicable United States securities laws. Please refer to the discussion of forward-looking statements and information set out under the heading “Disclosure Regarding Forward-Looking Statements,” identified in the ‘‘Risks and Uncertainties’’ section of this MD&amp;A and in Part II, Item 1A, “Risk Factors of the 2021 Form 10-K.” As a result of many factors, the Company’s actual results may differ materially from those anticipated in these forward-looking statements and information.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COVID-19 Considerations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2020, the World Health Organization categorized coronavirus disease 2019 (together with its variants “COVID-19”) as a pandemic.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continues to spread throughout the U.S. and other countries across the world, and the duration, and severity of its effects are currently unknown. The Company continues to implement and evaluate actions to strengthen its financial position and support the continuity of its business and operations in the face of this pandemic and other events.</w:t>
      </w:r>
    </w:p>
    <w:p>
      <w:pPr>
        <w:spacing w:after="0" w:line="19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Company’s priority during the COVID-19 pandemic is protecting the health and safety of its employees and its customers, following the recommended actions of government and health authorities. In the future, the pandemic may cause reduced demand for the Company’s products and services if, for example, the pandemic results in a recessionary economic environment or potential new restrictions on business operations or the movement of individuals.</w:t>
      </w:r>
    </w:p>
    <w:p>
      <w:pPr>
        <w:spacing w:after="0" w:line="177" w:lineRule="exact"/>
        <w:rPr>
          <w:sz w:val="20"/>
          <w:szCs w:val="20"/>
          <w:color w:val="auto"/>
        </w:rPr>
      </w:pPr>
    </w:p>
    <w:p>
      <w:pPr>
        <w:ind w:right="20" w:firstLine="554"/>
        <w:spacing w:after="0" w:line="258" w:lineRule="auto"/>
        <w:rPr>
          <w:sz w:val="20"/>
          <w:szCs w:val="20"/>
          <w:color w:val="auto"/>
        </w:rPr>
      </w:pPr>
      <w:r>
        <w:rPr>
          <w:rFonts w:ascii="Times New Roman" w:cs="Times New Roman" w:eastAsia="Times New Roman" w:hAnsi="Times New Roman"/>
          <w:sz w:val="18"/>
          <w:szCs w:val="18"/>
          <w:color w:val="auto"/>
        </w:rPr>
        <w:t>During the first six months of 2022, the Company’s revenue, gross profit and operating income were not negatively impacted by COVID-19 and the Company generally maintained the consistency of its operations. However, the effects of COVID-19 may impact its business operations for reasons including the potential quarantine of Green Thumb employees or those of its supply chain partners.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121"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Established in 2014 and headquartered in Chicago, Illinois, Green Thumb, a national cannabis consumer packaged goods company and retailer, promotes well-being through the power of cannabis while being committed to community and sustainable profitable growth. As of June 30, 2022, Green Thumb has operations in 15 U.S. markets, employs approximately 4,000 people and serves hundreds of thousands of patients and customers annually.</w:t>
      </w:r>
    </w:p>
    <w:p>
      <w:pPr>
        <w:spacing w:after="0" w:line="19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Green Thumb’s core business is manufacturing, distributing and marketing a portfolio of owned cannabis consumer packaged goods brands (which we refer to as our Consumer Packaged Goods business), including &amp;Shine, Beboe, Dogwalkers, Dr. Solomon’s, Good Green, incredibles and RYTHM. The Company distributes and markets these products primarily to third-party licensed Retail cannabis stores across the United States as well as to Green Thumb-owned Retail stores (which we refer to as our Retail business).</w:t>
      </w:r>
    </w:p>
    <w:p>
      <w:pPr>
        <w:spacing w:after="0" w:line="177" w:lineRule="exact"/>
        <w:rPr>
          <w:sz w:val="20"/>
          <w:szCs w:val="20"/>
          <w:color w:val="auto"/>
        </w:rPr>
      </w:pPr>
    </w:p>
    <w:p>
      <w:pPr>
        <w:ind w:right="340" w:firstLine="509"/>
        <w:spacing w:after="0" w:line="246" w:lineRule="auto"/>
        <w:rPr>
          <w:sz w:val="20"/>
          <w:szCs w:val="20"/>
          <w:color w:val="auto"/>
        </w:rPr>
      </w:pPr>
      <w:r>
        <w:rPr>
          <w:rFonts w:ascii="Times New Roman" w:cs="Times New Roman" w:eastAsia="Times New Roman" w:hAnsi="Times New Roman"/>
          <w:sz w:val="18"/>
          <w:szCs w:val="18"/>
          <w:color w:val="auto"/>
        </w:rPr>
        <w:t>The Company’s Consumer Packaged Goods portfolio is primarily generated from plant material that Green Thumb grows and processes itself, which we use to produce our consumer packaged goods in 17 manufacturing facilities. This portfolio consists of stock keeping units (“SKUs”) across a range of cannabis product categories, including flower, pre-rolls, concentrates, vape, capsules, tinctures, edibles, topicals and other cannabis-related products (none of which product categories are individually material to the Company). These Consumer Packaged Goods products are sold in Retail locations throughout the U.S. including at Green Thumb's own RISE and other Retail stores.</w:t>
      </w:r>
    </w:p>
    <w:p>
      <w:pPr>
        <w:spacing w:after="0" w:line="19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Green Thumb owns and operates a national cannabis retail chain called RISE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Green Thumb owns Retail stores under other names, primarily where naming is subject to licensing or similar restrictions. The income from Green Thumb’s Retail stores is primarily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stores are currently located in ten of the states in which we operate. As of June 30, 2022, the Company had 77 open and operating Retail locations. The Company’s new store opening plans will remain fluid depending on market conditions, obtaining local licensing, construction and other permissions and are subject to the Company’s capital allocation plans and the evolving situation with respect to the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Consolidated</w:t>
      </w:r>
    </w:p>
    <w:p>
      <w:pPr>
        <w:spacing w:after="0" w:line="12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following table sets forth the Company’s selected consolidated financial results for the periods, and as of the dates, indicated. The (i) unaudited interim condensed consolidated statements of operations for the three and six months ended June 30, 2022 and 2021 and (ii) unaudited interim condensed consolidated balance sheet as of June 30, 2022 and December 31, 2021 have been derived from, and should be read in conjunction with, the unaudited interim condensed consolidated financial statements and accompanying notes presented in Item 1 of this Report.</w:t>
      </w:r>
    </w:p>
    <w:p>
      <w:pPr>
        <w:spacing w:after="0" w:line="380" w:lineRule="exact"/>
        <w:rPr>
          <w:sz w:val="20"/>
          <w:szCs w:val="20"/>
          <w:color w:val="auto"/>
        </w:rPr>
      </w:pPr>
    </w:p>
    <w:p>
      <w:pPr>
        <w:ind w:right="480" w:firstLine="509"/>
        <w:spacing w:after="0" w:line="312" w:lineRule="auto"/>
        <w:rPr>
          <w:sz w:val="20"/>
          <w:szCs w:val="20"/>
          <w:color w:val="auto"/>
        </w:rPr>
      </w:pPr>
      <w:r>
        <w:rPr>
          <w:rFonts w:ascii="Times New Roman" w:cs="Times New Roman" w:eastAsia="Times New Roman" w:hAnsi="Times New Roman"/>
          <w:sz w:val="17"/>
          <w:szCs w:val="17"/>
          <w:color w:val="auto"/>
        </w:rPr>
        <w:t>The Company’s unaudited interim condensed consolidated financial statements have been prepared in accordance with GAAP and on a going-concern basis that contemplates continuity of operations and realization of assets and liquidation of liabilities in the ordinary course of business.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6"/>
                <w:szCs w:val="16"/>
                <w:color w:val="auto"/>
              </w:rPr>
            </w:pPr>
          </w:p>
        </w:tc>
        <w:tc>
          <w:tcPr>
            <w:tcW w:w="1340" w:type="dxa"/>
            <w:vAlign w:val="bottom"/>
            <w:tcBorders>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QTD Change</w:t>
            </w:r>
          </w:p>
        </w:tc>
        <w:tc>
          <w:tcPr>
            <w:tcW w:w="100" w:type="dxa"/>
            <w:vAlign w:val="bottom"/>
          </w:tcPr>
          <w:p>
            <w:pPr>
              <w:spacing w:after="0"/>
              <w:rPr>
                <w:sz w:val="16"/>
                <w:szCs w:val="16"/>
                <w:color w:val="auto"/>
              </w:rPr>
            </w:pPr>
          </w:p>
        </w:tc>
        <w:tc>
          <w:tcPr>
            <w:tcW w:w="1440" w:type="dxa"/>
            <w:vAlign w:val="bottom"/>
            <w:tcBorders>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YTD Change</w:t>
            </w:r>
          </w:p>
        </w:tc>
        <w:tc>
          <w:tcPr>
            <w:tcW w:w="0" w:type="dxa"/>
            <w:vAlign w:val="bottom"/>
          </w:tcPr>
          <w:p>
            <w:pPr>
              <w:spacing w:after="0"/>
              <w:rPr>
                <w:sz w:val="1"/>
                <w:szCs w:val="1"/>
                <w:color w:val="auto"/>
              </w:rPr>
            </w:pPr>
          </w:p>
        </w:tc>
      </w:tr>
      <w:tr>
        <w:trPr>
          <w:trHeight w:val="169"/>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2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Revenues, net of discounts</w:t>
            </w:r>
          </w:p>
        </w:tc>
        <w:tc>
          <w:tcPr>
            <w:tcW w:w="1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254,311</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221,872</w:t>
            </w:r>
          </w:p>
        </w:tc>
        <w:tc>
          <w:tcPr>
            <w:tcW w:w="1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496,911</w:t>
            </w:r>
          </w:p>
        </w:tc>
        <w:tc>
          <w:tcPr>
            <w:tcW w:w="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416,302</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32,439</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80,609</w:t>
            </w:r>
          </w:p>
        </w:tc>
        <w:tc>
          <w:tcPr>
            <w:tcW w:w="5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39"/>
        </w:trPr>
        <w:tc>
          <w:tcPr>
            <w:tcW w:w="32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Cost of Goods Sold, net</w:t>
            </w: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(128,513)</w:t>
            </w:r>
          </w:p>
        </w:tc>
        <w:tc>
          <w:tcPr>
            <w:tcW w:w="1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(98,961)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(248,173)</w:t>
            </w:r>
          </w:p>
        </w:tc>
        <w:tc>
          <w:tcPr>
            <w:tcW w:w="120" w:type="dxa"/>
            <w:vAlign w:val="bottom"/>
          </w:tcPr>
          <w:p>
            <w:pPr>
              <w:spacing w:after="0"/>
              <w:rPr>
                <w:sz w:val="12"/>
                <w:szCs w:val="12"/>
                <w:color w:val="auto"/>
              </w:rPr>
            </w:pPr>
          </w:p>
        </w:tc>
        <w:tc>
          <w:tcPr>
            <w:tcW w:w="10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(182,526</w:t>
            </w:r>
          </w:p>
        </w:tc>
        <w:tc>
          <w:tcPr>
            <w:tcW w:w="220" w:type="dxa"/>
            <w:vAlign w:val="bottom"/>
          </w:tcPr>
          <w:p>
            <w:pPr>
              <w:spacing w:after="0"/>
              <w:rPr>
                <w:sz w:val="12"/>
                <w:szCs w:val="1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(29,552)</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(65,647)</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125,798</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122,911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248,738</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233,776</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2,887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14,962</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5"/>
        </w:trPr>
        <w:tc>
          <w:tcPr>
            <w:tcW w:w="3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Expenses</w:t>
            </w:r>
          </w:p>
        </w:tc>
        <w:tc>
          <w:tcPr>
            <w:tcW w:w="14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63,535</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131,923</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131,387</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(8,521)</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536</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9"/>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62,263</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50,855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116,815</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102,389</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11,408</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14,426</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39"/>
        </w:trPr>
        <w:tc>
          <w:tcPr>
            <w:tcW w:w="32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Total Other Income (Expense)</w:t>
            </w: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7,073</w:t>
            </w:r>
          </w:p>
        </w:tc>
        <w:tc>
          <w:tcPr>
            <w:tcW w:w="120" w:type="dxa"/>
            <w:vAlign w:val="bottom"/>
          </w:tcPr>
          <w:p>
            <w:pPr>
              <w:spacing w:after="0"/>
              <w:rPr>
                <w:sz w:val="12"/>
                <w:szCs w:val="12"/>
                <w:color w:val="auto"/>
              </w:rPr>
            </w:pPr>
          </w:p>
        </w:tc>
        <w:tc>
          <w:tcPr>
            <w:tcW w:w="10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(6,777</w:t>
            </w:r>
          </w:p>
        </w:tc>
        <w:tc>
          <w:tcPr>
            <w:tcW w:w="220" w:type="dxa"/>
            <w:vAlign w:val="bottom"/>
          </w:tcPr>
          <w:p>
            <w:pPr>
              <w:spacing w:after="0"/>
              <w:rPr>
                <w:sz w:val="12"/>
                <w:szCs w:val="1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(1,638)</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13,850</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2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Income Before Provision for Income Taxes And Non-</w:t>
            </w:r>
          </w:p>
        </w:tc>
        <w:tc>
          <w:tcPr>
            <w:tcW w:w="140" w:type="dxa"/>
            <w:vAlign w:val="bottom"/>
            <w:shd w:val="clear" w:color="auto" w:fill="CFF0FC"/>
          </w:tcPr>
          <w:p>
            <w:pPr>
              <w:spacing w:after="0"/>
              <w:rPr>
                <w:sz w:val="11"/>
                <w:szCs w:val="11"/>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63,071</w:t>
            </w:r>
          </w:p>
        </w:tc>
        <w:tc>
          <w:tcPr>
            <w:tcW w:w="12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53,301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123,888</w:t>
            </w:r>
          </w:p>
        </w:tc>
        <w:tc>
          <w:tcPr>
            <w:tcW w:w="12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95,612</w:t>
            </w:r>
          </w:p>
        </w:tc>
        <w:tc>
          <w:tcPr>
            <w:tcW w:w="22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9,770</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28,276</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5"/>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Controlling Interest</w:t>
            </w:r>
          </w:p>
        </w:tc>
        <w:tc>
          <w:tcPr>
            <w:tcW w:w="140" w:type="dxa"/>
            <w:vAlign w:val="bottom"/>
            <w:shd w:val="clear" w:color="auto" w:fill="CFF0FC"/>
          </w:tcPr>
          <w:p>
            <w:pPr>
              <w:spacing w:after="0"/>
              <w:rPr>
                <w:sz w:val="16"/>
                <w:szCs w:val="16"/>
                <w:color w:val="auto"/>
              </w:rPr>
            </w:pPr>
          </w:p>
        </w:tc>
        <w:tc>
          <w:tcPr>
            <w:tcW w:w="11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4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38,340</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69,471</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60,883</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8,313</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8,588</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9"/>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Before Non-Controlling Interest</w:t>
            </w: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24,731</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23,274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54,417</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34,729</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1,457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19,688</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6"/>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4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(929)</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(1,268)</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33"/>
        </w:trPr>
        <w:tc>
          <w:tcPr>
            <w:tcW w:w="32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Net Income Attributable To Green Thumb Industries</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24,437</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22,051</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53,376</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32,420</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2,386</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20,956</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4"/>
        </w:trPr>
        <w:tc>
          <w:tcPr>
            <w:tcW w:w="3260" w:type="dxa"/>
            <w:vAlign w:val="bottom"/>
            <w:tcBorders>
              <w:bottom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4"/>
                <w:szCs w:val="14"/>
                <w:color w:val="auto"/>
              </w:rPr>
              <w:t>Inc.</w:t>
            </w:r>
          </w:p>
        </w:tc>
        <w:tc>
          <w:tcPr>
            <w:tcW w:w="140" w:type="dxa"/>
            <w:vAlign w:val="bottom"/>
            <w:tcBorders>
              <w:bottom w:val="single" w:sz="8" w:color="CFF0FC"/>
            </w:tcBorders>
            <w:vMerge w:val="continue"/>
            <w:shd w:val="clear" w:color="auto" w:fill="CFF0FC"/>
          </w:tcPr>
          <w:p>
            <w:pPr>
              <w:spacing w:after="0"/>
              <w:rPr>
                <w:sz w:val="16"/>
                <w:szCs w:val="16"/>
                <w:color w:val="auto"/>
              </w:rPr>
            </w:pPr>
          </w:p>
        </w:tc>
        <w:tc>
          <w:tcPr>
            <w:tcW w:w="114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vMerge w:val="continue"/>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gridSpan w:val="2"/>
            <w:vMerge w:val="continue"/>
            <w:shd w:val="clear" w:color="auto" w:fill="CFF0FC"/>
          </w:tcPr>
          <w:p>
            <w:pPr>
              <w:spacing w:after="0"/>
              <w:rPr>
                <w:sz w:val="16"/>
                <w:szCs w:val="16"/>
                <w:color w:val="auto"/>
              </w:rPr>
            </w:pPr>
          </w:p>
        </w:tc>
        <w:tc>
          <w:tcPr>
            <w:tcW w:w="112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vMerge w:val="continue"/>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880" w:type="dxa"/>
            <w:vAlign w:val="bottom"/>
            <w:tcBorders>
              <w:bottom w:val="single" w:sz="8" w:color="auto"/>
            </w:tcBorders>
            <w:vMerge w:val="continue"/>
            <w:shd w:val="clear" w:color="auto" w:fill="CFF0FC"/>
          </w:tcPr>
          <w:p>
            <w:pPr>
              <w:spacing w:after="0"/>
              <w:rPr>
                <w:sz w:val="16"/>
                <w:szCs w:val="16"/>
                <w:color w:val="auto"/>
              </w:rPr>
            </w:pPr>
          </w:p>
        </w:tc>
        <w:tc>
          <w:tcPr>
            <w:tcW w:w="46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vMerge w:val="continue"/>
            <w:shd w:val="clear" w:color="auto" w:fill="CFF0FC"/>
          </w:tcPr>
          <w:p>
            <w:pPr>
              <w:spacing w:after="0"/>
              <w:rPr>
                <w:sz w:val="16"/>
                <w:szCs w:val="16"/>
                <w:color w:val="auto"/>
              </w:rPr>
            </w:pPr>
          </w:p>
        </w:tc>
        <w:tc>
          <w:tcPr>
            <w:tcW w:w="880" w:type="dxa"/>
            <w:vAlign w:val="bottom"/>
            <w:tcBorders>
              <w:bottom w:val="single" w:sz="8" w:color="auto"/>
            </w:tcBorders>
            <w:vMerge w:val="continue"/>
            <w:shd w:val="clear" w:color="auto" w:fill="CFF0FC"/>
          </w:tcPr>
          <w:p>
            <w:pPr>
              <w:spacing w:after="0"/>
              <w:rPr>
                <w:sz w:val="16"/>
                <w:szCs w:val="16"/>
                <w:color w:val="auto"/>
              </w:rPr>
            </w:pPr>
          </w:p>
        </w:tc>
        <w:tc>
          <w:tcPr>
            <w:tcW w:w="56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2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share - basic</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0.11</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0.10</w:t>
            </w:r>
          </w:p>
        </w:tc>
        <w:tc>
          <w:tcPr>
            <w:tcW w:w="2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0.23</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0.15</w:t>
            </w:r>
          </w:p>
        </w:tc>
        <w:tc>
          <w:tcPr>
            <w:tcW w:w="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4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0.08</w:t>
            </w: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share - diluted</w:t>
            </w:r>
          </w:p>
        </w:tc>
        <w:tc>
          <w:tcPr>
            <w:tcW w:w="14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0.10</w:t>
            </w:r>
          </w:p>
        </w:tc>
        <w:tc>
          <w:tcPr>
            <w:tcW w:w="1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0.10</w:t>
            </w:r>
          </w:p>
        </w:tc>
        <w:tc>
          <w:tcPr>
            <w:tcW w:w="220" w:type="dxa"/>
            <w:vAlign w:val="bottom"/>
            <w:tcBorders>
              <w:bottom w:val="single" w:sz="8" w:color="CFF0FC"/>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0.22</w:t>
            </w:r>
          </w:p>
        </w:tc>
        <w:tc>
          <w:tcPr>
            <w:tcW w:w="1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0.15</w:t>
            </w:r>
          </w:p>
        </w:tc>
        <w:tc>
          <w:tcPr>
            <w:tcW w:w="2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0.07</w:t>
            </w: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56"/>
        </w:trPr>
        <w:tc>
          <w:tcPr>
            <w:tcW w:w="32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Weighted average number of shares outstanding – basic</w:t>
            </w:r>
          </w:p>
        </w:tc>
        <w:tc>
          <w:tcPr>
            <w:tcW w:w="14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236,783,625</w:t>
            </w:r>
          </w:p>
        </w:tc>
        <w:tc>
          <w:tcPr>
            <w:tcW w:w="120" w:type="dxa"/>
            <w:vAlign w:val="bottom"/>
          </w:tcPr>
          <w:p>
            <w:pPr>
              <w:spacing w:after="0"/>
              <w:rPr>
                <w:sz w:val="13"/>
                <w:szCs w:val="13"/>
                <w:color w:val="auto"/>
              </w:rPr>
            </w:pPr>
          </w:p>
        </w:tc>
        <w:tc>
          <w:tcPr>
            <w:tcW w:w="10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220,323,622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236,313,896</w:t>
            </w: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218,276,376</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2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Weighted average number of shares outstanding –</w:t>
            </w:r>
          </w:p>
        </w:tc>
        <w:tc>
          <w:tcPr>
            <w:tcW w:w="140" w:type="dxa"/>
            <w:vAlign w:val="bottom"/>
            <w:shd w:val="clear" w:color="auto" w:fill="CFF0FC"/>
          </w:tcPr>
          <w:p>
            <w:pPr>
              <w:spacing w:after="0"/>
              <w:rPr>
                <w:sz w:val="10"/>
                <w:szCs w:val="10"/>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237,762,903</w:t>
            </w:r>
          </w:p>
        </w:tc>
        <w:tc>
          <w:tcPr>
            <w:tcW w:w="12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224,843,155</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237,869,300</w:t>
            </w:r>
          </w:p>
        </w:tc>
        <w:tc>
          <w:tcPr>
            <w:tcW w:w="12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222,927,120</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260" w:type="dxa"/>
            <w:vAlign w:val="bottom"/>
            <w:tcBorders>
              <w:bottom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4"/>
                <w:szCs w:val="14"/>
                <w:color w:val="auto"/>
              </w:rPr>
              <w:t>diluted</w:t>
            </w:r>
          </w:p>
        </w:tc>
        <w:tc>
          <w:tcPr>
            <w:tcW w:w="14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-2271395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-2271395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-2630805</wp:posOffset>
            </wp:positionV>
            <wp:extent cx="68580" cy="3689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36893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-642620</wp:posOffset>
            </wp:positionV>
            <wp:extent cx="3351530" cy="1631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51530" cy="16319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-367665</wp:posOffset>
            </wp:positionV>
            <wp:extent cx="3351530" cy="3683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51530" cy="368300"/>
                    </a:xfrm>
                    <a:prstGeom prst="rect">
                      <a:avLst/>
                    </a:prstGeom>
                    <a:noFill/>
                  </pic:spPr>
                </pic:pic>
              </a:graphicData>
            </a:graphic>
          </wp:anchor>
        </w:drawing>
      </w:r>
    </w:p>
    <w:p>
      <w:pPr>
        <w:spacing w:after="0" w:line="180" w:lineRule="exact"/>
        <w:rPr>
          <w:sz w:val="20"/>
          <w:szCs w:val="20"/>
          <w:color w:val="auto"/>
        </w:rPr>
      </w:pPr>
    </w:p>
    <w:tbl>
      <w:tblPr>
        <w:tblLayout w:type="fixed"/>
        <w:tblInd w:w="220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40" w:type="dxa"/>
            <w:vAlign w:val="bottom"/>
          </w:tcPr>
          <w:p>
            <w:pPr>
              <w:spacing w:after="0"/>
              <w:rPr>
                <w:sz w:val="18"/>
                <w:szCs w:val="18"/>
                <w:color w:val="auto"/>
              </w:rPr>
            </w:pPr>
          </w:p>
        </w:tc>
        <w:tc>
          <w:tcPr>
            <w:tcW w:w="1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9"/>
        </w:trPr>
        <w:tc>
          <w:tcPr>
            <w:tcW w:w="3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w:t>
            </w:r>
          </w:p>
        </w:tc>
        <w:tc>
          <w:tcPr>
            <w:tcW w:w="1860" w:type="dxa"/>
            <w:vAlign w:val="bottom"/>
            <w:tcBorders>
              <w:bottom w:val="single" w:sz="8" w:color="auto"/>
            </w:tcBorders>
            <w:gridSpan w:val="2"/>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w w:val="88"/>
              </w:rPr>
              <w:t>thousands)</w:t>
            </w:r>
          </w:p>
        </w:tc>
      </w:tr>
      <w:tr>
        <w:trPr>
          <w:trHeight w:val="19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2,436,403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2,385,851</w:t>
            </w: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616,376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561,994</w:t>
            </w:r>
          </w:p>
        </w:tc>
      </w:tr>
    </w:tbl>
    <w:p>
      <w:pPr>
        <w:spacing w:after="0" w:line="294" w:lineRule="exact"/>
        <w:rPr>
          <w:sz w:val="20"/>
          <w:szCs w:val="20"/>
          <w:color w:val="auto"/>
        </w:rPr>
      </w:pPr>
    </w:p>
    <w:p>
      <w:pPr>
        <w:ind w:right="4580"/>
        <w:spacing w:after="0" w:line="3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Three Months Ended June 30, 2022 Compared to the Three Months Ended June 30, 2021 </w:t>
      </w:r>
      <w:r>
        <w:rPr>
          <w:rFonts w:ascii="Times New Roman" w:cs="Times New Roman" w:eastAsia="Times New Roman" w:hAnsi="Times New Roman"/>
          <w:sz w:val="18"/>
          <w:szCs w:val="18"/>
          <w:i w:val="1"/>
          <w:iCs w:val="1"/>
          <w:color w:val="auto"/>
        </w:rPr>
        <w:t>Revenues, net of Discounts</w:t>
      </w:r>
    </w:p>
    <w:p>
      <w:pPr>
        <w:spacing w:after="0" w:line="1"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Revenue for the three months ended June 30, 2022 was $254,311 thousand, up 15% from $221,872 thousand for the three months ended June 30, 2021, driven by Retail sales. Key performance drivers for the Retail business for the quarter were: legalization of adult use sales in New Jersey, which began on April 21, 2022 as well as new store openings including acquired Retail stores, particularly in Illinois, Maryland, Massachusetts, Minnesota, Rhode Island and Virginia and increased store traffic to Green Thumb’s open and operating Retail stores, particularly in Illinois. The Company generated revenue from 77 Retail locations during the quarter compared to 58 in the same quarter of the prior year. During the three months ended June 30, 2022, the Company opened one new store in Minnesota. Since June 30, 2021, the Company acquired one Retail store in Illinois, one in Maryland, two in Massachusetts, one in Rhode Island, one in Virginia, five in Minnesota and opened eight new Retail stores in Massachusetts, Nevada, Pennsylvania, New Jersey, Virginia and Minnesota that contributed to the increase in Retail revenues.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5" w:name="page36"/>
    <w:bookmarkEnd w:id="35"/>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key drivers for the increase in Consumer Packaged Goods revenues was increased sales in New Jersey due to legalization of adult use sales, which began on April 21, 2022 and continued growth in Illinois. In addition, the Company also acquired cultivation and processing facilities in Minnesota, Virginia and Rhode Island since June 30,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106"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three months ended June 30, 2022 was $128,513 thousand, up 30% from $98,961 thousand for the three months ended June 30, 2021, driven by increased volume from open and operating Retail stores, new and acquired Retail store openings in Illinois, Maryland, Massachusetts, Minnesota, Nevada, New Jersey, Pennsylvania, Rhode Island and Virginia, and expansion of the consumer products sales primarily in Illinois and New Jersey as described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Gross profit for the three months ended June 30, 2022 was $125,798 thousand, representing a gross margin on the sale of branded cannabis flower and processed and packaged products including concentrates, edibles, topicals and other cannabis products, of 49%. This is compared to gross profit for the three months ended June 30, 2021 of $122,911 thousand, or a 55% gross margin. The increase in gross profit (dollars) was directly attributable to the revenue increase as described above.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06"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Total expenses for the three months ended June 30, 2022 were $63,535 thousand, or 25% of revenues, net of discounts, resulting in a decrease of $(8,521) thousand over the same period in the prior year. Total expenses for the three months ended June 30, 2021 were $72,056 thousand or 32% of revenues, net of discounts. The reduction in total expenses was primarily attributable to the remeasurement of the Company's contingent consideration arrangements associated with two acquisitions that occurred in 2021, due to the reduction in the Company's stock price as well as operational metrics of the acquired entities as of June 30, 2022.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106"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Total other income (expense) for three months ended June 30, 2022 was $808 thousand, a change of $(1,638) thousand, due to unfavorable fair value adjustments associated with the Company's equity investments as well as increased interest expense associated with the April 30, 2021 private placement financing offset by the change in the fair value of the warrant liability during the three months ended June 30, 2022.</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Before Provision for Income Taxes and Non-Controlling Interest</w:t>
      </w:r>
    </w:p>
    <w:p>
      <w:pPr>
        <w:spacing w:after="0" w:line="10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three months ended June 30, 2022 was $63,071 thousand, an increase of $9,770 thousand compared to the three months ended June 30, 2021.</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$6,833 thousand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$5,672 thousand in the three months ended June 30, 2022 and 2021, respectively, and other nonoperating (income) expenses, of $(14,557) thousand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$7,684 thousand in the three months ended June 30, 2022 and 2021, respectively, adjusted operating earnings before interest, depreciation, and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was $78,737 thousand and $79,284 thousand, respectively.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jc w:val="both"/>
        <w:ind w:right="380" w:firstLine="509"/>
        <w:spacing w:after="0" w:line="250"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three months ended June 30, 2022, federal and state income tax expense totaled $38,340 thousand compared to expense of $30,027 thousand for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the Six Months Ended June 30,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41"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Revenue for the six months ended June 30, 2022 was $496,911 thousand, up 19% from $416,302 for the six months ended June 30, 2021 driven by Retail sales largely due to legalization of adult use sales in New Jersey, which began on April 21, 2022, continued growth in Illinois, and new and acquired store openings, particularly in Maryland, Massachusetts, Minnesota, Rhode Island and Virginia. The Company generated revenue from 77 Retail locations during the period compared to 58 in the same period of the prior year. During the six months ended June 30, 2022, the Company opened three new Retail stores. Since June 30, 2021, the Company acquired one Retail store in Illinois, one in Maryland, two in Massachusetts, five in Minnesota, one in Rhode Island, one in Virginia, and opened eight new Retail stores in Massachusetts, Minnesota, Nevada, New Jersey, Pennsylvania and Virginia.</w:t>
      </w:r>
    </w:p>
    <w:p>
      <w:pPr>
        <w:spacing w:after="0" w:line="195"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key drivers for the increase in Consumer Packaged Goods revenues was increased sales in New Jersey due to legalization of adult use sales which began on April 21, 2022 and continued growth in Illinois. In addition, the Company also acquired cultivation and processing facilities in Minnesota, Virginia and Rhode Island since June 30, 2021.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24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six months ended June 30, 2022 was $248,173 thousand, up 36% from $182,526 thousand for the six months ended June 30, 2021, driven by increased volume from open and operating Retail stores, new and acquired Retail store openings in Illinois, Maryland, Massachusetts, Minnesota, Nevada, New Jersey, Pennsylvania, Rhode Island and Virginia, and expansion of the consumer products sales primarily in Illinois and New Jersey as described above.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Gross profit for the six months ended June 30, 2022 was $248,738 thousand, representing a gross margin on the sale of branded cannabis flower and processed and packaged products including concentrates, edibles, topicals and other cannabis products, of 50%. This is compared to gross profit for the six months ended June 30, 2021 of $233,776 thousand or a 56% gross margin. The increase in gross profit (dollars) was directly attributable to the revenue increase as described above.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expenses for the six months ended June 30, 2022 were $131,923 thousand or 27% of revenues, net of discounts, resulting in an increase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$536 thousand over the same period in the prior year. Total expenses for the six months ended June 30, 2021 were $131,387 thousand or 32% of revenues,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of discounts. The reduction in total expenses was primarily attributable to the remeasurement of the Company's contingent consideration arrangements</w:t>
      </w:r>
    </w:p>
    <w:p>
      <w:pPr>
        <w:spacing w:after="0" w:line="234" w:lineRule="auto"/>
        <w:rPr>
          <w:sz w:val="20"/>
          <w:szCs w:val="20"/>
          <w:color w:val="auto"/>
        </w:rPr>
      </w:pPr>
      <w:r>
        <w:rPr>
          <w:rFonts w:ascii="Times New Roman" w:cs="Times New Roman" w:eastAsia="Times New Roman" w:hAnsi="Times New Roman"/>
          <w:sz w:val="18"/>
          <w:szCs w:val="18"/>
          <w:color w:val="auto"/>
        </w:rPr>
        <w:t>associated with two acquisitions that occurred in 2021, due to the reduction in the Company's stock price as well as operational metrics of the acquired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entities as of June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4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Total other income (expense) for six months ended June 30, 2022 was $7,073 thousand a change of $13,850 thousand, mainly due to favorable fair value adjustments associated with the Company's acquisition of ILDISP as well as the change in the fair value of the warrant liability offset by unfavorable fair value adjustments on the Company's equity investments during the six months ended June 30,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Before Provision for Income Taxes and Non-Controlling Interest</w:t>
      </w:r>
    </w:p>
    <w:p>
      <w:pPr>
        <w:spacing w:after="0" w:line="24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Net operating income before provision for income taxes and non-controlling interest for six months ended June 30, 2022 was $123,888 thousand, an increase of $28,276 thousand compared to the six months ended June 30, 2021.</w:t>
      </w:r>
    </w:p>
    <w:p>
      <w:pPr>
        <w:spacing w:after="0" w:line="17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$11,484 thousand and $9,703 thousand, and other nonoperating (income) expenses, of $(29,711) thousand and $8,480 thousand in the six months ended June 30, 2022 and 2021, respectively, Adjusted Operating EBITDA was $145,776 thousand and $150,638 thousand, respectively.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six months ended June 30, 2022, federal and state income tax expense totaled $69,471 thousand compared to expense of $60,883 thousand for the six months ended June 30, 2021.</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by Segment</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revenues net of sales discounts by segment for the three and six months ended June 30, 2022 and 2021:</w:t>
      </w:r>
    </w:p>
    <w:p>
      <w:pPr>
        <w:spacing w:after="0" w:line="327"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162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38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78"/>
        </w:trPr>
        <w:tc>
          <w:tcPr>
            <w:tcW w:w="33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40" w:type="dxa"/>
            <w:vAlign w:val="bottom"/>
            <w:tcBorders>
              <w:bottom w:val="single" w:sz="8" w:color="auto"/>
            </w:tcBorders>
            <w:gridSpan w:val="3"/>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Packaged Goods</w:t>
            </w: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120,604</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117,864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2,740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4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192,734</w:t>
            </w: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150,116</w:t>
            </w:r>
          </w:p>
        </w:tc>
        <w:tc>
          <w:tcPr>
            <w:tcW w:w="20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42,618</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Eliminations</w:t>
            </w:r>
          </w:p>
        </w:tc>
        <w:tc>
          <w:tcPr>
            <w:tcW w:w="148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(59,027)</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(46,108)</w:t>
            </w:r>
          </w:p>
        </w:tc>
        <w:tc>
          <w:tcPr>
            <w:tcW w:w="200" w:type="dxa"/>
            <w:vAlign w:val="bottom"/>
          </w:tcPr>
          <w:p>
            <w:pPr>
              <w:spacing w:after="0"/>
              <w:rPr>
                <w:sz w:val="15"/>
                <w:szCs w:val="15"/>
                <w:color w:val="auto"/>
              </w:rPr>
            </w:pPr>
          </w:p>
        </w:tc>
        <w:tc>
          <w:tcPr>
            <w:tcW w:w="1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(12,919)</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 Net of Discounts</w:t>
            </w:r>
          </w:p>
        </w:tc>
        <w:tc>
          <w:tcPr>
            <w:tcW w:w="148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254,311</w:t>
            </w:r>
          </w:p>
        </w:tc>
        <w:tc>
          <w:tcPr>
            <w:tcW w:w="2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4"/>
                <w:szCs w:val="14"/>
                <w:b w:val="1"/>
                <w:bCs w:val="1"/>
                <w:color w:val="auto"/>
              </w:rPr>
              <w:t>221,872</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32,439</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0" w:type="dxa"/>
            <w:vAlign w:val="bottom"/>
          </w:tcPr>
          <w:p>
            <w:pPr>
              <w:spacing w:after="0"/>
              <w:rPr>
                <w:sz w:val="1"/>
                <w:szCs w:val="1"/>
                <w:color w:val="auto"/>
              </w:rPr>
            </w:pPr>
          </w:p>
        </w:tc>
      </w:tr>
      <w:tr>
        <w:trPr>
          <w:trHeight w:val="331"/>
        </w:trPr>
        <w:tc>
          <w:tcPr>
            <w:tcW w:w="3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24"/>
                <w:szCs w:val="24"/>
                <w:color w:val="auto"/>
              </w:rPr>
            </w:pPr>
          </w:p>
        </w:tc>
        <w:tc>
          <w:tcPr>
            <w:tcW w:w="162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38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78"/>
        </w:trPr>
        <w:tc>
          <w:tcPr>
            <w:tcW w:w="33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40" w:type="dxa"/>
            <w:vAlign w:val="bottom"/>
            <w:tcBorders>
              <w:bottom w:val="single" w:sz="8" w:color="auto"/>
            </w:tcBorders>
            <w:gridSpan w:val="3"/>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 Packaged Goods</w:t>
            </w:r>
          </w:p>
        </w:tc>
        <w:tc>
          <w:tcPr>
            <w:tcW w:w="14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241,016</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9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221,941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19,075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4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365,320</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280,225</w:t>
            </w:r>
          </w:p>
        </w:tc>
        <w:tc>
          <w:tcPr>
            <w:tcW w:w="200" w:type="dxa"/>
            <w:vAlign w:val="bottom"/>
          </w:tcPr>
          <w:p>
            <w:pPr>
              <w:spacing w:after="0"/>
              <w:rPr>
                <w:sz w:val="15"/>
                <w:szCs w:val="15"/>
                <w:color w:val="auto"/>
              </w:rPr>
            </w:pPr>
          </w:p>
        </w:tc>
        <w:tc>
          <w:tcPr>
            <w:tcW w:w="16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85,095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5"/>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Intersegment Eliminations</w:t>
            </w:r>
          </w:p>
        </w:tc>
        <w:tc>
          <w:tcPr>
            <w:tcW w:w="148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(109,425)</w:t>
            </w:r>
          </w:p>
        </w:tc>
        <w:tc>
          <w:tcPr>
            <w:tcW w:w="28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(85,864)</w:t>
            </w:r>
          </w:p>
        </w:tc>
        <w:tc>
          <w:tcPr>
            <w:tcW w:w="200" w:type="dxa"/>
            <w:vAlign w:val="bottom"/>
            <w:tcBorders>
              <w:bottom w:val="single" w:sz="8" w:color="CFF0FC"/>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(23,561)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 Net of Discounts</w:t>
            </w: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496,911</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416,302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80,609</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-1087755</wp:posOffset>
            </wp:positionV>
            <wp:extent cx="1148715" cy="6083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48715" cy="60833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-145415</wp:posOffset>
            </wp:positionV>
            <wp:extent cx="171450" cy="146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1450" cy="14605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-145415</wp:posOffset>
            </wp:positionV>
            <wp:extent cx="137160" cy="146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Compared with the Three Months Ended June 30, 2021</w:t>
      </w:r>
    </w:p>
    <w:p>
      <w:pPr>
        <w:spacing w:after="0" w:line="108"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Revenues, net of discounts, for the Retail segment were $192,734 thousand, an increase of $42,618 thousand or 28%, compared to the three months ended June 30, 2021. The increase in Retail revenues, net of discounts, was primarily driven by legalization of adult use in New Jersey, which began on April 21, 2022 as well as new store openings including acquired Retail stores, particularly in Illinois, Maryland, Massachusetts, Minnesota, Rhode Island and Virginia and increased store traffic to Green Thumb’s open and operating Retail stores, particularly in Illinois.</w:t>
      </w:r>
    </w:p>
    <w:p>
      <w:pPr>
        <w:spacing w:after="0" w:line="17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$120,604 thousand, an increase of $2,740 thousand or 2%, compared to the three months ended June 30, 2021. The key drivers for the increase in Consumer Packaged Goods revenues was increased sales in New Jersey due to legalization of adult use sales, which began on April 21, 2022 and continued growth in Illinois. In addition, the Company also acquired cultivation and processing facilities in Minnesota, Virginia and Rhode Island since June 30, 2021.</w:t>
      </w:r>
    </w:p>
    <w:p>
      <w:pPr>
        <w:spacing w:after="0" w:line="191"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Intersegment eliminations associated with the Consumer Packaged Goods Segment were $(59,027) thousand, an increase of $(12,919) thousand or 28% compared to the three months ended June 30, 2021. The increase in intersegment eliminations was driven by increased intercompany sales primarily to Company-owned Retail stores in Illinois and New Jersey as well as to newly acquired Retail stores as discussed above. Consumer Packaged Goods revenues, net of intersegment eliminations, made up 24% of total revenues during the three months ended June 30, 2022 as compared to 32% during the three months ended June 30, 2021.</w:t>
      </w:r>
    </w:p>
    <w:p>
      <w:pPr>
        <w:spacing w:after="0" w:line="18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8"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with the Six Months Ended June 30, 2021</w:t>
      </w:r>
    </w:p>
    <w:p>
      <w:pPr>
        <w:spacing w:after="0" w:line="229"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Revenues, net of discounts for the Retail segment were $365,320, an increase of $85,095 or 30%, compared to the six months ended June 30, 2021. The increase in Retail revenues, net of discounts, was primarily driven by legalization of adult use sales in New Jersey, which began on April 21, 2022, continued growth in Illinois, and new and acquired store openings, particularly in Maryland, Massachusetts, Minnesota, Rhode Island and Virginia and increased store traffic to Green Thumb’s open and operating Retail stores, particularly in Illinois.</w:t>
      </w:r>
    </w:p>
    <w:p>
      <w:pPr>
        <w:spacing w:after="0" w:line="17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$241,016 thousand, an increase of $19,075 thousand or 9%, compared to the six months ended June 30, 2021. The key drivers for the increase in Consumer Packaged Goods revenues was increased sales in New Jersey due to legalization of adult use sales, which began on April 21, 2022 and continued growth in Illinois. In addition, the Company also acquired cultivation and processing facilities in Minnesota, Virginia and Rhode Island since June 30, 2021.</w:t>
      </w:r>
    </w:p>
    <w:p>
      <w:pPr>
        <w:spacing w:after="0" w:line="17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Intersegment eliminations associated with the Consumer Packaged vGoods Segment were $(109,425) thousand, an increase of $(23,561) thousand or 27% compared to the three months ended June 30, 2021.The increase in intersegment eliminations was driven by increased intercompany sales primarily to Company-owned Retail stores in Illinois and New Jersey as well as to newly acquired Retail stores as discussed above. Consumer Packaged Goods revenues, net of intersegment eliminations, made up 26% of total revenues during the six months ended June 30, 2022 as compared to 33% during the six months ended June 30, 2021.</w:t>
      </w:r>
    </w:p>
    <w:p>
      <w:pPr>
        <w:spacing w:after="0" w:line="18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Drivers of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06"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Company derives its revenue from two revenue streams: a Consumer Packaged Goods business in which it manufactures, sells and distributes its portfolio of Consumer Packaged Goods brands including &amp;Shine, Beboe, Dogwalkers, Dr. Solomon’s, Good Green, incredibles, and RYTHM, primarily to third-party customers;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w:t>
      </w:r>
    </w:p>
    <w:p>
      <w:pPr>
        <w:spacing w:after="0" w:line="195" w:lineRule="exact"/>
        <w:rPr>
          <w:sz w:val="20"/>
          <w:szCs w:val="20"/>
          <w:color w:val="auto"/>
        </w:rPr>
      </w:pPr>
    </w:p>
    <w:p>
      <w:pPr>
        <w:jc w:val="both"/>
        <w:ind w:right="360" w:firstLine="509"/>
        <w:spacing w:after="0" w:line="250" w:lineRule="auto"/>
        <w:rPr>
          <w:sz w:val="20"/>
          <w:szCs w:val="20"/>
          <w:color w:val="auto"/>
        </w:rPr>
      </w:pPr>
      <w:r>
        <w:rPr>
          <w:rFonts w:ascii="Times New Roman" w:cs="Times New Roman" w:eastAsia="Times New Roman" w:hAnsi="Times New Roman"/>
          <w:sz w:val="18"/>
          <w:szCs w:val="18"/>
          <w:color w:val="auto"/>
        </w:rPr>
        <w:t>For the three and six months ended June 30, 2022, revenue was contributed from Consumer Packaged Goods and Retail sales across California, Colorado, Connecticut, Florida, Illinois, Maryland, Massachusetts, Minnesota, Nevada, New Jersey, New York, Ohio, Pennsylvania, Rhode Island and Virginia.</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397"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2022, the Company continued to be focused on creating sustainable, profitable growth of the Company’s business while pursuing expansion. Green Thumb expects to continue its growth strategy for the foreseeable future as the Company expands its Consumer Packaged Goods and Retail footprint within its current markets with acquisitions and partnerships, and scales resources into new markets.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0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39" w:name="page40"/>
    <w:bookmarkEnd w:id="39"/>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increase in the newer locations as business continues to grow.</w:t>
      </w:r>
    </w:p>
    <w:p>
      <w:pPr>
        <w:spacing w:after="0" w:line="16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also include costs incurred at the Company’s corporate offices, primarily related to back office personnel costs, including salaries, incentive compensation, benefits, stock-based compensation and other professional service costs. The Company expects to continue to invest in this area to support expansion plans and the business.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the U.S. Internal Revenue Code of 1986, as amended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08"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7"/>
          <w:szCs w:val="17"/>
          <w:color w:val="auto"/>
        </w:rPr>
        <w:t>EBITDA, Adjusted Operating 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2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w:t>
            </w:r>
          </w:p>
        </w:tc>
        <w:tc>
          <w:tcPr>
            <w:tcW w:w="1060" w:type="dxa"/>
            <w:vAlign w:val="bottom"/>
            <w:tcBorders>
              <w:bottom w:val="single" w:sz="8" w:color="auto"/>
            </w:tcBorders>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Before Non-Controlling Interest</w:t>
            </w: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24,731</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23,274</w:t>
            </w:r>
          </w:p>
        </w:tc>
        <w:tc>
          <w:tcPr>
            <w:tcW w:w="3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54,417</w:t>
            </w: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34,729</w:t>
            </w:r>
          </w:p>
        </w:tc>
        <w:tc>
          <w:tcPr>
            <w:tcW w:w="0" w:type="dxa"/>
            <w:vAlign w:val="bottom"/>
          </w:tcPr>
          <w:p>
            <w:pPr>
              <w:spacing w:after="0"/>
              <w:rPr>
                <w:sz w:val="1"/>
                <w:szCs w:val="1"/>
                <w:color w:val="auto"/>
              </w:rPr>
            </w:pP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3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75"/>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6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5,399</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3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11,469</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8,803</w:t>
            </w:r>
          </w:p>
        </w:tc>
        <w:tc>
          <w:tcPr>
            <w:tcW w:w="0" w:type="dxa"/>
            <w:vAlign w:val="bottom"/>
          </w:tcPr>
          <w:p>
            <w:pPr>
              <w:spacing w:after="0"/>
              <w:rPr>
                <w:sz w:val="1"/>
                <w:szCs w:val="1"/>
                <w:color w:val="auto"/>
              </w:rPr>
            </w:pP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38,340</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30,027</w:t>
            </w:r>
          </w:p>
        </w:tc>
        <w:tc>
          <w:tcPr>
            <w:tcW w:w="3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69,471</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60,883</w:t>
            </w:r>
          </w:p>
        </w:tc>
        <w:tc>
          <w:tcPr>
            <w:tcW w:w="0" w:type="dxa"/>
            <w:vAlign w:val="bottom"/>
          </w:tcPr>
          <w:p>
            <w:pPr>
              <w:spacing w:after="0"/>
              <w:rPr>
                <w:sz w:val="1"/>
                <w:szCs w:val="1"/>
                <w:color w:val="auto"/>
              </w:rPr>
            </w:pPr>
          </w:p>
        </w:tc>
      </w:tr>
      <w:tr>
        <w:trPr>
          <w:trHeight w:val="175"/>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6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(5,583)</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(6,830)</w:t>
            </w:r>
          </w:p>
        </w:tc>
        <w:tc>
          <w:tcPr>
            <w:tcW w:w="3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(17,018)</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0" w:type="dxa"/>
            <w:vAlign w:val="bottom"/>
          </w:tcPr>
          <w:p>
            <w:pPr>
              <w:spacing w:after="0"/>
              <w:rPr>
                <w:sz w:val="1"/>
                <w:szCs w:val="1"/>
                <w:color w:val="auto"/>
              </w:rPr>
            </w:pP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24,198</w:t>
            </w:r>
          </w:p>
        </w:tc>
        <w:tc>
          <w:tcPr>
            <w:tcW w:w="2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15,073</w:t>
            </w:r>
          </w:p>
        </w:tc>
        <w:tc>
          <w:tcPr>
            <w:tcW w:w="32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47,188</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30,066</w:t>
            </w:r>
          </w:p>
        </w:tc>
        <w:tc>
          <w:tcPr>
            <w:tcW w:w="0" w:type="dxa"/>
            <w:vAlign w:val="bottom"/>
          </w:tcPr>
          <w:p>
            <w:pPr>
              <w:spacing w:after="0"/>
              <w:rPr>
                <w:sz w:val="1"/>
                <w:szCs w:val="1"/>
                <w:color w:val="auto"/>
              </w:rPr>
            </w:pPr>
          </w:p>
        </w:tc>
      </w:tr>
      <w:tr>
        <w:trPr>
          <w:trHeight w:val="131"/>
        </w:trPr>
        <w:tc>
          <w:tcPr>
            <w:tcW w:w="420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Earnings before interest, taxes, depreciation and</w:t>
            </w:r>
          </w:p>
        </w:tc>
        <w:tc>
          <w:tcPr>
            <w:tcW w:w="6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86,461</w:t>
            </w:r>
          </w:p>
        </w:tc>
        <w:tc>
          <w:tcPr>
            <w:tcW w:w="2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65,928</w:t>
            </w:r>
          </w:p>
        </w:tc>
        <w:tc>
          <w:tcPr>
            <w:tcW w:w="3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164,003</w:t>
            </w:r>
          </w:p>
        </w:tc>
        <w:tc>
          <w:tcPr>
            <w:tcW w:w="2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132,455</w:t>
            </w:r>
          </w:p>
        </w:tc>
        <w:tc>
          <w:tcPr>
            <w:tcW w:w="0" w:type="dxa"/>
            <w:vAlign w:val="bottom"/>
          </w:tcPr>
          <w:p>
            <w:pPr>
              <w:spacing w:after="0"/>
              <w:rPr>
                <w:sz w:val="1"/>
                <w:szCs w:val="1"/>
                <w:color w:val="auto"/>
              </w:rPr>
            </w:pPr>
          </w:p>
        </w:tc>
      </w:tr>
      <w:tr>
        <w:trPr>
          <w:trHeight w:val="186"/>
        </w:trPr>
        <w:tc>
          <w:tcPr>
            <w:tcW w:w="4200" w:type="dxa"/>
            <w:vAlign w:val="bottom"/>
            <w:tcBorders>
              <w:bottom w:val="single" w:sz="8" w:color="CFF0FC"/>
            </w:tcBorders>
            <w:shd w:val="clear" w:color="auto" w:fill="CFF0FC"/>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amortization (EBITDA) (non-GAAP measure)</w:t>
            </w:r>
          </w:p>
        </w:tc>
        <w:tc>
          <w:tcPr>
            <w:tcW w:w="660" w:type="dxa"/>
            <w:vAlign w:val="bottom"/>
            <w:tcBorders>
              <w:bottom w:val="single" w:sz="8" w:color="CFF0FC"/>
            </w:tcBorders>
            <w:vMerge w:val="continue"/>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vMerge w:val="continue"/>
            <w:shd w:val="clear" w:color="auto" w:fill="CFF0FC"/>
          </w:tcPr>
          <w:p>
            <w:pPr>
              <w:spacing w:after="0"/>
              <w:rPr>
                <w:sz w:val="16"/>
                <w:szCs w:val="16"/>
                <w:color w:val="auto"/>
              </w:rPr>
            </w:pP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CFF0FC"/>
            </w:tcBorders>
            <w:vMerge w:val="continue"/>
            <w:shd w:val="clear" w:color="auto" w:fill="CFF0FC"/>
          </w:tcPr>
          <w:p>
            <w:pPr>
              <w:spacing w:after="0"/>
              <w:rPr>
                <w:sz w:val="16"/>
                <w:szCs w:val="16"/>
                <w:color w:val="auto"/>
              </w:rPr>
            </w:pPr>
          </w:p>
        </w:tc>
        <w:tc>
          <w:tcPr>
            <w:tcW w:w="320" w:type="dxa"/>
            <w:vAlign w:val="bottom"/>
            <w:tcBorders>
              <w:bottom w:val="single" w:sz="8" w:color="CFF0FC"/>
            </w:tcBorders>
            <w:vMerge w:val="continue"/>
            <w:shd w:val="clear" w:color="auto" w:fill="CFF0FC"/>
          </w:tcPr>
          <w:p>
            <w:pPr>
              <w:spacing w:after="0"/>
              <w:rPr>
                <w:sz w:val="16"/>
                <w:szCs w:val="16"/>
                <w:color w:val="auto"/>
              </w:rPr>
            </w:pPr>
          </w:p>
        </w:tc>
        <w:tc>
          <w:tcPr>
            <w:tcW w:w="1360" w:type="dxa"/>
            <w:vAlign w:val="bottom"/>
            <w:tcBorders>
              <w:bottom w:val="single" w:sz="8" w:color="CFF0FC"/>
            </w:tcBorders>
            <w:vMerge w:val="continue"/>
            <w:shd w:val="clear" w:color="auto" w:fill="CFF0FC"/>
          </w:tcPr>
          <w:p>
            <w:pPr>
              <w:spacing w:after="0"/>
              <w:rPr>
                <w:sz w:val="16"/>
                <w:szCs w:val="16"/>
                <w:color w:val="auto"/>
              </w:rPr>
            </w:pP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20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Stock-based compensation, non-cash</w:t>
            </w:r>
          </w:p>
        </w:tc>
        <w:tc>
          <w:tcPr>
            <w:tcW w:w="660" w:type="dxa"/>
            <w:vAlign w:val="bottom"/>
            <w:tcBorders>
              <w:top w:val="single" w:sz="8" w:color="CFF0FC"/>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6,833</w:t>
            </w:r>
          </w:p>
        </w:tc>
        <w:tc>
          <w:tcPr>
            <w:tcW w:w="220" w:type="dxa"/>
            <w:vAlign w:val="bottom"/>
            <w:tcBorders>
              <w:top w:val="single" w:sz="8" w:color="CFF0FC"/>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5,672</w:t>
            </w:r>
          </w:p>
        </w:tc>
        <w:tc>
          <w:tcPr>
            <w:tcW w:w="320" w:type="dxa"/>
            <w:vAlign w:val="bottom"/>
            <w:tcBorders>
              <w:top w:val="single" w:sz="8" w:color="CFF0FC"/>
            </w:tcBorders>
          </w:tcPr>
          <w:p>
            <w:pPr>
              <w:spacing w:after="0"/>
              <w:rPr>
                <w:sz w:val="13"/>
                <w:szCs w:val="13"/>
                <w:color w:val="auto"/>
              </w:rPr>
            </w:pPr>
          </w:p>
        </w:tc>
        <w:tc>
          <w:tcPr>
            <w:tcW w:w="13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11,484</w:t>
            </w:r>
          </w:p>
        </w:tc>
        <w:tc>
          <w:tcPr>
            <w:tcW w:w="22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9,703</w:t>
            </w:r>
          </w:p>
        </w:tc>
        <w:tc>
          <w:tcPr>
            <w:tcW w:w="0" w:type="dxa"/>
            <w:vAlign w:val="bottom"/>
          </w:tcPr>
          <w:p>
            <w:pPr>
              <w:spacing w:after="0"/>
              <w:rPr>
                <w:sz w:val="1"/>
                <w:szCs w:val="1"/>
                <w:color w:val="auto"/>
              </w:rPr>
            </w:pPr>
          </w:p>
        </w:tc>
      </w:tr>
      <w:tr>
        <w:trPr>
          <w:trHeight w:val="175"/>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Acquisition, transaction and other non-operating (income) costs</w:t>
            </w:r>
          </w:p>
        </w:tc>
        <w:tc>
          <w:tcPr>
            <w:tcW w:w="66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(14,557)</w:t>
            </w:r>
          </w:p>
        </w:tc>
        <w:tc>
          <w:tcPr>
            <w:tcW w:w="2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7,684</w:t>
            </w:r>
          </w:p>
        </w:tc>
        <w:tc>
          <w:tcPr>
            <w:tcW w:w="32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(29,711)</w:t>
            </w:r>
          </w:p>
        </w:tc>
        <w:tc>
          <w:tcPr>
            <w:tcW w:w="2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8,480</w:t>
            </w:r>
          </w:p>
        </w:tc>
        <w:tc>
          <w:tcPr>
            <w:tcW w:w="0" w:type="dxa"/>
            <w:vAlign w:val="bottom"/>
          </w:tcPr>
          <w:p>
            <w:pPr>
              <w:spacing w:after="0"/>
              <w:rPr>
                <w:sz w:val="1"/>
                <w:szCs w:val="1"/>
                <w:color w:val="auto"/>
              </w:rPr>
            </w:pPr>
          </w:p>
        </w:tc>
      </w:tr>
      <w:tr>
        <w:trPr>
          <w:trHeight w:val="169"/>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Operating EBITDA (non-GAAP measure)</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78,737</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79,284</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145,776</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150,638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-393700</wp:posOffset>
            </wp:positionV>
            <wp:extent cx="218567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85670" cy="13716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-145415</wp:posOffset>
            </wp:positionV>
            <wp:extent cx="145415" cy="1460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45415" cy="14605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-145415</wp:posOffset>
            </wp:positionV>
            <wp:extent cx="68580" cy="1460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-145415</wp:posOffset>
            </wp:positionV>
            <wp:extent cx="146050" cy="146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Liquidity, Financing Activities During the Period, and Capital Resources</w:t>
      </w:r>
    </w:p>
    <w:p>
      <w:pPr>
        <w:spacing w:after="0" w:line="121"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As of June 30, 2022, and December 31, 2021 the Company had total current liabilities of $131,973 thousand and $204,379 thousand, respectively, and cash and cash equivalents of $145,277 thousand and $230,420 thousand, respectively, to meet its current obligations. The Company had working capital of $179,553 thousand as of June 30, 2022, an increase of $19,702 thousand as compared to December 31, 2021. This increase in working capital was primarily driven by an additional $55,000 thousand tenant improvement allowance provided as part of the third amendment to the lease of one of the Company's cultivation and processing facilities in Danville, Pennsylvania with Innovative Industrial Properties, Inc. ("IIP").</w:t>
      </w:r>
    </w:p>
    <w:p>
      <w:pPr>
        <w:spacing w:after="0" w:line="73"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Company is an early-stage growth company, generating cash from revenues deploying its capital reserves to acquire and develop assets capable of producing additional revenues and earnings over both the immediate and long term. Capital reserves are primarily being utilized for capital expenditures, facility improvements, strategic investment opportunities, product development and marketing, as well as customer, supplier, investor and industry relations.</w:t>
      </w:r>
    </w:p>
    <w:p>
      <w:pPr>
        <w:spacing w:after="0" w:line="380" w:lineRule="exact"/>
        <w:rPr>
          <w:sz w:val="20"/>
          <w:szCs w:val="20"/>
          <w:color w:val="auto"/>
        </w:rPr>
      </w:pPr>
    </w:p>
    <w:p>
      <w:pPr>
        <w:ind w:right="360" w:firstLine="509"/>
        <w:spacing w:after="0" w:line="246" w:lineRule="auto"/>
        <w:rPr>
          <w:sz w:val="20"/>
          <w:szCs w:val="20"/>
          <w:color w:val="auto"/>
        </w:rPr>
      </w:pPr>
      <w:r>
        <w:rPr>
          <w:rFonts w:ascii="Times New Roman" w:cs="Times New Roman" w:eastAsia="Times New Roman" w:hAnsi="Times New Roman"/>
          <w:sz w:val="18"/>
          <w:szCs w:val="18"/>
          <w:color w:val="auto"/>
        </w:rPr>
        <w:t>While the Company's revenue, gross profit and operating income were not materially impacted by COVID-19 and the Company maintained the consistency of its operations during the first six months of 2022, the effects of COVID-19 may impact the Company's business operations for reasons including the potential quarantine of employees or those of supply chain partners. 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 Investing and Financing Activities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six months ended June 30, 2022 and 2021, were as follows:</w:t>
      </w:r>
    </w:p>
    <w:p>
      <w:pPr>
        <w:spacing w:after="0" w:line="214" w:lineRule="exact"/>
        <w:rPr>
          <w:sz w:val="20"/>
          <w:szCs w:val="20"/>
          <w:color w:val="auto"/>
        </w:rPr>
      </w:pPr>
    </w:p>
    <w:tbl>
      <w:tblPr>
        <w:tblLayout w:type="fixed"/>
        <w:tblInd w:w="108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700" w:type="dxa"/>
            <w:vAlign w:val="bottom"/>
            <w:tcBorders>
              <w:bottom w:val="single" w:sz="8" w:color="auto"/>
            </w:tcBorders>
          </w:tcPr>
          <w:p>
            <w:pPr>
              <w:spacing w:after="0"/>
              <w:rPr>
                <w:sz w:val="18"/>
                <w:szCs w:val="18"/>
                <w:color w:val="auto"/>
              </w:rPr>
            </w:pPr>
          </w:p>
        </w:tc>
      </w:tr>
      <w:tr>
        <w:trPr>
          <w:trHeight w:val="202"/>
        </w:trPr>
        <w:tc>
          <w:tcPr>
            <w:tcW w:w="4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700" w:type="dxa"/>
            <w:vAlign w:val="bottom"/>
            <w:tcBorders>
              <w:bottom w:val="single" w:sz="8" w:color="auto"/>
            </w:tcBorders>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00" w:type="dxa"/>
            <w:vAlign w:val="bottom"/>
            <w:tcBorders>
              <w:bottom w:val="single" w:sz="8" w:color="auto"/>
            </w:tcBorders>
          </w:tcPr>
          <w:p>
            <w:pPr>
              <w:spacing w:after="0"/>
              <w:rPr>
                <w:sz w:val="17"/>
                <w:szCs w:val="17"/>
                <w:color w:val="auto"/>
              </w:rPr>
            </w:pPr>
          </w:p>
        </w:tc>
      </w:tr>
      <w:tr>
        <w:trPr>
          <w:trHeight w:val="19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39,914</w:t>
            </w:r>
          </w:p>
        </w:tc>
        <w:tc>
          <w:tcPr>
            <w:tcW w:w="1460" w:type="dxa"/>
            <w:vAlign w:val="bottom"/>
            <w:shd w:val="clear" w:color="auto" w:fill="CFF0FC"/>
          </w:tcPr>
          <w:p>
            <w:pPr>
              <w:jc w:val="center"/>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48,297</w:t>
            </w:r>
          </w:p>
        </w:tc>
      </w:tr>
      <w:tr>
        <w:trPr>
          <w:trHeight w:val="20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(114,296)</w:t>
            </w:r>
          </w:p>
        </w:tc>
        <w:tc>
          <w:tcPr>
            <w:tcW w:w="1460" w:type="dxa"/>
            <w:vAlign w:val="bottom"/>
          </w:tcPr>
          <w:p>
            <w:pPr>
              <w:jc w:val="center"/>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(43,583)</w:t>
            </w:r>
          </w:p>
        </w:tc>
      </w:tr>
      <w:tr>
        <w:trPr>
          <w:trHeight w:val="20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(10,761)</w:t>
            </w:r>
          </w:p>
        </w:tc>
        <w:tc>
          <w:tcPr>
            <w:tcW w:w="1460" w:type="dxa"/>
            <w:vAlign w:val="bottom"/>
            <w:shd w:val="clear" w:color="auto" w:fill="CFF0FC"/>
          </w:tcPr>
          <w:p>
            <w:pPr>
              <w:jc w:val="center"/>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270,717</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of June 30, 2022,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108"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Refer to the discussion of recently adopted/issued accounting pronouncements under Part I, Item 1, Notes to Unaudited Interim Condensed Consolidated Financial Statements, Note 1—Overview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10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from the information provided in “Management’s Discussion and Analysis of Financial Condition and Results of Operations,” included in our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41" w:name="page42"/>
    <w:bookmarkEnd w:id="4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 disclosures as set forth in Part II Item 7A of our 2021 Form 10-K.</w:t>
      </w:r>
    </w:p>
    <w:p>
      <w:pPr>
        <w:spacing w:after="0" w:line="200" w:lineRule="exact"/>
        <w:rPr>
          <w:sz w:val="20"/>
          <w:szCs w:val="20"/>
          <w:color w:val="auto"/>
        </w:rPr>
      </w:pPr>
    </w:p>
    <w:p>
      <w:pPr>
        <w:spacing w:after="0" w:line="31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Company's management carried out an evaluation under the supervision and with the participation of the Company's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management identified a material weakness in our internal control over financial reporting which was also disclosed in the 2021 Form 10-K. As a result of this material weakness, management concluded that our disclosure controls and procedures were not effective as of June 30, 2022.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and Status for Material Weakness</w:t>
      </w:r>
    </w:p>
    <w:p>
      <w:pPr>
        <w:spacing w:after="0" w:line="12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In response to the identified material weakness in the 2021 Form 10-K, the Company's management, with the oversight of the Audit Committee, have developed a plan to remediate the material weakness, including designing and implementing improved processes and internal controls with the intent of ensuring proper application of relevant accounting guidance. The Company took steps during the first two quarters of 2022 to enhance the control environment and will continue to evaluate these controls over the remainder of the year.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Except as noted above, there have been no changes in the Company's internal control over financial reporting during the second quarter of 2022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Control Systems</w:t>
      </w:r>
    </w:p>
    <w:p>
      <w:pPr>
        <w:spacing w:after="0" w:line="21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Because of the inherent limitations in all control systems, no evaluation of controls can provide absolute assurance that all control issues and instances of fraud, if any, will be or have been detected. These inherent limitations include the realities that judgments in decision 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2" w:name="page43"/>
    <w:bookmarkEnd w:id="4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a party to a variety of legal proceedings that arise out of operations in the normal course of business. While the results of these legal proceedings cannot be predicted with certainty, the Company believes that the final outcome of these proceedings will not have a material adverse effect, individually or in the aggregate, on our results of operations or financial condition.</w:t>
      </w:r>
    </w:p>
    <w:p>
      <w:pPr>
        <w:spacing w:after="0" w:line="36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the 2021 Form 10-K.</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Subordinate Voting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9, 2022, the Company issued 80,588 Subordinate Voting Shares as part of a business arrangement.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Multiple Voting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transactions involving the issuance of Multiple Voting Shares during the three months ended June 30,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Super Voting Shares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transactions involving the issuance of Super Voting Shares during the three months ended June 30, 2022.</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20" w:right="5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1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exhibits are filed with this report:</w:t>
            </w:r>
          </w:p>
        </w:tc>
        <w:tc>
          <w:tcPr>
            <w:tcW w:w="0" w:type="dxa"/>
            <w:vAlign w:val="bottom"/>
          </w:tcPr>
          <w:p>
            <w:pPr>
              <w:spacing w:after="0"/>
              <w:rPr>
                <w:sz w:val="1"/>
                <w:szCs w:val="1"/>
                <w:color w:val="auto"/>
              </w:rPr>
            </w:pPr>
          </w:p>
        </w:tc>
      </w:tr>
      <w:tr>
        <w:trPr>
          <w:trHeight w:val="365"/>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Form of July 2022 Option Agreement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CERTIFICATE OF CHIEF EXECUTIVE OFFICER</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EE"/>
            </w:tcBorders>
            <w:gridSpan w:val="2"/>
            <w:shd w:val="clear" w:color="auto" w:fill="0000FF"/>
          </w:tcPr>
          <w:p>
            <w:pPr>
              <w:spacing w:after="0" w:line="20" w:lineRule="exact"/>
              <w:rPr>
                <w:sz w:val="1"/>
                <w:szCs w:val="1"/>
                <w:color w:val="auto"/>
              </w:rPr>
            </w:pPr>
          </w:p>
        </w:tc>
        <w:tc>
          <w:tcPr>
            <w:tcW w:w="60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CERTIFICATE OF CHIEF FINANCIAL OFFICER</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EE"/>
            </w:tcBorders>
            <w:gridSpan w:val="2"/>
            <w:shd w:val="clear" w:color="auto" w:fill="0000FF"/>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42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814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6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9860" w:type="dxa"/>
            <w:vAlign w:val="bottom"/>
            <w:gridSpan w:val="4"/>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6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2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2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2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2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2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right="4940" w:hanging="5519"/>
        <w:spacing w:after="0" w:line="939" w:lineRule="auto"/>
        <w:tabs>
          <w:tab w:leader="none" w:pos="12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Inline XBRL File)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44" w:right="439" w:bottom="1440" w:gutter="0" w:footer="0" w:header="0"/>
        </w:sectPr>
      </w:pPr>
    </w:p>
    <w:bookmarkStart w:id="44" w:name="page45"/>
    <w:bookmarkEnd w:id="44"/>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requirements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18415</wp:posOffset>
            </wp:positionV>
            <wp:extent cx="28289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28289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Anthony Georgiadis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20" w:right="619" w:bottom="1440" w:gutter="0" w:footer="0" w:header="0"/>
        </w:sectPr>
      </w:pPr>
    </w:p>
    <w:bookmarkStart w:id="45" w:name="page46"/>
    <w:bookmarkEnd w:id="45"/>
    <w:p>
      <w:pPr>
        <w:ind w:left="3360"/>
        <w:spacing w:after="0"/>
        <w:rPr>
          <w:sz w:val="20"/>
          <w:szCs w:val="20"/>
          <w:color w:val="auto"/>
        </w:rPr>
      </w:pPr>
      <w:r>
        <w:rPr>
          <w:rFonts w:ascii="Times New Roman" w:cs="Times New Roman" w:eastAsia="Times New Roman" w:hAnsi="Times New Roman"/>
          <w:sz w:val="18"/>
          <w:szCs w:val="18"/>
          <w:b w:val="1"/>
          <w:bCs w:val="1"/>
          <w:color w:val="auto"/>
        </w:rPr>
        <w:t>GREEN THUMB INDUSTRIES INC. 2018 STOCK AND</w:t>
      </w:r>
    </w:p>
    <w:p>
      <w:pPr>
        <w:spacing w:after="0" w:line="2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INCENTIVE PLAN NOTICE OF STOCK OPTION GRANT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You have been granted the following option to purchase Subordinate Voting Shares of Green Thumb Industries Inc.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w:t>
      </w:r>
    </w:p>
    <w:p>
      <w:pPr>
        <w:sectPr>
          <w:pgSz w:w="11900" w:h="16838" w:orient="portrait"/>
          <w:cols w:equalWidth="0" w:num="1">
            <w:col w:w="10920"/>
          </w:cols>
          <w:pgMar w:left="320" w:top="117" w:right="659" w:bottom="1440" w:gutter="0" w:footer="0" w:header="0"/>
        </w:sect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Name of Optionee: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w:t>
      </w:r>
    </w:p>
    <w:p>
      <w:pPr>
        <w:spacing w:after="0" w:line="196" w:lineRule="exact"/>
        <w:rPr>
          <w:sz w:val="20"/>
          <w:szCs w:val="20"/>
          <w:color w:val="auto"/>
        </w:rPr>
      </w:pPr>
    </w:p>
    <w:p>
      <w:pPr>
        <w:sectPr>
          <w:pgSz w:w="11900" w:h="16838" w:orient="portrait"/>
          <w:cols w:equalWidth="0" w:num="2">
            <w:col w:w="4920" w:space="720"/>
            <w:col w:w="5280"/>
          </w:cols>
          <w:pgMar w:left="320" w:top="117" w:right="6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Total Number of Shares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w:t>
      </w:r>
    </w:p>
    <w:p>
      <w:pPr>
        <w:spacing w:after="0" w:line="196" w:lineRule="exact"/>
        <w:rPr>
          <w:sz w:val="20"/>
          <w:szCs w:val="20"/>
          <w:color w:val="auto"/>
        </w:rPr>
      </w:pPr>
    </w:p>
    <w:p>
      <w:pPr>
        <w:sectPr>
          <w:pgSz w:w="11900" w:h="16838" w:orient="portrait"/>
          <w:cols w:equalWidth="0" w:num="2">
            <w:col w:w="4920" w:space="720"/>
            <w:col w:w="5280"/>
          </w:cols>
          <w:pgMar w:left="320" w:top="117" w:right="6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Non-Qualified Stock Option</w:t>
      </w:r>
    </w:p>
    <w:p>
      <w:pPr>
        <w:spacing w:after="0" w:line="196" w:lineRule="exact"/>
        <w:rPr>
          <w:sz w:val="20"/>
          <w:szCs w:val="20"/>
          <w:color w:val="auto"/>
        </w:rPr>
      </w:pPr>
    </w:p>
    <w:p>
      <w:pPr>
        <w:sectPr>
          <w:pgSz w:w="11900" w:h="16838" w:orient="portrait"/>
          <w:cols w:equalWidth="0" w:num="2">
            <w:col w:w="4920" w:space="720"/>
            <w:col w:w="5280"/>
          </w:cols>
          <w:pgMar w:left="320" w:top="117" w:right="6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CDN$__________________ or US$__________________</w:t>
      </w:r>
    </w:p>
    <w:p>
      <w:pPr>
        <w:spacing w:after="0" w:line="196" w:lineRule="exact"/>
        <w:rPr>
          <w:sz w:val="20"/>
          <w:szCs w:val="20"/>
          <w:color w:val="auto"/>
        </w:rPr>
      </w:pPr>
    </w:p>
    <w:p>
      <w:pPr>
        <w:sectPr>
          <w:pgSz w:w="11900" w:h="16838" w:orient="portrait"/>
          <w:cols w:equalWidth="0" w:num="2">
            <w:col w:w="4920" w:space="720"/>
            <w:col w:w="5280"/>
          </w:cols>
          <w:pgMar w:left="320" w:top="117" w:right="6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w:t>
      </w:r>
    </w:p>
    <w:p>
      <w:pPr>
        <w:spacing w:after="0" w:line="196" w:lineRule="exact"/>
        <w:rPr>
          <w:sz w:val="20"/>
          <w:szCs w:val="20"/>
          <w:color w:val="auto"/>
        </w:rPr>
      </w:pPr>
    </w:p>
    <w:p>
      <w:pPr>
        <w:sectPr>
          <w:pgSz w:w="11900" w:h="16838" w:orient="portrait"/>
          <w:cols w:equalWidth="0" w:num="2">
            <w:col w:w="4920" w:space="720"/>
            <w:col w:w="5280"/>
          </w:cols>
          <w:pgMar w:left="320" w:top="117" w:right="6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Vesting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w:t>
      </w:r>
    </w:p>
    <w:p>
      <w:pPr>
        <w:spacing w:after="0" w:line="196" w:lineRule="exact"/>
        <w:rPr>
          <w:sz w:val="20"/>
          <w:szCs w:val="20"/>
          <w:color w:val="auto"/>
        </w:rPr>
      </w:pPr>
    </w:p>
    <w:p>
      <w:pPr>
        <w:sectPr>
          <w:pgSz w:w="11900" w:h="16838" w:orient="portrait"/>
          <w:cols w:equalWidth="0" w:num="2">
            <w:col w:w="4920" w:space="720"/>
            <w:col w:w="5280"/>
          </w:cols>
          <w:pgMar w:left="320" w:top="117" w:right="6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w:t>
      </w:r>
    </w:p>
    <w:p>
      <w:pPr>
        <w:spacing w:after="0" w:line="211" w:lineRule="exact"/>
        <w:rPr>
          <w:sz w:val="20"/>
          <w:szCs w:val="20"/>
          <w:color w:val="auto"/>
        </w:rPr>
      </w:pPr>
    </w:p>
    <w:p>
      <w:pPr>
        <w:sectPr>
          <w:pgSz w:w="11900" w:h="16838" w:orient="portrait"/>
          <w:cols w:equalWidth="0" w:num="2">
            <w:col w:w="4920" w:space="720"/>
            <w:col w:w="5280"/>
          </w:cols>
          <w:pgMar w:left="320" w:top="117" w:right="659" w:bottom="1440" w:gutter="0" w:footer="0" w:header="0"/>
          <w:type w:val="continuous"/>
        </w:sectPr>
      </w:pPr>
    </w:p>
    <w:p>
      <w:pPr>
        <w:spacing w:after="0" w:line="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your signature and the signature of the Company’s representative below, you and the Company agree that this option is granted under and governed by the terms and conditions of the Company’s 2018 Stock and Incentive Plan, as amended and the attached Stock Option Agreement, both of which are made a part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OPTIONEE:</w:t>
            </w:r>
          </w:p>
        </w:tc>
        <w:tc>
          <w:tcPr>
            <w:tcW w:w="360" w:type="dxa"/>
            <w:vAlign w:val="bottom"/>
            <w:tcBorders>
              <w:top w:val="single" w:sz="8" w:color="auto"/>
            </w:tcBorders>
          </w:tcPr>
          <w:p>
            <w:pPr>
              <w:spacing w:after="0"/>
              <w:rPr>
                <w:sz w:val="22"/>
                <w:szCs w:val="22"/>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GREEN THUMB INDUSTRIES INC.</w:t>
            </w:r>
          </w:p>
        </w:tc>
      </w:tr>
      <w:tr>
        <w:trPr>
          <w:trHeight w:val="367"/>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By:____________________________________________</w:t>
            </w:r>
          </w:p>
        </w:tc>
      </w:tr>
      <w:tr>
        <w:trPr>
          <w:trHeight w:val="36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Title:___________________________________________</w:t>
            </w:r>
          </w:p>
        </w:tc>
      </w:tr>
      <w:tr>
        <w:trPr>
          <w:trHeight w:val="234"/>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Print Name</w:t>
            </w:r>
          </w:p>
        </w:tc>
        <w:tc>
          <w:tcPr>
            <w:tcW w:w="360" w:type="dxa"/>
            <w:vAlign w:val="bottom"/>
          </w:tcPr>
          <w:p>
            <w:pPr>
              <w:spacing w:after="0"/>
              <w:rPr>
                <w:sz w:val="20"/>
                <w:szCs w:val="20"/>
                <w:color w:val="auto"/>
              </w:rPr>
            </w:pPr>
          </w:p>
        </w:tc>
        <w:tc>
          <w:tcPr>
            <w:tcW w:w="41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Updated July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type w:val="continuous"/>
        </w:sectPr>
      </w:pPr>
    </w:p>
    <w:bookmarkStart w:id="46" w:name="page47"/>
    <w:bookmarkEnd w:id="46"/>
    <w:p>
      <w:pPr>
        <w:ind w:left="3340"/>
        <w:spacing w:after="0"/>
        <w:rPr>
          <w:sz w:val="20"/>
          <w:szCs w:val="20"/>
          <w:color w:val="auto"/>
        </w:rPr>
      </w:pPr>
      <w:r>
        <w:rPr>
          <w:rFonts w:ascii="Times New Roman" w:cs="Times New Roman" w:eastAsia="Times New Roman" w:hAnsi="Times New Roman"/>
          <w:sz w:val="18"/>
          <w:szCs w:val="18"/>
          <w:b w:val="1"/>
          <w:bCs w:val="1"/>
          <w:color w:val="auto"/>
        </w:rPr>
        <w:t>GREEN THUMB INDUSTRIES INC. 2018 STOCK AND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INCENTIVE PLAN STOCK OPTION AGREEMENT</w:t>
      </w:r>
    </w:p>
    <w:p>
      <w:pPr>
        <w:spacing w:after="0" w:line="3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1. GRANT OF OPTION.</w:t>
      </w:r>
    </w:p>
    <w:p>
      <w:pPr>
        <w:spacing w:after="0" w:line="212" w:lineRule="exact"/>
        <w:rPr>
          <w:sz w:val="20"/>
          <w:szCs w:val="20"/>
          <w:color w:val="auto"/>
        </w:rPr>
      </w:pPr>
    </w:p>
    <w:p>
      <w:pPr>
        <w:ind w:left="100" w:right="20" w:firstLine="741"/>
        <w:spacing w:after="0" w:line="260" w:lineRule="auto"/>
        <w:tabs>
          <w:tab w:leader="none" w:pos="1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On the terms and conditions set forth in the Notice of Stock Option Grant and this Agreement, the Company grants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Optionee on the Date of Grant the option to purchase at the Exercise Price the number of Shares set forth in the Notice of Stock Option Grant. This option is intended to be a Non-Qualified Stock Option (NSO), as provided in the Notice of Stock Option Grant.</w:t>
      </w:r>
    </w:p>
    <w:p>
      <w:pPr>
        <w:spacing w:after="0" w:line="164" w:lineRule="exact"/>
        <w:rPr>
          <w:rFonts w:ascii="Times New Roman" w:cs="Times New Roman" w:eastAsia="Times New Roman" w:hAnsi="Times New Roman"/>
          <w:sz w:val="18"/>
          <w:szCs w:val="18"/>
          <w:color w:val="auto"/>
        </w:rPr>
      </w:pPr>
    </w:p>
    <w:p>
      <w:pPr>
        <w:ind w:left="100" w:right="20" w:firstLine="741"/>
        <w:spacing w:after="0" w:line="252" w:lineRule="auto"/>
        <w:tabs>
          <w:tab w:leader="none" w:pos="1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This option is granted pursuant to the 2018 Stock and Incentive Plan, as amended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copy of which the Optionee acknowledges having received. The provisions of the Plan are incorporated into this Agreement by this reference. Capitalized terms are defined in Section 9 of this Agreement, unless otherwise defined elsewhere herein or in Section 2 of the Plan.</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2. RIGHT TO EXERCISE.</w:t>
      </w:r>
    </w:p>
    <w:p>
      <w:pPr>
        <w:spacing w:after="0" w:line="212" w:lineRule="exact"/>
        <w:rPr>
          <w:sz w:val="20"/>
          <w:szCs w:val="20"/>
          <w:color w:val="auto"/>
        </w:rPr>
      </w:pPr>
    </w:p>
    <w:p>
      <w:pPr>
        <w:ind w:left="100" w:right="280" w:firstLine="741"/>
        <w:spacing w:after="0" w:line="271" w:lineRule="auto"/>
        <w:tabs>
          <w:tab w:leader="none" w:pos="1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General</w:t>
      </w:r>
      <w:r>
        <w:rPr>
          <w:rFonts w:ascii="Times New Roman" w:cs="Times New Roman" w:eastAsia="Times New Roman" w:hAnsi="Times New Roman"/>
          <w:sz w:val="18"/>
          <w:szCs w:val="18"/>
          <w:color w:val="auto"/>
        </w:rPr>
        <w:t>. Except as set forth below and subject to any other conditions of this Agreement, all or part of this option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prior to its expiration at the time or times set forth in the Notice of Stock Option Grant.</w:t>
      </w:r>
    </w:p>
    <w:p>
      <w:pPr>
        <w:spacing w:after="0" w:line="153" w:lineRule="exact"/>
        <w:rPr>
          <w:rFonts w:ascii="Times New Roman" w:cs="Times New Roman" w:eastAsia="Times New Roman" w:hAnsi="Times New Roman"/>
          <w:sz w:val="18"/>
          <w:szCs w:val="18"/>
          <w:color w:val="auto"/>
        </w:rPr>
      </w:pPr>
    </w:p>
    <w:p>
      <w:pPr>
        <w:jc w:val="both"/>
        <w:ind w:left="100" w:right="240" w:firstLine="741"/>
        <w:spacing w:after="0" w:line="260" w:lineRule="auto"/>
        <w:tabs>
          <w:tab w:leader="none" w:pos="1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If within 12 months following a Change in Control, the Company terminates the Optionee’s service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for reasons other than for Cause, then the option shall become immediately exercisable in full on the date of such termination, and the Optionee may exercise all or part of this option at any time before its expiration.</w:t>
      </w:r>
    </w:p>
    <w:p>
      <w:pPr>
        <w:spacing w:after="0" w:line="1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3. NO TRANSFER OR ASSIGNMENT OF OPTION.</w:t>
      </w:r>
    </w:p>
    <w:p>
      <w:pPr>
        <w:spacing w:after="0" w:line="216" w:lineRule="exact"/>
        <w:rPr>
          <w:sz w:val="20"/>
          <w:szCs w:val="20"/>
          <w:color w:val="auto"/>
        </w:rPr>
      </w:pPr>
    </w:p>
    <w:p>
      <w:pPr>
        <w:ind w:left="100" w:right="140" w:firstLine="749"/>
        <w:spacing w:after="0" w:line="296" w:lineRule="auto"/>
        <w:rPr>
          <w:sz w:val="20"/>
          <w:szCs w:val="20"/>
          <w:color w:val="auto"/>
        </w:rPr>
      </w:pPr>
      <w:r>
        <w:rPr>
          <w:rFonts w:ascii="Times New Roman" w:cs="Times New Roman" w:eastAsia="Times New Roman" w:hAnsi="Times New Roman"/>
          <w:sz w:val="17"/>
          <w:szCs w:val="17"/>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4. EXERCISE PROCEDURES.</w:t>
      </w:r>
    </w:p>
    <w:p>
      <w:pPr>
        <w:spacing w:after="0" w:line="212" w:lineRule="exact"/>
        <w:rPr>
          <w:sz w:val="20"/>
          <w:szCs w:val="20"/>
          <w:color w:val="auto"/>
        </w:rPr>
      </w:pPr>
    </w:p>
    <w:p>
      <w:pPr>
        <w:ind w:left="100" w:right="20" w:firstLine="741"/>
        <w:spacing w:after="0" w:line="248" w:lineRule="auto"/>
        <w:tabs>
          <w:tab w:leader="none" w:pos="139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Optionee or the Optionee’s representative may exercise this option by giving written notice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notice may be electronic and/or delivered through the Company’s share plan portal. The notice shall specify the election to exercise this option, the number of Shares for which it is being exercised and the form of payment. The notice shall be signed by the person exercising this option.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of this Agreement for the full amount of the Purchase Price.</w:t>
      </w:r>
    </w:p>
    <w:p>
      <w:pPr>
        <w:spacing w:after="0" w:line="161" w:lineRule="exact"/>
        <w:rPr>
          <w:rFonts w:ascii="Times New Roman" w:cs="Times New Roman" w:eastAsia="Times New Roman" w:hAnsi="Times New Roman"/>
          <w:sz w:val="18"/>
          <w:szCs w:val="18"/>
          <w:color w:val="auto"/>
        </w:rPr>
      </w:pPr>
    </w:p>
    <w:p>
      <w:pPr>
        <w:ind w:left="100" w:right="320" w:firstLine="741"/>
        <w:spacing w:after="0" w:line="260" w:lineRule="auto"/>
        <w:tabs>
          <w:tab w:leader="none" w:pos="139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Exercise Price</w:t>
      </w:r>
      <w:r>
        <w:rPr>
          <w:rFonts w:ascii="Times New Roman" w:cs="Times New Roman" w:eastAsia="Times New Roman" w:hAnsi="Times New Roman"/>
          <w:sz w:val="18"/>
          <w:szCs w:val="18"/>
          <w:color w:val="auto"/>
        </w:rPr>
        <w:t>. The options granted hereby include a Canadian Dollar and U.S. Dollar Exercise Price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 as of the Date of Grant. The Company shall have the sole authority, to be exercised in its sole discretion, to determine to apply the U.S. Dollar or Canadian Dollar Exercise Price based on the Company’s share plan administration procedures.</w:t>
      </w:r>
    </w:p>
    <w:p>
      <w:pPr>
        <w:spacing w:after="0" w:line="164" w:lineRule="exact"/>
        <w:rPr>
          <w:rFonts w:ascii="Times New Roman" w:cs="Times New Roman" w:eastAsia="Times New Roman" w:hAnsi="Times New Roman"/>
          <w:sz w:val="18"/>
          <w:szCs w:val="18"/>
          <w:color w:val="auto"/>
        </w:rPr>
      </w:pPr>
    </w:p>
    <w:p>
      <w:pPr>
        <w:ind w:left="100" w:firstLine="741"/>
        <w:spacing w:after="0" w:line="244" w:lineRule="auto"/>
        <w:tabs>
          <w:tab w:leader="none" w:pos="139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Shares</w:t>
      </w:r>
      <w:r>
        <w:rPr>
          <w:rFonts w:ascii="Times New Roman" w:cs="Times New Roman" w:eastAsia="Times New Roman" w:hAnsi="Times New Roman"/>
          <w:sz w:val="18"/>
          <w:szCs w:val="18"/>
          <w:color w:val="auto"/>
        </w:rPr>
        <w:t>. After receiving a proper notice of exercise, the Company shall cause to be issued Shares (either in certificate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book entry form, as determined by the Company) as to which this option has been exercised, registered in the name of the person exercising this option (or in the names of such person and his or her spouse as community property or as joint tenants with right of survivorship). If the Optionee is a resident of the United States, the Optionee acknowledges that any securities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issued hereunder may be “restricted securities”, as such term is defined under Rule 144 under the Securities Act of 1933, as amended, (the “</w:t>
      </w:r>
      <w:r>
        <w:rPr>
          <w:rFonts w:ascii="Times New Roman" w:cs="Times New Roman" w:eastAsia="Times New Roman" w:hAnsi="Times New Roman"/>
          <w:sz w:val="18"/>
          <w:szCs w:val="18"/>
          <w:i w:val="1"/>
          <w:iCs w:val="1"/>
          <w:color w:val="auto"/>
        </w:rPr>
        <w:t>U.S. Securities Act</w:t>
      </w:r>
      <w:r>
        <w:rPr>
          <w:rFonts w:ascii="Times New Roman" w:cs="Times New Roman" w:eastAsia="Times New Roman" w:hAnsi="Times New Roman"/>
          <w:sz w:val="18"/>
          <w:szCs w:val="18"/>
          <w:color w:val="auto"/>
        </w:rPr>
        <w:t>”) and the Optionee agrees that if it decides to offer, sell or otherwise transfer, pledge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Updated July 2022</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85" w:right="579" w:bottom="1440" w:gutter="0" w:footer="0" w:header="0"/>
        </w:sectPr>
      </w:pPr>
    </w:p>
    <w:bookmarkStart w:id="47" w:name="page48"/>
    <w:bookmarkEnd w:id="47"/>
    <w:p>
      <w:pPr>
        <w:jc w:val="both"/>
        <w:ind w:left="100" w:right="280"/>
        <w:spacing w:after="0" w:line="250" w:lineRule="auto"/>
        <w:rPr>
          <w:sz w:val="20"/>
          <w:szCs w:val="20"/>
          <w:color w:val="auto"/>
        </w:rPr>
      </w:pPr>
      <w:r>
        <w:rPr>
          <w:rFonts w:ascii="Times New Roman" w:cs="Times New Roman" w:eastAsia="Times New Roman" w:hAnsi="Times New Roman"/>
          <w:sz w:val="18"/>
          <w:szCs w:val="18"/>
          <w:color w:val="auto"/>
        </w:rPr>
        <w:t>hypothecate all or any part of the Securities, it will not offer, sell or otherwise transfer, pledge or hypothecate any or any part of the Securities other than pursuant to an effective registration statement under the U.S. Securities Act or pursuant to an exception to any applicable restrictions imposed thereby, directly or indirectly. Participant further, acknowledges that, if the Securities are not registered pursuant to a valid registration statement, a legend to the foregoing effect will be affixed to any certificates representing the Securities.</w:t>
      </w:r>
    </w:p>
    <w:p>
      <w:pPr>
        <w:spacing w:after="0" w:line="173" w:lineRule="exact"/>
        <w:rPr>
          <w:sz w:val="20"/>
          <w:szCs w:val="20"/>
          <w:color w:val="auto"/>
        </w:rPr>
      </w:pPr>
    </w:p>
    <w:p>
      <w:pPr>
        <w:ind w:left="100" w:firstLine="741"/>
        <w:spacing w:after="0" w:line="241" w:lineRule="auto"/>
        <w:tabs>
          <w:tab w:leader="none" w:pos="139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 Optionee hereby agrees to make adequate provision for any sums required to satisfy the applicable federal, state, local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employment, social insurance, payroll, income or other tax withholding obligations (the “</w:t>
      </w:r>
      <w:r>
        <w:rPr>
          <w:rFonts w:ascii="Times New Roman" w:cs="Times New Roman" w:eastAsia="Times New Roman" w:hAnsi="Times New Roman"/>
          <w:sz w:val="18"/>
          <w:szCs w:val="18"/>
          <w:i w:val="1"/>
          <w:iCs w:val="1"/>
          <w:color w:val="auto"/>
        </w:rPr>
        <w:t>Withholding Obligations</w:t>
      </w:r>
      <w:r>
        <w:rPr>
          <w:rFonts w:ascii="Times New Roman" w:cs="Times New Roman" w:eastAsia="Times New Roman" w:hAnsi="Times New Roman"/>
          <w:sz w:val="18"/>
          <w:szCs w:val="18"/>
          <w:color w:val="auto"/>
        </w:rPr>
        <w:t>”) that arise in connection with this Agreement, the option, the exercise of the option or any portion thereof and the sale of any Securities acquired pursuant to the exercise of the option or any portion thereof. The Company may establish procedures to ensure satisfaction of all applicable Withholding Obligations arising in connection with this Agreement, including any means permitted in Section 8 of the Plan. The Optionee hereby authorizes the Company, at its sole discretion and subject to any limitations under applicable law, to satisfy any such Tax Obligations by (1) withholding a portion of the Securities otherwise to be issued pursuant to the exercise of the option (or any portion thereof) having a value equal to the amount of Withholding Obligation in accordance with such rules as the Company may from time to time establish; (2) withholding from the wages and other cash compensation payable to the Optionee or by causing the Optionee to tender a cash payment or other Securities to the Company; or (3) selling on the Optionee’s behalf (using any brokerage firm determined acceptable to the Company for such purpose) a portion of the Securities issued in connection with the exercise of the option (or any portion thereof) as the Company determines to be appropriate to generate cash proceeds sufficient to satisfy the Withholding Obligations. The Optionee shall be responsible for all brokerage fees and other costs of sale, and the Optionee further agrees to indemnify and hold the Company harmless from any losses, costs, damages or expenses relating to any such sale. The Company may refuse to deliver Securities if the Optionee fails to comply with the Optionee’s obligations in connection with the Withholding Obligations described in this paragraph. The Optionee agrees to pay to the Company or its applicable Affiliate, any amount of Withholding Obligations that the Company or its applicable Affiliate may be required to withhold or account for as a result of Optionee’s participation in the Plan that cannot be satisfied by the means described in this Agreement. The Company may refuse to issue or deliver the Shares, cash or the proceeds of the sale of Shares, if the Optionee fails to comply with the Optionee’s obligations in connection with the Withholding Obligations.</w:t>
      </w:r>
    </w:p>
    <w:p>
      <w:pPr>
        <w:spacing w:after="0" w:line="1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5. PAYMENT FOR STOCK.</w:t>
      </w:r>
    </w:p>
    <w:p>
      <w:pPr>
        <w:spacing w:after="0" w:line="212" w:lineRule="exact"/>
        <w:rPr>
          <w:sz w:val="20"/>
          <w:szCs w:val="20"/>
          <w:color w:val="auto"/>
        </w:rPr>
      </w:pPr>
    </w:p>
    <w:p>
      <w:pPr>
        <w:ind w:left="100" w:right="480" w:firstLine="741"/>
        <w:spacing w:after="0" w:line="271" w:lineRule="auto"/>
        <w:tabs>
          <w:tab w:leader="none" w:pos="1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All or part of the Purchase Price may be paid in cash or cash equivalents, as permitted by the Company’s share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procedures.</w:t>
      </w:r>
    </w:p>
    <w:p>
      <w:pPr>
        <w:spacing w:after="0" w:line="153" w:lineRule="exact"/>
        <w:rPr>
          <w:rFonts w:ascii="Times New Roman" w:cs="Times New Roman" w:eastAsia="Times New Roman" w:hAnsi="Times New Roman"/>
          <w:sz w:val="18"/>
          <w:szCs w:val="18"/>
          <w:color w:val="auto"/>
        </w:rPr>
      </w:pPr>
    </w:p>
    <w:p>
      <w:pPr>
        <w:ind w:left="100" w:right="20" w:firstLine="741"/>
        <w:spacing w:after="0" w:line="247" w:lineRule="auto"/>
        <w:tabs>
          <w:tab w:leader="none" w:pos="1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Surrender of Stock</w:t>
      </w:r>
      <w:r>
        <w:rPr>
          <w:rFonts w:ascii="Times New Roman" w:cs="Times New Roman" w:eastAsia="Times New Roman" w:hAnsi="Times New Roman"/>
          <w:sz w:val="18"/>
          <w:szCs w:val="18"/>
          <w:color w:val="auto"/>
        </w:rPr>
        <w:t>. Subject to applicable corporate and securities laws, and stock exchange requirements, all or any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Price may be paid by surrendering, or attesting to the ownership of, Shares that are already owned by the Optionee. Such Shares shall be surrendered to the Company in good form for cancellation and shall be valued at their Fair Market Value on the date when this option is exercised. The Optionee shall not surrender, or attest to the ownership of, Shares in payment of the Purchase Price if such action would cause the Company to recognize compensation expense (or additional compensation expense) with respect to this option for financial reporting purposes.</w:t>
      </w:r>
    </w:p>
    <w:p>
      <w:pPr>
        <w:spacing w:after="0" w:line="176" w:lineRule="exact"/>
        <w:rPr>
          <w:rFonts w:ascii="Times New Roman" w:cs="Times New Roman" w:eastAsia="Times New Roman" w:hAnsi="Times New Roman"/>
          <w:sz w:val="18"/>
          <w:szCs w:val="18"/>
          <w:color w:val="auto"/>
        </w:rPr>
      </w:pPr>
    </w:p>
    <w:p>
      <w:pPr>
        <w:jc w:val="both"/>
        <w:ind w:left="100" w:right="440" w:firstLine="741"/>
        <w:spacing w:after="0" w:line="260" w:lineRule="auto"/>
        <w:tabs>
          <w:tab w:leader="none" w:pos="1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Exercise/Sale</w:t>
      </w:r>
      <w:r>
        <w:rPr>
          <w:rFonts w:ascii="Times New Roman" w:cs="Times New Roman" w:eastAsia="Times New Roman" w:hAnsi="Times New Roman"/>
          <w:sz w:val="18"/>
          <w:szCs w:val="18"/>
          <w:color w:val="auto"/>
        </w:rPr>
        <w:t>. If Shares are publicly traded, all or part of the Purchase Price and any withholding taxes may be paid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(on a form prescribed by the Company) of an irrevocable direction to a securities broker approved by the Company to sell Shares and to deliver all or part of the sales proceeds to the Company.</w:t>
      </w:r>
    </w:p>
    <w:p>
      <w:pPr>
        <w:spacing w:after="0" w:line="164" w:lineRule="exact"/>
        <w:rPr>
          <w:rFonts w:ascii="Times New Roman" w:cs="Times New Roman" w:eastAsia="Times New Roman" w:hAnsi="Times New Roman"/>
          <w:sz w:val="18"/>
          <w:szCs w:val="18"/>
          <w:color w:val="auto"/>
        </w:rPr>
      </w:pPr>
    </w:p>
    <w:p>
      <w:pPr>
        <w:jc w:val="both"/>
        <w:ind w:left="100" w:right="160" w:firstLine="741"/>
        <w:spacing w:after="0" w:line="252" w:lineRule="auto"/>
        <w:tabs>
          <w:tab w:leader="none" w:pos="1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Exercise</w:t>
      </w:r>
      <w:r>
        <w:rPr>
          <w:rFonts w:ascii="Times New Roman" w:cs="Times New Roman" w:eastAsia="Times New Roman" w:hAnsi="Times New Roman"/>
          <w:sz w:val="18"/>
          <w:szCs w:val="18"/>
          <w:color w:val="auto"/>
        </w:rPr>
        <w:t>. The Company may, in its discretion, permit an Option to be exercised by delivering to the Optionee a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having an aggregate Fair Market Value (determined as of the date of exercise) equal to the excess, if positive, of the Fair Market Value of the Shares underlying the Option being exercised on the date of exercise, over the Purchase Price of the Option for such Shares.</w:t>
      </w:r>
    </w:p>
    <w:p>
      <w:pPr>
        <w:spacing w:after="0" w:line="1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6. TERM AND EXPIRATION.</w:t>
      </w:r>
    </w:p>
    <w:p>
      <w:pPr>
        <w:spacing w:after="0" w:line="212" w:lineRule="exact"/>
        <w:rPr>
          <w:sz w:val="20"/>
          <w:szCs w:val="20"/>
          <w:color w:val="auto"/>
        </w:rPr>
      </w:pPr>
    </w:p>
    <w:p>
      <w:pPr>
        <w:ind w:left="100" w:right="80" w:firstLine="741"/>
        <w:spacing w:after="0" w:line="253" w:lineRule="auto"/>
        <w:tabs>
          <w:tab w:leader="none" w:pos="158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Basic Term</w:t>
      </w:r>
      <w:r>
        <w:rPr>
          <w:rFonts w:ascii="Times New Roman" w:cs="Times New Roman" w:eastAsia="Times New Roman" w:hAnsi="Times New Roman"/>
          <w:sz w:val="18"/>
          <w:szCs w:val="18"/>
          <w:color w:val="auto"/>
        </w:rPr>
        <w:t>. This option shall in any event expire on the expiration date set forth in the Notice of Stock Option Grant, which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exceed seven years after the Date of Grant (five years after the Date of Grant if this option is designated as an ISO in the Notice of Stock Option Grant, and the Optionee is a 10% owner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Updated July 2022</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59690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21" w:right="579" w:bottom="1440" w:gutter="0" w:footer="0" w:header="0"/>
        </w:sectPr>
      </w:pPr>
    </w:p>
    <w:bookmarkStart w:id="48" w:name="page49"/>
    <w:bookmarkEnd w:id="48"/>
    <w:p>
      <w:pPr>
        <w:ind w:left="100"/>
        <w:spacing w:after="0"/>
        <w:rPr>
          <w:sz w:val="20"/>
          <w:szCs w:val="20"/>
          <w:color w:val="auto"/>
        </w:rPr>
      </w:pPr>
      <w:r>
        <w:rPr>
          <w:rFonts w:ascii="Times New Roman" w:cs="Times New Roman" w:eastAsia="Times New Roman" w:hAnsi="Times New Roman"/>
          <w:sz w:val="18"/>
          <w:szCs w:val="18"/>
          <w:color w:val="auto"/>
        </w:rPr>
        <w:t>as described in Section 6 of the Plan).</w:t>
      </w:r>
    </w:p>
    <w:p>
      <w:pPr>
        <w:spacing w:after="0" w:line="208" w:lineRule="exact"/>
        <w:rPr>
          <w:sz w:val="20"/>
          <w:szCs w:val="20"/>
          <w:color w:val="auto"/>
        </w:rPr>
      </w:pPr>
    </w:p>
    <w:p>
      <w:pPr>
        <w:ind w:left="100" w:right="200" w:firstLine="741"/>
        <w:spacing w:after="0" w:line="271" w:lineRule="auto"/>
        <w:tabs>
          <w:tab w:leader="none" w:pos="158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Service (Except by Death)</w:t>
      </w:r>
      <w:r>
        <w:rPr>
          <w:rFonts w:ascii="Times New Roman" w:cs="Times New Roman" w:eastAsia="Times New Roman" w:hAnsi="Times New Roman"/>
          <w:sz w:val="18"/>
          <w:szCs w:val="18"/>
          <w:color w:val="auto"/>
        </w:rPr>
        <w:t>. If the Optionee’s service terminates prior to the expirary date of Optionee’s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if applicable, for any reason other than death, then this option shall expire on the earliest of the following occasions:</w:t>
      </w:r>
    </w:p>
    <w:p>
      <w:pPr>
        <w:spacing w:after="0" w:line="157" w:lineRule="exact"/>
        <w:rPr>
          <w:rFonts w:ascii="Times New Roman" w:cs="Times New Roman" w:eastAsia="Times New Roman" w:hAnsi="Times New Roman"/>
          <w:sz w:val="18"/>
          <w:szCs w:val="18"/>
          <w:color w:val="auto"/>
        </w:rPr>
      </w:pPr>
    </w:p>
    <w:p>
      <w:pPr>
        <w:ind w:left="2340" w:hanging="752"/>
        <w:spacing w:after="0"/>
        <w:tabs>
          <w:tab w:leader="none" w:pos="23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(a) above;</w:t>
      </w:r>
    </w:p>
    <w:p>
      <w:pPr>
        <w:spacing w:after="0" w:line="211" w:lineRule="exact"/>
        <w:rPr>
          <w:rFonts w:ascii="Times New Roman" w:cs="Times New Roman" w:eastAsia="Times New Roman" w:hAnsi="Times New Roman"/>
          <w:sz w:val="18"/>
          <w:szCs w:val="18"/>
          <w:color w:val="auto"/>
        </w:rPr>
      </w:pPr>
    </w:p>
    <w:p>
      <w:pPr>
        <w:ind w:left="2340" w:hanging="750"/>
        <w:spacing w:after="0"/>
        <w:tabs>
          <w:tab w:leader="none" w:pos="23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three months after the termination of the Optionee’s service for any reason other than Cause; or</w:t>
      </w:r>
    </w:p>
    <w:p>
      <w:pPr>
        <w:spacing w:after="0" w:line="225" w:lineRule="exact"/>
        <w:rPr>
          <w:rFonts w:ascii="Times New Roman" w:cs="Times New Roman" w:eastAsia="Times New Roman" w:hAnsi="Times New Roman"/>
          <w:sz w:val="18"/>
          <w:szCs w:val="18"/>
          <w:color w:val="auto"/>
        </w:rPr>
      </w:pPr>
    </w:p>
    <w:p>
      <w:pPr>
        <w:ind w:left="2340" w:hanging="752"/>
        <w:spacing w:after="0"/>
        <w:tabs>
          <w:tab w:leader="none" w:pos="23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termination of the Optionee’s service for Cause.</w:t>
      </w:r>
    </w:p>
    <w:p>
      <w:pPr>
        <w:spacing w:after="0" w:line="212" w:lineRule="exact"/>
        <w:rPr>
          <w:sz w:val="20"/>
          <w:szCs w:val="20"/>
          <w:color w:val="auto"/>
        </w:rPr>
      </w:pPr>
    </w:p>
    <w:p>
      <w:pPr>
        <w:jc w:val="both"/>
        <w:ind w:left="100" w:firstLine="749"/>
        <w:spacing w:after="0" w:line="247" w:lineRule="auto"/>
        <w:rPr>
          <w:sz w:val="20"/>
          <w:szCs w:val="20"/>
          <w:color w:val="auto"/>
        </w:rPr>
      </w:pPr>
      <w:r>
        <w:rPr>
          <w:rFonts w:ascii="Times New Roman" w:cs="Times New Roman" w:eastAsia="Times New Roman" w:hAnsi="Times New Roman"/>
          <w:sz w:val="18"/>
          <w:szCs w:val="18"/>
          <w:color w:val="auto"/>
        </w:rPr>
        <w:t>The Optionee may exercise all or part of this option at any time before its expiration under the preceding sentence, but only to the extent that this option is then vested and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death. For avoidance of doubt, if the Optionee is employed by an Affiliate that is sold or otherwise ceases to be an Affiliate of the Company, the Optionee shall incur a termination of service.</w:t>
      </w:r>
    </w:p>
    <w:p>
      <w:pPr>
        <w:spacing w:after="0" w:line="176" w:lineRule="exact"/>
        <w:rPr>
          <w:sz w:val="20"/>
          <w:szCs w:val="20"/>
          <w:color w:val="auto"/>
        </w:rPr>
      </w:pPr>
    </w:p>
    <w:p>
      <w:pPr>
        <w:ind w:left="100" w:right="100" w:firstLine="741"/>
        <w:spacing w:after="0" w:line="271" w:lineRule="auto"/>
        <w:tabs>
          <w:tab w:leader="none" w:pos="158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Death of the Optionee</w:t>
      </w:r>
      <w:r>
        <w:rPr>
          <w:rFonts w:ascii="Times New Roman" w:cs="Times New Roman" w:eastAsia="Times New Roman" w:hAnsi="Times New Roman"/>
          <w:sz w:val="18"/>
          <w:szCs w:val="18"/>
          <w:color w:val="auto"/>
        </w:rPr>
        <w:t>. If the Optionee dies while in service, then any unvested portions of the option shall immediately vest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exercisable in full upon the date of death, and this option shall expire on the earlier of the following dates:</w:t>
      </w:r>
    </w:p>
    <w:p>
      <w:pPr>
        <w:spacing w:after="0" w:line="157" w:lineRule="exact"/>
        <w:rPr>
          <w:rFonts w:ascii="Times New Roman" w:cs="Times New Roman" w:eastAsia="Times New Roman" w:hAnsi="Times New Roman"/>
          <w:sz w:val="18"/>
          <w:szCs w:val="18"/>
          <w:color w:val="auto"/>
        </w:rPr>
      </w:pPr>
    </w:p>
    <w:p>
      <w:pPr>
        <w:ind w:left="2340" w:hanging="752"/>
        <w:spacing w:after="0"/>
        <w:tabs>
          <w:tab w:leader="none" w:pos="2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(a) above; or</w:t>
      </w:r>
    </w:p>
    <w:p>
      <w:pPr>
        <w:spacing w:after="0" w:line="211" w:lineRule="exact"/>
        <w:rPr>
          <w:rFonts w:ascii="Times New Roman" w:cs="Times New Roman" w:eastAsia="Times New Roman" w:hAnsi="Times New Roman"/>
          <w:sz w:val="18"/>
          <w:szCs w:val="18"/>
          <w:color w:val="auto"/>
        </w:rPr>
      </w:pPr>
    </w:p>
    <w:p>
      <w:pPr>
        <w:ind w:left="2340" w:hanging="752"/>
        <w:spacing w:after="0"/>
        <w:tabs>
          <w:tab w:leader="none" w:pos="2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12 months after the Optionee’s death.</w:t>
      </w:r>
    </w:p>
    <w:p>
      <w:pPr>
        <w:spacing w:after="0" w:line="225" w:lineRule="exact"/>
        <w:rPr>
          <w:sz w:val="20"/>
          <w:szCs w:val="20"/>
          <w:color w:val="auto"/>
        </w:rPr>
      </w:pPr>
    </w:p>
    <w:p>
      <w:pPr>
        <w:jc w:val="both"/>
        <w:ind w:left="100" w:right="160" w:firstLine="749"/>
        <w:spacing w:after="0" w:line="250" w:lineRule="auto"/>
        <w:rPr>
          <w:sz w:val="20"/>
          <w:szCs w:val="20"/>
          <w:color w:val="auto"/>
        </w:rPr>
      </w:pPr>
      <w:r>
        <w:rPr>
          <w:rFonts w:ascii="Times New Roman" w:cs="Times New Roman" w:eastAsia="Times New Roman" w:hAnsi="Times New Roman"/>
          <w:sz w:val="18"/>
          <w:szCs w:val="18"/>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the Optionee’s death.</w:t>
      </w:r>
    </w:p>
    <w:p>
      <w:pPr>
        <w:spacing w:after="0" w:line="186" w:lineRule="exact"/>
        <w:rPr>
          <w:sz w:val="20"/>
          <w:szCs w:val="20"/>
          <w:color w:val="auto"/>
        </w:rPr>
      </w:pPr>
    </w:p>
    <w:p>
      <w:pPr>
        <w:ind w:left="100" w:right="200" w:firstLine="741"/>
        <w:spacing w:after="0" w:line="252" w:lineRule="auto"/>
        <w:tabs>
          <w:tab w:leader="none" w:pos="158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Leaves of Absence</w:t>
      </w:r>
      <w:r>
        <w:rPr>
          <w:rFonts w:ascii="Times New Roman" w:cs="Times New Roman" w:eastAsia="Times New Roman" w:hAnsi="Times New Roman"/>
          <w:sz w:val="18"/>
          <w:szCs w:val="18"/>
          <w:color w:val="auto"/>
        </w:rPr>
        <w:t>. For any purpose under this Agreement, service shall be deemed to continue while the Optionee is on a bona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fide leave of absence, if such leave was approved by the Company in writing and if continued crediting of service for such purpose is expressly required by the terms of such leave or by applicable law (as determined by the Company).</w:t>
      </w:r>
    </w:p>
    <w:p>
      <w:pPr>
        <w:spacing w:after="0" w:line="1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7. ADJUSTMENT OF SHARES.</w:t>
      </w:r>
    </w:p>
    <w:p>
      <w:pPr>
        <w:spacing w:after="0" w:line="216" w:lineRule="exact"/>
        <w:rPr>
          <w:sz w:val="20"/>
          <w:szCs w:val="20"/>
          <w:color w:val="auto"/>
        </w:rPr>
      </w:pPr>
    </w:p>
    <w:p>
      <w:pPr>
        <w:jc w:val="both"/>
        <w:ind w:left="100" w:right="200" w:firstLine="749"/>
        <w:spacing w:after="0" w:line="258" w:lineRule="auto"/>
        <w:rPr>
          <w:sz w:val="20"/>
          <w:szCs w:val="20"/>
          <w:color w:val="auto"/>
        </w:rPr>
      </w:pPr>
      <w:r>
        <w:rPr>
          <w:rFonts w:ascii="Times New Roman" w:cs="Times New Roman" w:eastAsia="Times New Roman" w:hAnsi="Times New Roman"/>
          <w:sz w:val="18"/>
          <w:szCs w:val="18"/>
          <w:color w:val="auto"/>
        </w:rPr>
        <w:t>In the event of any transaction described in Section 4(c) of the Plan, the terms of this option (including, without limitation, the number and kind of Shares subject to this option and the Exercise Price) shall be adjusted as set forth in Section 4(c) of the Plan. In the event that the Company is a party to any corporate transaction, this option shall be subject to amendment as provided in Section 7(b) of the Plan.</w:t>
      </w:r>
    </w:p>
    <w:p>
      <w:pPr>
        <w:spacing w:after="0" w:line="1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8. MISCELLANEOUS PROVISIONS.</w:t>
      </w:r>
    </w:p>
    <w:p>
      <w:pPr>
        <w:spacing w:after="0" w:line="212" w:lineRule="exact"/>
        <w:rPr>
          <w:sz w:val="20"/>
          <w:szCs w:val="20"/>
          <w:color w:val="auto"/>
        </w:rPr>
      </w:pPr>
    </w:p>
    <w:p>
      <w:pPr>
        <w:ind w:left="100" w:right="380" w:firstLine="741"/>
        <w:spacing w:after="0" w:line="260" w:lineRule="auto"/>
        <w:tabs>
          <w:tab w:leader="none" w:pos="16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a Shareholder</w:t>
      </w:r>
      <w:r>
        <w:rPr>
          <w:rFonts w:ascii="Times New Roman" w:cs="Times New Roman" w:eastAsia="Times New Roman" w:hAnsi="Times New Roman"/>
          <w:sz w:val="18"/>
          <w:szCs w:val="18"/>
          <w:color w:val="auto"/>
        </w:rPr>
        <w:t>. Neither the Optionee nor the Optionee’s representative shall have any rights as a shareholder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Shares subject to this option until the Optionee or the Optionee’s representative becomes entitled to receive such Shares by filing a notice of exercise and paying the Purchase Price pursuant to Sections 4 and 5 of this Agreement.</w:t>
      </w:r>
    </w:p>
    <w:p>
      <w:pPr>
        <w:spacing w:after="0" w:line="150" w:lineRule="exact"/>
        <w:rPr>
          <w:rFonts w:ascii="Times New Roman" w:cs="Times New Roman" w:eastAsia="Times New Roman" w:hAnsi="Times New Roman"/>
          <w:sz w:val="18"/>
          <w:szCs w:val="18"/>
          <w:color w:val="auto"/>
        </w:rPr>
      </w:pPr>
    </w:p>
    <w:p>
      <w:pPr>
        <w:ind w:left="100" w:right="120" w:firstLine="741"/>
        <w:spacing w:after="0" w:line="253" w:lineRule="auto"/>
        <w:tabs>
          <w:tab w:leader="none" w:pos="16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Matters</w:t>
      </w:r>
      <w:r>
        <w:rPr>
          <w:rFonts w:ascii="Times New Roman" w:cs="Times New Roman" w:eastAsia="Times New Roman" w:hAnsi="Times New Roman"/>
          <w:sz w:val="18"/>
          <w:szCs w:val="18"/>
          <w:color w:val="auto"/>
        </w:rPr>
        <w:t>. The Company may require from the Optionee such investment representation, undertaking or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as the Company may consider necessary in order to comply with applicable laws and policies of any applicable exchange. The Optionee understands and acknowledges that Shares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Updated July 2022</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59690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21" w:right="539" w:bottom="1440" w:gutter="0" w:footer="0" w:header="0"/>
        </w:sectPr>
      </w:pPr>
    </w:p>
    <w:bookmarkStart w:id="49" w:name="page50"/>
    <w:bookmarkEnd w:id="49"/>
    <w:p>
      <w:pPr>
        <w:ind w:left="100" w:right="120"/>
        <w:spacing w:after="0" w:line="266" w:lineRule="auto"/>
        <w:rPr>
          <w:sz w:val="20"/>
          <w:szCs w:val="20"/>
          <w:color w:val="auto"/>
        </w:rPr>
      </w:pPr>
      <w:r>
        <w:rPr>
          <w:rFonts w:ascii="Times New Roman" w:cs="Times New Roman" w:eastAsia="Times New Roman" w:hAnsi="Times New Roman"/>
          <w:sz w:val="18"/>
          <w:szCs w:val="18"/>
          <w:color w:val="auto"/>
        </w:rPr>
        <w:t>to be issued upon exercise of this option may be issued subject to any restrictive legend or other transfer restrictions as may be required by applicable securities laws and stock exchange requirements.</w:t>
      </w:r>
    </w:p>
    <w:p>
      <w:pPr>
        <w:spacing w:after="0" w:line="158" w:lineRule="exact"/>
        <w:rPr>
          <w:sz w:val="20"/>
          <w:szCs w:val="20"/>
          <w:color w:val="auto"/>
        </w:rPr>
      </w:pPr>
    </w:p>
    <w:p>
      <w:pPr>
        <w:ind w:left="100" w:right="60" w:firstLine="741"/>
        <w:spacing w:after="0" w:line="252" w:lineRule="auto"/>
        <w:tabs>
          <w:tab w:leader="none" w:pos="1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this option or in the Plan shall confer upon the Optionee any right to continue in service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period of specific duration or interfere with or otherwise restrict in any way the rights of the Company (or any Affiliate employing or retaining the Optionee) or of the Optionee, which rights are hereby expressly reserved by each, to terminate his or her service at any time and for any reason, with or without Cause.</w:t>
      </w:r>
    </w:p>
    <w:p>
      <w:pPr>
        <w:spacing w:after="0" w:line="170" w:lineRule="exact"/>
        <w:rPr>
          <w:rFonts w:ascii="Times New Roman" w:cs="Times New Roman" w:eastAsia="Times New Roman" w:hAnsi="Times New Roman"/>
          <w:sz w:val="18"/>
          <w:szCs w:val="18"/>
          <w:color w:val="auto"/>
        </w:rPr>
      </w:pPr>
    </w:p>
    <w:p>
      <w:pPr>
        <w:ind w:left="100" w:firstLine="741"/>
        <w:spacing w:after="0" w:line="247" w:lineRule="auto"/>
        <w:tabs>
          <w:tab w:leader="none" w:pos="139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Any notice required by the terms of this Agreement shall be given in writing and notice to the Company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upon receipt by the Company (i) upon personal delivery, (ii) through registered or certified mail with postage and fees prepaid; or (iii) through electronic notification using a form and process approved by the Company. If mailed or delivered, notice to the Company shall be addressed to the Company at its principal executive office and notice to the Optionee shall be addressed to the address that he or she most recently provided to the Company.</w:t>
      </w:r>
    </w:p>
    <w:p>
      <w:pPr>
        <w:spacing w:after="0" w:line="176" w:lineRule="exact"/>
        <w:rPr>
          <w:rFonts w:ascii="Times New Roman" w:cs="Times New Roman" w:eastAsia="Times New Roman" w:hAnsi="Times New Roman"/>
          <w:sz w:val="18"/>
          <w:szCs w:val="18"/>
          <w:color w:val="auto"/>
        </w:rPr>
      </w:pPr>
    </w:p>
    <w:p>
      <w:pPr>
        <w:ind w:left="100" w:right="20" w:firstLine="741"/>
        <w:spacing w:after="0" w:line="260" w:lineRule="auto"/>
        <w:tabs>
          <w:tab w:leader="none" w:pos="139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Notice of Stock Option Grant, this Agreement and the Plan constitute the entire contract between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with regard to the subject matter hereof. They supersede any other agreements, representations or understandings (whether oral or written and whether express or implied) which relate to the subject matter hereof.</w:t>
      </w:r>
    </w:p>
    <w:p>
      <w:pPr>
        <w:spacing w:after="0" w:line="164" w:lineRule="exact"/>
        <w:rPr>
          <w:rFonts w:ascii="Times New Roman" w:cs="Times New Roman" w:eastAsia="Times New Roman" w:hAnsi="Times New Roman"/>
          <w:sz w:val="18"/>
          <w:szCs w:val="18"/>
          <w:color w:val="auto"/>
        </w:rPr>
      </w:pPr>
    </w:p>
    <w:p>
      <w:pPr>
        <w:ind w:left="100" w:right="120" w:firstLine="741"/>
        <w:spacing w:after="0" w:line="271" w:lineRule="auto"/>
        <w:tabs>
          <w:tab w:leader="none" w:pos="139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Delaware,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are applied to contracts entered into and performed in such State.</w:t>
      </w:r>
    </w:p>
    <w:p>
      <w:pPr>
        <w:spacing w:after="0" w:line="153" w:lineRule="exact"/>
        <w:rPr>
          <w:rFonts w:ascii="Times New Roman" w:cs="Times New Roman" w:eastAsia="Times New Roman" w:hAnsi="Times New Roman"/>
          <w:sz w:val="18"/>
          <w:szCs w:val="18"/>
          <w:color w:val="auto"/>
        </w:rPr>
      </w:pPr>
    </w:p>
    <w:p>
      <w:pPr>
        <w:ind w:left="100" w:right="100" w:firstLine="741"/>
        <w:spacing w:after="0" w:line="247" w:lineRule="auto"/>
        <w:tabs>
          <w:tab w:leader="none" w:pos="139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Insider Trading / Market Abuse Laws</w:t>
      </w:r>
      <w:r>
        <w:rPr>
          <w:rFonts w:ascii="Times New Roman" w:cs="Times New Roman" w:eastAsia="Times New Roman" w:hAnsi="Times New Roman"/>
          <w:sz w:val="18"/>
          <w:szCs w:val="18"/>
          <w:color w:val="auto"/>
        </w:rPr>
        <w:t>. By participating in the Plan, the Optionee agrees to comply with the Company’s policy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as in effect at any given time. The Optionee further acknowledges that the Optionee may be subject to local insider trading and/or market abuse laws and regulations that are separate from and in addition to any restrictions that may be imposed under any applicable Company insider trading policy. The Optionee acknowledges that it is the Optionee’s personal responsibility to comply with any applicable restrictions, and that the Optionee should consult the Optionee’s personal advisor on this matter.</w:t>
      </w:r>
    </w:p>
    <w:p>
      <w:pPr>
        <w:spacing w:after="0" w:line="176" w:lineRule="exact"/>
        <w:rPr>
          <w:rFonts w:ascii="Times New Roman" w:cs="Times New Roman" w:eastAsia="Times New Roman" w:hAnsi="Times New Roman"/>
          <w:sz w:val="18"/>
          <w:szCs w:val="18"/>
          <w:color w:val="auto"/>
        </w:rPr>
      </w:pPr>
    </w:p>
    <w:p>
      <w:pPr>
        <w:ind w:left="100" w:right="20" w:firstLine="741"/>
        <w:spacing w:after="0" w:line="245" w:lineRule="auto"/>
        <w:tabs>
          <w:tab w:leader="none" w:pos="139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The Company may, in its sole discretion, deliver by electronic means any documents related to the option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Optionee’s future participation in the Plan. The Optionee hereby consents to receive such documents by electronic delivery and agrees to participate in the Plan through an on-line or electronic system established and maintained by the Company or a third party designated by the Company. To the extent that this Agreement is manually signed, instead of electronically accepted by the Optionee (if permitted by the Company), it may be signed in counterparts, each of which shall be deemed an original, with the same effect as if the signatures thereto and hereto were upon the same instrument.</w:t>
      </w:r>
    </w:p>
    <w:p>
      <w:pPr>
        <w:spacing w:after="0" w:line="176" w:lineRule="exact"/>
        <w:rPr>
          <w:rFonts w:ascii="Times New Roman" w:cs="Times New Roman" w:eastAsia="Times New Roman" w:hAnsi="Times New Roman"/>
          <w:sz w:val="18"/>
          <w:szCs w:val="18"/>
          <w:color w:val="auto"/>
        </w:rPr>
      </w:pPr>
    </w:p>
    <w:p>
      <w:pPr>
        <w:ind w:left="100" w:right="40" w:firstLine="741"/>
        <w:spacing w:after="0" w:line="262" w:lineRule="auto"/>
        <w:tabs>
          <w:tab w:leader="none" w:pos="139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Legend on Certificates. </w:t>
      </w:r>
      <w:r>
        <w:rPr>
          <w:rFonts w:ascii="Times New Roman" w:cs="Times New Roman" w:eastAsia="Times New Roman" w:hAnsi="Times New Roman"/>
          <w:sz w:val="17"/>
          <w:szCs w:val="17"/>
          <w:color w:val="auto"/>
        </w:rPr>
        <w:t>Any Shares issued or transferred to the Optionee pursuant to this Agreement shall be subject to such stop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 orders and other restrictions as the Board of Directors of the Company or the Compensation Committee thereof may deem advisable under the Plan or the rules, regulations, and other requirements of the U.S. Securities and Exchange Commission, the British Columbia Securities Commission, or any other applicable regulator, or any stock exchange upon which such Shares are listed, any applicable Canadian Federal or provincial, or U.S. Federal or state laws or relevant securities laws of the jurisdiction of the domicile of the Optionee or to ensure compliance with any additional transfer restrictions that may be in effect from time to time, and the Board of Directors of the Company or the Compensation Committee thereof may cause a legend or legends to be put on any certificates representing such Shares to make appropriate reference to such restrictions.</w:t>
      </w:r>
    </w:p>
    <w:p>
      <w:pPr>
        <w:spacing w:after="0" w:line="153" w:lineRule="exact"/>
        <w:rPr>
          <w:rFonts w:ascii="Times New Roman" w:cs="Times New Roman" w:eastAsia="Times New Roman" w:hAnsi="Times New Roman"/>
          <w:sz w:val="17"/>
          <w:szCs w:val="17"/>
          <w:color w:val="auto"/>
        </w:rPr>
      </w:pPr>
    </w:p>
    <w:p>
      <w:pPr>
        <w:ind w:left="100" w:right="540" w:firstLine="741"/>
        <w:spacing w:after="0" w:line="286" w:lineRule="auto"/>
        <w:tabs>
          <w:tab w:leader="none" w:pos="139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Rights of a Shareholder. </w:t>
      </w:r>
      <w:r>
        <w:rPr>
          <w:rFonts w:ascii="Times New Roman" w:cs="Times New Roman" w:eastAsia="Times New Roman" w:hAnsi="Times New Roman"/>
          <w:sz w:val="18"/>
          <w:szCs w:val="18"/>
          <w:color w:val="auto"/>
        </w:rPr>
        <w:t>The Optionee pant shall not have any rights as a shareholder of the Company until the Shares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question have been registered in the Company’s register of shareholders.</w:t>
      </w:r>
    </w:p>
    <w:p>
      <w:pPr>
        <w:spacing w:after="0" w:line="127" w:lineRule="exact"/>
        <w:rPr>
          <w:rFonts w:ascii="Times New Roman" w:cs="Times New Roman" w:eastAsia="Times New Roman" w:hAnsi="Times New Roman"/>
          <w:sz w:val="18"/>
          <w:szCs w:val="18"/>
          <w:color w:val="auto"/>
        </w:rPr>
      </w:pPr>
    </w:p>
    <w:p>
      <w:pPr>
        <w:ind w:left="100" w:right="300" w:firstLine="741"/>
        <w:spacing w:after="0" w:line="263" w:lineRule="auto"/>
        <w:tabs>
          <w:tab w:leader="none" w:pos="139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Acknowledgement of Exchange Rate Risks</w:t>
      </w:r>
      <w:r>
        <w:rPr>
          <w:rFonts w:ascii="Times New Roman" w:cs="Times New Roman" w:eastAsia="Times New Roman" w:hAnsi="Times New Roman"/>
          <w:sz w:val="17"/>
          <w:szCs w:val="17"/>
          <w:color w:val="auto"/>
        </w:rPr>
        <w:t>. By accepting te award, the Optionee acknowledges that the Company has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authority to elect the U.S. Dollar or Canadian Dollar Exercise Price in its sole discretion, and that fluctuations in the exchange rate for U.S. Dollars and Canadian Dollars may impact the value of the Options pursuant to the exercise of the options or the subsequent sale of any Shares acquired in</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connection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Updated July 2022</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21" w:right="579" w:bottom="1440" w:gutter="0" w:footer="0" w:header="0"/>
        </w:sectPr>
      </w:pPr>
    </w:p>
    <w:bookmarkStart w:id="50" w:name="page51"/>
    <w:bookmarkEnd w:id="50"/>
    <w:p>
      <w:pPr>
        <w:jc w:val="both"/>
        <w:ind w:left="100" w:right="260"/>
        <w:spacing w:after="0" w:line="258" w:lineRule="auto"/>
        <w:rPr>
          <w:sz w:val="20"/>
          <w:szCs w:val="20"/>
          <w:color w:val="auto"/>
        </w:rPr>
      </w:pPr>
      <w:r>
        <w:rPr>
          <w:rFonts w:ascii="Times New Roman" w:cs="Times New Roman" w:eastAsia="Times New Roman" w:hAnsi="Times New Roman"/>
          <w:sz w:val="18"/>
          <w:szCs w:val="18"/>
          <w:color w:val="auto"/>
        </w:rPr>
        <w:t>therewith. The Optionee accepts all foreign exchange risk and understands that the Company shall have no liability with respect to any changes in the value of the options (including if the options have no value) due to currency fluctuations, and has no obligation to elect to administer the awards in any currency or the currency most favorable to the Optionee.</w:t>
      </w:r>
    </w:p>
    <w:p>
      <w:pPr>
        <w:spacing w:after="0" w:line="152" w:lineRule="exact"/>
        <w:rPr>
          <w:sz w:val="20"/>
          <w:szCs w:val="20"/>
          <w:color w:val="auto"/>
        </w:rPr>
      </w:pPr>
    </w:p>
    <w:p>
      <w:pPr>
        <w:ind w:left="100" w:right="360" w:firstLine="741"/>
        <w:spacing w:after="0" w:line="260" w:lineRule="auto"/>
        <w:tabs>
          <w:tab w:leader="none" w:pos="139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If the Optionee has been designated by the Company’s Board of Directors as a “Section 16 Officer” as of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the grant of the option to the Optionee hereunder is intended to be exempt from the provisions of Section 16(b) of the Securities Exchange Act of 1934, as amended from time to time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pursuant to Rule 16b-3 promulgated under the Exchange Act.</w:t>
      </w:r>
    </w:p>
    <w:p>
      <w:pPr>
        <w:spacing w:after="0" w:line="1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9. DEFINITIONS.</w:t>
      </w:r>
    </w:p>
    <w:p>
      <w:pPr>
        <w:spacing w:after="0" w:line="216" w:lineRule="exact"/>
        <w:rPr>
          <w:sz w:val="20"/>
          <w:szCs w:val="20"/>
          <w:color w:val="auto"/>
        </w:rPr>
      </w:pPr>
    </w:p>
    <w:p>
      <w:pPr>
        <w:ind w:left="100" w:right="800" w:firstLine="749"/>
        <w:spacing w:after="0" w:line="266" w:lineRule="auto"/>
        <w:rPr>
          <w:sz w:val="20"/>
          <w:szCs w:val="20"/>
          <w:color w:val="auto"/>
        </w:rPr>
      </w:pPr>
      <w:r>
        <w:rPr>
          <w:rFonts w:ascii="Times New Roman" w:cs="Times New Roman" w:eastAsia="Times New Roman" w:hAnsi="Times New Roman"/>
          <w:sz w:val="18"/>
          <w:szCs w:val="18"/>
          <w:color w:val="auto"/>
        </w:rPr>
        <w:t>In addition to the definitions set forth in the Plan, the following terms shall have the meanings ascribed herein (in the event a conflict exists, the meaning set forth in this Agreement shall prevail):</w:t>
      </w:r>
    </w:p>
    <w:p>
      <w:pPr>
        <w:spacing w:after="0" w:line="158" w:lineRule="exact"/>
        <w:rPr>
          <w:sz w:val="20"/>
          <w:szCs w:val="20"/>
          <w:color w:val="auto"/>
        </w:rPr>
      </w:pPr>
    </w:p>
    <w:p>
      <w:pPr>
        <w:ind w:left="1580" w:hanging="739"/>
        <w:spacing w:after="0"/>
        <w:tabs>
          <w:tab w:leader="none" w:pos="1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mean this Stock Option Agreement.</w:t>
      </w:r>
    </w:p>
    <w:p>
      <w:pPr>
        <w:spacing w:after="0" w:line="211" w:lineRule="exact"/>
        <w:rPr>
          <w:rFonts w:ascii="Times New Roman" w:cs="Times New Roman" w:eastAsia="Times New Roman" w:hAnsi="Times New Roman"/>
          <w:sz w:val="18"/>
          <w:szCs w:val="18"/>
          <w:color w:val="auto"/>
        </w:rPr>
      </w:pPr>
    </w:p>
    <w:p>
      <w:pPr>
        <w:ind w:left="100" w:right="320" w:firstLine="741"/>
        <w:spacing w:after="0" w:line="243" w:lineRule="auto"/>
        <w:tabs>
          <w:tab w:leader="none" w:pos="15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shall mean a (i) willful and repeated failure to perform duties or contravention in any material respect of specific written lawful directions related to a material duty or responsibility which is directed to be undertaken by the Board (other than due to physical or mental illness); (ii) conviction of guilty or </w:t>
      </w:r>
      <w:r>
        <w:rPr>
          <w:rFonts w:ascii="Times New Roman" w:cs="Times New Roman" w:eastAsia="Times New Roman" w:hAnsi="Times New Roman"/>
          <w:sz w:val="18"/>
          <w:szCs w:val="18"/>
          <w:i w:val="1"/>
          <w:iCs w:val="1"/>
          <w:color w:val="auto"/>
        </w:rPr>
        <w:t>nolo contendere plea</w:t>
      </w:r>
      <w:r>
        <w:rPr>
          <w:rFonts w:ascii="Times New Roman" w:cs="Times New Roman" w:eastAsia="Times New Roman" w:hAnsi="Times New Roman"/>
          <w:sz w:val="18"/>
          <w:szCs w:val="18"/>
          <w:color w:val="auto"/>
        </w:rPr>
        <w:t xml:space="preserve"> to, a misdemeanor which is materially and demonstrably injurious to the Company or any of its subsidiaries or any felony; (iii) commission of an act, or a failure to act, that constitutes fraud, gross negligence or willful misconduct (including without limitation, embezzlement, misappropriation or breach of fiduciary duty resulting or intending to result in personal gain at the expense of the Company or any of its subsidiaries); and (iv) violation of any applicable laws, rules or regulations or failure to comply with applicable confidentiality, non-solicitation and non-competition obligations to the Company or any of its subsidiaries, corporate code of business conduct or other material policies of the Company or any of its subsidiaries in connection with or during performance of the Optionee’s duties to the Company or any of its subsidiaries that could, in the Board’s opinion, cause material injury to the Company or any of its subsidiaries; and (v) failure to maintain applicable professional licenses or certifications. In the case of a violation or failure under (iv) or (v), if such violation or failure is curable, such violation or failure shall only constitute “Cause” if it is not cured within thirty (30) days after notice thereof to the Optionee.</w:t>
      </w:r>
    </w:p>
    <w:p>
      <w:pPr>
        <w:spacing w:after="0" w:line="178" w:lineRule="exact"/>
        <w:rPr>
          <w:rFonts w:ascii="Times New Roman" w:cs="Times New Roman" w:eastAsia="Times New Roman" w:hAnsi="Times New Roman"/>
          <w:sz w:val="18"/>
          <w:szCs w:val="18"/>
          <w:color w:val="auto"/>
        </w:rPr>
      </w:pPr>
    </w:p>
    <w:p>
      <w:pPr>
        <w:ind w:left="1580" w:hanging="739"/>
        <w:spacing w:after="0"/>
        <w:tabs>
          <w:tab w:leader="none" w:pos="1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mean:</w:t>
      </w:r>
    </w:p>
    <w:p>
      <w:pPr>
        <w:spacing w:after="0" w:line="215" w:lineRule="exact"/>
        <w:rPr>
          <w:rFonts w:ascii="Times New Roman" w:cs="Times New Roman" w:eastAsia="Times New Roman" w:hAnsi="Times New Roman"/>
          <w:sz w:val="18"/>
          <w:szCs w:val="18"/>
          <w:color w:val="auto"/>
        </w:rPr>
      </w:pPr>
    </w:p>
    <w:p>
      <w:pPr>
        <w:ind w:left="2340" w:hanging="750"/>
        <w:spacing w:after="0" w:line="242" w:lineRule="auto"/>
        <w:tabs>
          <w:tab w:leader="none" w:pos="23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following events (each, a “Business Combination”): (a) the sale of more than 50% of the outstanding equity securities of the Company in a single transaction or in a series of transactions occurring during a period of not more than twelve months; (b) the Company is merged, amalgamated or consolidated with another corporation; or (c) a sale of substantially all of the assets of the Company to another entity, unless, following any of the foregoing Business Combinations in (a) through (c) above, all or substantially all of the individuals and entities that were the beneficial owners of the Company’s outstanding voting securities immediately prior to such Business Combination beneficially own immediately after the transaction or transactions, directly or indirectly, 50% or more of the combined voting power of the then outstanding voting securities (or comparable interests) of the entity resulting from such Business Combination (including an entity that, as a result of such transaction, owns the Company or all or substantially all of the Company’s assets either directly or through one or more Affiliates) in substantially the same proportions as their ownership of the Company’s voting securities immediately prior to such Business Combination; or</w:t>
      </w:r>
    </w:p>
    <w:p>
      <w:pPr>
        <w:spacing w:after="0" w:line="201" w:lineRule="exact"/>
        <w:rPr>
          <w:rFonts w:ascii="Times New Roman" w:cs="Times New Roman" w:eastAsia="Times New Roman" w:hAnsi="Times New Roman"/>
          <w:sz w:val="18"/>
          <w:szCs w:val="18"/>
          <w:color w:val="auto"/>
        </w:rPr>
      </w:pPr>
    </w:p>
    <w:p>
      <w:pPr>
        <w:ind w:left="2340" w:right="140" w:hanging="750"/>
        <w:spacing w:after="0" w:line="244" w:lineRule="auto"/>
        <w:tabs>
          <w:tab w:leader="none" w:pos="23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twelve (12) month period, the individuals who, as of the beginning of the 12-month period, constitute the Board of Directors (the “Incumbent Board”) cease for any reason to constitute at least a majority of the Board of Directors; provided, however, that any individual becoming a director subsequent to the Effective Date whose election or appointment, or nomination for election by Company’s shareholders, was approved by a vote of at least a majority of the</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directors then comprising the Incumbent Board will be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Updated July 2022</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59690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51" w:name="page52"/>
    <w:bookmarkEnd w:id="51"/>
    <w:p>
      <w:pPr>
        <w:ind w:left="2340"/>
        <w:spacing w:after="0" w:line="250" w:lineRule="auto"/>
        <w:rPr>
          <w:sz w:val="20"/>
          <w:szCs w:val="20"/>
          <w:color w:val="auto"/>
        </w:rPr>
      </w:pPr>
      <w:r>
        <w:rPr>
          <w:rFonts w:ascii="Times New Roman" w:cs="Times New Roman" w:eastAsia="Times New Roman" w:hAnsi="Times New Roman"/>
          <w:sz w:val="18"/>
          <w:szCs w:val="18"/>
          <w:color w:val="auto"/>
        </w:rPr>
        <w:t>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w:t>
      </w:r>
    </w:p>
    <w:p>
      <w:pPr>
        <w:spacing w:after="0" w:line="173" w:lineRule="exact"/>
        <w:rPr>
          <w:sz w:val="20"/>
          <w:szCs w:val="20"/>
          <w:color w:val="auto"/>
        </w:rPr>
      </w:pPr>
    </w:p>
    <w:p>
      <w:pPr>
        <w:ind w:left="1680" w:hanging="839"/>
        <w:spacing w:after="0"/>
        <w:tabs>
          <w:tab w:leader="none" w:pos="1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shall mean the date specified in the Notice of Stock Option Grant.</w:t>
      </w:r>
    </w:p>
    <w:p>
      <w:pPr>
        <w:spacing w:after="0" w:line="211" w:lineRule="exact"/>
        <w:rPr>
          <w:rFonts w:ascii="Times New Roman" w:cs="Times New Roman" w:eastAsia="Times New Roman" w:hAnsi="Times New Roman"/>
          <w:sz w:val="18"/>
          <w:szCs w:val="18"/>
          <w:color w:val="auto"/>
        </w:rPr>
      </w:pPr>
    </w:p>
    <w:p>
      <w:pPr>
        <w:ind w:left="100" w:right="120" w:firstLine="741"/>
        <w:spacing w:after="0" w:line="271" w:lineRule="auto"/>
        <w:tabs>
          <w:tab w:leader="none" w:pos="1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shall mean the amount for which one Share may be purchased upon exercise of this option, as specified in the Notice of Stock Option Grant.</w:t>
      </w:r>
    </w:p>
    <w:p>
      <w:pPr>
        <w:spacing w:after="0" w:line="153" w:lineRule="exact"/>
        <w:rPr>
          <w:rFonts w:ascii="Times New Roman" w:cs="Times New Roman" w:eastAsia="Times New Roman" w:hAnsi="Times New Roman"/>
          <w:sz w:val="18"/>
          <w:szCs w:val="18"/>
          <w:color w:val="auto"/>
        </w:rPr>
      </w:pPr>
    </w:p>
    <w:p>
      <w:pPr>
        <w:ind w:left="1680" w:hanging="839"/>
        <w:spacing w:after="0"/>
        <w:tabs>
          <w:tab w:leader="none" w:pos="1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Stock Option Grant</w:t>
      </w:r>
      <w:r>
        <w:rPr>
          <w:rFonts w:ascii="Times New Roman" w:cs="Times New Roman" w:eastAsia="Times New Roman" w:hAnsi="Times New Roman"/>
          <w:sz w:val="18"/>
          <w:szCs w:val="18"/>
          <w:color w:val="auto"/>
        </w:rPr>
        <w:t>” shall mean the document so entitled to which this Agreement is attached.</w:t>
      </w:r>
    </w:p>
    <w:p>
      <w:pPr>
        <w:spacing w:after="0" w:line="157" w:lineRule="exact"/>
        <w:rPr>
          <w:rFonts w:ascii="Times New Roman" w:cs="Times New Roman" w:eastAsia="Times New Roman" w:hAnsi="Times New Roman"/>
          <w:sz w:val="18"/>
          <w:szCs w:val="18"/>
          <w:color w:val="auto"/>
        </w:rPr>
      </w:pPr>
    </w:p>
    <w:p>
      <w:pPr>
        <w:ind w:left="1680" w:hanging="839"/>
        <w:spacing w:after="0"/>
        <w:tabs>
          <w:tab w:leader="none" w:pos="1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color w:val="auto"/>
        </w:rPr>
        <w:t>” shall mean the individual named in the Notice of Stock Option Grant.</w:t>
      </w:r>
    </w:p>
    <w:p>
      <w:pPr>
        <w:spacing w:after="0" w:line="373" w:lineRule="exact"/>
        <w:rPr>
          <w:rFonts w:ascii="Times New Roman" w:cs="Times New Roman" w:eastAsia="Times New Roman" w:hAnsi="Times New Roman"/>
          <w:sz w:val="18"/>
          <w:szCs w:val="18"/>
          <w:color w:val="auto"/>
        </w:rPr>
      </w:pPr>
    </w:p>
    <w:p>
      <w:pPr>
        <w:ind w:left="1680" w:hanging="839"/>
        <w:spacing w:after="0"/>
        <w:tabs>
          <w:tab w:leader="none" w:pos="1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shall mean the Exercise Price multiplied by the number of Shares with respect to which this option is being</w:t>
      </w:r>
    </w:p>
    <w:p>
      <w:pPr>
        <w:spacing w:after="0" w:line="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exercised.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Updated July 2022</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21" w:right="579" w:bottom="1440" w:gutter="0" w:footer="0" w:header="0"/>
        </w:sectPr>
      </w:pPr>
    </w:p>
    <w:bookmarkStart w:id="52" w:name="page53"/>
    <w:bookmarkEnd w:id="5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Kovler, certify that:</w:t>
      </w:r>
    </w:p>
    <w:p>
      <w:pPr>
        <w:spacing w:after="0" w:line="104" w:lineRule="exact"/>
        <w:rPr>
          <w:sz w:val="20"/>
          <w:szCs w:val="20"/>
          <w:color w:val="auto"/>
        </w:rPr>
      </w:pPr>
    </w:p>
    <w:p>
      <w:pPr>
        <w:ind w:left="1140" w:hanging="504"/>
        <w:spacing w:after="0"/>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Green Thumb Industries Inc.;</w:t>
      </w:r>
    </w:p>
    <w:p>
      <w:pPr>
        <w:spacing w:after="0" w:line="103" w:lineRule="exact"/>
        <w:rPr>
          <w:rFonts w:ascii="Times New Roman" w:cs="Times New Roman" w:eastAsia="Times New Roman" w:hAnsi="Times New Roman"/>
          <w:sz w:val="18"/>
          <w:szCs w:val="18"/>
          <w:color w:val="auto"/>
        </w:rPr>
      </w:pPr>
    </w:p>
    <w:p>
      <w:pPr>
        <w:ind w:left="1140" w:right="100" w:hanging="504"/>
        <w:spacing w:after="0" w:line="258"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1140" w:right="380" w:hanging="504"/>
        <w:spacing w:after="0" w:line="312" w:lineRule="auto"/>
        <w:tabs>
          <w:tab w:leader="none" w:pos="11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Times New Roman" w:cs="Times New Roman" w:eastAsia="Times New Roman" w:hAnsi="Times New Roman"/>
          <w:sz w:val="17"/>
          <w:szCs w:val="17"/>
          <w:color w:val="auto"/>
        </w:rPr>
      </w:pPr>
    </w:p>
    <w:p>
      <w:pPr>
        <w:ind w:left="1140" w:hanging="504"/>
        <w:spacing w:after="0" w:line="250"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2300" w:right="160" w:hanging="511"/>
        <w:spacing w:after="0" w:line="272" w:lineRule="auto"/>
        <w:tabs>
          <w:tab w:leader="none" w:pos="230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7"/>
          <w:szCs w:val="17"/>
          <w:color w:val="auto"/>
        </w:rPr>
      </w:pPr>
    </w:p>
    <w:p>
      <w:pPr>
        <w:ind w:left="2300" w:right="420" w:hanging="511"/>
        <w:spacing w:after="0" w:line="272" w:lineRule="auto"/>
        <w:tabs>
          <w:tab w:leader="none" w:pos="230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Times New Roman" w:cs="Times New Roman" w:eastAsia="Times New Roman" w:hAnsi="Times New Roman"/>
          <w:sz w:val="17"/>
          <w:szCs w:val="17"/>
          <w:color w:val="auto"/>
        </w:rPr>
      </w:pPr>
    </w:p>
    <w:p>
      <w:pPr>
        <w:ind w:left="2300" w:right="300" w:hanging="511"/>
        <w:spacing w:after="0" w:line="250" w:lineRule="auto"/>
        <w:tabs>
          <w:tab w:leader="none" w:pos="2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Times New Roman" w:cs="Times New Roman" w:eastAsia="Times New Roman" w:hAnsi="Times New Roman"/>
          <w:sz w:val="18"/>
          <w:szCs w:val="18"/>
          <w:color w:val="auto"/>
        </w:rPr>
      </w:pPr>
    </w:p>
    <w:p>
      <w:pPr>
        <w:ind w:left="2300" w:right="400" w:hanging="511"/>
        <w:spacing w:after="0" w:line="272" w:lineRule="auto"/>
        <w:tabs>
          <w:tab w:leader="none" w:pos="230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4" w:lineRule="exact"/>
        <w:rPr>
          <w:rFonts w:ascii="Times New Roman" w:cs="Times New Roman" w:eastAsia="Times New Roman" w:hAnsi="Times New Roman"/>
          <w:sz w:val="17"/>
          <w:szCs w:val="17"/>
          <w:color w:val="auto"/>
        </w:rPr>
      </w:pPr>
    </w:p>
    <w:p>
      <w:pPr>
        <w:ind w:left="1140" w:right="300" w:hanging="504"/>
        <w:spacing w:after="0" w:line="250"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300" w:right="260" w:hanging="511"/>
        <w:spacing w:after="0" w:line="258" w:lineRule="auto"/>
        <w:tabs>
          <w:tab w:leader="none" w:pos="2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Times New Roman" w:cs="Times New Roman" w:eastAsia="Times New Roman" w:hAnsi="Times New Roman"/>
          <w:sz w:val="18"/>
          <w:szCs w:val="18"/>
          <w:color w:val="auto"/>
        </w:rPr>
      </w:pPr>
    </w:p>
    <w:p>
      <w:pPr>
        <w:ind w:left="2300" w:right="640" w:hanging="511"/>
        <w:spacing w:after="0" w:line="282" w:lineRule="auto"/>
        <w:tabs>
          <w:tab w:leader="none" w:pos="2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Georgiadis, certify that:</w:t>
      </w:r>
    </w:p>
    <w:p>
      <w:pPr>
        <w:spacing w:after="0" w:line="104" w:lineRule="exact"/>
        <w:rPr>
          <w:sz w:val="20"/>
          <w:szCs w:val="20"/>
          <w:color w:val="auto"/>
        </w:rPr>
      </w:pPr>
    </w:p>
    <w:p>
      <w:pPr>
        <w:ind w:left="1140" w:hanging="504"/>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Green Thumb Industries Inc.;</w:t>
      </w:r>
    </w:p>
    <w:p>
      <w:pPr>
        <w:spacing w:after="0" w:line="103" w:lineRule="exact"/>
        <w:rPr>
          <w:rFonts w:ascii="Times New Roman" w:cs="Times New Roman" w:eastAsia="Times New Roman" w:hAnsi="Times New Roman"/>
          <w:sz w:val="18"/>
          <w:szCs w:val="18"/>
          <w:color w:val="auto"/>
        </w:rPr>
      </w:pPr>
    </w:p>
    <w:p>
      <w:pPr>
        <w:ind w:left="1140" w:right="100" w:hanging="504"/>
        <w:spacing w:after="0" w:line="258"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1140" w:right="380" w:hanging="504"/>
        <w:spacing w:after="0" w:line="312" w:lineRule="auto"/>
        <w:tabs>
          <w:tab w:leader="none" w:pos="11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Times New Roman" w:cs="Times New Roman" w:eastAsia="Times New Roman" w:hAnsi="Times New Roman"/>
          <w:sz w:val="17"/>
          <w:szCs w:val="17"/>
          <w:color w:val="auto"/>
        </w:rPr>
      </w:pPr>
    </w:p>
    <w:p>
      <w:pPr>
        <w:ind w:left="1140" w:hanging="504"/>
        <w:spacing w:after="0" w:line="250"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2300" w:right="160" w:hanging="511"/>
        <w:spacing w:after="0" w:line="272" w:lineRule="auto"/>
        <w:tabs>
          <w:tab w:leader="none" w:pos="230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7"/>
          <w:szCs w:val="17"/>
          <w:color w:val="auto"/>
        </w:rPr>
      </w:pPr>
    </w:p>
    <w:p>
      <w:pPr>
        <w:ind w:left="2300" w:right="420" w:hanging="511"/>
        <w:spacing w:after="0" w:line="272" w:lineRule="auto"/>
        <w:tabs>
          <w:tab w:leader="none" w:pos="230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Times New Roman" w:cs="Times New Roman" w:eastAsia="Times New Roman" w:hAnsi="Times New Roman"/>
          <w:sz w:val="17"/>
          <w:szCs w:val="17"/>
          <w:color w:val="auto"/>
        </w:rPr>
      </w:pPr>
    </w:p>
    <w:p>
      <w:pPr>
        <w:ind w:left="2300" w:right="300" w:hanging="511"/>
        <w:spacing w:after="0" w:line="250" w:lineRule="auto"/>
        <w:tabs>
          <w:tab w:leader="none" w:pos="2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Times New Roman" w:cs="Times New Roman" w:eastAsia="Times New Roman" w:hAnsi="Times New Roman"/>
          <w:sz w:val="18"/>
          <w:szCs w:val="18"/>
          <w:color w:val="auto"/>
        </w:rPr>
      </w:pPr>
    </w:p>
    <w:p>
      <w:pPr>
        <w:ind w:left="2300" w:right="400" w:hanging="511"/>
        <w:spacing w:after="0" w:line="272" w:lineRule="auto"/>
        <w:tabs>
          <w:tab w:leader="none" w:pos="230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4" w:lineRule="exact"/>
        <w:rPr>
          <w:rFonts w:ascii="Times New Roman" w:cs="Times New Roman" w:eastAsia="Times New Roman" w:hAnsi="Times New Roman"/>
          <w:sz w:val="17"/>
          <w:szCs w:val="17"/>
          <w:color w:val="auto"/>
        </w:rPr>
      </w:pPr>
    </w:p>
    <w:p>
      <w:pPr>
        <w:ind w:left="1140" w:right="300" w:hanging="504"/>
        <w:spacing w:after="0" w:line="250"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300" w:right="260" w:hanging="511"/>
        <w:spacing w:after="0" w:line="258" w:lineRule="auto"/>
        <w:tabs>
          <w:tab w:leader="none" w:pos="2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Times New Roman" w:cs="Times New Roman" w:eastAsia="Times New Roman" w:hAnsi="Times New Roman"/>
          <w:sz w:val="18"/>
          <w:szCs w:val="18"/>
          <w:color w:val="auto"/>
        </w:rPr>
      </w:pPr>
    </w:p>
    <w:p>
      <w:pPr>
        <w:ind w:left="2300" w:right="640" w:hanging="511"/>
        <w:spacing w:after="0" w:line="282" w:lineRule="auto"/>
        <w:tabs>
          <w:tab w:leader="none" w:pos="2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/s/Anthony Georgiadis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Anthony Georgiadis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Green Thumb Industries Inc. (the “Company”) on Form 10-Q for the three and six months ended June 30, 2022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jc w:val="both"/>
        <w:ind w:right="14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Green Thumb Industries Inc. (the “Company”) on Form 10-Q for the three and six months ended June 30, 2022 as filed with the Securities and Exchange Commission on the date hereof (the “Report”), I, Anthony Georgiadis,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/s/Anthony Georgiadis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Anthony Georgiadis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1)"/>
      <w:numFmt w:val="lowerLetter"/>
      <w:start w:val="1"/>
    </w:lvl>
  </w:abstractNum>
  <w:abstractNum w:abstractNumId="4">
    <w:nsid w:val="2463B9EA"/>
    <w:multiLevelType w:val="hybridMultilevel"/>
    <w:lvl w:ilvl="0">
      <w:lvlJc w:val="left"/>
      <w:lvlText w:val="(%1)"/>
      <w:numFmt w:val="lowerLetter"/>
      <w:start w:val="2"/>
    </w:lvl>
  </w:abstractNum>
  <w:abstractNum w:abstractNumId="5">
    <w:nsid w:val="5E884ADC"/>
    <w:multiLevelType w:val="hybridMultilevel"/>
    <w:lvl w:ilvl="0">
      <w:lvlJc w:val="left"/>
      <w:lvlText w:val="(%1)"/>
      <w:numFmt w:val="lowerLetter"/>
      <w:start w:val="3"/>
    </w:lvl>
  </w:abstractNum>
  <w:abstractNum w:abstractNumId="6">
    <w:nsid w:val="51EAD36B"/>
    <w:multiLevelType w:val="hybridMultilevel"/>
    <w:lvl w:ilvl="0">
      <w:lvlJc w:val="left"/>
      <w:lvlText w:val="(%1)"/>
      <w:numFmt w:val="lowerLetter"/>
      <w:start w:val="4"/>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1)"/>
      <w:numFmt w:val="lowerLetter"/>
      <w:start w:val="4"/>
    </w:lvl>
  </w:abstractNum>
  <w:abstractNum w:abstractNumId="9">
    <w:nsid w:val="153EA438"/>
    <w:multiLevelType w:val="hybridMultilevel"/>
    <w:lvl w:ilvl="0">
      <w:lvlJc w:val="left"/>
      <w:lvlText w:val="(%1)"/>
      <w:numFmt w:val="lowerLetter"/>
      <w:start w:val="5"/>
    </w:lvl>
  </w:abstractNum>
  <w:abstractNum w:abstractNumId="10">
    <w:nsid w:val="3855585C"/>
    <w:multiLevelType w:val="hybridMultilevel"/>
    <w:lvl w:ilvl="0">
      <w:lvlJc w:val="left"/>
      <w:lvlText w:val="(%1)"/>
      <w:numFmt w:val="lowerLetter"/>
      <w:start w:val="6"/>
    </w:lvl>
  </w:abstractNum>
  <w:abstractNum w:abstractNumId="11">
    <w:nsid w:val="70A64E2A"/>
    <w:multiLevelType w:val="hybridMultilevel"/>
    <w:lvl w:ilvl="0">
      <w:lvlJc w:val="left"/>
      <w:lvlText w:val="(%1)"/>
      <w:numFmt w:val="lowerLetter"/>
      <w:start w:val="7"/>
    </w:lvl>
  </w:abstractNum>
  <w:abstractNum w:abstractNumId="12">
    <w:nsid w:val="6A2342EC"/>
    <w:multiLevelType w:val="hybridMultilevel"/>
    <w:lvl w:ilvl="0">
      <w:lvlJc w:val="left"/>
      <w:lvlText w:val="%1."/>
      <w:numFmt w:val="decimal"/>
      <w:start w:val="2"/>
    </w:lvl>
  </w:abstractNum>
  <w:abstractNum w:abstractNumId="13">
    <w:nsid w:val="2A487CB0"/>
    <w:multiLevelType w:val="hybridMultilevel"/>
    <w:lvl w:ilvl="0">
      <w:lvlJc w:val="left"/>
      <w:lvlText w:val="%1."/>
      <w:numFmt w:val="decimal"/>
      <w:start w:val="3"/>
    </w:lvl>
  </w:abstractNum>
  <w:abstractNum w:abstractNumId="14">
    <w:nsid w:val="1D4ED43B"/>
    <w:multiLevelType w:val="hybridMultilevel"/>
    <w:lvl w:ilvl="0">
      <w:lvlJc w:val="left"/>
      <w:lvlText w:val="%1."/>
      <w:numFmt w:val="decimal"/>
      <w:start w:val="4"/>
    </w:lvl>
  </w:abstractNum>
  <w:abstractNum w:abstractNumId="15">
    <w:nsid w:val="725A06FB"/>
    <w:multiLevelType w:val="hybridMultilevel"/>
    <w:lvl w:ilvl="0">
      <w:lvlJc w:val="left"/>
      <w:lvlText w:val="(%1)"/>
      <w:numFmt w:val="lowerLetter"/>
      <w:start w:val="1"/>
    </w:lvl>
  </w:abstractNum>
  <w:abstractNum w:abstractNumId="16">
    <w:nsid w:val="2CD89A32"/>
    <w:multiLevelType w:val="hybridMultilevel"/>
    <w:lvl w:ilvl="0">
      <w:lvlJc w:val="left"/>
      <w:lvlText w:val="%1."/>
      <w:numFmt w:val="decimal"/>
      <w:start w:val="5"/>
    </w:lvl>
  </w:abstractNum>
  <w:abstractNum w:abstractNumId="17">
    <w:nsid w:val="57E4CCAF"/>
    <w:multiLevelType w:val="hybridMultilevel"/>
    <w:lvl w:ilvl="0">
      <w:lvlJc w:val="left"/>
      <w:lvlText w:val="(%1)"/>
      <w:numFmt w:val="lowerLetter"/>
      <w:start w:val="1"/>
    </w:lvl>
  </w:abstractNum>
  <w:abstractNum w:abstractNumId="18">
    <w:nsid w:val="7A6D8D3C"/>
    <w:multiLevelType w:val="hybridMultilevel"/>
    <w:lvl w:ilvl="0">
      <w:lvlJc w:val="left"/>
      <w:lvlText w:val="%1."/>
      <w:numFmt w:val="decimal"/>
      <w:start w:val="6"/>
    </w:lvl>
  </w:abstractNum>
  <w:abstractNum w:abstractNumId="19">
    <w:nsid w:val="4B588F54"/>
    <w:multiLevelType w:val="hybridMultilevel"/>
    <w:lvl w:ilvl="0">
      <w:lvlJc w:val="left"/>
      <w:lvlText w:val="(%1)"/>
      <w:numFmt w:val="lowerLetter"/>
      <w:start w:val="1"/>
    </w:lvl>
  </w:abstractNum>
  <w:abstractNum w:abstractNumId="20">
    <w:nsid w:val="542289EC"/>
    <w:multiLevelType w:val="hybridMultilevel"/>
    <w:lvl w:ilvl="0">
      <w:lvlJc w:val="left"/>
      <w:lvlText w:val="%1."/>
      <w:numFmt w:val="decimal"/>
      <w:start w:val="6"/>
    </w:lvl>
  </w:abstractNum>
  <w:abstractNum w:abstractNumId="21">
    <w:nsid w:val="6DE91B18"/>
    <w:multiLevelType w:val="hybridMultilevel"/>
    <w:lvl w:ilvl="0">
      <w:lvlJc w:val="left"/>
      <w:lvlText w:val="(%1)"/>
      <w:numFmt w:val="lowerLetter"/>
      <w:start w:val="1"/>
    </w:lvl>
  </w:abstractNum>
  <w:abstractNum w:abstractNumId="22">
    <w:nsid w:val="38437FDB"/>
    <w:multiLevelType w:val="hybridMultilevel"/>
    <w:lvl w:ilvl="0">
      <w:lvlJc w:val="left"/>
      <w:lvlText w:val="%1."/>
      <w:numFmt w:val="decimal"/>
      <w:start w:val="7"/>
    </w:lvl>
  </w:abstractNum>
  <w:abstractNum w:abstractNumId="23">
    <w:nsid w:val="7644A45C"/>
    <w:multiLevelType w:val="hybridMultilevel"/>
    <w:lvl w:ilvl="0">
      <w:lvlJc w:val="left"/>
      <w:lvlText w:val="(%1)"/>
      <w:numFmt w:val="lowerLetter"/>
      <w:start w:val="1"/>
    </w:lvl>
  </w:abstractNum>
  <w:abstractNum w:abstractNumId="24">
    <w:nsid w:val="32FFF902"/>
    <w:multiLevelType w:val="hybridMultilevel"/>
    <w:lvl w:ilvl="0">
      <w:lvlJc w:val="left"/>
      <w:lvlText w:val="(%1)"/>
      <w:numFmt w:val="lowerLetter"/>
      <w:start w:val="2"/>
    </w:lvl>
  </w:abstractNum>
  <w:abstractNum w:abstractNumId="25">
    <w:nsid w:val="684A481A"/>
    <w:multiLevelType w:val="hybridMultilevel"/>
    <w:lvl w:ilvl="0">
      <w:lvlJc w:val="left"/>
      <w:lvlText w:val="%1."/>
      <w:numFmt w:val="decimal"/>
      <w:start w:val="7"/>
    </w:lvl>
  </w:abstractNum>
  <w:abstractNum w:abstractNumId="26">
    <w:nsid w:val="579478FE"/>
    <w:multiLevelType w:val="hybridMultilevel"/>
    <w:lvl w:ilvl="0">
      <w:lvlJc w:val="left"/>
      <w:lvlText w:val="(%1)"/>
      <w:numFmt w:val="lowerLetter"/>
      <w:start w:val="3"/>
    </w:lvl>
  </w:abstractNum>
  <w:abstractNum w:abstractNumId="27">
    <w:nsid w:val="749ABB43"/>
    <w:multiLevelType w:val="hybridMultilevel"/>
    <w:lvl w:ilvl="0">
      <w:lvlJc w:val="left"/>
      <w:lvlText w:val="%1."/>
      <w:numFmt w:val="decimal"/>
      <w:start w:val="8"/>
    </w:lvl>
  </w:abstractNum>
  <w:abstractNum w:abstractNumId="28">
    <w:nsid w:val="3DC240FB"/>
    <w:multiLevelType w:val="hybridMultilevel"/>
    <w:lvl w:ilvl="0">
      <w:lvlJc w:val="left"/>
      <w:lvlText w:val="1"/>
      <w:numFmt w:val="bullet"/>
      <w:start w:val="1"/>
    </w:lvl>
  </w:abstractNum>
  <w:abstractNum w:abstractNumId="29">
    <w:nsid w:val="1BA026FA"/>
    <w:multiLevelType w:val="hybridMultilevel"/>
    <w:lvl w:ilvl="0">
      <w:lvlJc w:val="left"/>
      <w:lvlText w:val="2"/>
      <w:numFmt w:val="bullet"/>
      <w:start w:val="1"/>
    </w:lvl>
  </w:abstractNum>
  <w:abstractNum w:abstractNumId="30">
    <w:nsid w:val="79A1DEAA"/>
    <w:multiLevelType w:val="hybridMultilevel"/>
    <w:lvl w:ilvl="0">
      <w:lvlJc w:val="left"/>
      <w:lvlText w:val="(%1)"/>
      <w:numFmt w:val="lowerLetter"/>
    </w:lvl>
    <w:lvl w:ilvl="1">
      <w:lvlJc w:val="left"/>
      <w:lvlText w:val="3"/>
      <w:numFmt w:val="bullet"/>
      <w:start w:val="1"/>
    </w:lvl>
  </w:abstractNum>
  <w:abstractNum w:abstractNumId="31">
    <w:nsid w:val="75C6C33A"/>
    <w:multiLevelType w:val="hybridMultilevel"/>
    <w:lvl w:ilvl="0">
      <w:lvlJc w:val="left"/>
      <w:lvlText w:val="(%1)"/>
      <w:numFmt w:val="lowerLetter"/>
      <w:start w:val="2"/>
    </w:lvl>
  </w:abstractNum>
  <w:abstractNum w:abstractNumId="32">
    <w:nsid w:val="12E685FB"/>
    <w:multiLevelType w:val="hybridMultilevel"/>
    <w:lvl w:ilvl="0">
      <w:lvlJc w:val="left"/>
      <w:lvlText w:val="%1."/>
      <w:numFmt w:val="decimal"/>
      <w:start w:val="9"/>
    </w:lvl>
  </w:abstractNum>
  <w:abstractNum w:abstractNumId="33">
    <w:nsid w:val="70C6A529"/>
    <w:multiLevelType w:val="hybridMultilevel"/>
    <w:lvl w:ilvl="0">
      <w:lvlJc w:val="left"/>
      <w:lvlText w:val="(%1)"/>
      <w:numFmt w:val="lowerLetter"/>
      <w:start w:val="1"/>
    </w:lvl>
  </w:abstractNum>
  <w:abstractNum w:abstractNumId="34">
    <w:nsid w:val="520EEDD1"/>
    <w:multiLevelType w:val="hybridMultilevel"/>
    <w:lvl w:ilvl="0">
      <w:lvlJc w:val="left"/>
      <w:lvlText w:val="%1."/>
      <w:numFmt w:val="decimal"/>
      <w:start w:val="9"/>
    </w:lvl>
  </w:abstractNum>
  <w:abstractNum w:abstractNumId="35">
    <w:nsid w:val="374A3FE6"/>
    <w:multiLevelType w:val="hybridMultilevel"/>
    <w:lvl w:ilvl="0">
      <w:lvlJc w:val="left"/>
      <w:lvlText w:val="%1."/>
      <w:numFmt w:val="decimal"/>
      <w:start w:val="10"/>
    </w:lvl>
  </w:abstractNum>
  <w:abstractNum w:abstractNumId="36">
    <w:nsid w:val="4F4EF005"/>
    <w:multiLevelType w:val="hybridMultilevel"/>
    <w:lvl w:ilvl="0">
      <w:lvlJc w:val="left"/>
      <w:lvlText w:val="(%1)"/>
      <w:numFmt w:val="lowerLetter"/>
      <w:start w:val="1"/>
    </w:lvl>
  </w:abstractNum>
  <w:abstractNum w:abstractNumId="37">
    <w:nsid w:val="23F9C13C"/>
    <w:multiLevelType w:val="hybridMultilevel"/>
    <w:lvl w:ilvl="0">
      <w:lvlJc w:val="left"/>
      <w:lvlText w:val="(%1)"/>
      <w:numFmt w:val="lowerRoman"/>
      <w:start w:val="1"/>
    </w:lvl>
  </w:abstractNum>
  <w:abstractNum w:abstractNumId="38">
    <w:nsid w:val="649BB77C"/>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39">
    <w:nsid w:val="275AC794"/>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9"/>
    </w:lvl>
  </w:abstractNum>
  <w:abstractNum w:abstractNumId="40">
    <w:nsid w:val="39386575"/>
    <w:multiLevelType w:val="hybridMultilevel"/>
    <w:lvl w:ilvl="0">
      <w:lvlJc w:val="left"/>
      <w:lvlText w:val="(%1)"/>
      <w:numFmt w:val="lowerRoman"/>
      <w:start w:val="2"/>
    </w:lvl>
  </w:abstractNum>
  <w:abstractNum w:abstractNumId="41">
    <w:nsid w:val="1CF10FD8"/>
    <w:multiLevelType w:val="hybridMultilevel"/>
    <w:lvl w:ilvl="0">
      <w:lvlJc w:val="left"/>
      <w:lvlText w:val="%1"/>
      <w:numFmt w:val="lowerLetter"/>
      <w:start w:val="1"/>
    </w:lvl>
    <w:lvl w:ilvl="1">
      <w:lvlJc w:val="left"/>
      <w:lvlText w:val="%2."/>
      <w:numFmt w:val="decimal"/>
      <w:start w:val="10"/>
    </w:lvl>
  </w:abstractNum>
  <w:abstractNum w:abstractNumId="42">
    <w:nsid w:val="180115BE"/>
    <w:multiLevelType w:val="hybridMultilevel"/>
    <w:lvl w:ilvl="0">
      <w:lvlJc w:val="left"/>
      <w:lvlText w:val="(%1)"/>
      <w:numFmt w:val="lowerLetter"/>
      <w:start w:val="3"/>
    </w:lvl>
    <w:lvl w:ilvl="1">
      <w:lvlJc w:val="left"/>
      <w:lvlText w:val="%2"/>
      <w:numFmt w:val="decimal"/>
      <w:start w:val="1"/>
    </w:lvl>
  </w:abstractNum>
  <w:abstractNum w:abstractNumId="43">
    <w:nsid w:val="235BA861"/>
    <w:multiLevelType w:val="hybridMultilevel"/>
    <w:lvl w:ilvl="0">
      <w:lvlJc w:val="left"/>
      <w:lvlText w:val="%1"/>
      <w:numFmt w:val="lowerLetter"/>
      <w:start w:val="1"/>
    </w:lvl>
    <w:lvl w:ilvl="1">
      <w:lvlJc w:val="left"/>
      <w:lvlText w:val="%2."/>
      <w:numFmt w:val="decimal"/>
      <w:start w:val="10"/>
    </w:lvl>
  </w:abstractNum>
  <w:abstractNum w:abstractNumId="44">
    <w:nsid w:val="47398C89"/>
    <w:multiLevelType w:val="hybridMultilevel"/>
    <w:lvl w:ilvl="0">
      <w:lvlJc w:val="left"/>
      <w:lvlText w:val="(%1)"/>
      <w:numFmt w:val="lowerLetter"/>
      <w:start w:val="3"/>
    </w:lvl>
    <w:lvl w:ilvl="1">
      <w:lvlJc w:val="left"/>
      <w:lvlText w:val="%2"/>
      <w:numFmt w:val="decimal"/>
      <w:start w:val="1"/>
    </w:lvl>
  </w:abstractNum>
  <w:abstractNum w:abstractNumId="45">
    <w:nsid w:val="354FE9F9"/>
    <w:multiLevelType w:val="hybridMultilevel"/>
    <w:lvl w:ilvl="0">
      <w:lvlJc w:val="left"/>
      <w:lvlText w:val="%1."/>
      <w:numFmt w:val="decimal"/>
      <w:start w:val="11"/>
    </w:lvl>
  </w:abstractNum>
  <w:abstractNum w:abstractNumId="46">
    <w:nsid w:val="15B5AF5C"/>
    <w:multiLevelType w:val="hybridMultilevel"/>
    <w:lvl w:ilvl="0">
      <w:lvlJc w:val="left"/>
      <w:lvlText w:val="%1."/>
      <w:numFmt w:val="decimal"/>
      <w:start w:val="12"/>
    </w:lvl>
  </w:abstractNum>
  <w:abstractNum w:abstractNumId="47">
    <w:nsid w:val="741226BB"/>
    <w:multiLevelType w:val="hybridMultilevel"/>
    <w:lvl w:ilvl="0">
      <w:lvlJc w:val="left"/>
      <w:lvlText w:val="%1."/>
      <w:numFmt w:val="decimal"/>
      <w:start w:val="13"/>
    </w:lvl>
  </w:abstractNum>
  <w:abstractNum w:abstractNumId="48">
    <w:nsid w:val="D34B6A8"/>
    <w:multiLevelType w:val="hybridMultilevel"/>
    <w:lvl w:ilvl="0">
      <w:lvlJc w:val="left"/>
      <w:lvlText w:val="(%1)"/>
      <w:numFmt w:val="lowerLetter"/>
      <w:start w:val="1"/>
    </w:lvl>
  </w:abstractNum>
  <w:abstractNum w:abstractNumId="49">
    <w:nsid w:val="10233C99"/>
    <w:multiLevelType w:val="hybridMultilevel"/>
    <w:lvl w:ilvl="0">
      <w:lvlJc w:val="left"/>
      <w:lvlText w:val="%1."/>
      <w:numFmt w:val="decimal"/>
      <w:start w:val="14"/>
    </w:lvl>
  </w:abstractNum>
  <w:abstractNum w:abstractNumId="50">
    <w:nsid w:val="3F6AB60F"/>
    <w:multiLevelType w:val="hybridMultilevel"/>
    <w:lvl w:ilvl="0">
      <w:lvlJc w:val="left"/>
      <w:lvlText w:val="(%1)"/>
      <w:numFmt w:val="lowerLetter"/>
      <w:start w:val="1"/>
    </w:lvl>
  </w:abstractNum>
  <w:abstractNum w:abstractNumId="51">
    <w:nsid w:val="61574095"/>
    <w:multiLevelType w:val="hybridMultilevel"/>
    <w:lvl w:ilvl="0">
      <w:lvlJc w:val="left"/>
      <w:lvlText w:val="%1."/>
      <w:numFmt w:val="decimal"/>
      <w:start w:val="14"/>
    </w:lvl>
  </w:abstractNum>
  <w:abstractNum w:abstractNumId="52">
    <w:nsid w:val="7E0C57B1"/>
    <w:multiLevelType w:val="hybridMultilevel"/>
    <w:lvl w:ilvl="0">
      <w:lvlJc w:val="left"/>
      <w:lvlText w:val="%1."/>
      <w:numFmt w:val="decimal"/>
      <w:start w:val="15"/>
    </w:lvl>
  </w:abstractNum>
  <w:abstractNum w:abstractNumId="53">
    <w:nsid w:val="77AE35EB"/>
    <w:multiLevelType w:val="hybridMultilevel"/>
    <w:lvl w:ilvl="0">
      <w:lvlJc w:val="left"/>
      <w:lvlText w:val="%1."/>
      <w:numFmt w:val="decimal"/>
      <w:start w:val="15"/>
    </w:lvl>
  </w:abstractNum>
  <w:abstractNum w:abstractNumId="54">
    <w:nsid w:val="579BE4F1"/>
    <w:multiLevelType w:val="hybridMultilevel"/>
    <w:lvl w:ilvl="0">
      <w:lvlJc w:val="left"/>
      <w:lvlText w:val="%1."/>
      <w:numFmt w:val="decimal"/>
      <w:start w:val="16"/>
    </w:lvl>
  </w:abstractNum>
  <w:abstractNum w:abstractNumId="55">
    <w:nsid w:val="310C50B3"/>
    <w:multiLevelType w:val="hybridMultilevel"/>
    <w:lvl w:ilvl="0">
      <w:lvlJc w:val="left"/>
      <w:lvlText w:val="%1"/>
      <w:numFmt w:val="decimal"/>
      <w:start w:val="104"/>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lowerLetter"/>
      <w:start w:val="1"/>
    </w:lvl>
  </w:abstractNum>
  <w:abstractNum w:abstractNumId="59">
    <w:nsid w:val="1DBABF00"/>
    <w:multiLevelType w:val="hybridMultilevel"/>
    <w:lvl w:ilvl="0">
      <w:lvlJc w:val="left"/>
      <w:lvlText w:val="(%1)"/>
      <w:numFmt w:val="lowerLetter"/>
      <w:start w:val="4"/>
    </w:lvl>
  </w:abstractNum>
  <w:abstractNum w:abstractNumId="60">
    <w:nsid w:val="4AD084E9"/>
    <w:multiLevelType w:val="hybridMultilevel"/>
    <w:lvl w:ilvl="0">
      <w:lvlJc w:val="left"/>
      <w:lvlText w:val="(%1)"/>
      <w:numFmt w:val="lowerLetter"/>
      <w:start w:val="1"/>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lowerLetter"/>
      <w:start w:val="2"/>
    </w:lvl>
    <w:lvl w:ilvl="1">
      <w:lvlJc w:val="left"/>
      <w:lvlText w:val="(%2)"/>
      <w:numFmt w:val="lowerRoman"/>
      <w:start w:val="1"/>
    </w:lvl>
  </w:abstractNum>
  <w:abstractNum w:abstractNumId="63">
    <w:nsid w:val="5DB70AE5"/>
    <w:multiLevelType w:val="hybridMultilevel"/>
    <w:lvl w:ilvl="0">
      <w:lvlJc w:val="left"/>
      <w:lvlText w:val="(%1)"/>
      <w:numFmt w:val="lowerLetter"/>
      <w:start w:val="3"/>
    </w:lvl>
    <w:lvl w:ilvl="1">
      <w:lvlJc w:val="left"/>
      <w:lvlText w:val="(%2)"/>
      <w:numFmt w:val="lowerRoman"/>
      <w:start w:val="1"/>
    </w:lvl>
  </w:abstractNum>
  <w:abstractNum w:abstractNumId="64">
    <w:nsid w:val="100F8FCA"/>
    <w:multiLevelType w:val="hybridMultilevel"/>
    <w:lvl w:ilvl="0">
      <w:lvlJc w:val="left"/>
      <w:lvlText w:val="(%1)"/>
      <w:numFmt w:val="lowerLetter"/>
      <w:start w:val="4"/>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lowerLetter"/>
      <w:start w:val="3"/>
    </w:lvl>
  </w:abstractNum>
  <w:abstractNum w:abstractNumId="67">
    <w:nsid w:val="5F5E7FD0"/>
    <w:multiLevelType w:val="hybridMultilevel"/>
    <w:lvl w:ilvl="0">
      <w:lvlJc w:val="left"/>
      <w:lvlText w:val="(%1)"/>
      <w:numFmt w:val="lowerLetter"/>
      <w:start w:val="12"/>
    </w:lvl>
  </w:abstractNum>
  <w:abstractNum w:abstractNumId="68">
    <w:nsid w:val="98A3148"/>
    <w:multiLevelType w:val="hybridMultilevel"/>
    <w:lvl w:ilvl="0">
      <w:lvlJc w:val="left"/>
      <w:lvlText w:val="(%1)"/>
      <w:numFmt w:val="lowerLetter"/>
      <w:start w:val="1"/>
    </w:lvl>
    <w:lvl w:ilvl="1">
      <w:lvlJc w:val="left"/>
      <w:lvlText w:val="(%2)"/>
      <w:numFmt w:val="lowerRoman"/>
      <w:start w:val="1"/>
    </w:lvl>
  </w:abstractNum>
  <w:abstractNum w:abstractNumId="69">
    <w:nsid w:val="799D0247"/>
    <w:multiLevelType w:val="hybridMultilevel"/>
    <w:lvl w:ilvl="0">
      <w:lvlJc w:val="left"/>
      <w:lvlText w:val="(%1)"/>
      <w:numFmt w:val="lowerLetter"/>
      <w:start w:val="4"/>
    </w:lvl>
  </w:abstractNum>
  <w:abstractNum w:abstractNumId="70">
    <w:nsid w:val="6B94764"/>
    <w:multiLevelType w:val="hybridMultilevel"/>
    <w:lvl w:ilvl="0">
      <w:lvlJc w:val="left"/>
      <w:lvlText w:val="%1."/>
      <w:numFmt w:val="decimal"/>
      <w:start w:val="1"/>
    </w:lvl>
    <w:lvl w:ilvl="1">
      <w:lvlJc w:val="left"/>
      <w:lvlText w:val="%2."/>
      <w:numFmt w:val="lowerLetter"/>
      <w:start w:val="1"/>
    </w:lvl>
  </w:abstractNum>
  <w:abstractNum w:abstractNumId="71">
    <w:nsid w:val="42C296B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2022-08-04T05:35:01Z</dcterms:created>
  <dcterms:modified xsi:type="dcterms:W3CDTF">2022-08-04T05:35:01Z</dcterms:modified>
</cp:coreProperties>
</file>