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303530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320040</wp:posOffset>
            </wp:positionV>
            <wp:extent cx="68065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125730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00" w:lineRule="exact"/>
        <w:rPr>
          <w:sz w:val="24"/>
          <w:szCs w:val="24"/>
          <w:color w:val="auto"/>
        </w:rPr>
      </w:pPr>
    </w:p>
    <w:p>
      <w:pPr>
        <w:ind w:left="520" w:right="140" w:hanging="512"/>
        <w:spacing w:after="0" w:line="297" w:lineRule="auto"/>
        <w:tabs>
          <w:tab w:leader="none" w:pos="44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1513840</wp:posOffset>
            </wp:positionH>
            <wp:positionV relativeFrom="paragraph">
              <wp:posOffset>29210</wp:posOffset>
            </wp:positionV>
            <wp:extent cx="4088765" cy="608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876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Commission file number 000-56132</w:t>
            </w:r>
          </w:p>
        </w:tc>
        <w:tc>
          <w:tcPr>
            <w:tcW w:w="1500" w:type="dxa"/>
            <w:vAlign w:val="bottom"/>
          </w:tcPr>
          <w:p>
            <w:pPr>
              <w:spacing w:after="0"/>
              <w:rPr>
                <w:sz w:val="16"/>
                <w:szCs w:val="16"/>
                <w:color w:val="auto"/>
              </w:rPr>
            </w:pPr>
          </w:p>
        </w:tc>
      </w:tr>
      <w:tr>
        <w:trPr>
          <w:trHeight w:val="147"/>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gridSpan w:val="2"/>
          </w:tcPr>
          <w:p>
            <w:pPr>
              <w:spacing w:after="0"/>
              <w:rPr>
                <w:sz w:val="12"/>
                <w:szCs w:val="12"/>
                <w:color w:val="auto"/>
              </w:rPr>
            </w:pPr>
          </w:p>
        </w:tc>
      </w:tr>
      <w:tr>
        <w:trPr>
          <w:trHeight w:val="578"/>
        </w:trPr>
        <w:tc>
          <w:tcPr>
            <w:tcW w:w="8840" w:type="dxa"/>
            <w:vAlign w:val="bottom"/>
            <w:gridSpan w:val="6"/>
          </w:tcPr>
          <w:p>
            <w:pPr>
              <w:ind w:left="2360"/>
              <w:spacing w:after="0"/>
              <w:rPr>
                <w:sz w:val="20"/>
                <w:szCs w:val="20"/>
                <w:color w:val="auto"/>
              </w:rPr>
            </w:pPr>
            <w:r>
              <w:rPr>
                <w:rFonts w:ascii="Arial" w:cs="Arial" w:eastAsia="Arial" w:hAnsi="Arial"/>
                <w:sz w:val="40"/>
                <w:szCs w:val="40"/>
                <w:b w:val="1"/>
                <w:bCs w:val="1"/>
                <w:color w:val="auto"/>
              </w:rPr>
              <w:t>GREEN THUMB INDUSTRIES INC.</w:t>
            </w:r>
          </w:p>
        </w:tc>
      </w:tr>
      <w:tr>
        <w:trPr>
          <w:trHeight w:val="186"/>
        </w:trPr>
        <w:tc>
          <w:tcPr>
            <w:tcW w:w="7340" w:type="dxa"/>
            <w:vAlign w:val="bottom"/>
            <w:gridSpan w:val="5"/>
          </w:tcPr>
          <w:p>
            <w:pPr>
              <w:jc w:val="center"/>
              <w:ind w:left="3802"/>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500" w:type="dxa"/>
            <w:vAlign w:val="bottom"/>
          </w:tcPr>
          <w:p>
            <w:pPr>
              <w:spacing w:after="0"/>
              <w:rPr>
                <w:sz w:val="16"/>
                <w:szCs w:val="16"/>
                <w:color w:val="auto"/>
              </w:rPr>
            </w:pPr>
          </w:p>
        </w:tc>
      </w:tr>
      <w:tr>
        <w:trPr>
          <w:trHeight w:val="147"/>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414"/>
        </w:trPr>
        <w:tc>
          <w:tcPr>
            <w:tcW w:w="73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4"/>
              </w:rPr>
              <w:t>British Columbia</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98-1437430</w:t>
            </w:r>
          </w:p>
        </w:tc>
      </w:tr>
      <w:tr>
        <w:trPr>
          <w:trHeight w:val="147"/>
        </w:trPr>
        <w:tc>
          <w:tcPr>
            <w:tcW w:w="7340" w:type="dxa"/>
            <w:vAlign w:val="bottom"/>
            <w:gridSpan w:val="5"/>
          </w:tcPr>
          <w:p>
            <w:pPr>
              <w:jc w:val="center"/>
              <w:ind w:right="1700"/>
              <w:spacing w:after="0"/>
              <w:rPr>
                <w:sz w:val="20"/>
                <w:szCs w:val="20"/>
                <w:color w:val="auto"/>
              </w:rPr>
            </w:pPr>
            <w:r>
              <w:rPr>
                <w:rFonts w:ascii="Arial" w:cs="Arial" w:eastAsia="Arial" w:hAnsi="Arial"/>
                <w:sz w:val="11"/>
                <w:szCs w:val="11"/>
                <w:b w:val="1"/>
                <w:bCs w:val="1"/>
                <w:color w:val="auto"/>
                <w:w w:val="90"/>
              </w:rPr>
              <w:t>(State or other jurisdiction of</w:t>
            </w:r>
          </w:p>
        </w:tc>
        <w:tc>
          <w:tcPr>
            <w:tcW w:w="1500" w:type="dxa"/>
            <w:vAlign w:val="bottom"/>
          </w:tcPr>
          <w:p>
            <w:pPr>
              <w:jc w:val="center"/>
              <w:ind w:left="616"/>
              <w:spacing w:after="0"/>
              <w:rPr>
                <w:sz w:val="20"/>
                <w:szCs w:val="20"/>
                <w:color w:val="auto"/>
              </w:rPr>
            </w:pPr>
            <w:r>
              <w:rPr>
                <w:rFonts w:ascii="Arial" w:cs="Arial" w:eastAsia="Arial" w:hAnsi="Arial"/>
                <w:sz w:val="11"/>
                <w:szCs w:val="11"/>
                <w:b w:val="1"/>
                <w:bCs w:val="1"/>
                <w:color w:val="auto"/>
                <w:w w:val="88"/>
              </w:rPr>
              <w:t>(I.R.S. employer</w:t>
            </w:r>
          </w:p>
        </w:tc>
      </w:tr>
      <w:tr>
        <w:trPr>
          <w:trHeight w:val="140"/>
        </w:trPr>
        <w:tc>
          <w:tcPr>
            <w:tcW w:w="7340" w:type="dxa"/>
            <w:vAlign w:val="bottom"/>
            <w:gridSpan w:val="5"/>
          </w:tcPr>
          <w:p>
            <w:pPr>
              <w:jc w:val="center"/>
              <w:ind w:right="1700"/>
              <w:spacing w:after="0"/>
              <w:rPr>
                <w:sz w:val="20"/>
                <w:szCs w:val="20"/>
                <w:color w:val="auto"/>
              </w:rPr>
            </w:pPr>
            <w:r>
              <w:rPr>
                <w:rFonts w:ascii="Arial" w:cs="Arial" w:eastAsia="Arial" w:hAnsi="Arial"/>
                <w:sz w:val="11"/>
                <w:szCs w:val="11"/>
                <w:b w:val="1"/>
                <w:bCs w:val="1"/>
                <w:color w:val="auto"/>
                <w:w w:val="89"/>
              </w:rPr>
              <w:t>incorporation or organization)</w:t>
            </w:r>
          </w:p>
        </w:tc>
        <w:tc>
          <w:tcPr>
            <w:tcW w:w="1500" w:type="dxa"/>
            <w:vAlign w:val="bottom"/>
          </w:tcPr>
          <w:p>
            <w:pPr>
              <w:jc w:val="center"/>
              <w:ind w:left="616"/>
              <w:spacing w:after="0"/>
              <w:rPr>
                <w:sz w:val="20"/>
                <w:szCs w:val="20"/>
                <w:color w:val="auto"/>
              </w:rPr>
            </w:pPr>
            <w:r>
              <w:rPr>
                <w:rFonts w:ascii="Arial" w:cs="Arial" w:eastAsia="Arial" w:hAnsi="Arial"/>
                <w:sz w:val="11"/>
                <w:szCs w:val="11"/>
                <w:b w:val="1"/>
                <w:bCs w:val="1"/>
                <w:color w:val="auto"/>
                <w:w w:val="89"/>
              </w:rPr>
              <w:t>identification no.)</w:t>
            </w:r>
          </w:p>
        </w:tc>
      </w:tr>
      <w:tr>
        <w:trPr>
          <w:trHeight w:val="350"/>
        </w:trPr>
        <w:tc>
          <w:tcPr>
            <w:tcW w:w="73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3"/>
              </w:rPr>
              <w:t>325 West Huron Street,</w:t>
            </w:r>
          </w:p>
        </w:tc>
        <w:tc>
          <w:tcPr>
            <w:tcW w:w="1500" w:type="dxa"/>
            <w:vAlign w:val="bottom"/>
          </w:tcPr>
          <w:p>
            <w:pPr>
              <w:spacing w:after="0"/>
              <w:rPr>
                <w:sz w:val="24"/>
                <w:szCs w:val="24"/>
                <w:color w:val="auto"/>
              </w:rPr>
            </w:pPr>
          </w:p>
        </w:tc>
      </w:tr>
      <w:tr>
        <w:trPr>
          <w:trHeight w:val="200"/>
        </w:trPr>
        <w:tc>
          <w:tcPr>
            <w:tcW w:w="73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2"/>
              </w:rPr>
              <w:t>Suite 700 Chicago, Illinois</w:t>
            </w:r>
          </w:p>
        </w:tc>
        <w:tc>
          <w:tcPr>
            <w:tcW w:w="1500" w:type="dxa"/>
            <w:vAlign w:val="bottom"/>
          </w:tcPr>
          <w:p>
            <w:pPr>
              <w:jc w:val="right"/>
              <w:ind w:right="156"/>
              <w:spacing w:after="0"/>
              <w:rPr>
                <w:sz w:val="20"/>
                <w:szCs w:val="20"/>
                <w:color w:val="auto"/>
              </w:rPr>
            </w:pPr>
            <w:r>
              <w:rPr>
                <w:rFonts w:ascii="Arial" w:cs="Arial" w:eastAsia="Arial" w:hAnsi="Arial"/>
                <w:sz w:val="14"/>
                <w:szCs w:val="14"/>
                <w:b w:val="1"/>
                <w:bCs w:val="1"/>
                <w:color w:val="auto"/>
              </w:rPr>
              <w:t>60654</w:t>
            </w:r>
          </w:p>
        </w:tc>
      </w:tr>
      <w:tr>
        <w:trPr>
          <w:trHeight w:val="152"/>
        </w:trPr>
        <w:tc>
          <w:tcPr>
            <w:tcW w:w="7340" w:type="dxa"/>
            <w:vAlign w:val="bottom"/>
            <w:gridSpan w:val="5"/>
          </w:tcPr>
          <w:p>
            <w:pPr>
              <w:jc w:val="center"/>
              <w:ind w:right="1720"/>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1500" w:type="dxa"/>
            <w:vAlign w:val="bottom"/>
          </w:tcPr>
          <w:p>
            <w:pPr>
              <w:jc w:val="center"/>
              <w:ind w:left="616"/>
              <w:spacing w:after="0"/>
              <w:rPr>
                <w:sz w:val="20"/>
                <w:szCs w:val="20"/>
                <w:color w:val="auto"/>
              </w:rPr>
            </w:pPr>
            <w:r>
              <w:rPr>
                <w:rFonts w:ascii="Arial" w:cs="Arial" w:eastAsia="Arial" w:hAnsi="Arial"/>
                <w:sz w:val="11"/>
                <w:szCs w:val="11"/>
                <w:b w:val="1"/>
                <w:bCs w:val="1"/>
                <w:color w:val="auto"/>
                <w:w w:val="89"/>
              </w:rPr>
              <w:t>(zip code)</w:t>
            </w:r>
          </w:p>
        </w:tc>
      </w:tr>
      <w:tr>
        <w:trPr>
          <w:trHeight w:val="280"/>
        </w:trPr>
        <w:tc>
          <w:tcPr>
            <w:tcW w:w="8840" w:type="dxa"/>
            <w:vAlign w:val="bottom"/>
            <w:gridSpan w:val="6"/>
          </w:tcPr>
          <w:p>
            <w:pPr>
              <w:jc w:val="center"/>
              <w:ind w:left="2302"/>
              <w:spacing w:after="0"/>
              <w:rPr>
                <w:sz w:val="20"/>
                <w:szCs w:val="20"/>
                <w:color w:val="auto"/>
              </w:rPr>
            </w:pPr>
            <w:r>
              <w:rPr>
                <w:rFonts w:ascii="Arial" w:cs="Arial" w:eastAsia="Arial" w:hAnsi="Arial"/>
                <w:sz w:val="14"/>
                <w:szCs w:val="14"/>
                <w:b w:val="1"/>
                <w:bCs w:val="1"/>
                <w:color w:val="auto"/>
                <w:w w:val="92"/>
              </w:rPr>
              <w:t>Registrant’s telephone number, including area code - (312) 471-6720</w:t>
            </w:r>
          </w:p>
        </w:tc>
      </w:tr>
      <w:tr>
        <w:trPr>
          <w:trHeight w:val="133"/>
        </w:trPr>
        <w:tc>
          <w:tcPr>
            <w:tcW w:w="4480" w:type="dxa"/>
            <w:vAlign w:val="bottom"/>
          </w:tcPr>
          <w:p>
            <w:pPr>
              <w:spacing w:after="0"/>
              <w:rPr>
                <w:sz w:val="11"/>
                <w:szCs w:val="11"/>
                <w:color w:val="auto"/>
              </w:rPr>
            </w:pPr>
          </w:p>
        </w:tc>
        <w:tc>
          <w:tcPr>
            <w:tcW w:w="2280" w:type="dxa"/>
            <w:vAlign w:val="bottom"/>
            <w:tcBorders>
              <w:bottom w:val="single" w:sz="8" w:color="auto"/>
            </w:tcBorders>
            <w:gridSpan w:val="3"/>
          </w:tcPr>
          <w:p>
            <w:pPr>
              <w:spacing w:after="0"/>
              <w:rPr>
                <w:sz w:val="11"/>
                <w:szCs w:val="11"/>
                <w:color w:val="auto"/>
              </w:rPr>
            </w:pPr>
          </w:p>
        </w:tc>
        <w:tc>
          <w:tcPr>
            <w:tcW w:w="2080" w:type="dxa"/>
            <w:vAlign w:val="bottom"/>
            <w:gridSpan w:val="2"/>
          </w:tcPr>
          <w:p>
            <w:pPr>
              <w:spacing w:after="0"/>
              <w:rPr>
                <w:sz w:val="11"/>
                <w:szCs w:val="11"/>
                <w:color w:val="auto"/>
              </w:rPr>
            </w:pPr>
          </w:p>
        </w:tc>
      </w:tr>
      <w:tr>
        <w:trPr>
          <w:trHeight w:val="254"/>
        </w:trPr>
        <w:tc>
          <w:tcPr>
            <w:tcW w:w="8840" w:type="dxa"/>
            <w:vAlign w:val="bottom"/>
            <w:gridSpan w:val="6"/>
          </w:tcPr>
          <w:p>
            <w:pPr>
              <w:jc w:val="center"/>
              <w:ind w:left="2302"/>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175"/>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Subordinate Voting Shares</w:t>
            </w:r>
          </w:p>
        </w:tc>
        <w:tc>
          <w:tcPr>
            <w:tcW w:w="1500" w:type="dxa"/>
            <w:vAlign w:val="bottom"/>
          </w:tcPr>
          <w:p>
            <w:pPr>
              <w:spacing w:after="0"/>
              <w:rPr>
                <w:sz w:val="15"/>
                <w:szCs w:val="15"/>
                <w:color w:val="auto"/>
              </w:rPr>
            </w:pPr>
          </w:p>
        </w:tc>
      </w:tr>
      <w:tr>
        <w:trPr>
          <w:trHeight w:val="175"/>
        </w:trPr>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Multiple Voting Shares</w:t>
            </w:r>
          </w:p>
        </w:tc>
        <w:tc>
          <w:tcPr>
            <w:tcW w:w="1500" w:type="dxa"/>
            <w:vAlign w:val="bottom"/>
          </w:tcPr>
          <w:p>
            <w:pPr>
              <w:spacing w:after="0"/>
              <w:rPr>
                <w:sz w:val="15"/>
                <w:szCs w:val="15"/>
                <w:color w:val="auto"/>
              </w:rPr>
            </w:pPr>
          </w:p>
        </w:tc>
      </w:tr>
      <w:tr>
        <w:trPr>
          <w:trHeight w:val="171"/>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Super Voting Shares</w:t>
            </w:r>
          </w:p>
        </w:tc>
        <w:tc>
          <w:tcPr>
            <w:tcW w:w="1500" w:type="dxa"/>
            <w:vAlign w:val="bottom"/>
          </w:tcPr>
          <w:p>
            <w:pPr>
              <w:spacing w:after="0"/>
              <w:rPr>
                <w:sz w:val="14"/>
                <w:szCs w:val="14"/>
                <w:color w:val="auto"/>
              </w:rPr>
            </w:pPr>
          </w:p>
        </w:tc>
      </w:tr>
      <w:tr>
        <w:trPr>
          <w:trHeight w:val="140"/>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40" w:type="dxa"/>
            <w:vAlign w:val="bottom"/>
            <w:gridSpan w:val="3"/>
          </w:tcPr>
          <w:p>
            <w:pPr>
              <w:jc w:val="center"/>
              <w:ind w:right="620"/>
              <w:spacing w:after="0"/>
              <w:rPr>
                <w:sz w:val="20"/>
                <w:szCs w:val="20"/>
                <w:color w:val="auto"/>
              </w:rPr>
            </w:pPr>
            <w:r>
              <w:rPr>
                <w:rFonts w:ascii="Arial" w:cs="Arial" w:eastAsia="Arial" w:hAnsi="Arial"/>
                <w:sz w:val="11"/>
                <w:szCs w:val="11"/>
                <w:b w:val="1"/>
                <w:bCs w:val="1"/>
                <w:color w:val="auto"/>
                <w:w w:val="86"/>
              </w:rPr>
              <w:t>(Title of each Class)</w:t>
            </w:r>
          </w:p>
        </w:tc>
        <w:tc>
          <w:tcPr>
            <w:tcW w:w="1500" w:type="dxa"/>
            <w:vAlign w:val="bottom"/>
          </w:tcPr>
          <w:p>
            <w:pPr>
              <w:spacing w:after="0"/>
              <w:rPr>
                <w:sz w:val="12"/>
                <w:szCs w:val="12"/>
                <w:color w:val="auto"/>
              </w:rPr>
            </w:pPr>
          </w:p>
        </w:tc>
      </w:tr>
      <w:tr>
        <w:trPr>
          <w:trHeight w:val="296"/>
        </w:trPr>
        <w:tc>
          <w:tcPr>
            <w:tcW w:w="7340" w:type="dxa"/>
            <w:vAlign w:val="bottom"/>
            <w:gridSpan w:val="5"/>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1500" w:type="dxa"/>
            <w:vAlign w:val="bottom"/>
          </w:tcPr>
          <w:p>
            <w:pPr>
              <w:ind w:left="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6"/>
        </w:trPr>
        <w:tc>
          <w:tcPr>
            <w:tcW w:w="7340" w:type="dxa"/>
            <w:vAlign w:val="bottom"/>
            <w:gridSpan w:val="5"/>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15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ind w:right="3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24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10"/>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85" w:lineRule="exact"/>
        <w:rPr>
          <w:sz w:val="24"/>
          <w:szCs w:val="24"/>
          <w:color w:val="auto"/>
        </w:rPr>
      </w:pPr>
    </w:p>
    <w:p>
      <w:pPr>
        <w:ind w:right="4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tabs>
          <w:tab w:leader="none" w:pos="65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ind w:right="40"/>
        <w:spacing w:after="0" w:line="293" w:lineRule="auto"/>
        <w:rPr>
          <w:sz w:val="20"/>
          <w:szCs w:val="20"/>
          <w:color w:val="auto"/>
        </w:rPr>
      </w:pPr>
      <w:r>
        <w:rPr>
          <w:rFonts w:ascii="Arial" w:cs="Arial" w:eastAsia="Arial" w:hAnsi="Arial"/>
          <w:sz w:val="14"/>
          <w:szCs w:val="14"/>
          <w:color w:val="auto"/>
        </w:rPr>
        <w:t>As of November 1, 2021, there were 194,781,223 shares of the registrant’s Subordinate Voting Shares, 3,965,400 shares of the registrant’s Multiple Voting Shares (on an as converted basis) and 29,503,100 shares of the registrant’s Super Voting Shares (on an as converted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20" w:right="4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color w:val="auto"/>
        </w:rPr>
        <w:t>FINANCIAL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8"/>
          <w:szCs w:val="18"/>
          <w:b w:val="1"/>
          <w:bCs w:val="1"/>
          <w:color w:val="auto"/>
        </w:rPr>
        <w:t>GREEN THUMB INDUSTRIES INC.</w:t>
      </w:r>
    </w:p>
    <w:p>
      <w:pPr>
        <w:spacing w:after="0" w:line="239"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QUARTERLY REPORT ON FORM 10-Q</w:t>
      </w:r>
    </w:p>
    <w:p>
      <w:pPr>
        <w:spacing w:after="0" w:line="239" w:lineRule="exact"/>
        <w:rPr>
          <w:sz w:val="20"/>
          <w:szCs w:val="20"/>
          <w:color w:val="auto"/>
        </w:rPr>
      </w:pPr>
    </w:p>
    <w:p>
      <w:pPr>
        <w:jc w:val="center"/>
        <w:ind w:right="18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39"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55"/>
        </w:trPr>
        <w:tc>
          <w:tcPr>
            <w:tcW w:w="8920" w:type="dxa"/>
            <w:vAlign w:val="bottom"/>
          </w:tcPr>
          <w:p>
            <w:pPr>
              <w:ind w:left="4180"/>
              <w:spacing w:after="0"/>
              <w:rPr>
                <w:sz w:val="20"/>
                <w:szCs w:val="20"/>
                <w:color w:val="auto"/>
              </w:rPr>
            </w:pPr>
            <w:r>
              <w:rPr>
                <w:rFonts w:ascii="Arial" w:cs="Arial" w:eastAsia="Arial" w:hAnsi="Arial"/>
                <w:sz w:val="18"/>
                <w:szCs w:val="18"/>
                <w:b w:val="1"/>
                <w:bCs w:val="1"/>
                <w:color w:val="auto"/>
              </w:rPr>
              <w:t>Part I</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w w:val="99"/>
              </w:rPr>
              <w:t>Unaudited Interim Condensed Consolidated Balance Sheets as of September 30, 2021 and December 31, 2020</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Arial" w:cs="Arial" w:eastAsia="Arial" w:hAnsi="Arial"/>
                <w:sz w:val="18"/>
                <w:szCs w:val="18"/>
                <w:color w:val="auto"/>
                <w:w w:val="91"/>
              </w:rPr>
              <w:t>Unaudited Interim Condensed Consolidated Statements of Operations for the three and nine months ended September 30,</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2021 and 2020</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Arial" w:cs="Arial" w:eastAsia="Arial" w:hAnsi="Arial"/>
                <w:sz w:val="18"/>
                <w:szCs w:val="18"/>
                <w:color w:val="auto"/>
                <w:w w:val="91"/>
              </w:rPr>
              <w:t>Unaudited Interim Condensed Consolidated Statements of Changes in Shareholders’ Equity for the three and nine months</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ended September 30, 2021 and 2020</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920" w:type="dxa"/>
            <w:vAlign w:val="bottom"/>
          </w:tcPr>
          <w:p>
            <w:pPr>
              <w:spacing w:after="0"/>
              <w:rPr>
                <w:sz w:val="20"/>
                <w:szCs w:val="20"/>
                <w:color w:val="auto"/>
              </w:rPr>
            </w:pPr>
            <w:r>
              <w:rPr>
                <w:rFonts w:ascii="Arial" w:cs="Arial" w:eastAsia="Arial" w:hAnsi="Arial"/>
                <w:sz w:val="18"/>
                <w:szCs w:val="18"/>
                <w:color w:val="auto"/>
                <w:w w:val="90"/>
              </w:rPr>
              <w:t>Unaudited Interim Condensed Consolidated Statements of Cash Flows for the nine months ended September 30, 2021 and</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92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Notes to Unaudited Interim Condensed Consolidated Financial Statements</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Quantitative and Qualitative Disclosure About Market Risk</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6"/>
        </w:trPr>
        <w:tc>
          <w:tcPr>
            <w:tcW w:w="8920" w:type="dxa"/>
            <w:vAlign w:val="bottom"/>
          </w:tcPr>
          <w:p>
            <w:pPr>
              <w:ind w:left="4140"/>
              <w:spacing w:after="0"/>
              <w:rPr>
                <w:sz w:val="20"/>
                <w:szCs w:val="20"/>
                <w:color w:val="auto"/>
              </w:rPr>
            </w:pPr>
            <w:r>
              <w:rPr>
                <w:rFonts w:ascii="Arial" w:cs="Arial" w:eastAsia="Arial" w:hAnsi="Arial"/>
                <w:sz w:val="18"/>
                <w:szCs w:val="18"/>
                <w:b w:val="1"/>
                <w:bCs w:val="1"/>
                <w:color w:val="auto"/>
              </w:rPr>
              <w:t>Part II</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70"/>
        </w:trPr>
        <w:tc>
          <w:tcPr>
            <w:tcW w:w="8920" w:type="dxa"/>
            <w:vAlign w:val="bottom"/>
          </w:tcPr>
          <w:p>
            <w:pPr>
              <w:spacing w:after="0"/>
              <w:rPr>
                <w:sz w:val="20"/>
                <w:szCs w:val="20"/>
                <w:color w:val="auto"/>
              </w:rPr>
            </w:pPr>
            <w:r>
              <w:rPr>
                <w:rFonts w:ascii="Arial" w:cs="Arial" w:eastAsia="Arial" w:hAnsi="Arial"/>
                <w:sz w:val="18"/>
                <w:szCs w:val="18"/>
                <w:color w:val="auto"/>
              </w:rPr>
              <w:t>Legal Proceedings</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Risk Factors</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Sale of Unregistered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Defaults Upon Senior Securities</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Mine Safety Disclosure</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Other Information</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8920" w:type="dxa"/>
            <w:vAlign w:val="bottom"/>
          </w:tcPr>
          <w:p>
            <w:pPr>
              <w:spacing w:after="0"/>
              <w:rPr>
                <w:sz w:val="20"/>
                <w:szCs w:val="20"/>
                <w:color w:val="auto"/>
              </w:rPr>
            </w:pPr>
            <w:r>
              <w:rPr>
                <w:rFonts w:ascii="Arial" w:cs="Arial" w:eastAsia="Arial" w:hAnsi="Arial"/>
                <w:sz w:val="18"/>
                <w:szCs w:val="18"/>
                <w:color w:val="auto"/>
              </w:rPr>
              <w:t>Exhibits</w:t>
            </w: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89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-1175385</wp:posOffset>
            </wp:positionH>
            <wp:positionV relativeFrom="paragraph">
              <wp:posOffset>364490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20" w:space="500"/>
            <w:col w:w="9380"/>
          </w:cols>
          <w:pgMar w:left="340" w:top="36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Use of Names</w:t>
      </w:r>
    </w:p>
    <w:p>
      <w:pPr>
        <w:spacing w:after="0" w:line="135" w:lineRule="exact"/>
        <w:rPr>
          <w:sz w:val="20"/>
          <w:szCs w:val="20"/>
          <w:color w:val="auto"/>
        </w:rPr>
      </w:pPr>
    </w:p>
    <w:p>
      <w:pPr>
        <w:ind w:right="300" w:firstLine="509"/>
        <w:spacing w:after="0" w:line="293" w:lineRule="auto"/>
        <w:rPr>
          <w:sz w:val="20"/>
          <w:szCs w:val="20"/>
          <w:color w:val="auto"/>
        </w:rPr>
      </w:pPr>
      <w:r>
        <w:rPr>
          <w:rFonts w:ascii="Arial" w:cs="Arial" w:eastAsia="Arial" w:hAnsi="Arial"/>
          <w:sz w:val="18"/>
          <w:szCs w:val="18"/>
          <w:color w:val="auto"/>
        </w:rPr>
        <w:t>In this Quarterly Report on Form 10-Q, unless the context otherwise requires, the terms “we,” “us,” “our,” “Company,” “Corporation” or “Green Thumb” refer to Green Thumb Industries Inc. together with its wholly-owned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135" w:lineRule="exact"/>
        <w:rPr>
          <w:sz w:val="20"/>
          <w:szCs w:val="20"/>
          <w:color w:val="auto"/>
        </w:rPr>
      </w:pPr>
    </w:p>
    <w:p>
      <w:pPr>
        <w:ind w:right="640" w:firstLine="509"/>
        <w:spacing w:after="0" w:line="293" w:lineRule="auto"/>
        <w:rPr>
          <w:sz w:val="20"/>
          <w:szCs w:val="20"/>
          <w:color w:val="auto"/>
        </w:rPr>
      </w:pPr>
      <w:r>
        <w:rPr>
          <w:rFonts w:ascii="Arial" w:cs="Arial" w:eastAsia="Arial" w:hAnsi="Arial"/>
          <w:sz w:val="18"/>
          <w:szCs w:val="18"/>
          <w:color w:val="auto"/>
        </w:rPr>
        <w:t>Unless otherwise indicated, all references to “$” or “US$” in this document refer to United States dollars, and all references to “C$” refer to Canadian dollars.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35"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 xml:space="preserve">This Quarterly Report on Form 10-Q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“SEC”), and in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federal law, and enforcement of cannabis laws could change; the Company may be subject to action by the U.S. federal government; state regulation of cannabis is uncertain;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lacks access to U.S. bankruptcy protections; the Company operates in a highly regulated sector and may not always succeed in complying fully with applicable regulatory requirements in all jurisdictions where we carry on business; the Company may face difficulties in enforcing its contracts; the Company has limited trademark protection;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 is dependent on the popularity of consumer acceptance of the Company’s brand portfolio; the Company’s business is subject to the risks inherent in agricultural operations; the Company may be adversely impacted by rising or volatile energy costs;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issuances of substantial amounts of Super Voting Shares, Multiple Voting Shares or Subordinate Voting Shares may result in dilution; and the Company is governed by corporate laws in British Columbia, Canada which in some cases have a different effect on shareholders than the corporate laws in Delaware, United States. Further information on these and other potential factors that could affect the Company’s business and financial condition and the results of operations are included in the “Risk Factors” section of the Company’s Annual Report on Form 10-K for the year ended December 31, 2020, and elsewhere in the Company’s filings with the SEC, which are available on the SEC’s website or at </w:t>
      </w:r>
      <w:r>
        <w:rPr>
          <w:rFonts w:ascii="Arial" w:cs="Arial" w:eastAsia="Arial" w:hAnsi="Arial"/>
          <w:sz w:val="16"/>
          <w:szCs w:val="16"/>
          <w:i w:val="1"/>
          <w:iCs w:val="1"/>
          <w:u w:val="single" w:color="auto"/>
          <w:color w:val="auto"/>
        </w:rPr>
        <w:t>https://investors.gtigrows.com</w:t>
      </w:r>
      <w:r>
        <w:rPr>
          <w:rFonts w:ascii="Arial" w:cs="Arial" w:eastAsia="Arial" w:hAnsi="Arial"/>
          <w:sz w:val="16"/>
          <w:szCs w:val="16"/>
          <w:i w:val="1"/>
          <w:iCs w:val="1"/>
          <w:color w:val="auto"/>
        </w:rPr>
        <w:t>.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2021 and December 31,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249"/>
        </w:trPr>
        <w:tc>
          <w:tcPr>
            <w:tcW w:w="8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1"/>
                <w:szCs w:val="21"/>
                <w:color w:val="auto"/>
              </w:rPr>
            </w:pPr>
          </w:p>
        </w:tc>
      </w:tr>
      <w:tr>
        <w:trPr>
          <w:trHeight w:val="196"/>
        </w:trPr>
        <w:tc>
          <w:tcPr>
            <w:tcW w:w="8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w w:val="94"/>
              </w:rPr>
              <w:t>(Audited)</w:t>
            </w:r>
          </w:p>
        </w:tc>
      </w:tr>
      <w:tr>
        <w:trPr>
          <w:trHeight w:val="209"/>
        </w:trPr>
        <w:tc>
          <w:tcPr>
            <w:tcW w:w="8160" w:type="dxa"/>
            <w:vAlign w:val="bottom"/>
            <w:shd w:val="clear" w:color="auto" w:fill="CFF0FC"/>
          </w:tcPr>
          <w:p>
            <w:pPr>
              <w:ind w:left="37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285,792,378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83,757,785</w:t>
            </w:r>
          </w:p>
        </w:tc>
        <w:tc>
          <w:tcPr>
            <w:tcW w:w="100" w:type="dxa"/>
            <w:vAlign w:val="bottom"/>
            <w:shd w:val="clear" w:color="auto" w:fill="CFF0FC"/>
          </w:tcPr>
          <w:p>
            <w:pPr>
              <w:spacing w:after="0"/>
              <w:rPr>
                <w:sz w:val="18"/>
                <w:szCs w:val="18"/>
                <w:color w:val="auto"/>
              </w:rPr>
            </w:pPr>
          </w:p>
        </w:tc>
      </w:tr>
      <w:tr>
        <w:trPr>
          <w:trHeight w:val="196"/>
        </w:trPr>
        <w:tc>
          <w:tcPr>
            <w:tcW w:w="8160" w:type="dxa"/>
            <w:vAlign w:val="bottom"/>
          </w:tcPr>
          <w:p>
            <w:pPr>
              <w:ind w:left="20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25,484,379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21,414,987</w:t>
            </w:r>
          </w:p>
        </w:tc>
        <w:tc>
          <w:tcPr>
            <w:tcW w:w="100" w:type="dxa"/>
            <w:vAlign w:val="bottom"/>
          </w:tcPr>
          <w:p>
            <w:pPr>
              <w:spacing w:after="0"/>
              <w:rPr>
                <w:sz w:val="17"/>
                <w:szCs w:val="17"/>
                <w:color w:val="auto"/>
              </w:rPr>
            </w:pPr>
          </w:p>
        </w:tc>
      </w:tr>
      <w:tr>
        <w:trPr>
          <w:trHeight w:val="209"/>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92,981,561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69,542,953</w:t>
            </w:r>
          </w:p>
        </w:tc>
        <w:tc>
          <w:tcPr>
            <w:tcW w:w="100" w:type="dxa"/>
            <w:vAlign w:val="bottom"/>
            <w:shd w:val="clear" w:color="auto" w:fill="CFF0FC"/>
          </w:tcPr>
          <w:p>
            <w:pPr>
              <w:spacing w:after="0"/>
              <w:rPr>
                <w:sz w:val="18"/>
                <w:szCs w:val="18"/>
                <w:color w:val="auto"/>
              </w:rPr>
            </w:pPr>
          </w:p>
        </w:tc>
      </w:tr>
      <w:tr>
        <w:trPr>
          <w:trHeight w:val="196"/>
        </w:trPr>
        <w:tc>
          <w:tcPr>
            <w:tcW w:w="8160" w:type="dxa"/>
            <w:vAlign w:val="bottom"/>
          </w:tcPr>
          <w:p>
            <w:pPr>
              <w:ind w:left="200"/>
              <w:spacing w:after="0"/>
              <w:rPr>
                <w:sz w:val="20"/>
                <w:szCs w:val="20"/>
                <w:color w:val="auto"/>
              </w:rPr>
            </w:pPr>
            <w:r>
              <w:rPr>
                <w:rFonts w:ascii="Arial" w:cs="Arial" w:eastAsia="Arial" w:hAnsi="Arial"/>
                <w:sz w:val="14"/>
                <w:szCs w:val="14"/>
                <w:color w:val="auto"/>
              </w:rPr>
              <w:t>Prepaid Expenses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11,159,708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6,445,393</w:t>
            </w:r>
          </w:p>
        </w:tc>
        <w:tc>
          <w:tcPr>
            <w:tcW w:w="100" w:type="dxa"/>
            <w:vAlign w:val="bottom"/>
          </w:tcPr>
          <w:p>
            <w:pPr>
              <w:spacing w:after="0"/>
              <w:rPr>
                <w:sz w:val="17"/>
                <w:szCs w:val="17"/>
                <w:color w:val="auto"/>
              </w:rPr>
            </w:pPr>
          </w:p>
        </w:tc>
      </w:tr>
      <w:tr>
        <w:trPr>
          <w:trHeight w:val="209"/>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5,333,213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2,782,887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0"/>
        </w:trPr>
        <w:tc>
          <w:tcPr>
            <w:tcW w:w="8160" w:type="dxa"/>
            <w:vAlign w:val="bottom"/>
          </w:tcPr>
          <w:p>
            <w:pPr>
              <w:ind w:left="38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420,751,239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183,944,005</w:t>
            </w:r>
          </w:p>
        </w:tc>
        <w:tc>
          <w:tcPr>
            <w:tcW w:w="100" w:type="dxa"/>
            <w:vAlign w:val="bottom"/>
          </w:tcPr>
          <w:p>
            <w:pPr>
              <w:spacing w:after="0"/>
              <w:rPr>
                <w:sz w:val="16"/>
                <w:szCs w:val="16"/>
                <w:color w:val="auto"/>
              </w:rPr>
            </w:pPr>
          </w:p>
        </w:tc>
      </w:tr>
      <w:tr>
        <w:trPr>
          <w:trHeight w:val="208"/>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325,302,931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189,925,877</w:t>
            </w: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Right of Use Assets, Net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174,140,812</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140,382,781</w:t>
            </w: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50,627,826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40,794,806</w:t>
            </w: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Investment in Associate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30,067,409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12,669,963</w:t>
            </w: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549,184,352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406,242,034</w:t>
            </w: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597,483,954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382,697,467</w:t>
            </w:r>
          </w:p>
        </w:tc>
        <w:tc>
          <w:tcPr>
            <w:tcW w:w="100" w:type="dxa"/>
            <w:vAlign w:val="bottom"/>
          </w:tcPr>
          <w:p>
            <w:pPr>
              <w:spacing w:after="0"/>
              <w:rPr>
                <w:sz w:val="17"/>
                <w:szCs w:val="17"/>
                <w:color w:val="auto"/>
              </w:rPr>
            </w:pPr>
          </w:p>
        </w:tc>
      </w:tr>
      <w:tr>
        <w:trPr>
          <w:trHeight w:val="208"/>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Deposits and 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2,870,954</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1,892,229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2,150,429,477</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1,358,549,162</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60" w:type="dxa"/>
            <w:vAlign w:val="bottom"/>
            <w:shd w:val="clear" w:color="auto" w:fill="CFF0FC"/>
          </w:tcPr>
          <w:p>
            <w:pPr>
              <w:ind w:left="2440"/>
              <w:spacing w:after="0"/>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816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9,811,144</w:t>
            </w:r>
          </w:p>
        </w:tc>
        <w:tc>
          <w:tcPr>
            <w:tcW w:w="28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20,503,572</w:t>
            </w:r>
          </w:p>
        </w:tc>
        <w:tc>
          <w:tcPr>
            <w:tcW w:w="100" w:type="dxa"/>
            <w:vAlign w:val="bottom"/>
          </w:tcPr>
          <w:p>
            <w:pPr>
              <w:spacing w:after="0"/>
              <w:rPr>
                <w:sz w:val="17"/>
                <w:szCs w:val="17"/>
                <w:color w:val="auto"/>
              </w:rPr>
            </w:pPr>
          </w:p>
        </w:tc>
      </w:tr>
      <w:tr>
        <w:trPr>
          <w:trHeight w:val="209"/>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78,700,095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56,288,729</w:t>
            </w: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0"/>
              <w:spacing w:after="0"/>
              <w:rPr>
                <w:sz w:val="20"/>
                <w:szCs w:val="20"/>
                <w:color w:val="auto"/>
              </w:rPr>
            </w:pPr>
            <w:r>
              <w:rPr>
                <w:rFonts w:ascii="Arial" w:cs="Arial" w:eastAsia="Arial" w:hAnsi="Arial"/>
                <w:sz w:val="14"/>
                <w:szCs w:val="14"/>
                <w:color w:val="auto"/>
              </w:rPr>
              <w:t>Current Portion of Notes Payable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777,275</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341,983</w:t>
            </w: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Lease Liabilities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7,604,460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3,862,110</w:t>
            </w:r>
          </w:p>
        </w:tc>
        <w:tc>
          <w:tcPr>
            <w:tcW w:w="100" w:type="dxa"/>
            <w:vAlign w:val="bottom"/>
            <w:shd w:val="clear" w:color="auto" w:fill="CFF0FC"/>
          </w:tcPr>
          <w:p>
            <w:pPr>
              <w:spacing w:after="0"/>
              <w:rPr>
                <w:sz w:val="18"/>
                <w:szCs w:val="18"/>
                <w:color w:val="auto"/>
              </w:rPr>
            </w:pPr>
          </w:p>
        </w:tc>
      </w:tr>
      <w:tr>
        <w:trPr>
          <w:trHeight w:val="196"/>
        </w:trPr>
        <w:tc>
          <w:tcPr>
            <w:tcW w:w="8160" w:type="dxa"/>
            <w:vAlign w:val="bottom"/>
          </w:tcPr>
          <w:p>
            <w:pPr>
              <w:ind w:left="200"/>
              <w:spacing w:after="0"/>
              <w:rPr>
                <w:sz w:val="20"/>
                <w:szCs w:val="20"/>
                <w:color w:val="auto"/>
              </w:rPr>
            </w:pPr>
            <w:r>
              <w:rPr>
                <w:rFonts w:ascii="Arial" w:cs="Arial" w:eastAsia="Arial" w:hAnsi="Arial"/>
                <w:sz w:val="14"/>
                <w:szCs w:val="14"/>
                <w:color w:val="auto"/>
              </w:rPr>
              <w:t>Contingent Consideration Payable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68,148,188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22,150,000</w:t>
            </w:r>
          </w:p>
        </w:tc>
        <w:tc>
          <w:tcPr>
            <w:tcW w:w="100" w:type="dxa"/>
            <w:vAlign w:val="bottom"/>
          </w:tcPr>
          <w:p>
            <w:pPr>
              <w:spacing w:after="0"/>
              <w:rPr>
                <w:sz w:val="17"/>
                <w:szCs w:val="17"/>
                <w:color w:val="auto"/>
              </w:rPr>
            </w:pPr>
          </w:p>
        </w:tc>
      </w:tr>
      <w:tr>
        <w:trPr>
          <w:trHeight w:val="209"/>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Income Tax Payable</w:t>
            </w: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260,621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16,142,041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0"/>
        </w:trPr>
        <w:tc>
          <w:tcPr>
            <w:tcW w:w="8160" w:type="dxa"/>
            <w:vAlign w:val="bottom"/>
          </w:tcPr>
          <w:p>
            <w:pPr>
              <w:ind w:left="380"/>
              <w:spacing w:after="0"/>
              <w:rPr>
                <w:sz w:val="20"/>
                <w:szCs w:val="20"/>
                <w:color w:val="auto"/>
              </w:rPr>
            </w:pPr>
            <w:r>
              <w:rPr>
                <w:rFonts w:ascii="Arial" w:cs="Arial" w:eastAsia="Arial" w:hAnsi="Arial"/>
                <w:sz w:val="14"/>
                <w:szCs w:val="14"/>
                <w:b w:val="1"/>
                <w:bCs w:val="1"/>
                <w:color w:val="auto"/>
              </w:rPr>
              <w:t>Total Current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165,301,783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119,288,435</w:t>
            </w:r>
          </w:p>
        </w:tc>
        <w:tc>
          <w:tcPr>
            <w:tcW w:w="100" w:type="dxa"/>
            <w:vAlign w:val="bottom"/>
          </w:tcPr>
          <w:p>
            <w:pPr>
              <w:spacing w:after="0"/>
              <w:rPr>
                <w:sz w:val="16"/>
                <w:szCs w:val="16"/>
                <w:color w:val="auto"/>
              </w:rPr>
            </w:pPr>
          </w:p>
        </w:tc>
      </w:tr>
      <w:tr>
        <w:trPr>
          <w:trHeight w:val="208"/>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Long-Term Liabilities: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0"/>
              <w:spacing w:after="0"/>
              <w:rPr>
                <w:sz w:val="20"/>
                <w:szCs w:val="20"/>
                <w:color w:val="auto"/>
              </w:rPr>
            </w:pPr>
            <w:r>
              <w:rPr>
                <w:rFonts w:ascii="Arial" w:cs="Arial" w:eastAsia="Arial" w:hAnsi="Arial"/>
                <w:sz w:val="14"/>
                <w:szCs w:val="14"/>
                <w:color w:val="auto"/>
              </w:rPr>
              <w:t>Lease Liabilities, Net of Current Portion</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180,857,800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146,426,760</w:t>
            </w: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Notes Payable, Net of Current Portion and Debt Discount</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205,760,797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98,712,996</w:t>
            </w: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0"/>
              <w:spacing w:after="0"/>
              <w:rPr>
                <w:sz w:val="20"/>
                <w:szCs w:val="20"/>
                <w:color w:val="auto"/>
              </w:rPr>
            </w:pPr>
            <w:r>
              <w:rPr>
                <w:rFonts w:ascii="Arial" w:cs="Arial" w:eastAsia="Arial" w:hAnsi="Arial"/>
                <w:sz w:val="14"/>
                <w:szCs w:val="14"/>
                <w:color w:val="auto"/>
              </w:rPr>
              <w:t>Contingent Consideration Payable</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39,876,234</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4,950,000</w:t>
            </w: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Warrant Liability</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34,003,000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39,454,000</w:t>
            </w:r>
          </w:p>
        </w:tc>
        <w:tc>
          <w:tcPr>
            <w:tcW w:w="100" w:type="dxa"/>
            <w:vAlign w:val="bottom"/>
            <w:shd w:val="clear" w:color="auto" w:fill="CFF0FC"/>
          </w:tcPr>
          <w:p>
            <w:pPr>
              <w:spacing w:after="0"/>
              <w:rPr>
                <w:sz w:val="18"/>
                <w:szCs w:val="18"/>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79,515,045</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35,557,630</w:t>
            </w:r>
          </w:p>
        </w:tc>
        <w:tc>
          <w:tcPr>
            <w:tcW w:w="100" w:type="dxa"/>
            <w:vAlign w:val="bottom"/>
          </w:tcPr>
          <w:p>
            <w:pPr>
              <w:spacing w:after="0"/>
              <w:rPr>
                <w:sz w:val="17"/>
                <w:szCs w:val="17"/>
                <w:color w:val="auto"/>
              </w:rPr>
            </w:pPr>
          </w:p>
        </w:tc>
      </w:tr>
      <w:tr>
        <w:trPr>
          <w:trHeight w:val="196"/>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705,314,659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444,389,821</w:t>
            </w:r>
          </w:p>
        </w:tc>
        <w:tc>
          <w:tcPr>
            <w:tcW w:w="100" w:type="dxa"/>
            <w:vAlign w:val="bottom"/>
            <w:shd w:val="clear" w:color="auto" w:fill="CFF0FC"/>
          </w:tcPr>
          <w:p>
            <w:pPr>
              <w:spacing w:after="0"/>
              <w:rPr>
                <w:sz w:val="17"/>
                <w:szCs w:val="17"/>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 HOLDERS' EQUITY</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84"/>
        </w:trPr>
        <w:tc>
          <w:tcPr>
            <w:tcW w:w="8160" w:type="dxa"/>
            <w:vAlign w:val="bottom"/>
          </w:tcPr>
          <w:p>
            <w:pPr>
              <w:ind w:left="20"/>
              <w:spacing w:after="0"/>
              <w:rPr>
                <w:sz w:val="20"/>
                <w:szCs w:val="20"/>
                <w:color w:val="auto"/>
              </w:rPr>
            </w:pPr>
            <w:r>
              <w:rPr>
                <w:rFonts w:ascii="Arial" w:cs="Arial" w:eastAsia="Arial" w:hAnsi="Arial"/>
                <w:sz w:val="14"/>
                <w:szCs w:val="14"/>
                <w:color w:val="auto"/>
              </w:rPr>
              <w:t>Subordinate Voting Shares (Shares Authorized, Issued and Outstanding at September 30, 2021:</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160" w:type="dxa"/>
            <w:vAlign w:val="bottom"/>
          </w:tcPr>
          <w:p>
            <w:pPr>
              <w:ind w:left="120"/>
              <w:spacing w:after="0"/>
              <w:rPr>
                <w:sz w:val="20"/>
                <w:szCs w:val="20"/>
                <w:color w:val="auto"/>
              </w:rPr>
            </w:pPr>
            <w:r>
              <w:rPr>
                <w:rFonts w:ascii="Arial" w:cs="Arial" w:eastAsia="Arial" w:hAnsi="Arial"/>
                <w:sz w:val="14"/>
                <w:szCs w:val="14"/>
                <w:color w:val="auto"/>
              </w:rPr>
              <w:t>Unlimited, 194,383,883, and 194,383,883, respectively, at December 31, 2020:</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8160" w:type="dxa"/>
            <w:vAlign w:val="bottom"/>
          </w:tcPr>
          <w:p>
            <w:pPr>
              <w:ind w:left="120"/>
              <w:spacing w:after="0"/>
              <w:rPr>
                <w:sz w:val="20"/>
                <w:szCs w:val="20"/>
                <w:color w:val="auto"/>
              </w:rPr>
            </w:pPr>
            <w:r>
              <w:rPr>
                <w:rFonts w:ascii="Arial" w:cs="Arial" w:eastAsia="Arial" w:hAnsi="Arial"/>
                <w:sz w:val="14"/>
                <w:szCs w:val="14"/>
                <w:color w:val="auto"/>
              </w:rPr>
              <w:t>Unlimited, 178,113,221, and 178,113,221, respectively)</w:t>
            </w:r>
          </w:p>
        </w:tc>
        <w:tc>
          <w:tcPr>
            <w:tcW w:w="16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8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Multiple Voting Shares (Shares Authorized, Issued and Outstanding at September 30, 2021:</w:t>
            </w: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76"/>
        </w:trPr>
        <w:tc>
          <w:tcPr>
            <w:tcW w:w="8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Unlimited, 39,654 and 39,654, respectively, at December 31, 2020:</w:t>
            </w:r>
          </w:p>
        </w:tc>
        <w:tc>
          <w:tcPr>
            <w:tcW w:w="1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4"/>
        </w:trPr>
        <w:tc>
          <w:tcPr>
            <w:tcW w:w="81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Unlimited, 40,289 and 40,289, respectively)</w:t>
            </w:r>
          </w:p>
        </w:tc>
        <w:tc>
          <w:tcPr>
            <w:tcW w:w="1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4"/>
        </w:trPr>
        <w:tc>
          <w:tcPr>
            <w:tcW w:w="8160" w:type="dxa"/>
            <w:vAlign w:val="bottom"/>
          </w:tcPr>
          <w:p>
            <w:pPr>
              <w:ind w:left="20"/>
              <w:spacing w:after="0"/>
              <w:rPr>
                <w:sz w:val="20"/>
                <w:szCs w:val="20"/>
                <w:color w:val="auto"/>
              </w:rPr>
            </w:pPr>
            <w:r>
              <w:rPr>
                <w:rFonts w:ascii="Arial" w:cs="Arial" w:eastAsia="Arial" w:hAnsi="Arial"/>
                <w:sz w:val="14"/>
                <w:szCs w:val="14"/>
                <w:color w:val="auto"/>
              </w:rPr>
              <w:t>Super Voting Shares (Shares Authorized, Issued and Outstanding at September 30, 2021:</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8160" w:type="dxa"/>
            <w:vAlign w:val="bottom"/>
          </w:tcPr>
          <w:p>
            <w:pPr>
              <w:ind w:left="120"/>
              <w:spacing w:after="0"/>
              <w:rPr>
                <w:sz w:val="20"/>
                <w:szCs w:val="20"/>
                <w:color w:val="auto"/>
              </w:rPr>
            </w:pPr>
            <w:r>
              <w:rPr>
                <w:rFonts w:ascii="Arial" w:cs="Arial" w:eastAsia="Arial" w:hAnsi="Arial"/>
                <w:sz w:val="14"/>
                <w:szCs w:val="14"/>
                <w:color w:val="auto"/>
              </w:rPr>
              <w:t>Unlimited, 295,031 and 295,031, respectively, at December 31, 2020:</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8"/>
        </w:trPr>
        <w:tc>
          <w:tcPr>
            <w:tcW w:w="8160" w:type="dxa"/>
            <w:vAlign w:val="bottom"/>
          </w:tcPr>
          <w:p>
            <w:pPr>
              <w:ind w:left="120"/>
              <w:spacing w:after="0"/>
              <w:rPr>
                <w:sz w:val="20"/>
                <w:szCs w:val="20"/>
                <w:color w:val="auto"/>
              </w:rPr>
            </w:pPr>
            <w:r>
              <w:rPr>
                <w:rFonts w:ascii="Arial" w:cs="Arial" w:eastAsia="Arial" w:hAnsi="Arial"/>
                <w:sz w:val="14"/>
                <w:szCs w:val="14"/>
                <w:color w:val="auto"/>
              </w:rPr>
              <w:t>Unlimited, 312,031 and 312,031, respectively)</w:t>
            </w:r>
          </w:p>
        </w:tc>
        <w:tc>
          <w:tcPr>
            <w:tcW w:w="160" w:type="dxa"/>
            <w:vAlign w:val="bottom"/>
          </w:tcPr>
          <w:p>
            <w:pPr>
              <w:spacing w:after="0"/>
              <w:rPr>
                <w:sz w:val="16"/>
                <w:szCs w:val="16"/>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08"/>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 Capital</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1,500,863,236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1,048,640,398</w:t>
            </w:r>
          </w:p>
        </w:tc>
        <w:tc>
          <w:tcPr>
            <w:tcW w:w="100" w:type="dxa"/>
            <w:vAlign w:val="bottom"/>
            <w:shd w:val="clear" w:color="auto" w:fill="CFF0FC"/>
          </w:tcPr>
          <w:p>
            <w:pPr>
              <w:spacing w:after="0"/>
              <w:rPr>
                <w:sz w:val="18"/>
                <w:szCs w:val="18"/>
                <w:color w:val="auto"/>
              </w:rPr>
            </w:pPr>
          </w:p>
        </w:tc>
      </w:tr>
      <w:tr>
        <w:trPr>
          <w:trHeight w:val="197"/>
        </w:trPr>
        <w:tc>
          <w:tcPr>
            <w:tcW w:w="8160" w:type="dxa"/>
            <w:vAlign w:val="bottom"/>
          </w:tcPr>
          <w:p>
            <w:pPr>
              <w:ind w:left="200"/>
              <w:spacing w:after="0"/>
              <w:rPr>
                <w:sz w:val="20"/>
                <w:szCs w:val="20"/>
                <w:color w:val="auto"/>
              </w:rPr>
            </w:pPr>
            <w:r>
              <w:rPr>
                <w:rFonts w:ascii="Arial" w:cs="Arial" w:eastAsia="Arial" w:hAnsi="Arial"/>
                <w:sz w:val="14"/>
                <w:szCs w:val="14"/>
                <w:color w:val="auto"/>
              </w:rPr>
              <w:t>Contributed Surplus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8,578,127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4,893,153</w:t>
            </w:r>
          </w:p>
        </w:tc>
        <w:tc>
          <w:tcPr>
            <w:tcW w:w="100" w:type="dxa"/>
            <w:vAlign w:val="bottom"/>
          </w:tcPr>
          <w:p>
            <w:pPr>
              <w:spacing w:after="0"/>
              <w:rPr>
                <w:sz w:val="17"/>
                <w:szCs w:val="17"/>
                <w:color w:val="auto"/>
              </w:rPr>
            </w:pPr>
          </w:p>
        </w:tc>
      </w:tr>
      <w:tr>
        <w:trPr>
          <w:trHeight w:val="208"/>
        </w:trPr>
        <w:tc>
          <w:tcPr>
            <w:tcW w:w="8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Share Issuances</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28,645,809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2,587,317</w:t>
            </w:r>
          </w:p>
        </w:tc>
        <w:tc>
          <w:tcPr>
            <w:tcW w:w="100" w:type="dxa"/>
            <w:vAlign w:val="bottom"/>
            <w:shd w:val="clear" w:color="auto" w:fill="CFF0FC"/>
          </w:tcPr>
          <w:p>
            <w:pPr>
              <w:spacing w:after="0"/>
              <w:rPr>
                <w:sz w:val="18"/>
                <w:szCs w:val="18"/>
                <w:color w:val="auto"/>
              </w:rPr>
            </w:pPr>
          </w:p>
        </w:tc>
      </w:tr>
      <w:tr>
        <w:trPr>
          <w:trHeight w:val="203"/>
        </w:trPr>
        <w:tc>
          <w:tcPr>
            <w:tcW w:w="816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1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(92,868,812 )</w:t>
            </w:r>
          </w:p>
        </w:tc>
        <w:tc>
          <w:tcPr>
            <w:tcW w:w="16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(145,498,623 )</w:t>
            </w:r>
          </w:p>
        </w:tc>
      </w:tr>
      <w:tr>
        <w:trPr>
          <w:trHeight w:val="196"/>
        </w:trPr>
        <w:tc>
          <w:tcPr>
            <w:tcW w:w="8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Equity of Green Thumb Industries Inc.</w:t>
            </w:r>
          </w:p>
        </w:tc>
        <w:tc>
          <w:tcPr>
            <w:tcW w:w="1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1,445,218,360</w:t>
            </w:r>
          </w:p>
        </w:tc>
        <w:tc>
          <w:tcPr>
            <w:tcW w:w="2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910,622,245</w:t>
            </w:r>
          </w:p>
        </w:tc>
        <w:tc>
          <w:tcPr>
            <w:tcW w:w="100" w:type="dxa"/>
            <w:vAlign w:val="bottom"/>
            <w:shd w:val="clear" w:color="auto" w:fill="CFF0FC"/>
          </w:tcPr>
          <w:p>
            <w:pPr>
              <w:spacing w:after="0"/>
              <w:rPr>
                <w:sz w:val="17"/>
                <w:szCs w:val="17"/>
                <w:color w:val="auto"/>
              </w:rPr>
            </w:pPr>
          </w:p>
        </w:tc>
      </w:tr>
      <w:tr>
        <w:trPr>
          <w:trHeight w:val="203"/>
        </w:trPr>
        <w:tc>
          <w:tcPr>
            <w:tcW w:w="8160" w:type="dxa"/>
            <w:vAlign w:val="bottom"/>
          </w:tcPr>
          <w:p>
            <w:pPr>
              <w:ind w:left="380"/>
              <w:spacing w:after="0"/>
              <w:rPr>
                <w:sz w:val="20"/>
                <w:szCs w:val="20"/>
                <w:color w:val="auto"/>
              </w:rPr>
            </w:pPr>
            <w:r>
              <w:rPr>
                <w:rFonts w:ascii="Arial" w:cs="Arial" w:eastAsia="Arial" w:hAnsi="Arial"/>
                <w:sz w:val="14"/>
                <w:szCs w:val="14"/>
                <w:color w:val="auto"/>
              </w:rPr>
              <w:t>Noncontrolling interests</w:t>
            </w:r>
          </w:p>
        </w:tc>
        <w:tc>
          <w:tcPr>
            <w:tcW w:w="1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(103,542 )</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3,537,096</w:t>
            </w:r>
          </w:p>
        </w:tc>
        <w:tc>
          <w:tcPr>
            <w:tcW w:w="100" w:type="dxa"/>
            <w:vAlign w:val="bottom"/>
          </w:tcPr>
          <w:p>
            <w:pPr>
              <w:spacing w:after="0"/>
              <w:rPr>
                <w:sz w:val="17"/>
                <w:szCs w:val="17"/>
                <w:color w:val="auto"/>
              </w:rPr>
            </w:pPr>
          </w:p>
        </w:tc>
      </w:tr>
      <w:tr>
        <w:trPr>
          <w:trHeight w:val="196"/>
        </w:trPr>
        <w:tc>
          <w:tcPr>
            <w:tcW w:w="8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1,445,114,818</w:t>
            </w:r>
          </w:p>
        </w:tc>
        <w:tc>
          <w:tcPr>
            <w:tcW w:w="2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914,159,341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SHAREHOLDERS' EQUITY</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2,150,429,477</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1,358,549,162</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-5791200</wp:posOffset>
            </wp:positionV>
            <wp:extent cx="1714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-5791200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-4754245</wp:posOffset>
            </wp:positionV>
            <wp:extent cx="17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-4754245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-3434080</wp:posOffset>
            </wp:positionV>
            <wp:extent cx="17145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-3434080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17145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140" w:type="dxa"/>
            <w:vAlign w:val="bottom"/>
          </w:tcPr>
          <w:p>
            <w:pPr>
              <w:spacing w:after="0"/>
              <w:rPr>
                <w:sz w:val="17"/>
                <w:szCs w:val="17"/>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14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net of discounts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$233,676,881</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$157,103,841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$649,979,277</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$379,346,367</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Cost of Goods Sold, net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(104,159,371)</w:t>
            </w:r>
          </w:p>
        </w:tc>
        <w:tc>
          <w:tcPr>
            <w:tcW w:w="18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(70,146,676)</w:t>
            </w:r>
          </w:p>
        </w:tc>
        <w:tc>
          <w:tcPr>
            <w:tcW w:w="18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(286,685,443)</w:t>
            </w:r>
          </w:p>
        </w:tc>
        <w:tc>
          <w:tcPr>
            <w:tcW w:w="1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(175,707,874)</w:t>
            </w: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129,517,510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86,957,165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363,293,834</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203,638,493</w:t>
            </w:r>
          </w:p>
        </w:tc>
        <w:tc>
          <w:tcPr>
            <w:tcW w:w="0" w:type="dxa"/>
            <w:vAlign w:val="bottom"/>
          </w:tcPr>
          <w:p>
            <w:pPr>
              <w:spacing w:after="0"/>
              <w:rPr>
                <w:sz w:val="1"/>
                <w:szCs w:val="1"/>
                <w:color w:val="auto"/>
              </w:rPr>
            </w:pPr>
          </w:p>
        </w:tc>
      </w:tr>
      <w:tr>
        <w:trPr>
          <w:trHeight w:val="243"/>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Expenses:</w:t>
            </w:r>
          </w:p>
        </w:tc>
        <w:tc>
          <w:tcPr>
            <w:tcW w:w="140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71,448,927</w:t>
            </w: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49,745,979</w:t>
            </w:r>
          </w:p>
        </w:tc>
        <w:tc>
          <w:tcPr>
            <w:tcW w:w="1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202,835,651</w:t>
            </w:r>
          </w:p>
        </w:tc>
        <w:tc>
          <w:tcPr>
            <w:tcW w:w="1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144,823,947</w:t>
            </w:r>
          </w:p>
        </w:tc>
        <w:tc>
          <w:tcPr>
            <w:tcW w:w="0" w:type="dxa"/>
            <w:vAlign w:val="bottom"/>
          </w:tcPr>
          <w:p>
            <w:pPr>
              <w:spacing w:after="0"/>
              <w:rPr>
                <w:sz w:val="1"/>
                <w:szCs w:val="1"/>
                <w:color w:val="auto"/>
              </w:rPr>
            </w:pPr>
          </w:p>
        </w:tc>
      </w:tr>
      <w:tr>
        <w:trPr>
          <w:trHeight w:val="250"/>
        </w:trPr>
        <w:tc>
          <w:tcPr>
            <w:tcW w:w="5140" w:type="dxa"/>
            <w:vAlign w:val="bottom"/>
          </w:tcPr>
          <w:p>
            <w:pPr>
              <w:ind w:left="380"/>
              <w:spacing w:after="0"/>
              <w:rPr>
                <w:sz w:val="20"/>
                <w:szCs w:val="20"/>
                <w:color w:val="auto"/>
              </w:rPr>
            </w:pPr>
            <w:r>
              <w:rPr>
                <w:rFonts w:ascii="Arial" w:cs="Arial" w:eastAsia="Arial" w:hAnsi="Arial"/>
                <w:sz w:val="18"/>
                <w:szCs w:val="18"/>
                <w:b w:val="1"/>
                <w:bCs w:val="1"/>
                <w:color w:val="auto"/>
              </w:rPr>
              <w:t>Total Expenses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71,448,927</w:t>
            </w:r>
          </w:p>
        </w:tc>
        <w:tc>
          <w:tcPr>
            <w:tcW w:w="18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49,745,979</w:t>
            </w:r>
          </w:p>
        </w:tc>
        <w:tc>
          <w:tcPr>
            <w:tcW w:w="1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202,835,651</w:t>
            </w:r>
          </w:p>
        </w:tc>
        <w:tc>
          <w:tcPr>
            <w:tcW w:w="1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144,823,947</w:t>
            </w: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58,068,583</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37,211,186</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160,458,183</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58,814,546</w:t>
            </w:r>
          </w:p>
        </w:tc>
        <w:tc>
          <w:tcPr>
            <w:tcW w:w="0" w:type="dxa"/>
            <w:vAlign w:val="bottom"/>
          </w:tcPr>
          <w:p>
            <w:pPr>
              <w:spacing w:after="0"/>
              <w:rPr>
                <w:sz w:val="1"/>
                <w:szCs w:val="1"/>
                <w:color w:val="auto"/>
              </w:rPr>
            </w:pPr>
          </w:p>
        </w:tc>
      </w:tr>
      <w:tr>
        <w:trPr>
          <w:trHeight w:val="243"/>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140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net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8,124,613</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6,432,883</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9,805,073</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7,501,566</w:t>
            </w:r>
          </w:p>
        </w:tc>
        <w:tc>
          <w:tcPr>
            <w:tcW w:w="0" w:type="dxa"/>
            <w:vAlign w:val="bottom"/>
          </w:tcPr>
          <w:p>
            <w:pPr>
              <w:spacing w:after="0"/>
              <w:rPr>
                <w:sz w:val="1"/>
                <w:szCs w:val="1"/>
                <w:color w:val="auto"/>
              </w:rPr>
            </w:pPr>
          </w:p>
        </w:tc>
      </w:tr>
      <w:tr>
        <w:trPr>
          <w:trHeight w:val="250"/>
        </w:trPr>
        <w:tc>
          <w:tcPr>
            <w:tcW w:w="514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400" w:type="dxa"/>
            <w:vAlign w:val="bottom"/>
          </w:tcPr>
          <w:p>
            <w:pPr>
              <w:jc w:val="right"/>
              <w:spacing w:after="0"/>
              <w:rPr>
                <w:sz w:val="20"/>
                <w:szCs w:val="20"/>
                <w:color w:val="auto"/>
              </w:rPr>
            </w:pPr>
            <w:r>
              <w:rPr>
                <w:rFonts w:ascii="Arial" w:cs="Arial" w:eastAsia="Arial" w:hAnsi="Arial"/>
                <w:sz w:val="18"/>
                <w:szCs w:val="18"/>
                <w:color w:val="auto"/>
              </w:rPr>
              <w:t>328,018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5,397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673,598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109,922</w:t>
            </w: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(7,616,449)</w:t>
            </w:r>
          </w:p>
        </w:tc>
        <w:tc>
          <w:tcPr>
            <w:tcW w:w="18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(4,460,125)</w:t>
            </w:r>
          </w:p>
        </w:tc>
        <w:tc>
          <w:tcPr>
            <w:tcW w:w="18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(16,419,420)</w:t>
            </w:r>
          </w:p>
        </w:tc>
        <w:tc>
          <w:tcPr>
            <w:tcW w:w="16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(14,236,475)</w:t>
            </w:r>
          </w:p>
        </w:tc>
        <w:tc>
          <w:tcPr>
            <w:tcW w:w="0" w:type="dxa"/>
            <w:vAlign w:val="bottom"/>
          </w:tcPr>
          <w:p>
            <w:pPr>
              <w:spacing w:after="0"/>
              <w:rPr>
                <w:sz w:val="1"/>
                <w:szCs w:val="1"/>
                <w:color w:val="auto"/>
              </w:rPr>
            </w:pPr>
          </w:p>
        </w:tc>
      </w:tr>
      <w:tr>
        <w:trPr>
          <w:trHeight w:val="250"/>
        </w:trPr>
        <w:tc>
          <w:tcPr>
            <w:tcW w:w="5140" w:type="dxa"/>
            <w:vAlign w:val="bottom"/>
          </w:tcPr>
          <w:p>
            <w:pPr>
              <w:ind w:left="380"/>
              <w:spacing w:after="0"/>
              <w:rPr>
                <w:sz w:val="20"/>
                <w:szCs w:val="20"/>
                <w:color w:val="auto"/>
              </w:rPr>
            </w:pPr>
            <w:r>
              <w:rPr>
                <w:rFonts w:ascii="Arial" w:cs="Arial" w:eastAsia="Arial" w:hAnsi="Arial"/>
                <w:sz w:val="18"/>
                <w:szCs w:val="18"/>
                <w:b w:val="1"/>
                <w:bCs w:val="1"/>
                <w:color w:val="auto"/>
              </w:rPr>
              <w:t>Total Other Income (Expense)</w:t>
            </w:r>
          </w:p>
        </w:tc>
        <w:tc>
          <w:tcPr>
            <w:tcW w:w="1400" w:type="dxa"/>
            <w:vAlign w:val="bottom"/>
          </w:tcPr>
          <w:p>
            <w:pPr>
              <w:jc w:val="right"/>
              <w:spacing w:after="0"/>
              <w:rPr>
                <w:sz w:val="20"/>
                <w:szCs w:val="20"/>
                <w:color w:val="auto"/>
              </w:rPr>
            </w:pPr>
            <w:r>
              <w:rPr>
                <w:rFonts w:ascii="Arial" w:cs="Arial" w:eastAsia="Arial" w:hAnsi="Arial"/>
                <w:sz w:val="18"/>
                <w:szCs w:val="18"/>
                <w:color w:val="auto"/>
              </w:rPr>
              <w:t>836,182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1,978,155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(5,940,749)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(6,624,987)</w:t>
            </w:r>
          </w:p>
        </w:tc>
        <w:tc>
          <w:tcPr>
            <w:tcW w:w="0" w:type="dxa"/>
            <w:vAlign w:val="bottom"/>
          </w:tcPr>
          <w:p>
            <w:pPr>
              <w:spacing w:after="0"/>
              <w:rPr>
                <w:sz w:val="1"/>
                <w:szCs w:val="1"/>
                <w:color w:val="auto"/>
              </w:rPr>
            </w:pPr>
          </w:p>
        </w:tc>
      </w:tr>
      <w:tr>
        <w:trPr>
          <w:trHeight w:val="232"/>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Provision for Income Taxes And Non-</w:t>
            </w:r>
          </w:p>
        </w:tc>
        <w:tc>
          <w:tcPr>
            <w:tcW w:w="14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Controlling Interest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58,904,765</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39,189,341</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154,517,434</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52,189,559</w:t>
            </w:r>
          </w:p>
        </w:tc>
        <w:tc>
          <w:tcPr>
            <w:tcW w:w="0" w:type="dxa"/>
            <w:vAlign w:val="bottom"/>
          </w:tcPr>
          <w:p>
            <w:pPr>
              <w:spacing w:after="0"/>
              <w:rPr>
                <w:sz w:val="1"/>
                <w:szCs w:val="1"/>
                <w:color w:val="auto"/>
              </w:rPr>
            </w:pPr>
          </w:p>
        </w:tc>
      </w:tr>
      <w:tr>
        <w:trPr>
          <w:trHeight w:val="51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37,319,988</w:t>
            </w:r>
          </w:p>
        </w:tc>
        <w:tc>
          <w:tcPr>
            <w:tcW w:w="18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28,436,332</w:t>
            </w:r>
          </w:p>
        </w:tc>
        <w:tc>
          <w:tcPr>
            <w:tcW w:w="18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98,202,898</w:t>
            </w:r>
          </w:p>
        </w:tc>
        <w:tc>
          <w:tcPr>
            <w:tcW w:w="1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56,964,047</w:t>
            </w:r>
          </w:p>
        </w:tc>
        <w:tc>
          <w:tcPr>
            <w:tcW w:w="0" w:type="dxa"/>
            <w:vAlign w:val="bottom"/>
          </w:tcPr>
          <w:p>
            <w:pPr>
              <w:spacing w:after="0"/>
              <w:rPr>
                <w:sz w:val="1"/>
                <w:szCs w:val="1"/>
                <w:color w:val="auto"/>
              </w:rPr>
            </w:pPr>
          </w:p>
        </w:tc>
      </w:tr>
      <w:tr>
        <w:trPr>
          <w:trHeight w:val="250"/>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21,584,777</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10,753,009</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56,314,536</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(4,774,488)</w:t>
            </w:r>
          </w:p>
        </w:tc>
        <w:tc>
          <w:tcPr>
            <w:tcW w:w="0" w:type="dxa"/>
            <w:vAlign w:val="bottom"/>
          </w:tcPr>
          <w:p>
            <w:pPr>
              <w:spacing w:after="0"/>
              <w:rPr>
                <w:sz w:val="1"/>
                <w:szCs w:val="1"/>
                <w:color w:val="auto"/>
              </w:rPr>
            </w:pPr>
          </w:p>
        </w:tc>
      </w:tr>
      <w:tr>
        <w:trPr>
          <w:trHeight w:val="256"/>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1,375,623</w:t>
            </w:r>
          </w:p>
        </w:tc>
        <w:tc>
          <w:tcPr>
            <w:tcW w:w="18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1,109,080</w:t>
            </w:r>
          </w:p>
        </w:tc>
        <w:tc>
          <w:tcPr>
            <w:tcW w:w="18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3,684,725</w:t>
            </w:r>
          </w:p>
        </w:tc>
        <w:tc>
          <w:tcPr>
            <w:tcW w:w="1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2,697,352</w:t>
            </w:r>
          </w:p>
        </w:tc>
        <w:tc>
          <w:tcPr>
            <w:tcW w:w="0" w:type="dxa"/>
            <w:vAlign w:val="bottom"/>
          </w:tcPr>
          <w:p>
            <w:pPr>
              <w:spacing w:after="0"/>
              <w:rPr>
                <w:sz w:val="1"/>
                <w:szCs w:val="1"/>
                <w:color w:val="auto"/>
              </w:rPr>
            </w:pPr>
          </w:p>
        </w:tc>
      </w:tr>
      <w:tr>
        <w:trPr>
          <w:trHeight w:val="232"/>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Attributable To Green Thumb Industries</w:t>
            </w: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$20,209,154</w:t>
            </w:r>
          </w:p>
        </w:tc>
        <w:tc>
          <w:tcPr>
            <w:tcW w:w="180" w:type="dxa"/>
            <w:vAlign w:val="bottom"/>
            <w:vMerge w:val="restart"/>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$9,643,929</w:t>
            </w:r>
          </w:p>
        </w:tc>
        <w:tc>
          <w:tcPr>
            <w:tcW w:w="180" w:type="dxa"/>
            <w:vAlign w:val="bottom"/>
            <w:vMerge w:val="restart"/>
            <w:shd w:val="clear" w:color="auto" w:fill="CFF0FC"/>
          </w:tcPr>
          <w:p>
            <w:pPr>
              <w:spacing w:after="0"/>
              <w:rPr>
                <w:sz w:val="20"/>
                <w:szCs w:val="20"/>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$52,629,811</w:t>
            </w:r>
          </w:p>
        </w:tc>
        <w:tc>
          <w:tcPr>
            <w:tcW w:w="160" w:type="dxa"/>
            <w:vAlign w:val="bottom"/>
            <w:vMerge w:val="restart"/>
            <w:shd w:val="clear" w:color="auto" w:fill="CFF0FC"/>
          </w:tcPr>
          <w:p>
            <w:pPr>
              <w:spacing w:after="0"/>
              <w:rPr>
                <w:sz w:val="20"/>
                <w:szCs w:val="20"/>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$(7,471,840)</w:t>
            </w:r>
          </w:p>
        </w:tc>
        <w:tc>
          <w:tcPr>
            <w:tcW w:w="0" w:type="dxa"/>
            <w:vAlign w:val="bottom"/>
          </w:tcPr>
          <w:p>
            <w:pPr>
              <w:spacing w:after="0"/>
              <w:rPr>
                <w:sz w:val="1"/>
                <w:szCs w:val="1"/>
                <w:color w:val="auto"/>
              </w:rPr>
            </w:pPr>
          </w:p>
        </w:tc>
      </w:tr>
      <w:tr>
        <w:trPr>
          <w:trHeight w:val="247"/>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Inc.</w:t>
            </w: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180" w:type="dxa"/>
            <w:vAlign w:val="bottom"/>
            <w:tcBorders>
              <w:bottom w:val="single" w:sz="8" w:color="CFF0FC"/>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14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Income (Loss) per share - basic</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 (Loss) per share - diluted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226,529,671</w:t>
            </w:r>
          </w:p>
        </w:tc>
        <w:tc>
          <w:tcPr>
            <w:tcW w:w="18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211,990,405</w:t>
            </w: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221,059,870</w:t>
            </w:r>
          </w:p>
        </w:tc>
        <w:tc>
          <w:tcPr>
            <w:tcW w:w="1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210,127,323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230,879,437</w:t>
            </w:r>
          </w:p>
        </w:tc>
        <w:tc>
          <w:tcPr>
            <w:tcW w:w="18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214,212,292</w:t>
            </w:r>
          </w:p>
        </w:tc>
        <w:tc>
          <w:tcPr>
            <w:tcW w:w="1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225,411,773</w:t>
            </w: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210,127,323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-3554095</wp:posOffset>
            </wp:positionV>
            <wp:extent cx="11112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-3554095</wp:posOffset>
            </wp:positionV>
            <wp:extent cx="11112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-3554095</wp:posOffset>
            </wp:positionV>
            <wp:extent cx="10287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-3219450</wp:posOffset>
            </wp:positionV>
            <wp:extent cx="11112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-3219450</wp:posOffset>
            </wp:positionV>
            <wp:extent cx="1111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-3219450</wp:posOffset>
            </wp:positionV>
            <wp:extent cx="1028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-2876550</wp:posOffset>
            </wp:positionV>
            <wp:extent cx="11112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-2876550</wp:posOffset>
            </wp:positionV>
            <wp:extent cx="1111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-2876550</wp:posOffset>
            </wp:positionV>
            <wp:extent cx="1028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-2216785</wp:posOffset>
            </wp:positionV>
            <wp:extent cx="11112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-2216785</wp:posOffset>
            </wp:positionV>
            <wp:extent cx="1111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-2216785</wp:posOffset>
            </wp:positionV>
            <wp:extent cx="10287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-779780</wp:posOffset>
            </wp:positionV>
            <wp:extent cx="1111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-762635</wp:posOffset>
            </wp:positionV>
            <wp:extent cx="111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-779780</wp:posOffset>
            </wp:positionV>
            <wp:extent cx="111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-762635</wp:posOffset>
            </wp:positionV>
            <wp:extent cx="111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-779780</wp:posOffset>
            </wp:positionV>
            <wp:extent cx="1028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-762635</wp:posOffset>
            </wp:positionV>
            <wp:extent cx="102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-402590</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-385445</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-402590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-385445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-402590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-385445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-25400</wp:posOffset>
            </wp:positionV>
            <wp:extent cx="111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111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111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1111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102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102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Contributed</w:t>
            </w:r>
          </w:p>
        </w:tc>
        <w:tc>
          <w:tcPr>
            <w:tcW w:w="14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Deferred</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Share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Surplus</w:t>
            </w:r>
          </w:p>
        </w:tc>
        <w:tc>
          <w:tcPr>
            <w:tcW w:w="14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w:t>
            </w:r>
          </w:p>
        </w:tc>
        <w:tc>
          <w:tcPr>
            <w:tcW w:w="14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Earnings</w:t>
            </w: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Controlling</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3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(Deficit)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Issuance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42"/>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July 1, 2020</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1,004,812,06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(177,607,35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851,398,31</w:t>
            </w:r>
          </w:p>
        </w:tc>
        <w:tc>
          <w:tcPr>
            <w:tcW w:w="80" w:type="dxa"/>
            <w:vAlign w:val="bottom"/>
            <w:shd w:val="clear" w:color="auto" w:fill="CFF0FC"/>
          </w:tcPr>
          <w:p>
            <w:pPr>
              <w:spacing w:after="0"/>
              <w:rPr>
                <w:sz w:val="21"/>
                <w:szCs w:val="21"/>
                <w:color w:val="auto"/>
              </w:rPr>
            </w:pPr>
          </w:p>
        </w:tc>
      </w:tr>
      <w:tr>
        <w:trPr>
          <w:trHeight w:val="244"/>
        </w:trPr>
        <w:tc>
          <w:tcPr>
            <w:tcW w:w="3720" w:type="dxa"/>
            <w:vAlign w:val="bottom"/>
            <w:gridSpan w:val="2"/>
            <w:shd w:val="clear" w:color="auto" w:fill="CFF0FC"/>
          </w:tcPr>
          <w:p>
            <w:pPr>
              <w:ind w:left="3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6,545,712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15,280,000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2,367,904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1"/>
                <w:szCs w:val="21"/>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w w:val="99"/>
              </w:rPr>
              <w:t>Noncontrolling interests adjustment for change</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in ownership</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5,700,000</w:t>
            </w:r>
          </w:p>
        </w:tc>
        <w:tc>
          <w:tcPr>
            <w:tcW w:w="80" w:type="dxa"/>
            <w:vAlign w:val="bottom"/>
          </w:tcPr>
          <w:p>
            <w:pPr>
              <w:spacing w:after="0"/>
              <w:rPr>
                <w:sz w:val="20"/>
                <w:szCs w:val="20"/>
                <w:color w:val="auto"/>
              </w:rPr>
            </w:pPr>
          </w:p>
        </w:tc>
      </w:tr>
      <w:tr>
        <w:trPr>
          <w:trHeight w:val="249"/>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shares for redemption of</w:t>
            </w: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20,078,940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(14,728,940 )</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5,350,000</w:t>
            </w:r>
          </w:p>
        </w:tc>
        <w:tc>
          <w:tcPr>
            <w:tcW w:w="80" w:type="dxa"/>
            <w:vAlign w:val="bottom"/>
            <w:shd w:val="clear" w:color="auto" w:fill="CFF0FC"/>
          </w:tcPr>
          <w:p>
            <w:pPr>
              <w:spacing w:after="0"/>
              <w:rPr>
                <w:sz w:val="21"/>
                <w:szCs w:val="21"/>
                <w:color w:val="auto"/>
              </w:rPr>
            </w:pPr>
          </w:p>
        </w:tc>
      </w:tr>
      <w:tr>
        <w:trPr>
          <w:trHeight w:val="25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Distribution of Contingent Consideration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2,690,914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2,690,914</w:t>
            </w:r>
          </w:p>
        </w:tc>
        <w:tc>
          <w:tcPr>
            <w:tcW w:w="80" w:type="dxa"/>
            <w:vAlign w:val="bottom"/>
          </w:tcPr>
          <w:p>
            <w:pPr>
              <w:spacing w:after="0"/>
              <w:rPr>
                <w:sz w:val="21"/>
                <w:szCs w:val="21"/>
                <w:color w:val="auto"/>
              </w:rPr>
            </w:pPr>
          </w:p>
        </w:tc>
      </w:tr>
      <w:tr>
        <w:trPr>
          <w:trHeight w:val="263"/>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 of deferred shares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13,444,669</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1"/>
              </w:rPr>
              <w:t>(13,444,669 )</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Exercise of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744,332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(295,908 )</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448,424</w:t>
            </w:r>
          </w:p>
        </w:tc>
        <w:tc>
          <w:tcPr>
            <w:tcW w:w="80" w:type="dxa"/>
            <w:vAlign w:val="bottom"/>
          </w:tcPr>
          <w:p>
            <w:pPr>
              <w:spacing w:after="0"/>
              <w:rPr>
                <w:sz w:val="21"/>
                <w:szCs w:val="21"/>
                <w:color w:val="auto"/>
              </w:rPr>
            </w:pPr>
          </w:p>
        </w:tc>
      </w:tr>
      <w:tr>
        <w:trPr>
          <w:trHeight w:val="263"/>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4,435,634</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4,435,634</w:t>
            </w:r>
          </w:p>
        </w:tc>
        <w:tc>
          <w:tcPr>
            <w:tcW w:w="80" w:type="dxa"/>
            <w:vAlign w:val="bottom"/>
            <w:shd w:val="clear" w:color="auto" w:fill="CFF0FC"/>
          </w:tcPr>
          <w:p>
            <w:pPr>
              <w:spacing w:after="0"/>
              <w:rPr>
                <w:sz w:val="22"/>
                <w:szCs w:val="22"/>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Distributions to third party and limited liability</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720" w:type="dxa"/>
            <w:vAlign w:val="bottom"/>
            <w:gridSpan w:val="2"/>
          </w:tcPr>
          <w:p>
            <w:pPr>
              <w:ind w:left="160"/>
              <w:spacing w:after="0"/>
              <w:rPr>
                <w:sz w:val="20"/>
                <w:szCs w:val="20"/>
                <w:color w:val="auto"/>
              </w:rPr>
            </w:pPr>
            <w:r>
              <w:rPr>
                <w:rFonts w:ascii="Arial" w:cs="Arial" w:eastAsia="Arial" w:hAnsi="Arial"/>
                <w:sz w:val="18"/>
                <w:szCs w:val="18"/>
                <w:color w:val="auto"/>
              </w:rPr>
              <w:t>company unit holders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(700,000 )</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(700,000 )</w:t>
            </w:r>
          </w:p>
        </w:tc>
      </w:tr>
      <w:tr>
        <w:trPr>
          <w:trHeight w:val="257"/>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9,643,929</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1,109,080</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10,753,009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1,041,770,91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(167,963,43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880,076,30</w:t>
            </w:r>
          </w:p>
        </w:tc>
        <w:tc>
          <w:tcPr>
            <w:tcW w:w="80" w:type="dxa"/>
            <w:vAlign w:val="bottom"/>
          </w:tcPr>
          <w:p>
            <w:pPr>
              <w:spacing w:after="0"/>
              <w:rPr>
                <w:sz w:val="21"/>
                <w:szCs w:val="21"/>
                <w:color w:val="auto"/>
              </w:rPr>
            </w:pPr>
          </w:p>
        </w:tc>
      </w:tr>
      <w:tr>
        <w:trPr>
          <w:trHeight w:val="237"/>
        </w:trPr>
        <w:tc>
          <w:tcPr>
            <w:tcW w:w="35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1,656,498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1,835,331</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2,776,984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January 1, 2020</w:t>
            </w: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(160,491,59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843,208,67</w:t>
            </w:r>
          </w:p>
        </w:tc>
        <w:tc>
          <w:tcPr>
            <w:tcW w:w="80" w:type="dxa"/>
            <w:vAlign w:val="bottom"/>
            <w:shd w:val="clear" w:color="auto" w:fill="CFF0FC"/>
          </w:tcPr>
          <w:p>
            <w:pPr>
              <w:spacing w:after="0"/>
              <w:rPr>
                <w:sz w:val="19"/>
                <w:szCs w:val="19"/>
                <w:color w:val="auto"/>
              </w:rPr>
            </w:pPr>
          </w:p>
        </w:tc>
      </w:tr>
      <w:tr>
        <w:trPr>
          <w:trHeight w:val="244"/>
        </w:trPr>
        <w:tc>
          <w:tcPr>
            <w:tcW w:w="3720" w:type="dxa"/>
            <w:vAlign w:val="bottom"/>
            <w:gridSpan w:val="2"/>
            <w:shd w:val="clear" w:color="auto" w:fill="CFF0FC"/>
          </w:tcPr>
          <w:p>
            <w:pPr>
              <w:ind w:left="35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980,638,701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3,960,854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16,587,798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2,512,913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21"/>
                <w:szCs w:val="21"/>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Contributions from limited liability company</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720" w:type="dxa"/>
            <w:vAlign w:val="bottom"/>
            <w:gridSpan w:val="2"/>
          </w:tcPr>
          <w:p>
            <w:pPr>
              <w:ind w:left="160"/>
              <w:spacing w:after="0"/>
              <w:rPr>
                <w:sz w:val="20"/>
                <w:szCs w:val="20"/>
                <w:color w:val="auto"/>
              </w:rPr>
            </w:pPr>
            <w:r>
              <w:rPr>
                <w:rFonts w:ascii="Arial" w:cs="Arial" w:eastAsia="Arial" w:hAnsi="Arial"/>
                <w:sz w:val="18"/>
                <w:szCs w:val="18"/>
                <w:color w:val="auto"/>
              </w:rPr>
              <w:t>unit holders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r>
      <w:tr>
        <w:trPr>
          <w:trHeight w:val="249"/>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shares under business</w:t>
            </w: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37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combinations and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2,524,560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(2,678,489 )</w:t>
            </w:r>
          </w:p>
        </w:tc>
        <w:tc>
          <w:tcPr>
            <w:tcW w:w="1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(153,929 )</w:t>
            </w: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Issuance of shares for redemption of</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noncontrolling interests</w:t>
            </w:r>
          </w:p>
        </w:tc>
        <w:tc>
          <w:tcPr>
            <w:tcW w:w="1020" w:type="dxa"/>
            <w:vAlign w:val="bottom"/>
          </w:tcPr>
          <w:p>
            <w:pPr>
              <w:jc w:val="right"/>
              <w:spacing w:after="0"/>
              <w:rPr>
                <w:sz w:val="20"/>
                <w:szCs w:val="20"/>
                <w:color w:val="auto"/>
              </w:rPr>
            </w:pPr>
            <w:r>
              <w:rPr>
                <w:rFonts w:ascii="Arial" w:cs="Arial" w:eastAsia="Arial" w:hAnsi="Arial"/>
                <w:sz w:val="18"/>
                <w:szCs w:val="18"/>
                <w:color w:val="auto"/>
              </w:rPr>
              <w:t>20,078,940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(14,728,940 )</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5,350,000</w:t>
            </w:r>
          </w:p>
        </w:tc>
        <w:tc>
          <w:tcPr>
            <w:tcW w:w="80" w:type="dxa"/>
            <w:vAlign w:val="bottom"/>
          </w:tcPr>
          <w:p>
            <w:pPr>
              <w:spacing w:after="0"/>
              <w:rPr>
                <w:sz w:val="20"/>
                <w:szCs w:val="20"/>
                <w:color w:val="auto"/>
              </w:rPr>
            </w:pPr>
          </w:p>
        </w:tc>
      </w:tr>
      <w:tr>
        <w:trPr>
          <w:trHeight w:val="263"/>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Distribution of Contingent Consideration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22,885,813</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22,885,813</w:t>
            </w:r>
          </w:p>
        </w:tc>
        <w:tc>
          <w:tcPr>
            <w:tcW w:w="80" w:type="dxa"/>
            <w:vAlign w:val="bottom"/>
            <w:shd w:val="clear" w:color="auto" w:fill="CFF0FC"/>
          </w:tcPr>
          <w:p>
            <w:pPr>
              <w:spacing w:after="0"/>
              <w:rPr>
                <w:sz w:val="22"/>
                <w:szCs w:val="22"/>
                <w:color w:val="auto"/>
              </w:rPr>
            </w:pPr>
          </w:p>
        </w:tc>
      </w:tr>
      <w:tr>
        <w:trPr>
          <w:trHeight w:val="25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Distribution of deferred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14,752,467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(14,752,467 )</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warrants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181,272</w:t>
            </w:r>
          </w:p>
        </w:tc>
        <w:tc>
          <w:tcPr>
            <w:tcW w:w="80" w:type="dxa"/>
            <w:vAlign w:val="bottom"/>
            <w:shd w:val="clear" w:color="auto" w:fill="CFF0FC"/>
          </w:tcPr>
          <w:p>
            <w:pPr>
              <w:spacing w:after="0"/>
              <w:rPr>
                <w:sz w:val="22"/>
                <w:szCs w:val="22"/>
                <w:color w:val="auto"/>
              </w:rPr>
            </w:pPr>
          </w:p>
        </w:tc>
      </w:tr>
      <w:tr>
        <w:trPr>
          <w:trHeight w:val="25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Exercise of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890,436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(234,340 )</w:t>
            </w:r>
          </w:p>
        </w:tc>
        <w:tc>
          <w:tcPr>
            <w:tcW w:w="1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656,096</w:t>
            </w:r>
          </w:p>
        </w:tc>
        <w:tc>
          <w:tcPr>
            <w:tcW w:w="80" w:type="dxa"/>
            <w:vAlign w:val="bottom"/>
          </w:tcPr>
          <w:p>
            <w:pPr>
              <w:spacing w:after="0"/>
              <w:rPr>
                <w:sz w:val="21"/>
                <w:szCs w:val="21"/>
                <w:color w:val="auto"/>
              </w:rPr>
            </w:pPr>
          </w:p>
        </w:tc>
      </w:tr>
      <w:tr>
        <w:trPr>
          <w:trHeight w:val="263"/>
        </w:trPr>
        <w:tc>
          <w:tcPr>
            <w:tcW w:w="3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15,209,518</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15,209,518</w:t>
            </w:r>
          </w:p>
        </w:tc>
        <w:tc>
          <w:tcPr>
            <w:tcW w:w="80" w:type="dxa"/>
            <w:vAlign w:val="bottom"/>
            <w:shd w:val="clear" w:color="auto" w:fill="CFF0FC"/>
          </w:tcPr>
          <w:p>
            <w:pPr>
              <w:spacing w:after="0"/>
              <w:rPr>
                <w:sz w:val="22"/>
                <w:szCs w:val="22"/>
                <w:color w:val="auto"/>
              </w:rPr>
            </w:pPr>
          </w:p>
        </w:tc>
      </w:tr>
      <w:tr>
        <w:trPr>
          <w:trHeight w:val="242"/>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Distributions to third party and limited liability</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720" w:type="dxa"/>
            <w:vAlign w:val="bottom"/>
            <w:gridSpan w:val="2"/>
          </w:tcPr>
          <w:p>
            <w:pPr>
              <w:ind w:left="160"/>
              <w:spacing w:after="0"/>
              <w:rPr>
                <w:sz w:val="20"/>
                <w:szCs w:val="20"/>
                <w:color w:val="auto"/>
              </w:rPr>
            </w:pPr>
            <w:r>
              <w:rPr>
                <w:rFonts w:ascii="Arial" w:cs="Arial" w:eastAsia="Arial" w:hAnsi="Arial"/>
                <w:sz w:val="18"/>
                <w:szCs w:val="18"/>
                <w:color w:val="auto"/>
              </w:rPr>
              <w:t>company unit holders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(53,377 )</w:t>
            </w:r>
          </w:p>
        </w:tc>
        <w:tc>
          <w:tcPr>
            <w:tcW w:w="1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(2,483,281 )</w:t>
            </w:r>
          </w:p>
        </w:tc>
        <w:tc>
          <w:tcPr>
            <w:tcW w:w="1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6"/>
              </w:rPr>
              <w:t>(2,536,658 )</w:t>
            </w:r>
          </w:p>
        </w:tc>
      </w:tr>
      <w:tr>
        <w:trPr>
          <w:trHeight w:val="257"/>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(7,471,840 )</w:t>
            </w:r>
          </w:p>
        </w:tc>
        <w:tc>
          <w:tcPr>
            <w:tcW w:w="1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2,697,352</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6"/>
              </w:rPr>
              <w:t>(4,774,488 )</w:t>
            </w:r>
          </w:p>
        </w:tc>
      </w:tr>
      <w:tr>
        <w:trPr>
          <w:trHeight w:val="242"/>
        </w:trPr>
        <w:tc>
          <w:tcPr>
            <w:tcW w:w="35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1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1,041,770,91</w:t>
            </w: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(167,963,43</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880,076,30</w:t>
            </w:r>
          </w:p>
        </w:tc>
        <w:tc>
          <w:tcPr>
            <w:tcW w:w="80" w:type="dxa"/>
            <w:vAlign w:val="bottom"/>
            <w:tcBorders>
              <w:top w:val="single" w:sz="8" w:color="CFF0FC"/>
            </w:tcBorders>
          </w:tcPr>
          <w:p>
            <w:pPr>
              <w:spacing w:after="0"/>
              <w:rPr>
                <w:sz w:val="21"/>
                <w:szCs w:val="21"/>
                <w:color w:val="auto"/>
              </w:rPr>
            </w:pPr>
          </w:p>
        </w:tc>
      </w:tr>
      <w:tr>
        <w:trPr>
          <w:trHeight w:val="237"/>
        </w:trPr>
        <w:tc>
          <w:tcPr>
            <w:tcW w:w="3720" w:type="dxa"/>
            <w:vAlign w:val="bottom"/>
            <w:gridSpan w:val="2"/>
          </w:tcPr>
          <w:p>
            <w:pPr>
              <w:ind w:left="3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1,656,498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1,835,331</w:t>
            </w:r>
          </w:p>
        </w:tc>
        <w:tc>
          <w:tcPr>
            <w:tcW w:w="2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2,776,984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5"/>
        </w:trPr>
        <w:tc>
          <w:tcPr>
            <w:tcW w:w="3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-3279775</wp:posOffset>
            </wp:positionV>
            <wp:extent cx="1371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-3279775</wp:posOffset>
            </wp:positionV>
            <wp:extent cx="14605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-3279775</wp:posOffset>
            </wp:positionV>
            <wp:extent cx="1454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-3279775</wp:posOffset>
            </wp:positionV>
            <wp:extent cx="12890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-3279775</wp:posOffset>
            </wp:positionV>
            <wp:extent cx="12890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-3279775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-416560</wp:posOffset>
            </wp:positionV>
            <wp:extent cx="13716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-416560</wp:posOffset>
            </wp:positionV>
            <wp:extent cx="14605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-416560</wp:posOffset>
            </wp:positionV>
            <wp:extent cx="14541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-416560</wp:posOffset>
            </wp:positionV>
            <wp:extent cx="12890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-416560</wp:posOffset>
            </wp:positionV>
            <wp:extent cx="1289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-416560</wp:posOffset>
            </wp:positionV>
            <wp:extent cx="5143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2"/>
              </w:rPr>
              <w:t>Contributed</w:t>
            </w:r>
          </w:p>
        </w:tc>
        <w:tc>
          <w:tcPr>
            <w:tcW w:w="16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Deferred</w:t>
            </w:r>
          </w:p>
        </w:tc>
        <w:tc>
          <w:tcPr>
            <w:tcW w:w="12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Share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Surplus</w:t>
            </w:r>
          </w:p>
        </w:tc>
        <w:tc>
          <w:tcPr>
            <w:tcW w:w="160" w:type="dxa"/>
            <w:vAlign w:val="bottom"/>
          </w:tcPr>
          <w:p>
            <w:pPr>
              <w:spacing w:after="0"/>
              <w:rPr>
                <w:sz w:val="17"/>
                <w:szCs w:val="17"/>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Share</w:t>
            </w:r>
          </w:p>
        </w:tc>
        <w:tc>
          <w:tcPr>
            <w:tcW w:w="16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Controlling</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6"/>
              </w:rPr>
              <w:t>Issuance</w:t>
            </w:r>
          </w:p>
        </w:tc>
        <w:tc>
          <w:tcPr>
            <w:tcW w:w="16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(Deficit)</w:t>
            </w:r>
          </w:p>
        </w:tc>
        <w:tc>
          <w:tcPr>
            <w:tcW w:w="12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Total</w:t>
            </w:r>
          </w:p>
        </w:tc>
      </w:tr>
      <w:tr>
        <w:trPr>
          <w:trHeight w:val="20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July 1, 2021</w:t>
            </w: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1,316,465,18</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1,229,157,94</w:t>
            </w:r>
          </w:p>
        </w:tc>
        <w:tc>
          <w:tcPr>
            <w:tcW w:w="80" w:type="dxa"/>
            <w:vAlign w:val="bottom"/>
            <w:shd w:val="clear" w:color="auto" w:fill="CFF0FC"/>
          </w:tcPr>
          <w:p>
            <w:pPr>
              <w:spacing w:after="0"/>
              <w:rPr>
                <w:sz w:val="17"/>
                <w:szCs w:val="17"/>
                <w:color w:val="auto"/>
              </w:rPr>
            </w:pPr>
          </w:p>
        </w:tc>
      </w:tr>
      <w:tr>
        <w:trPr>
          <w:trHeight w:val="226"/>
        </w:trPr>
        <w:tc>
          <w:tcPr>
            <w:tcW w:w="3860" w:type="dxa"/>
            <w:vAlign w:val="bottom"/>
            <w:gridSpan w:val="2"/>
            <w:shd w:val="clear" w:color="auto" w:fill="CFF0FC"/>
          </w:tcPr>
          <w:p>
            <w:pPr>
              <w:ind w:left="37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13,159,133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8,565,707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92"/>
              </w:rPr>
              <w:t>(113,077,966 )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4,045,889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9"/>
                <w:szCs w:val="19"/>
                <w:color w:val="auto"/>
              </w:rPr>
            </w:pPr>
          </w:p>
        </w:tc>
      </w:tr>
      <w:tr>
        <w:trPr>
          <w:trHeight w:val="20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Issuance of shares for redemption of noncontrolling</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interest</w:t>
            </w:r>
          </w:p>
        </w:tc>
        <w:tc>
          <w:tcPr>
            <w:tcW w:w="920" w:type="dxa"/>
            <w:vAlign w:val="bottom"/>
          </w:tcPr>
          <w:p>
            <w:pPr>
              <w:jc w:val="right"/>
              <w:spacing w:after="0"/>
              <w:rPr>
                <w:sz w:val="20"/>
                <w:szCs w:val="20"/>
                <w:color w:val="auto"/>
              </w:rPr>
            </w:pPr>
            <w:r>
              <w:rPr>
                <w:rFonts w:ascii="Arial" w:cs="Arial" w:eastAsia="Arial" w:hAnsi="Arial"/>
                <w:sz w:val="16"/>
                <w:szCs w:val="16"/>
                <w:color w:val="auto"/>
              </w:rPr>
              <w:t>4,070,003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(4,996,294 )</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926,291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shares under business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combinations and investments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166,163,571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166,224,033</w:t>
            </w:r>
          </w:p>
        </w:tc>
        <w:tc>
          <w:tcPr>
            <w:tcW w:w="80" w:type="dxa"/>
            <w:vAlign w:val="bottom"/>
            <w:shd w:val="clear" w:color="auto" w:fill="CFF0FC"/>
          </w:tcPr>
          <w:p>
            <w:pPr>
              <w:spacing w:after="0"/>
              <w:rPr>
                <w:sz w:val="19"/>
                <w:szCs w:val="19"/>
                <w:color w:val="auto"/>
              </w:rPr>
            </w:pPr>
          </w:p>
        </w:tc>
      </w:tr>
      <w:tr>
        <w:trPr>
          <w:trHeight w:val="22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Shares issued as contingent consideration</w:t>
            </w:r>
          </w:p>
        </w:tc>
        <w:tc>
          <w:tcPr>
            <w:tcW w:w="920" w:type="dxa"/>
            <w:vAlign w:val="bottom"/>
          </w:tcPr>
          <w:p>
            <w:pPr>
              <w:jc w:val="right"/>
              <w:spacing w:after="0"/>
              <w:rPr>
                <w:sz w:val="20"/>
                <w:szCs w:val="20"/>
                <w:color w:val="auto"/>
              </w:rPr>
            </w:pPr>
            <w:r>
              <w:rPr>
                <w:rFonts w:ascii="Arial" w:cs="Arial" w:eastAsia="Arial" w:hAnsi="Arial"/>
                <w:sz w:val="16"/>
                <w:szCs w:val="16"/>
                <w:color w:val="auto"/>
              </w:rPr>
              <w:t>5,949,078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5,949,078</w:t>
            </w:r>
          </w:p>
        </w:tc>
        <w:tc>
          <w:tcPr>
            <w:tcW w:w="80" w:type="dxa"/>
            <w:vAlign w:val="bottom"/>
          </w:tcPr>
          <w:p>
            <w:pPr>
              <w:spacing w:after="0"/>
              <w:rPr>
                <w:sz w:val="19"/>
                <w:szCs w:val="19"/>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deferred shares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21,382,385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21,382,385</w:t>
            </w:r>
          </w:p>
        </w:tc>
        <w:tc>
          <w:tcPr>
            <w:tcW w:w="80" w:type="dxa"/>
            <w:vAlign w:val="bottom"/>
            <w:shd w:val="clear" w:color="auto" w:fill="CFF0FC"/>
          </w:tcPr>
          <w:p>
            <w:pPr>
              <w:spacing w:after="0"/>
              <w:rPr>
                <w:sz w:val="20"/>
                <w:szCs w:val="20"/>
                <w:color w:val="auto"/>
              </w:rPr>
            </w:pPr>
          </w:p>
        </w:tc>
      </w:tr>
      <w:tr>
        <w:trPr>
          <w:trHeight w:val="22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Distribution of deferred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1,318,888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(1,302,283 )</w:t>
            </w: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16,605</w:t>
            </w:r>
          </w:p>
        </w:tc>
        <w:tc>
          <w:tcPr>
            <w:tcW w:w="80" w:type="dxa"/>
            <w:vAlign w:val="bottom"/>
          </w:tcPr>
          <w:p>
            <w:pPr>
              <w:spacing w:after="0"/>
              <w:rPr>
                <w:sz w:val="19"/>
                <w:szCs w:val="19"/>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Exercise of options, RSUs and warrants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6,896,512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(4,640,016 )</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2,256,496</w:t>
            </w:r>
          </w:p>
        </w:tc>
        <w:tc>
          <w:tcPr>
            <w:tcW w:w="80" w:type="dxa"/>
            <w:vAlign w:val="bottom"/>
            <w:shd w:val="clear" w:color="auto" w:fill="CFF0FC"/>
          </w:tcPr>
          <w:p>
            <w:pPr>
              <w:spacing w:after="0"/>
              <w:rPr>
                <w:sz w:val="20"/>
                <w:szCs w:val="20"/>
                <w:color w:val="auto"/>
              </w:rPr>
            </w:pPr>
          </w:p>
        </w:tc>
      </w:tr>
      <w:tr>
        <w:trPr>
          <w:trHeight w:val="22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Stock 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4,994,842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4,994,842</w:t>
            </w:r>
          </w:p>
        </w:tc>
        <w:tc>
          <w:tcPr>
            <w:tcW w:w="80" w:type="dxa"/>
            <w:vAlign w:val="bottom"/>
          </w:tcPr>
          <w:p>
            <w:pPr>
              <w:spacing w:after="0"/>
              <w:rPr>
                <w:sz w:val="19"/>
                <w:szCs w:val="19"/>
                <w:color w:val="auto"/>
              </w:rPr>
            </w:pPr>
          </w:p>
        </w:tc>
      </w:tr>
      <w:tr>
        <w:trPr>
          <w:trHeight w:val="21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Distributions to limited liability company unit</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6"/>
        </w:trPr>
        <w:tc>
          <w:tcPr>
            <w:tcW w:w="38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holders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(6,451,345 )</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(6,451,345 )</w:t>
            </w: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20,209,154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1,375,623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21,584,777</w:t>
            </w:r>
          </w:p>
        </w:tc>
        <w:tc>
          <w:tcPr>
            <w:tcW w:w="80" w:type="dxa"/>
            <w:vAlign w:val="bottom"/>
          </w:tcPr>
          <w:p>
            <w:pPr>
              <w:spacing w:after="0"/>
              <w:rPr>
                <w:sz w:val="19"/>
                <w:szCs w:val="19"/>
                <w:color w:val="auto"/>
              </w:rPr>
            </w:pPr>
          </w:p>
        </w:tc>
      </w:tr>
      <w:tr>
        <w:trPr>
          <w:trHeight w:val="20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1,500,863,23</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1,445,114,81</w:t>
            </w:r>
          </w:p>
        </w:tc>
        <w:tc>
          <w:tcPr>
            <w:tcW w:w="80" w:type="dxa"/>
            <w:vAlign w:val="bottom"/>
            <w:shd w:val="clear" w:color="auto" w:fill="CFF0FC"/>
          </w:tcPr>
          <w:p>
            <w:pPr>
              <w:spacing w:after="0"/>
              <w:rPr>
                <w:sz w:val="17"/>
                <w:szCs w:val="17"/>
                <w:color w:val="auto"/>
              </w:rPr>
            </w:pPr>
          </w:p>
        </w:tc>
      </w:tr>
      <w:tr>
        <w:trPr>
          <w:trHeight w:val="259"/>
        </w:trPr>
        <w:tc>
          <w:tcPr>
            <w:tcW w:w="37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8,578,127</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28,645,809</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(92,868,812 )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(103,542 )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22"/>
                <w:szCs w:val="22"/>
                <w:color w:val="auto"/>
              </w:rPr>
            </w:pPr>
          </w:p>
        </w:tc>
      </w:tr>
      <w:tr>
        <w:trPr>
          <w:trHeight w:val="193"/>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Balance, January 1, 2021</w:t>
            </w: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1,048,640,39</w:t>
            </w: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r>
      <w:tr>
        <w:trPr>
          <w:trHeight w:val="206"/>
        </w:trPr>
        <w:tc>
          <w:tcPr>
            <w:tcW w:w="3860" w:type="dxa"/>
            <w:vAlign w:val="bottom"/>
            <w:gridSpan w:val="2"/>
          </w:tcPr>
          <w:p>
            <w:pPr>
              <w:ind w:left="37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4,893,153</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2,587,317</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w w:val="92"/>
              </w:rPr>
              <w:t>(145,498,623 )</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3,537,096</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w w:val="98"/>
              </w:rPr>
              <w:t>914,159,341</w:t>
            </w:r>
          </w:p>
        </w:tc>
        <w:tc>
          <w:tcPr>
            <w:tcW w:w="80" w:type="dxa"/>
            <w:vAlign w:val="bottom"/>
          </w:tcPr>
          <w:p>
            <w:pPr>
              <w:spacing w:after="0"/>
              <w:rPr>
                <w:sz w:val="17"/>
                <w:szCs w:val="17"/>
                <w:color w:val="auto"/>
              </w:rPr>
            </w:pPr>
          </w:p>
        </w:tc>
      </w:tr>
      <w:tr>
        <w:trPr>
          <w:trHeight w:val="249"/>
        </w:trPr>
        <w:tc>
          <w:tcPr>
            <w:tcW w:w="386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Issuance of shares for redemption of noncontrolling</w:t>
            </w: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2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4,070,003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(4,996,294 )</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926,291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Issuance of shares under business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combinations and investments</w:t>
            </w:r>
          </w:p>
        </w:tc>
        <w:tc>
          <w:tcPr>
            <w:tcW w:w="920" w:type="dxa"/>
            <w:vAlign w:val="bottom"/>
          </w:tcPr>
          <w:p>
            <w:pPr>
              <w:jc w:val="right"/>
              <w:spacing w:after="0"/>
              <w:rPr>
                <w:sz w:val="20"/>
                <w:szCs w:val="20"/>
                <w:color w:val="auto"/>
              </w:rPr>
            </w:pPr>
            <w:r>
              <w:rPr>
                <w:rFonts w:ascii="Arial" w:cs="Arial" w:eastAsia="Arial" w:hAnsi="Arial"/>
                <w:sz w:val="16"/>
                <w:szCs w:val="16"/>
                <w:color w:val="auto"/>
              </w:rPr>
              <w:t>223,956,834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223,978,989</w:t>
            </w:r>
          </w:p>
        </w:tc>
        <w:tc>
          <w:tcPr>
            <w:tcW w:w="80" w:type="dxa"/>
            <w:vAlign w:val="bottom"/>
          </w:tcPr>
          <w:p>
            <w:pPr>
              <w:spacing w:after="0"/>
              <w:rPr>
                <w:sz w:val="18"/>
                <w:szCs w:val="18"/>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Shares issued as contingent consideration</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18,621,759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18,621,759</w:t>
            </w:r>
          </w:p>
        </w:tc>
        <w:tc>
          <w:tcPr>
            <w:tcW w:w="80" w:type="dxa"/>
            <w:vAlign w:val="bottom"/>
            <w:shd w:val="clear" w:color="auto" w:fill="CFF0FC"/>
          </w:tcPr>
          <w:p>
            <w:pPr>
              <w:spacing w:after="0"/>
              <w:rPr>
                <w:sz w:val="20"/>
                <w:szCs w:val="20"/>
                <w:color w:val="auto"/>
              </w:rPr>
            </w:pPr>
          </w:p>
        </w:tc>
      </w:tr>
      <w:tr>
        <w:trPr>
          <w:trHeight w:val="22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Issuance of deferred shares</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29,196,104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29,196,104</w:t>
            </w:r>
          </w:p>
        </w:tc>
        <w:tc>
          <w:tcPr>
            <w:tcW w:w="80" w:type="dxa"/>
            <w:vAlign w:val="bottom"/>
          </w:tcPr>
          <w:p>
            <w:pPr>
              <w:spacing w:after="0"/>
              <w:rPr>
                <w:sz w:val="19"/>
                <w:szCs w:val="19"/>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Distribution of deferred shares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3,144,485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(3,137,612 )</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6,873</w:t>
            </w:r>
          </w:p>
        </w:tc>
        <w:tc>
          <w:tcPr>
            <w:tcW w:w="80" w:type="dxa"/>
            <w:vAlign w:val="bottom"/>
            <w:shd w:val="clear" w:color="auto" w:fill="CFF0FC"/>
          </w:tcPr>
          <w:p>
            <w:pPr>
              <w:spacing w:after="0"/>
              <w:rPr>
                <w:sz w:val="20"/>
                <w:szCs w:val="20"/>
                <w:color w:val="auto"/>
              </w:rPr>
            </w:pPr>
          </w:p>
        </w:tc>
      </w:tr>
      <w:tr>
        <w:trPr>
          <w:trHeight w:val="20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Issuance of registered shares pursuant to</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860" w:type="dxa"/>
            <w:vAlign w:val="bottom"/>
            <w:gridSpan w:val="2"/>
          </w:tcPr>
          <w:p>
            <w:pPr>
              <w:ind w:left="140"/>
              <w:spacing w:after="0"/>
              <w:rPr>
                <w:sz w:val="20"/>
                <w:szCs w:val="20"/>
                <w:color w:val="auto"/>
              </w:rPr>
            </w:pPr>
            <w:r>
              <w:rPr>
                <w:rFonts w:ascii="Arial" w:cs="Arial" w:eastAsia="Arial" w:hAnsi="Arial"/>
                <w:sz w:val="16"/>
                <w:szCs w:val="16"/>
                <w:color w:val="auto"/>
              </w:rPr>
              <w:t>Form S-1</w:t>
            </w:r>
          </w:p>
        </w:tc>
        <w:tc>
          <w:tcPr>
            <w:tcW w:w="920" w:type="dxa"/>
            <w:vAlign w:val="bottom"/>
          </w:tcPr>
          <w:p>
            <w:pPr>
              <w:jc w:val="right"/>
              <w:spacing w:after="0"/>
              <w:rPr>
                <w:sz w:val="20"/>
                <w:szCs w:val="20"/>
                <w:color w:val="auto"/>
              </w:rPr>
            </w:pPr>
            <w:r>
              <w:rPr>
                <w:rFonts w:ascii="Arial" w:cs="Arial" w:eastAsia="Arial" w:hAnsi="Arial"/>
                <w:sz w:val="16"/>
                <w:szCs w:val="16"/>
                <w:color w:val="auto"/>
              </w:rPr>
              <w:t>155,803,084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(304,944 )</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w w:val="98"/>
              </w:rPr>
              <w:t>155,498,140</w:t>
            </w:r>
          </w:p>
        </w:tc>
        <w:tc>
          <w:tcPr>
            <w:tcW w:w="80" w:type="dxa"/>
            <w:vAlign w:val="bottom"/>
          </w:tcPr>
          <w:p>
            <w:pPr>
              <w:spacing w:after="0"/>
              <w:rPr>
                <w:sz w:val="18"/>
                <w:szCs w:val="18"/>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Exercise of options, RSUs and warrants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39,220,813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(27,992,731 )</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11,228,082</w:t>
            </w:r>
          </w:p>
        </w:tc>
        <w:tc>
          <w:tcPr>
            <w:tcW w:w="80" w:type="dxa"/>
            <w:vAlign w:val="bottom"/>
            <w:shd w:val="clear" w:color="auto" w:fill="CFF0FC"/>
          </w:tcPr>
          <w:p>
            <w:pPr>
              <w:spacing w:after="0"/>
              <w:rPr>
                <w:sz w:val="20"/>
                <w:szCs w:val="20"/>
                <w:color w:val="auto"/>
              </w:rPr>
            </w:pPr>
          </w:p>
        </w:tc>
      </w:tr>
      <w:tr>
        <w:trPr>
          <w:trHeight w:val="20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Warrants and shares issued in association with notes</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payable</w:t>
            </w:r>
          </w:p>
        </w:tc>
        <w:tc>
          <w:tcPr>
            <w:tcW w:w="920" w:type="dxa"/>
            <w:vAlign w:val="bottom"/>
          </w:tcPr>
          <w:p>
            <w:pPr>
              <w:jc w:val="right"/>
              <w:spacing w:after="0"/>
              <w:rPr>
                <w:sz w:val="20"/>
                <w:szCs w:val="20"/>
                <w:color w:val="auto"/>
              </w:rPr>
            </w:pPr>
            <w:r>
              <w:rPr>
                <w:rFonts w:ascii="Arial" w:cs="Arial" w:eastAsia="Arial" w:hAnsi="Arial"/>
                <w:sz w:val="16"/>
                <w:szCs w:val="16"/>
                <w:color w:val="auto"/>
              </w:rPr>
              <w:t>270,660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22,258,608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22,529,268</w:t>
            </w:r>
          </w:p>
        </w:tc>
        <w:tc>
          <w:tcPr>
            <w:tcW w:w="80" w:type="dxa"/>
            <w:vAlign w:val="bottom"/>
          </w:tcPr>
          <w:p>
            <w:pPr>
              <w:spacing w:after="0"/>
              <w:rPr>
                <w:sz w:val="18"/>
                <w:szCs w:val="18"/>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Shares issued for settlement of business dispute</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7,135,200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7,135,200</w:t>
            </w:r>
          </w:p>
        </w:tc>
        <w:tc>
          <w:tcPr>
            <w:tcW w:w="80" w:type="dxa"/>
            <w:vAlign w:val="bottom"/>
            <w:shd w:val="clear" w:color="auto" w:fill="CFF0FC"/>
          </w:tcPr>
          <w:p>
            <w:pPr>
              <w:spacing w:after="0"/>
              <w:rPr>
                <w:sz w:val="20"/>
                <w:szCs w:val="20"/>
                <w:color w:val="auto"/>
              </w:rPr>
            </w:pPr>
          </w:p>
        </w:tc>
      </w:tr>
      <w:tr>
        <w:trPr>
          <w:trHeight w:val="22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Stock based compensation</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14,698,180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14,698,180</w:t>
            </w:r>
          </w:p>
        </w:tc>
        <w:tc>
          <w:tcPr>
            <w:tcW w:w="80" w:type="dxa"/>
            <w:vAlign w:val="bottom"/>
          </w:tcPr>
          <w:p>
            <w:pPr>
              <w:spacing w:after="0"/>
              <w:rPr>
                <w:sz w:val="19"/>
                <w:szCs w:val="19"/>
                <w:color w:val="auto"/>
              </w:rPr>
            </w:pPr>
          </w:p>
        </w:tc>
      </w:tr>
      <w:tr>
        <w:trPr>
          <w:trHeight w:val="239"/>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Distributions to limited liability company unit holders</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(8,251,654 )</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(8,251,654 )</w:t>
            </w: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52,629,811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3,684,725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56,314,536</w:t>
            </w:r>
          </w:p>
        </w:tc>
        <w:tc>
          <w:tcPr>
            <w:tcW w:w="80" w:type="dxa"/>
            <w:vAlign w:val="bottom"/>
          </w:tcPr>
          <w:p>
            <w:pPr>
              <w:spacing w:after="0"/>
              <w:rPr>
                <w:sz w:val="19"/>
                <w:szCs w:val="19"/>
                <w:color w:val="auto"/>
              </w:rPr>
            </w:pPr>
          </w:p>
        </w:tc>
      </w:tr>
      <w:tr>
        <w:trPr>
          <w:trHeight w:val="206"/>
        </w:trPr>
        <w:tc>
          <w:tcPr>
            <w:tcW w:w="37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September 30, 2021</w:t>
            </w: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1,500,863,23</w:t>
            </w: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1,445,114,81</w:t>
            </w:r>
          </w:p>
        </w:tc>
        <w:tc>
          <w:tcPr>
            <w:tcW w:w="80" w:type="dxa"/>
            <w:vAlign w:val="bottom"/>
            <w:shd w:val="clear" w:color="auto" w:fill="CFF0FC"/>
          </w:tcPr>
          <w:p>
            <w:pPr>
              <w:spacing w:after="0"/>
              <w:rPr>
                <w:sz w:val="17"/>
                <w:szCs w:val="17"/>
                <w:color w:val="auto"/>
              </w:rPr>
            </w:pPr>
          </w:p>
        </w:tc>
      </w:tr>
      <w:tr>
        <w:trPr>
          <w:trHeight w:val="259"/>
        </w:trPr>
        <w:tc>
          <w:tcPr>
            <w:tcW w:w="3860" w:type="dxa"/>
            <w:vAlign w:val="bottom"/>
            <w:gridSpan w:val="2"/>
            <w:shd w:val="clear" w:color="auto" w:fill="CFF0FC"/>
          </w:tcPr>
          <w:p>
            <w:pPr>
              <w:ind w:left="37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8,578,127</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28,645,809</w:t>
            </w: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(92,868,812 )</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(103,542 )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spacing w:after="0"/>
              <w:rPr>
                <w:sz w:val="22"/>
                <w:szCs w:val="22"/>
                <w:color w:val="auto"/>
              </w:rPr>
            </w:pPr>
          </w:p>
        </w:tc>
      </w:tr>
      <w:tr>
        <w:trPr>
          <w:trHeight w:val="95"/>
        </w:trPr>
        <w:tc>
          <w:tcPr>
            <w:tcW w:w="3700" w:type="dxa"/>
            <w:vAlign w:val="bottom"/>
            <w:tcBorders>
              <w:top w:val="single" w:sz="8" w:color="CFF0FC"/>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CFF0FC"/>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CFF0FC"/>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CFF0FC"/>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CFF0FC"/>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94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CFF0FC"/>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CFF0FC"/>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-3093720</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-3076575</wp:posOffset>
            </wp:positionV>
            <wp:extent cx="128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-3093720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-3076575</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-3093720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-3076575</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-3093720</wp:posOffset>
            </wp:positionV>
            <wp:extent cx="1289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-3076575</wp:posOffset>
            </wp:positionV>
            <wp:extent cx="128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-3093720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-3076575</wp:posOffset>
            </wp:positionV>
            <wp:extent cx="1200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-3093720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-3076575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-102235</wp:posOffset>
            </wp:positionV>
            <wp:extent cx="1289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-85090</wp:posOffset>
            </wp:positionV>
            <wp:extent cx="1289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-102235</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-85090</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-102235</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-85090</wp:posOffset>
            </wp:positionV>
            <wp:extent cx="137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-102235</wp:posOffset>
            </wp:positionV>
            <wp:extent cx="1289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-85090</wp:posOffset>
            </wp:positionV>
            <wp:extent cx="1289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-102235</wp:posOffset>
            </wp:positionV>
            <wp:extent cx="1200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-85090</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-102235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-85090</wp:posOffset>
            </wp:positionV>
            <wp:extent cx="51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5"/>
          </w:tcPr>
          <w:p>
            <w:pPr>
              <w:jc w:val="right"/>
              <w:ind w:right="47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3"/>
        </w:trPr>
        <w:tc>
          <w:tcPr>
            <w:tcW w:w="7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Net income (loss) attributable to Green Thumb Industries Inc.</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52,629,811</w:t>
            </w:r>
          </w:p>
        </w:tc>
        <w:tc>
          <w:tcPr>
            <w:tcW w:w="2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(7,471,840 )</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 attributable to non-controlling interest</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3,684,725</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2,697,352</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47,239,479</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38,479,960</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Amortization of operating lease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24,760,298</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18,987,980</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Loss on extinguishment of debt</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9,881,847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822,306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29,858</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Earnings from equity method investments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(1,330,196 )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(1,400,000 )</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Bad debt expense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264,424</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315,798</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8,216,597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4,377,000</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14,698,180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15,209,520</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Increase in fair value of investments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(14,604,387 )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(8,142,178 )</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Interest on contingent consideration payable and acquisition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2,874,422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998,842</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Increase (decrease) in fair value of contingent consideration</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662,027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(425,424 )</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(Decrease) increase in fair value of warrants</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(5,451,000 )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2,060,771</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for settlement of business dispute</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7,135,200</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Decrease in fair value of note receivable</w:t>
            </w:r>
          </w:p>
        </w:tc>
        <w:tc>
          <w:tcPr>
            <w:tcW w:w="2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815,937</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Amortization of debt discount</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4,954,281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4,048,531</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(3,781,683 )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(5,616,054 )</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(17,257,048 )</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(9,129,777 )</w:t>
            </w: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(5,992,713 )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(4,142,854 )</w:t>
            </w: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Deposits and other assets</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(978,725 )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1,567,458</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(12,950,170 )</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2,242,553</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3,516,335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13,609,399</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(20,344,939 )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(12,674,176 )</w:t>
            </w:r>
          </w:p>
        </w:tc>
      </w:tr>
      <w:tr>
        <w:trPr>
          <w:trHeight w:val="223"/>
        </w:trPr>
        <w:tc>
          <w:tcPr>
            <w:tcW w:w="782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(15,881,420 )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14,617,544</w:t>
            </w:r>
          </w:p>
        </w:tc>
        <w:tc>
          <w:tcPr>
            <w:tcW w:w="100" w:type="dxa"/>
            <w:vAlign w:val="bottom"/>
          </w:tcPr>
          <w:p>
            <w:pPr>
              <w:spacing w:after="0"/>
              <w:rPr>
                <w:sz w:val="19"/>
                <w:szCs w:val="19"/>
                <w:color w:val="auto"/>
              </w:rPr>
            </w:pPr>
          </w:p>
        </w:tc>
      </w:tr>
      <w:tr>
        <w:trPr>
          <w:trHeight w:val="223"/>
        </w:trPr>
        <w:tc>
          <w:tcPr>
            <w:tcW w:w="7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82,767,650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71,056,200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0"/>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(117,159,709 )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(49,221,442 )</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Proceeds from disposal of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108,700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11,799,025</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Investments in securities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(31,053,096 )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Proceeds from sale of investments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18,282,213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 of businesses, net of cash acquired</w:t>
            </w:r>
          </w:p>
        </w:tc>
        <w:tc>
          <w:tcPr>
            <w:tcW w:w="2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(18,458,358 )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3"/>
        </w:trPr>
        <w:tc>
          <w:tcPr>
            <w:tcW w:w="78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820" w:type="dxa"/>
            <w:vAlign w:val="bottom"/>
          </w:tcPr>
          <w:p>
            <w:pPr>
              <w:ind w:left="38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(148,280,250 )</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(37,422,417 )</w:t>
            </w:r>
          </w:p>
        </w:tc>
      </w:tr>
      <w:tr>
        <w:trPr>
          <w:trHeight w:val="23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2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Contributions from limited liability company unit holders</w:t>
            </w:r>
          </w:p>
        </w:tc>
        <w:tc>
          <w:tcPr>
            <w:tcW w:w="2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Distributions to third parties and limited liability company unit holders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(8,251,654 )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(2,536,658 )</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Contributions from unconsolidated subsidiaries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1,475,000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proceeds from issuance of registered shares pursuant to Form S-1</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155,498,140</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Proceeds from exercise of options and warrants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11,228,082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656,096</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for purchase of noncontrolling interest</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(150,000 )</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Proceeds from issuance of notes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175,500,047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Principal repayment of notes payable</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(64,702,508 )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(229,482 )</w:t>
            </w:r>
          </w:p>
        </w:tc>
      </w:tr>
      <w:tr>
        <w:trPr>
          <w:trHeight w:val="223"/>
        </w:trPr>
        <w:tc>
          <w:tcPr>
            <w:tcW w:w="7820" w:type="dxa"/>
            <w:vAlign w:val="bottom"/>
          </w:tcPr>
          <w:p>
            <w:pPr>
              <w:ind w:left="200"/>
              <w:spacing w:after="0"/>
              <w:rPr>
                <w:sz w:val="20"/>
                <w:szCs w:val="20"/>
                <w:color w:val="auto"/>
              </w:rPr>
            </w:pPr>
            <w:r>
              <w:rPr>
                <w:rFonts w:ascii="Arial" w:cs="Arial" w:eastAsia="Arial" w:hAnsi="Arial"/>
                <w:sz w:val="16"/>
                <w:szCs w:val="16"/>
                <w:color w:val="auto"/>
              </w:rPr>
              <w:t>Prepayment penalty and other costs associated with refinancing</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(3,199,914 )</w:t>
            </w:r>
          </w:p>
        </w:tc>
        <w:tc>
          <w:tcPr>
            <w:tcW w:w="360" w:type="dxa"/>
            <w:vAlign w:val="bottom"/>
          </w:tcPr>
          <w:p>
            <w:pPr>
              <w:spacing w:after="0"/>
              <w:rPr>
                <w:sz w:val="19"/>
                <w:szCs w:val="19"/>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7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267,547,193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(2,210,044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r>
      <w:tr>
        <w:trPr>
          <w:trHeight w:val="220"/>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NET INCREASE IN CASH AND CASH EQUIVALENTS AND RESTRICTED CASH</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202,034,593</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31,423,739</w:t>
            </w:r>
          </w:p>
        </w:tc>
        <w:tc>
          <w:tcPr>
            <w:tcW w:w="100" w:type="dxa"/>
            <w:vAlign w:val="bottom"/>
            <w:shd w:val="clear" w:color="auto" w:fill="CFF0FC"/>
          </w:tcPr>
          <w:p>
            <w:pPr>
              <w:spacing w:after="0"/>
              <w:rPr>
                <w:sz w:val="20"/>
                <w:szCs w:val="20"/>
                <w:color w:val="auto"/>
              </w:rPr>
            </w:pPr>
          </w:p>
        </w:tc>
      </w:tr>
      <w:tr>
        <w:trPr>
          <w:trHeight w:val="223"/>
        </w:trPr>
        <w:tc>
          <w:tcPr>
            <w:tcW w:w="7820" w:type="dxa"/>
            <w:vAlign w:val="bottom"/>
          </w:tcPr>
          <w:p>
            <w:pPr>
              <w:ind w:left="380"/>
              <w:spacing w:after="0"/>
              <w:rPr>
                <w:sz w:val="20"/>
                <w:szCs w:val="20"/>
                <w:color w:val="auto"/>
              </w:rPr>
            </w:pPr>
            <w:r>
              <w:rPr>
                <w:rFonts w:ascii="Arial" w:cs="Arial" w:eastAsia="Arial" w:hAnsi="Arial"/>
                <w:sz w:val="16"/>
                <w:szCs w:val="16"/>
                <w:b w:val="1"/>
                <w:bCs w:val="1"/>
                <w:color w:val="auto"/>
              </w:rPr>
              <w:t>CASH, CASH EQUIVALENTS AND RESTRICTED CASH BEGINNING OF PERIOD</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83,757,785</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46,667,334</w:t>
            </w:r>
          </w:p>
        </w:tc>
        <w:tc>
          <w:tcPr>
            <w:tcW w:w="100" w:type="dxa"/>
            <w:vAlign w:val="bottom"/>
          </w:tcPr>
          <w:p>
            <w:pPr>
              <w:spacing w:after="0"/>
              <w:rPr>
                <w:sz w:val="19"/>
                <w:szCs w:val="19"/>
                <w:color w:val="auto"/>
              </w:rPr>
            </w:pPr>
          </w:p>
        </w:tc>
      </w:tr>
      <w:tr>
        <w:trPr>
          <w:trHeight w:val="263"/>
        </w:trPr>
        <w:tc>
          <w:tcPr>
            <w:tcW w:w="78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285,792,378</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78,091,073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-3279775</wp:posOffset>
            </wp:positionV>
            <wp:extent cx="16319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-3279775</wp:posOffset>
            </wp:positionV>
            <wp:extent cx="5969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-2396490</wp:posOffset>
            </wp:positionV>
            <wp:extent cx="16319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-2396490</wp:posOffset>
            </wp:positionV>
            <wp:extent cx="596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-622300</wp:posOffset>
            </wp:positionV>
            <wp:extent cx="16319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-622300</wp:posOffset>
            </wp:positionV>
            <wp:extent cx="596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631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631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862"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23"/>
        </w:trPr>
        <w:tc>
          <w:tcPr>
            <w:tcW w:w="7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r>
      <w:tr>
        <w:trPr>
          <w:trHeight w:val="229"/>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13,713,625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9,418,727</w:t>
            </w:r>
          </w:p>
        </w:tc>
        <w:tc>
          <w:tcPr>
            <w:tcW w:w="10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Accrued capital expenditures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12,868,898</w:t>
            </w:r>
          </w:p>
        </w:tc>
        <w:tc>
          <w:tcPr>
            <w:tcW w:w="2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(6,798,187 )</w:t>
            </w:r>
          </w:p>
        </w:tc>
      </w:tr>
      <w:tr>
        <w:trPr>
          <w:trHeight w:val="20"/>
        </w:trPr>
        <w:tc>
          <w:tcPr>
            <w:tcW w:w="7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increase in right of use asset</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(22,620,494 )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(36,854,352 )</w:t>
            </w:r>
          </w:p>
        </w:tc>
      </w:tr>
      <w:tr>
        <w:trPr>
          <w:trHeight w:val="210"/>
        </w:trPr>
        <w:tc>
          <w:tcPr>
            <w:tcW w:w="78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Noncash increase in lease liability</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22,620,494</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36,854,352</w:t>
            </w:r>
          </w:p>
        </w:tc>
        <w:tc>
          <w:tcPr>
            <w:tcW w:w="100" w:type="dxa"/>
            <w:vAlign w:val="bottom"/>
            <w:tcBorders>
              <w:top w:val="single" w:sz="8" w:color="CFF0FC"/>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Warrant issuance associated with note payable</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22,529,268</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753,658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Mortgages associated with dispensaries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6,830,000</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2,647,000</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Liability for purchase of noncontrolling interest</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(5,350,000 )</w:t>
            </w:r>
          </w:p>
        </w:tc>
      </w:tr>
      <w:tr>
        <w:trPr>
          <w:trHeight w:val="210"/>
        </w:trPr>
        <w:tc>
          <w:tcPr>
            <w:tcW w:w="78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Shares issued for purchase of noncontrolling interest</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4,070,003</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Issuance of contingent consideration</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18,621,759</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Deferred share issuances</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29,196,104</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share distributions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(3,137,612 )</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(14,752,467 )</w:t>
            </w:r>
          </w:p>
        </w:tc>
      </w:tr>
      <w:tr>
        <w:trPr>
          <w:trHeight w:val="210"/>
        </w:trPr>
        <w:tc>
          <w:tcPr>
            <w:tcW w:w="78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Issuance of shares under business combinations</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223,978,989</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24,485,670</w:t>
            </w:r>
          </w:p>
        </w:tc>
        <w:tc>
          <w:tcPr>
            <w:tcW w:w="100" w:type="dxa"/>
            <w:vAlign w:val="bottom"/>
            <w:tcBorders>
              <w:top w:val="single" w:sz="8" w:color="CFF0FC"/>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Acquisitions</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6,181,560</w:t>
            </w:r>
          </w:p>
        </w:tc>
        <w:tc>
          <w:tcPr>
            <w:tcW w:w="2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552,133</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Prepaid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367,433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15,704,793</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80,615</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Right of use assets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18,324,775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Identifiable intangible assets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173,926,457</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(145,000 )</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214,786,487</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(2,003,275 )</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Deposits and other assets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904,495</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603,988</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Liabilities assumed</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(11,032,483 )</w:t>
            </w: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(1,302,604 )</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Lease liabilities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(18,324,775 )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Contingent liabilities</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(61,853,000 )</w:t>
            </w:r>
          </w:p>
        </w:tc>
        <w:tc>
          <w:tcPr>
            <w:tcW w:w="3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interests issued</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(285,338,699 )</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503,389</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Acquisition liability</w:t>
            </w:r>
          </w:p>
        </w:tc>
        <w:tc>
          <w:tcPr>
            <w:tcW w:w="26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(228,813 )</w:t>
            </w:r>
          </w:p>
        </w:tc>
      </w:tr>
      <w:tr>
        <w:trPr>
          <w:trHeight w:val="236"/>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(35,740,818 )</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2,491,700</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18,458,358</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78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RECONCILIATION OF CASH, AND CASH EQUIVALENTS AND</w:t>
            </w: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RESTRICTED CASH</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2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285,792,378</w:t>
            </w:r>
          </w:p>
        </w:tc>
        <w:tc>
          <w:tcPr>
            <w:tcW w:w="26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75,116,621</w:t>
            </w:r>
          </w:p>
        </w:tc>
        <w:tc>
          <w:tcPr>
            <w:tcW w:w="100" w:type="dxa"/>
            <w:vAlign w:val="bottom"/>
          </w:tcPr>
          <w:p>
            <w:pPr>
              <w:spacing w:after="0"/>
              <w:rPr>
                <w:sz w:val="19"/>
                <w:szCs w:val="19"/>
                <w:color w:val="auto"/>
              </w:rPr>
            </w:pPr>
          </w:p>
        </w:tc>
      </w:tr>
      <w:tr>
        <w:trPr>
          <w:trHeight w:val="236"/>
        </w:trPr>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Restricted cash</w:t>
            </w:r>
          </w:p>
        </w:tc>
        <w:tc>
          <w:tcPr>
            <w:tcW w:w="2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2,974,452</w:t>
            </w:r>
          </w:p>
        </w:tc>
        <w:tc>
          <w:tcPr>
            <w:tcW w:w="100" w:type="dxa"/>
            <w:vAlign w:val="bottom"/>
            <w:shd w:val="clear" w:color="auto" w:fill="CFF0FC"/>
          </w:tcPr>
          <w:p>
            <w:pPr>
              <w:spacing w:after="0"/>
              <w:rPr>
                <w:sz w:val="20"/>
                <w:szCs w:val="20"/>
                <w:color w:val="auto"/>
              </w:rPr>
            </w:pPr>
          </w:p>
        </w:tc>
      </w:tr>
      <w:tr>
        <w:trPr>
          <w:trHeight w:val="226"/>
        </w:trPr>
        <w:tc>
          <w:tcPr>
            <w:tcW w:w="782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TOTAL CASH, AND CASH EQUIVALENTS AND RESTRICED CASH</w:t>
            </w: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285,792,378</w:t>
            </w:r>
          </w:p>
        </w:tc>
        <w:tc>
          <w:tcPr>
            <w:tcW w:w="26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78,091,073</w:t>
            </w:r>
          </w:p>
        </w:tc>
        <w:tc>
          <w:tcPr>
            <w:tcW w:w="100" w:type="dxa"/>
            <w:vAlign w:val="bottom"/>
            <w:tcBorders>
              <w:top w:val="single" w:sz="8" w:color="CFF0FC"/>
            </w:tcBorders>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-4679950</wp:posOffset>
            </wp:positionV>
            <wp:extent cx="163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-4662805</wp:posOffset>
            </wp:positionV>
            <wp:extent cx="1631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-4679950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-4662805</wp:posOffset>
            </wp:positionV>
            <wp:extent cx="596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-4337050</wp:posOffset>
            </wp:positionV>
            <wp:extent cx="1631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-4319905</wp:posOffset>
            </wp:positionV>
            <wp:extent cx="1631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-4337050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-4319905</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-3994150</wp:posOffset>
            </wp:positionV>
            <wp:extent cx="163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-3977005</wp:posOffset>
            </wp:positionV>
            <wp:extent cx="1631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-3994150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-3977005</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-3651250</wp:posOffset>
            </wp:positionV>
            <wp:extent cx="1631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-3634105</wp:posOffset>
            </wp:positionV>
            <wp:extent cx="16319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-3634105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-3308350</wp:posOffset>
            </wp:positionV>
            <wp:extent cx="1631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-3291205</wp:posOffset>
            </wp:positionV>
            <wp:extent cx="1631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-3308350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-3291205</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-922020</wp:posOffset>
            </wp:positionV>
            <wp:extent cx="16319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-922020</wp:posOffset>
            </wp:positionV>
            <wp:extent cx="5969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-176530</wp:posOffset>
            </wp:positionV>
            <wp:extent cx="16319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-176530</wp:posOffset>
            </wp:positionV>
            <wp:extent cx="5969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2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Overview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960" w:hanging="443"/>
        <w:spacing w:after="0"/>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Description of Business</w:t>
      </w:r>
    </w:p>
    <w:p>
      <w:pPr>
        <w:spacing w:after="0" w:line="127" w:lineRule="exact"/>
        <w:rPr>
          <w:sz w:val="20"/>
          <w:szCs w:val="20"/>
          <w:color w:val="auto"/>
        </w:rPr>
      </w:pPr>
    </w:p>
    <w:p>
      <w:pPr>
        <w:ind w:right="40" w:firstLine="509"/>
        <w:spacing w:after="0" w:line="310" w:lineRule="auto"/>
        <w:rPr>
          <w:sz w:val="20"/>
          <w:szCs w:val="20"/>
          <w:color w:val="auto"/>
        </w:rPr>
      </w:pPr>
      <w:r>
        <w:rPr>
          <w:rFonts w:ascii="Arial" w:cs="Arial" w:eastAsia="Arial" w:hAnsi="Arial"/>
          <w:sz w:val="16"/>
          <w:szCs w:val="16"/>
          <w:color w:val="auto"/>
        </w:rPr>
        <w:t>Green Thumb Industries Inc. (“</w:t>
      </w:r>
      <w:r>
        <w:rPr>
          <w:rFonts w:ascii="Arial" w:cs="Arial" w:eastAsia="Arial" w:hAnsi="Arial"/>
          <w:sz w:val="16"/>
          <w:szCs w:val="16"/>
          <w:b w:val="1"/>
          <w:bCs w:val="1"/>
          <w:color w:val="auto"/>
        </w:rPr>
        <w:t>Green Thumb</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 national cannabis consumer packaged goods company and retailer, promotes well-being through the power of cannabis while being committed to community and sustainable profitable growth. Green Thumb owns, manufactures, and distributes a portfolio of cannabis consumer packaged goods brands including Beboe, Dogwalkers, Dr. Solomon’s, Good Green, incredibles, and Rythm, to third-party retail stores across the United States as well as to Green Thumb owned retail stores. The Company also owns and operates retail cannabis stores that include a rapidly growing national chain named Rise™ Dispensaries, all of which sell our products and third-party products. As of September 30, 2021, Green Thumb has revenue in fourteen markets (California, Colorado, Connecticut, Florida, Illinois, Maryland, Massachusetts, Nevada, New Jersey, New York, Ohio, Pennsylvania, Rhode Island and Virginia), employs approximately 3,400 people and serves millions of patients and customers annually.</w:t>
      </w:r>
    </w:p>
    <w:p>
      <w:pPr>
        <w:spacing w:after="0" w:line="163" w:lineRule="exact"/>
        <w:rPr>
          <w:sz w:val="20"/>
          <w:szCs w:val="20"/>
          <w:color w:val="auto"/>
        </w:rPr>
      </w:pPr>
    </w:p>
    <w:p>
      <w:pPr>
        <w:ind w:right="80" w:firstLine="509"/>
        <w:spacing w:after="0" w:line="324" w:lineRule="auto"/>
        <w:rPr>
          <w:sz w:val="20"/>
          <w:szCs w:val="20"/>
          <w:color w:val="auto"/>
        </w:rPr>
      </w:pPr>
      <w:r>
        <w:rPr>
          <w:rFonts w:ascii="Arial" w:cs="Arial" w:eastAsia="Arial" w:hAnsi="Arial"/>
          <w:sz w:val="17"/>
          <w:szCs w:val="17"/>
          <w:color w:val="auto"/>
        </w:rPr>
        <w:t>In addition to the states listed above, the Company also conducts pre-licensing activities in other markets. In these markets, the Company has either applied for licenses, or plans on applying for licenses, but does not currently own any cultivation, production or retail licenses.</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Company’s registered office is located at 250 Howe Street, 20</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Floor, Vancouver, British Columbia, V6C 3R8. The Company’s U.S.</w:t>
      </w:r>
    </w:p>
    <w:p>
      <w:pPr>
        <w:spacing w:after="0"/>
        <w:rPr>
          <w:sz w:val="20"/>
          <w:szCs w:val="20"/>
          <w:color w:val="auto"/>
        </w:rPr>
      </w:pPr>
      <w:r>
        <w:rPr>
          <w:rFonts w:ascii="Arial" w:cs="Arial" w:eastAsia="Arial" w:hAnsi="Arial"/>
          <w:sz w:val="18"/>
          <w:szCs w:val="18"/>
          <w:color w:val="auto"/>
        </w:rPr>
        <w:t>headquarters are at 325 W. Huron St., Suite 700, Chicago, IL 60654.</w:t>
      </w:r>
    </w:p>
    <w:p>
      <w:pPr>
        <w:spacing w:after="0" w:line="115" w:lineRule="exact"/>
        <w:rPr>
          <w:sz w:val="20"/>
          <w:szCs w:val="20"/>
          <w:color w:val="auto"/>
        </w:rPr>
      </w:pPr>
    </w:p>
    <w:p>
      <w:pPr>
        <w:ind w:left="960" w:hanging="443"/>
        <w:spacing w:after="0"/>
        <w:tabs>
          <w:tab w:leader="none" w:pos="9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31"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accompanying unaudited interim condensed consolidated financial statements include the accounts of Green Thumb and have been prepared in accordance with accounting principles generally accepted in the United States (“</w:t>
      </w:r>
      <w:r>
        <w:rPr>
          <w:rFonts w:ascii="Arial" w:cs="Arial" w:eastAsia="Arial" w:hAnsi="Arial"/>
          <w:sz w:val="17"/>
          <w:szCs w:val="17"/>
          <w:b w:val="1"/>
          <w:bCs w:val="1"/>
          <w:color w:val="auto"/>
        </w:rPr>
        <w:t>GAAP</w:t>
      </w:r>
      <w:r>
        <w:rPr>
          <w:rFonts w:ascii="Arial" w:cs="Arial" w:eastAsia="Arial" w:hAnsi="Arial"/>
          <w:sz w:val="17"/>
          <w:szCs w:val="17"/>
          <w:color w:val="auto"/>
        </w:rPr>
        <w:t>”) for interim financial information and in accordance with the rules and regulations of the U.S. Securities &amp; Exchange Commission ("</w:t>
      </w:r>
      <w:r>
        <w:rPr>
          <w:rFonts w:ascii="Arial" w:cs="Arial" w:eastAsia="Arial" w:hAnsi="Arial"/>
          <w:sz w:val="17"/>
          <w:szCs w:val="17"/>
          <w:b w:val="1"/>
          <w:bCs w:val="1"/>
          <w:color w:val="auto"/>
        </w:rPr>
        <w:t>SEC</w:t>
      </w:r>
      <w:r>
        <w:rPr>
          <w:rFonts w:ascii="Arial" w:cs="Arial" w:eastAsia="Arial" w:hAnsi="Arial"/>
          <w:sz w:val="17"/>
          <w:szCs w:val="17"/>
          <w:color w:val="auto"/>
        </w:rPr>
        <w:t>"). Accordingly, they do not include all of the information and footnotes required by GAAP for complete financial statements and, accordingly, certain information, footnotes and disclosures normally included in the annual financial statements, prepared in accordance with GAAP, have been condensed or omitted in accordance with SEC rules and regulations. The financial data presented herein should be read in conjunction with the audited consolidated financial statements and accompanying notes included in the Company's Annual Report on Form 10-K for the year ended December 31, 2020, as amended (the "</w:t>
      </w:r>
      <w:r>
        <w:rPr>
          <w:rFonts w:ascii="Arial" w:cs="Arial" w:eastAsia="Arial" w:hAnsi="Arial"/>
          <w:sz w:val="17"/>
          <w:szCs w:val="17"/>
          <w:b w:val="1"/>
          <w:bCs w:val="1"/>
          <w:color w:val="auto"/>
        </w:rPr>
        <w:t>2020 Form 10-K"</w:t>
      </w:r>
      <w:r>
        <w:rPr>
          <w:rFonts w:ascii="Arial" w:cs="Arial" w:eastAsia="Arial" w:hAnsi="Arial"/>
          <w:sz w:val="17"/>
          <w:szCs w:val="17"/>
          <w:color w:val="auto"/>
        </w:rPr>
        <w:t>). In the opinion of management, the financial data presented includes all adjustments necessary to present fairly the financial position, results of operations and cash flows for the interim periods presented. Results of interim periods should not be considered indicative of the results for the full year. These unaudited interim condensed consolidated financial statements include estimates and assumptions of management that affect the amounts reported in the unaudited condensed consolidated financial statements. Actual results could differ from these estimates.</w:t>
      </w:r>
    </w:p>
    <w:p>
      <w:pPr>
        <w:spacing w:after="0" w:line="156" w:lineRule="exact"/>
        <w:rPr>
          <w:sz w:val="20"/>
          <w:szCs w:val="20"/>
          <w:color w:val="auto"/>
        </w:rPr>
      </w:pPr>
    </w:p>
    <w:p>
      <w:pPr>
        <w:spacing w:after="0" w:line="328" w:lineRule="auto"/>
        <w:rPr>
          <w:sz w:val="20"/>
          <w:szCs w:val="20"/>
          <w:color w:val="auto"/>
        </w:rPr>
      </w:pPr>
      <w:r>
        <w:rPr>
          <w:rFonts w:ascii="Arial" w:cs="Arial" w:eastAsia="Arial" w:hAnsi="Arial"/>
          <w:sz w:val="15"/>
          <w:szCs w:val="15"/>
          <w:color w:val="auto"/>
        </w:rPr>
        <w:t>Certain previously reported amounts have been reclassified between line items to conform to the current presentation. The reclassifications did not affect the Company’s previously reported consolidated balance sheets, consolidated statements of operations, statements of cash flows or statements of changes in shareholders’ equity.</w:t>
      </w:r>
    </w:p>
    <w:p>
      <w:pPr>
        <w:spacing w:after="0" w:line="51" w:lineRule="exact"/>
        <w:rPr>
          <w:sz w:val="20"/>
          <w:szCs w:val="20"/>
          <w:color w:val="auto"/>
        </w:rPr>
      </w:pPr>
    </w:p>
    <w:p>
      <w:pPr>
        <w:ind w:left="960" w:hanging="443"/>
        <w:spacing w:after="0"/>
        <w:tabs>
          <w:tab w:leader="none" w:pos="9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Accounting Policies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changes to the Company’s significant accounting policies as described in Note 2 of the 2020 Form 10-K.</w:t>
      </w:r>
    </w:p>
    <w:p>
      <w:pPr>
        <w:spacing w:after="0" w:line="131" w:lineRule="exact"/>
        <w:rPr>
          <w:sz w:val="20"/>
          <w:szCs w:val="20"/>
          <w:color w:val="auto"/>
        </w:rPr>
      </w:pPr>
    </w:p>
    <w:p>
      <w:pPr>
        <w:ind w:left="960" w:hanging="443"/>
        <w:spacing w:after="0"/>
        <w:tabs>
          <w:tab w:leader="none" w:pos="9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Earnings (Loss) per Share</w:t>
      </w:r>
    </w:p>
    <w:p>
      <w:pPr>
        <w:spacing w:after="0" w:line="131" w:lineRule="exact"/>
        <w:rPr>
          <w:sz w:val="20"/>
          <w:szCs w:val="20"/>
          <w:color w:val="auto"/>
        </w:rPr>
      </w:pPr>
    </w:p>
    <w:p>
      <w:pPr>
        <w:ind w:right="200" w:firstLine="509"/>
        <w:spacing w:after="0" w:line="309" w:lineRule="auto"/>
        <w:rPr>
          <w:sz w:val="20"/>
          <w:szCs w:val="20"/>
          <w:color w:val="auto"/>
        </w:rPr>
      </w:pPr>
      <w:r>
        <w:rPr>
          <w:rFonts w:ascii="Arial" w:cs="Arial" w:eastAsia="Arial" w:hAnsi="Arial"/>
          <w:sz w:val="16"/>
          <w:szCs w:val="16"/>
          <w:color w:val="auto"/>
        </w:rPr>
        <w:t>Basic earnings (loss) per share is calculated using the treasury stock method, by dividing the net earnings (loss) attributable to shareholders by the weighted average number of common shares outstanding during each of the periods presented. Contingently issuable shares (including shares held in escrow) are not considered outstanding common shares and consequently are not included in the loss per share calculation. Diluted earnings per share is calculated using the treasury stock method by adjusting the weighted average number of common shares outstanding to assume conversion of all dilutive potential common shares. The Company has three categories of potentially dilutive common share equivalents: restricted stock units, stock options and warrants. As of September 30, 2021, the Company had 5,625,661 options, 352,936 restricted stock units and 3,591,975 warrants outstanding. As of September 30, 2020, the Company had 5,782,599 options, 688,507 restricted stock units and 2,520,794 warrants outstanding.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5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Basis of Presentation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firstLine="509"/>
        <w:spacing w:after="0" w:line="312" w:lineRule="auto"/>
        <w:rPr>
          <w:sz w:val="20"/>
          <w:szCs w:val="20"/>
          <w:color w:val="auto"/>
        </w:rPr>
      </w:pPr>
      <w:r>
        <w:rPr>
          <w:rFonts w:ascii="Arial" w:cs="Arial" w:eastAsia="Arial" w:hAnsi="Arial"/>
          <w:sz w:val="16"/>
          <w:szCs w:val="16"/>
          <w:color w:val="auto"/>
        </w:rPr>
        <w:t xml:space="preserve">In order to determine diluted earnings per share, it is assumed that any proceeds from the exercise of dilutive unvested restricted stock units, stock options, and warrants would be used to repurchase common shares at the average market price during the period. Under the treasury stock method, the diluted earnings per share calculation excludes any potential conversion of stock options and convertible debt that would increase earnings per share or decrease loss per share. For the three months ended September 30, 2021, the computation of diluted earnings per share included 3,022,973 options, 223,661 restricted stock units and 1,103,132 warrants. For the nine months ended September 30, 2021, the computation of diluted earnings per share included 3,041,286 options, 196,043 restricted stock units and 1,114,574 warrants. </w:t>
      </w:r>
      <w:r>
        <w:rPr>
          <w:rFonts w:ascii="Arial" w:cs="Arial" w:eastAsia="Arial" w:hAnsi="Arial"/>
          <w:sz w:val="14"/>
          <w:szCs w:val="14"/>
          <w:color w:val="auto"/>
        </w:rPr>
        <w:t>For the three months ended September 30, 2020, the computation of diluted earnings per</w:t>
      </w:r>
      <w:r>
        <w:rPr>
          <w:rFonts w:ascii="Arial" w:cs="Arial" w:eastAsia="Arial" w:hAnsi="Arial"/>
          <w:sz w:val="16"/>
          <w:szCs w:val="16"/>
          <w:color w:val="auto"/>
        </w:rPr>
        <w:t xml:space="preserve"> </w:t>
      </w:r>
      <w:r>
        <w:rPr>
          <w:rFonts w:ascii="Arial" w:cs="Arial" w:eastAsia="Arial" w:hAnsi="Arial"/>
          <w:sz w:val="14"/>
          <w:szCs w:val="14"/>
          <w:color w:val="auto"/>
        </w:rPr>
        <w:t xml:space="preserve">share included 1,928,947 options, 151,458 restricted stock units and 141,482 warrants. </w:t>
      </w:r>
      <w:r>
        <w:rPr>
          <w:rFonts w:ascii="Arial" w:cs="Arial" w:eastAsia="Arial" w:hAnsi="Arial"/>
          <w:sz w:val="15"/>
          <w:szCs w:val="15"/>
          <w:color w:val="auto"/>
        </w:rPr>
        <w:t>No potentially dilutive common share equivalents were included in the</w:t>
      </w:r>
      <w:r>
        <w:rPr>
          <w:rFonts w:ascii="Arial" w:cs="Arial" w:eastAsia="Arial" w:hAnsi="Arial"/>
          <w:sz w:val="14"/>
          <w:szCs w:val="14"/>
          <w:color w:val="auto"/>
        </w:rPr>
        <w:t xml:space="preserve"> </w:t>
      </w:r>
      <w:r>
        <w:rPr>
          <w:rFonts w:ascii="Arial" w:cs="Arial" w:eastAsia="Arial" w:hAnsi="Arial"/>
          <w:sz w:val="15"/>
          <w:szCs w:val="15"/>
          <w:color w:val="auto"/>
        </w:rPr>
        <w:t>computation of diluted loss per share for the nine months ended September 30, 2021 because their impact was anti-dilutive.</w:t>
      </w:r>
    </w:p>
    <w:p>
      <w:pPr>
        <w:spacing w:after="0" w:line="60" w:lineRule="exact"/>
        <w:rPr>
          <w:sz w:val="20"/>
          <w:szCs w:val="20"/>
          <w:color w:val="auto"/>
        </w:rPr>
      </w:pPr>
    </w:p>
    <w:p>
      <w:pPr>
        <w:ind w:left="960" w:hanging="443"/>
        <w:spacing w:after="0"/>
        <w:tabs>
          <w:tab w:leader="none" w:pos="9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Recently Adopted Accounting Standards</w:t>
      </w:r>
    </w:p>
    <w:p>
      <w:pPr>
        <w:spacing w:after="0" w:line="126" w:lineRule="exact"/>
        <w:rPr>
          <w:rFonts w:ascii="Arial" w:cs="Arial" w:eastAsia="Arial" w:hAnsi="Arial"/>
          <w:sz w:val="18"/>
          <w:szCs w:val="18"/>
          <w:i w:val="1"/>
          <w:iCs w:val="1"/>
          <w:color w:val="auto"/>
        </w:rPr>
      </w:pPr>
    </w:p>
    <w:p>
      <w:pPr>
        <w:ind w:left="1640" w:right="80" w:hanging="604"/>
        <w:spacing w:after="0" w:line="272" w:lineRule="auto"/>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December 2019,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issued Accounting Standards Updated (</w:t>
      </w:r>
      <w:r>
        <w:rPr>
          <w:rFonts w:ascii="Arial" w:cs="Arial" w:eastAsia="Arial" w:hAnsi="Arial"/>
          <w:sz w:val="18"/>
          <w:szCs w:val="18"/>
          <w:b w:val="1"/>
          <w:bCs w:val="1"/>
          <w:color w:val="auto"/>
        </w:rPr>
        <w:t>"ASU"</w:t>
      </w:r>
      <w:r>
        <w:rPr>
          <w:rFonts w:ascii="Arial" w:cs="Arial" w:eastAsia="Arial" w:hAnsi="Arial"/>
          <w:sz w:val="18"/>
          <w:szCs w:val="18"/>
          <w:color w:val="auto"/>
        </w:rPr>
        <w:t>) 2019-12, Income Taxes (Topic 740) - Simplifying the Accounting for Income Taxes, which is intended to simplify various aspects related to accounting for income taxes (“</w:t>
      </w:r>
      <w:r>
        <w:rPr>
          <w:rFonts w:ascii="Arial" w:cs="Arial" w:eastAsia="Arial" w:hAnsi="Arial"/>
          <w:sz w:val="18"/>
          <w:szCs w:val="18"/>
          <w:b w:val="1"/>
          <w:bCs w:val="1"/>
          <w:color w:val="auto"/>
        </w:rPr>
        <w:t>ASU 2019-12</w:t>
      </w:r>
      <w:r>
        <w:rPr>
          <w:rFonts w:ascii="Arial" w:cs="Arial" w:eastAsia="Arial" w:hAnsi="Arial"/>
          <w:sz w:val="18"/>
          <w:szCs w:val="18"/>
          <w:color w:val="auto"/>
        </w:rPr>
        <w:t>”). ASU 2019-12 removes certain exceptions to the general principles in Topic 740 and also clarifies and amends existing guidance to improve consistent application. The Company adopted ASU 2019-12 on January 1, 2021. The adoption of the standard did not have a material impact on the Company’s unaudited interim condensed consolidated financial statements.</w:t>
      </w:r>
    </w:p>
    <w:p>
      <w:pPr>
        <w:spacing w:after="0" w:line="81" w:lineRule="exact"/>
        <w:rPr>
          <w:rFonts w:ascii="Arial" w:cs="Arial" w:eastAsia="Arial" w:hAnsi="Arial"/>
          <w:sz w:val="18"/>
          <w:szCs w:val="18"/>
          <w:color w:val="auto"/>
        </w:rPr>
      </w:pPr>
    </w:p>
    <w:p>
      <w:pPr>
        <w:ind w:left="1640" w:right="40" w:hanging="654"/>
        <w:spacing w:after="0" w:line="271" w:lineRule="auto"/>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January 2020, the FASB issued ASU 2020-01, Investments - Equity Securities (Topic 321), Investments - Equity Method and Joint Ventures (Topic 323), and Derivatives and Hedging (Topic 815) (“</w:t>
      </w:r>
      <w:r>
        <w:rPr>
          <w:rFonts w:ascii="Arial" w:cs="Arial" w:eastAsia="Arial" w:hAnsi="Arial"/>
          <w:sz w:val="18"/>
          <w:szCs w:val="18"/>
          <w:b w:val="1"/>
          <w:bCs w:val="1"/>
          <w:color w:val="auto"/>
        </w:rPr>
        <w:t>ASU 2020-01</w:t>
      </w:r>
      <w:r>
        <w:rPr>
          <w:rFonts w:ascii="Arial" w:cs="Arial" w:eastAsia="Arial" w:hAnsi="Arial"/>
          <w:sz w:val="18"/>
          <w:szCs w:val="18"/>
          <w:color w:val="auto"/>
        </w:rPr>
        <w:t>”),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The Company adopted ASU 2020-01 on January 1, 2021. The adoption of the standard did not have a material impact on the Company’s unaudited interim condensed consolidated financial statements.</w:t>
      </w:r>
    </w:p>
    <w:p>
      <w:pPr>
        <w:spacing w:after="0" w:line="83" w:lineRule="exact"/>
        <w:rPr>
          <w:sz w:val="20"/>
          <w:szCs w:val="20"/>
          <w:color w:val="auto"/>
        </w:rPr>
      </w:pPr>
    </w:p>
    <w:p>
      <w:pPr>
        <w:ind w:left="960" w:hanging="443"/>
        <w:spacing w:after="0"/>
        <w:tabs>
          <w:tab w:leader="none" w:pos="9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Recently Issued Accounting Standards</w:t>
      </w:r>
    </w:p>
    <w:p>
      <w:pPr>
        <w:spacing w:after="0" w:line="130" w:lineRule="exact"/>
        <w:rPr>
          <w:rFonts w:ascii="Arial" w:cs="Arial" w:eastAsia="Arial" w:hAnsi="Arial"/>
          <w:sz w:val="18"/>
          <w:szCs w:val="18"/>
          <w:i w:val="1"/>
          <w:iCs w:val="1"/>
          <w:color w:val="auto"/>
        </w:rPr>
      </w:pPr>
    </w:p>
    <w:p>
      <w:pPr>
        <w:ind w:left="1640" w:right="320" w:hanging="604"/>
        <w:spacing w:after="0" w:line="311" w:lineRule="auto"/>
        <w:tabs>
          <w:tab w:leader="none" w:pos="16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 August 5, 2020, the FASB issued ASU No. 2020-06, Debt—Debt with Conversion and Other Options (Subtopic 470-20) and Derivatives and Hedging—Contracts in Entity’s Own Equity (Subtopic 815-40): Accounting for Convertible Instruments and Contracts in an Entity’s Own Equity, to improve financial reporting associated with accounting for convertible instruments and contracts in an entity’s own equity. The amendments in this Update are effective for public business entities for fiscal years beginning after December 15, 2021, including interim periods within those fiscal years. We do not expect the adoption of this guidance will have a material impact on the Company’s unaudited interim condensed consolidated financial statements.</w:t>
      </w:r>
    </w:p>
    <w:p>
      <w:pPr>
        <w:spacing w:after="0" w:line="55" w:lineRule="exact"/>
        <w:rPr>
          <w:sz w:val="20"/>
          <w:szCs w:val="20"/>
          <w:color w:val="auto"/>
        </w:rPr>
      </w:pPr>
    </w:p>
    <w:p>
      <w:pPr>
        <w:ind w:left="960" w:hanging="443"/>
        <w:spacing w:after="0"/>
        <w:tabs>
          <w:tab w:leader="none" w:pos="9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Coronavirus Pandemic</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In March 2020, the World Health Organization categorized coronavirus disease 2019 (together with its variants, </w:t>
      </w:r>
      <w:r>
        <w:rPr>
          <w:rFonts w:ascii="Arial" w:cs="Arial" w:eastAsia="Arial" w:hAnsi="Arial"/>
          <w:sz w:val="17"/>
          <w:szCs w:val="17"/>
          <w:b w:val="1"/>
          <w:bCs w:val="1"/>
          <w:color w:val="auto"/>
        </w:rPr>
        <w:t>“COVID-19”</w:t>
      </w:r>
      <w:r>
        <w:rPr>
          <w:rFonts w:ascii="Arial" w:cs="Arial" w:eastAsia="Arial" w:hAnsi="Arial"/>
          <w:sz w:val="17"/>
          <w:szCs w:val="17"/>
          <w:color w:val="auto"/>
        </w:rPr>
        <w:t>) as a pandemic.</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COVID-19 continues to spread throughout the U.S. and other countries across the world, and the duration and severity of its effects are currently unknown.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implement and evaluate actions to strengthen its financial position and support the continuity of its business and operations.</w:t>
      </w:r>
    </w:p>
    <w:p>
      <w:pPr>
        <w:spacing w:after="0" w:line="261"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Company’s unaudited interim condensed consolidated financial statements presented herein reflect estimates and assumptions made by management that affect the reported amounts of assets and liabilities and disclosure of contingent assets and liabilities at the date of the unaudited interim condensed consolidated financial statements and reported amounts of revenue and expenses during the periods presented. Such estimates and assumptions affect, among other things, the Company’s goodwill; long-lived assets and intangible assets; operating lease right of use assets and operating lease liabilities; valuation of deferred income taxes; the allowance for doubtful accounts; assessment of the Company’s lease and non-lease contract expenses; and measurement of compensation cost for bonus and other compensation plans. While the Company’s revenue, gross profit and operating income were not impacted during the first nine months of 2021, the uncertain nature of the spread of COVID-19 and the uncertainty of the impact of nationwide vaccine programs may impact the Company’s business operations for reasons including the potential quarantine of the Company’s employees or those of its supply chain partners, and the Company’s continued designation as an “essential” business in states where the Company does business that currently or in the future impose restrictions on its business operations.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5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inventories include the following at September 30, 2021 and December 31, 2020:</w:t>
      </w:r>
    </w:p>
    <w:p>
      <w:pPr>
        <w:spacing w:after="0" w:line="298" w:lineRule="exact"/>
        <w:rPr>
          <w:sz w:val="20"/>
          <w:szCs w:val="20"/>
          <w:color w:val="auto"/>
        </w:rPr>
      </w:pPr>
    </w:p>
    <w:tbl>
      <w:tblPr>
        <w:tblLayout w:type="fixed"/>
        <w:tblInd w:w="158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ind w:right="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r>
      <w:tr>
        <w:trPr>
          <w:trHeight w:val="25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6,804,865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6,372,659</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Packaging and Miscellaneous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8,250,653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8,592,153</w:t>
            </w: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36,188,258</w:t>
            </w:r>
          </w:p>
        </w:tc>
        <w:tc>
          <w:tcPr>
            <w:tcW w:w="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25,488,806</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42,836,886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30,821,392</w:t>
            </w:r>
          </w:p>
        </w:tc>
      </w:tr>
      <w:tr>
        <w:trPr>
          <w:trHeight w:val="27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Reserve for Obsolete Inventory</w:t>
            </w:r>
          </w:p>
        </w:tc>
        <w:tc>
          <w:tcPr>
            <w:tcW w:w="12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(1,099,101)</w:t>
            </w: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(1,732,057)</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Total Inventories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92,981,561</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69,542,953</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-201930</wp:posOffset>
            </wp:positionV>
            <wp:extent cx="7747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39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and December 31, 2020, property and equipment consisted of the following:</w:t>
      </w:r>
    </w:p>
    <w:p>
      <w:pPr>
        <w:spacing w:after="0" w:line="379"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September 30, 2021</w:t>
            </w:r>
          </w:p>
        </w:tc>
        <w:tc>
          <w:tcPr>
            <w:tcW w:w="340" w:type="dxa"/>
            <w:vAlign w:val="bottom"/>
          </w:tcPr>
          <w:p>
            <w:pPr>
              <w:spacing w:after="0"/>
              <w:rPr>
                <w:sz w:val="16"/>
                <w:szCs w:val="16"/>
                <w:color w:val="auto"/>
              </w:rPr>
            </w:pPr>
          </w:p>
        </w:tc>
        <w:tc>
          <w:tcPr>
            <w:tcW w:w="1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75,669,250</w:t>
            </w:r>
          </w:p>
        </w:tc>
        <w:tc>
          <w:tcPr>
            <w:tcW w:w="22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51,557,405</w:t>
            </w:r>
          </w:p>
        </w:tc>
        <w:tc>
          <w:tcPr>
            <w:tcW w:w="120" w:type="dxa"/>
            <w:vAlign w:val="bottom"/>
            <w:shd w:val="clear" w:color="auto" w:fill="CFF0FC"/>
          </w:tcPr>
          <w:p>
            <w:pPr>
              <w:spacing w:after="0"/>
              <w:rPr>
                <w:sz w:val="22"/>
                <w:szCs w:val="22"/>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Equipment, Computers and Furniture</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72,635,125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49,097,109</w:t>
            </w:r>
          </w:p>
        </w:tc>
        <w:tc>
          <w:tcPr>
            <w:tcW w:w="120" w:type="dxa"/>
            <w:vAlign w:val="bottom"/>
          </w:tcPr>
          <w:p>
            <w:pPr>
              <w:spacing w:after="0"/>
              <w:rPr>
                <w:sz w:val="21"/>
                <w:szCs w:val="21"/>
                <w:color w:val="auto"/>
              </w:rPr>
            </w:pPr>
          </w:p>
        </w:tc>
      </w:tr>
      <w:tr>
        <w:trPr>
          <w:trHeight w:val="26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106,118,700</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88,607,252</w:t>
            </w:r>
          </w:p>
        </w:tc>
        <w:tc>
          <w:tcPr>
            <w:tcW w:w="120" w:type="dxa"/>
            <w:vAlign w:val="bottom"/>
            <w:shd w:val="clear" w:color="auto" w:fill="CFF0FC"/>
          </w:tcPr>
          <w:p>
            <w:pPr>
              <w:spacing w:after="0"/>
              <w:rPr>
                <w:sz w:val="22"/>
                <w:szCs w:val="22"/>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5,237,167</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2,988,681</w:t>
            </w:r>
          </w:p>
        </w:tc>
        <w:tc>
          <w:tcPr>
            <w:tcW w:w="120" w:type="dxa"/>
            <w:vAlign w:val="bottom"/>
          </w:tcPr>
          <w:p>
            <w:pPr>
              <w:spacing w:after="0"/>
              <w:rPr>
                <w:sz w:val="21"/>
                <w:szCs w:val="21"/>
                <w:color w:val="auto"/>
              </w:rPr>
            </w:pPr>
          </w:p>
        </w:tc>
      </w:tr>
      <w:tr>
        <w:trPr>
          <w:trHeight w:val="257"/>
        </w:trPr>
        <w:tc>
          <w:tcPr>
            <w:tcW w:w="3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Property and Equipment</w:t>
            </w:r>
          </w:p>
        </w:tc>
        <w:tc>
          <w:tcPr>
            <w:tcW w:w="28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259,660,242</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192,250,447</w:t>
            </w:r>
          </w:p>
        </w:tc>
        <w:tc>
          <w:tcPr>
            <w:tcW w:w="120" w:type="dxa"/>
            <w:vAlign w:val="bottom"/>
            <w:shd w:val="clear" w:color="auto" w:fill="CFF0FC"/>
          </w:tcPr>
          <w:p>
            <w:pPr>
              <w:spacing w:after="0"/>
              <w:rPr>
                <w:sz w:val="22"/>
                <w:szCs w:val="22"/>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(38,371,583 )</w:t>
            </w:r>
          </w:p>
        </w:tc>
        <w:tc>
          <w:tcPr>
            <w:tcW w:w="340" w:type="dxa"/>
            <w:vAlign w:val="bottom"/>
          </w:tcPr>
          <w:p>
            <w:pPr>
              <w:spacing w:after="0"/>
              <w:rPr>
                <w:sz w:val="21"/>
                <w:szCs w:val="21"/>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(24,192,900 )</w:t>
            </w:r>
          </w:p>
        </w:tc>
      </w:tr>
      <w:tr>
        <w:trPr>
          <w:trHeight w:val="250"/>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221,288,659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168,057,547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14,670,675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2,879,376</w:t>
            </w:r>
          </w:p>
        </w:tc>
        <w:tc>
          <w:tcPr>
            <w:tcW w:w="120" w:type="dxa"/>
            <w:vAlign w:val="bottom"/>
          </w:tcPr>
          <w:p>
            <w:pPr>
              <w:spacing w:after="0"/>
              <w:rPr>
                <w:sz w:val="21"/>
                <w:szCs w:val="21"/>
                <w:color w:val="auto"/>
              </w:rPr>
            </w:pPr>
          </w:p>
        </w:tc>
      </w:tr>
      <w:tr>
        <w:trPr>
          <w:trHeight w:val="26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Land Improvements</w:t>
            </w:r>
          </w:p>
        </w:tc>
        <w:tc>
          <w:tcPr>
            <w:tcW w:w="280" w:type="dxa"/>
            <w:vAlign w:val="bottom"/>
            <w:shd w:val="clear" w:color="auto" w:fill="CFF0FC"/>
          </w:tcPr>
          <w:p>
            <w:pPr>
              <w:spacing w:after="0"/>
              <w:rPr>
                <w:sz w:val="22"/>
                <w:szCs w:val="22"/>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194,000</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5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89,149,597</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18,988,954</w:t>
            </w:r>
          </w:p>
        </w:tc>
        <w:tc>
          <w:tcPr>
            <w:tcW w:w="120" w:type="dxa"/>
            <w:vAlign w:val="bottom"/>
          </w:tcPr>
          <w:p>
            <w:pPr>
              <w:spacing w:after="0"/>
              <w:rPr>
                <w:sz w:val="21"/>
                <w:szCs w:val="21"/>
                <w:color w:val="auto"/>
              </w:rPr>
            </w:pPr>
          </w:p>
        </w:tc>
      </w:tr>
      <w:tr>
        <w:trPr>
          <w:trHeight w:val="296"/>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and equipment, net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325,302,931</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189,925,877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-690880</wp:posOffset>
            </wp:positionV>
            <wp:extent cx="14605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-690880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1460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ind w:right="100"/>
        <w:spacing w:after="0" w:line="293"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Depreciation expense for the three and nine months ended September 30, 2021 totaled $6,235,318 and $16,255,340, respectively of which $3,905,487 and $9,997,128, respectively, is included in cost of goods sold. Depreciation expense for the three and nine months ended September 30, 2020 totaled $2,003,586 and $11,193,570, respectively of which $311,315 and $5,571,477, respectively, is included in cost of goods sold.</w:t>
      </w: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5" w:right="4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89"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Company has determined that the below acquisitions are business combinations under Accounting Standards Codification ("</w:t>
      </w:r>
      <w:r>
        <w:rPr>
          <w:rFonts w:ascii="Arial" w:cs="Arial" w:eastAsia="Arial" w:hAnsi="Arial"/>
          <w:sz w:val="17"/>
          <w:szCs w:val="17"/>
          <w:b w:val="1"/>
          <w:bCs w:val="1"/>
          <w:color w:val="auto"/>
        </w:rPr>
        <w:t>ASC</w:t>
      </w:r>
      <w:r>
        <w:rPr>
          <w:rFonts w:ascii="Arial" w:cs="Arial" w:eastAsia="Arial" w:hAnsi="Arial"/>
          <w:sz w:val="17"/>
          <w:szCs w:val="17"/>
          <w:color w:val="auto"/>
        </w:rPr>
        <w:t xml:space="preserve">")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They are accounted for by applying the acquisition method, whereby the assets acquired and the liabilities assumed are recorded at their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values with any excess of the aggregate consideration over the fair values of the identifiable net assets allocated to goodwill. Operating results have been included in these consolidated financial statements from the date of the acquisition. Supplemental pro forma financial information has not been presented as the impact was not material to the Company's consolidated financial statements. The goodwill recorded primarily includes the expected synergies resulting from combining the operations of the acquired entity with those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2021 Business Acquisitions</w:t>
      </w:r>
    </w:p>
    <w:p>
      <w:pPr>
        <w:spacing w:after="0" w:line="256" w:lineRule="exact"/>
        <w:rPr>
          <w:sz w:val="20"/>
          <w:szCs w:val="20"/>
          <w:color w:val="auto"/>
        </w:rPr>
      </w:pPr>
    </w:p>
    <w:p>
      <w:pPr>
        <w:jc w:val="both"/>
        <w:ind w:left="380"/>
        <w:spacing w:after="0" w:line="296" w:lineRule="auto"/>
        <w:rPr>
          <w:sz w:val="20"/>
          <w:szCs w:val="20"/>
          <w:color w:val="auto"/>
        </w:rPr>
      </w:pPr>
      <w:r>
        <w:rPr>
          <w:rFonts w:ascii="Arial" w:cs="Arial" w:eastAsia="Arial" w:hAnsi="Arial"/>
          <w:sz w:val="17"/>
          <w:szCs w:val="17"/>
          <w:color w:val="auto"/>
        </w:rPr>
        <w:t>The Company completed a preliminary allocation of the purchase price of the assets acquired and liabilities assumed. The preliminary valuation was based on management’s estimates and assumptions which are subject to change within the purchase price allocation period (generally one year from the acquisition date). The primary areas of the purchase price allocation that are not yet finalized relate to the valuation of the tangible and intangible assets acquired and the residual goodwill. The following table summarizes the initial accounting estimates:</w:t>
      </w:r>
    </w:p>
    <w:p>
      <w:pPr>
        <w:spacing w:after="0" w:line="197"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Summit Medical</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Dharma</w:t>
            </w:r>
          </w:p>
        </w:tc>
        <w:tc>
          <w:tcPr>
            <w:tcW w:w="182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Compassion Center,</w:t>
            </w:r>
          </w:p>
        </w:tc>
        <w:tc>
          <w:tcPr>
            <w:tcW w:w="260" w:type="dxa"/>
            <w:vAlign w:val="bottom"/>
          </w:tcPr>
          <w:p>
            <w:pPr>
              <w:spacing w:after="0"/>
              <w:rPr>
                <w:sz w:val="19"/>
                <w:szCs w:val="19"/>
                <w:color w:val="auto"/>
              </w:rPr>
            </w:pP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Other</w:t>
            </w:r>
          </w:p>
        </w:tc>
      </w:tr>
      <w:tr>
        <w:trPr>
          <w:trHeight w:val="237"/>
        </w:trPr>
        <w:tc>
          <w:tcPr>
            <w:tcW w:w="2880" w:type="dxa"/>
            <w:vAlign w:val="bottom"/>
          </w:tcPr>
          <w:p>
            <w:pPr>
              <w:spacing w:after="0"/>
              <w:rPr>
                <w:sz w:val="20"/>
                <w:szCs w:val="20"/>
                <w:color w:val="auto"/>
              </w:rPr>
            </w:pPr>
          </w:p>
        </w:tc>
        <w:tc>
          <w:tcPr>
            <w:tcW w:w="196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Pharmaceuticals, LLC</w:t>
            </w:r>
          </w:p>
        </w:tc>
        <w:tc>
          <w:tcPr>
            <w:tcW w:w="160" w:type="dxa"/>
            <w:vAlign w:val="bottom"/>
          </w:tcPr>
          <w:p>
            <w:pPr>
              <w:spacing w:after="0"/>
              <w:rPr>
                <w:sz w:val="20"/>
                <w:szCs w:val="20"/>
                <w:color w:val="auto"/>
              </w:rPr>
            </w:pPr>
          </w:p>
        </w:tc>
        <w:tc>
          <w:tcPr>
            <w:tcW w:w="1660" w:type="dxa"/>
            <w:vAlign w:val="bottom"/>
            <w:gridSpan w:val="2"/>
          </w:tcPr>
          <w:p>
            <w:pPr>
              <w:jc w:val="right"/>
              <w:ind w:right="840"/>
              <w:spacing w:after="0"/>
              <w:rPr>
                <w:sz w:val="20"/>
                <w:szCs w:val="20"/>
                <w:color w:val="auto"/>
              </w:rPr>
            </w:pPr>
            <w:r>
              <w:rPr>
                <w:rFonts w:ascii="Arial" w:cs="Arial" w:eastAsia="Arial" w:hAnsi="Arial"/>
                <w:sz w:val="18"/>
                <w:szCs w:val="18"/>
                <w:color w:val="auto"/>
              </w:rPr>
              <w:t>Inc.</w:t>
            </w:r>
          </w:p>
        </w:tc>
        <w:tc>
          <w:tcPr>
            <w:tcW w:w="26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Acquisitions</w:t>
            </w:r>
          </w:p>
        </w:tc>
      </w:tr>
      <w:tr>
        <w:trPr>
          <w:trHeight w:val="256"/>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150,066</w:t>
            </w:r>
          </w:p>
        </w:tc>
        <w:tc>
          <w:tcPr>
            <w:tcW w:w="1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1,143,493</w:t>
            </w:r>
          </w:p>
        </w:tc>
        <w:tc>
          <w:tcPr>
            <w:tcW w:w="14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651,434</w:t>
            </w:r>
          </w:p>
        </w:tc>
        <w:tc>
          <w:tcPr>
            <w:tcW w:w="120" w:type="dxa"/>
            <w:vAlign w:val="bottom"/>
            <w:shd w:val="clear" w:color="auto" w:fill="CFF0FC"/>
          </w:tcPr>
          <w:p>
            <w:pPr>
              <w:spacing w:after="0"/>
              <w:rPr>
                <w:sz w:val="22"/>
                <w:szCs w:val="22"/>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508,361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1,828,848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3,844,351</w:t>
            </w:r>
          </w:p>
        </w:tc>
        <w:tc>
          <w:tcPr>
            <w:tcW w:w="120" w:type="dxa"/>
            <w:vAlign w:val="bottom"/>
          </w:tcPr>
          <w:p>
            <w:pPr>
              <w:spacing w:after="0"/>
              <w:rPr>
                <w:sz w:val="21"/>
                <w:szCs w:val="21"/>
                <w:color w:val="auto"/>
              </w:rPr>
            </w:pPr>
          </w:p>
        </w:tc>
      </w:tr>
      <w:tr>
        <w:trPr>
          <w:trHeight w:val="26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38,166</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512,767</w:t>
            </w:r>
          </w:p>
        </w:tc>
        <w:tc>
          <w:tcPr>
            <w:tcW w:w="120" w:type="dxa"/>
            <w:vAlign w:val="bottom"/>
            <w:shd w:val="clear" w:color="auto" w:fill="CFF0FC"/>
          </w:tcPr>
          <w:p>
            <w:pPr>
              <w:spacing w:after="0"/>
              <w:rPr>
                <w:sz w:val="22"/>
                <w:szCs w:val="22"/>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72,125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104,589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190,719</w:t>
            </w:r>
          </w:p>
        </w:tc>
        <w:tc>
          <w:tcPr>
            <w:tcW w:w="120" w:type="dxa"/>
            <w:vAlign w:val="bottom"/>
          </w:tcPr>
          <w:p>
            <w:pPr>
              <w:spacing w:after="0"/>
              <w:rPr>
                <w:sz w:val="21"/>
                <w:szCs w:val="21"/>
                <w:color w:val="auto"/>
              </w:rPr>
            </w:pPr>
          </w:p>
        </w:tc>
      </w:tr>
      <w:tr>
        <w:trPr>
          <w:trHeight w:val="26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1,983,047</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3,242,890</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10,478,856</w:t>
            </w:r>
          </w:p>
        </w:tc>
        <w:tc>
          <w:tcPr>
            <w:tcW w:w="120" w:type="dxa"/>
            <w:vAlign w:val="bottom"/>
            <w:shd w:val="clear" w:color="auto" w:fill="CFF0FC"/>
          </w:tcPr>
          <w:p>
            <w:pPr>
              <w:spacing w:after="0"/>
              <w:rPr>
                <w:sz w:val="22"/>
                <w:szCs w:val="22"/>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Right-of-use asset, net</w:t>
            </w: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4,218,658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210,069</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13,896,049</w:t>
            </w:r>
          </w:p>
        </w:tc>
        <w:tc>
          <w:tcPr>
            <w:tcW w:w="120" w:type="dxa"/>
            <w:vAlign w:val="bottom"/>
          </w:tcPr>
          <w:p>
            <w:pPr>
              <w:spacing w:after="0"/>
              <w:rPr>
                <w:sz w:val="21"/>
                <w:szCs w:val="21"/>
                <w:color w:val="auto"/>
              </w:rPr>
            </w:pPr>
          </w:p>
        </w:tc>
      </w:tr>
      <w:tr>
        <w:trPr>
          <w:trHeight w:val="26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Deposits and other assets</w:t>
            </w:r>
          </w:p>
        </w:tc>
        <w:tc>
          <w:tcPr>
            <w:tcW w:w="3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251,875</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67,620</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585,000</w:t>
            </w:r>
          </w:p>
        </w:tc>
        <w:tc>
          <w:tcPr>
            <w:tcW w:w="120" w:type="dxa"/>
            <w:vAlign w:val="bottom"/>
            <w:shd w:val="clear" w:color="auto" w:fill="CFF0FC"/>
          </w:tcPr>
          <w:p>
            <w:pPr>
              <w:spacing w:after="0"/>
              <w:rPr>
                <w:sz w:val="22"/>
                <w:szCs w:val="22"/>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28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Licenses and permits</w:t>
            </w:r>
          </w:p>
        </w:tc>
        <w:tc>
          <w:tcPr>
            <w:tcW w:w="36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66,000,000</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50,800,000</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57,126,457</w:t>
            </w:r>
          </w:p>
        </w:tc>
        <w:tc>
          <w:tcPr>
            <w:tcW w:w="120" w:type="dxa"/>
            <w:vAlign w:val="bottom"/>
            <w:shd w:val="clear" w:color="auto" w:fill="CFF0FC"/>
          </w:tcPr>
          <w:p>
            <w:pPr>
              <w:spacing w:after="0"/>
              <w:rPr>
                <w:sz w:val="22"/>
                <w:szCs w:val="22"/>
                <w:color w:val="auto"/>
              </w:rPr>
            </w:pPr>
          </w:p>
        </w:tc>
      </w:tr>
      <w:tr>
        <w:trPr>
          <w:trHeight w:val="250"/>
        </w:trPr>
        <w:tc>
          <w:tcPr>
            <w:tcW w:w="288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360" w:type="dxa"/>
            <w:vAlign w:val="bottom"/>
          </w:tcPr>
          <w:p>
            <w:pPr>
              <w:spacing w:after="0"/>
              <w:rPr>
                <w:sz w:val="21"/>
                <w:szCs w:val="21"/>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(157,877 )</w:t>
            </w:r>
          </w:p>
        </w:tc>
        <w:tc>
          <w:tcPr>
            <w:tcW w:w="1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(4,407,319 )</w:t>
            </w:r>
          </w:p>
        </w:tc>
        <w:tc>
          <w:tcPr>
            <w:tcW w:w="26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(6,467,287 )</w:t>
            </w:r>
          </w:p>
        </w:tc>
      </w:tr>
      <w:tr>
        <w:trPr>
          <w:trHeight w:val="263"/>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(4,218,658 )</w:t>
            </w:r>
          </w:p>
        </w:tc>
        <w:tc>
          <w:tcPr>
            <w:tcW w:w="16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(210,069 )</w:t>
            </w:r>
          </w:p>
        </w:tc>
        <w:tc>
          <w:tcPr>
            <w:tcW w:w="260" w:type="dxa"/>
            <w:vAlign w:val="bottom"/>
            <w:shd w:val="clear" w:color="auto" w:fill="CFF0FC"/>
          </w:tcPr>
          <w:p>
            <w:pPr>
              <w:spacing w:after="0"/>
              <w:rPr>
                <w:sz w:val="22"/>
                <w:szCs w:val="22"/>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(13,896,049 )</w:t>
            </w:r>
          </w:p>
        </w:tc>
      </w:tr>
      <w:tr>
        <w:trPr>
          <w:trHeight w:val="257"/>
        </w:trPr>
        <w:tc>
          <w:tcPr>
            <w:tcW w:w="28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60" w:type="dxa"/>
            <w:vAlign w:val="bottom"/>
          </w:tcPr>
          <w:p>
            <w:pPr>
              <w:spacing w:after="0"/>
              <w:rPr>
                <w:sz w:val="22"/>
                <w:szCs w:val="22"/>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(17,034,600 )</w:t>
            </w:r>
          </w:p>
        </w:tc>
        <w:tc>
          <w:tcPr>
            <w:tcW w:w="160" w:type="dxa"/>
            <w:vAlign w:val="bottom"/>
          </w:tcPr>
          <w:p>
            <w:pPr>
              <w:spacing w:after="0"/>
              <w:rPr>
                <w:sz w:val="22"/>
                <w:szCs w:val="22"/>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(13,111,880 )</w:t>
            </w:r>
          </w:p>
        </w:tc>
        <w:tc>
          <w:tcPr>
            <w:tcW w:w="260" w:type="dxa"/>
            <w:vAlign w:val="bottom"/>
          </w:tcPr>
          <w:p>
            <w:pPr>
              <w:spacing w:after="0"/>
              <w:rPr>
                <w:sz w:val="22"/>
                <w:szCs w:val="22"/>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(14,744,338 )</w:t>
            </w:r>
          </w:p>
        </w:tc>
      </w:tr>
      <w:tr>
        <w:trPr>
          <w:trHeight w:val="250"/>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identifiable net assets</w:t>
            </w:r>
          </w:p>
        </w:tc>
        <w:tc>
          <w:tcPr>
            <w:tcW w:w="360" w:type="dxa"/>
            <w:vAlign w:val="bottom"/>
            <w:tcBorders>
              <w:top w:val="single" w:sz="8" w:color="auto"/>
            </w:tcBorders>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51,811,163</w:t>
            </w:r>
          </w:p>
        </w:tc>
        <w:tc>
          <w:tcPr>
            <w:tcW w:w="14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39,669,441</w:t>
            </w: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52,177,959</w:t>
            </w:r>
          </w:p>
        </w:tc>
        <w:tc>
          <w:tcPr>
            <w:tcW w:w="120" w:type="dxa"/>
            <w:vAlign w:val="bottom"/>
            <w:shd w:val="clear" w:color="auto" w:fill="CFF0FC"/>
          </w:tcPr>
          <w:p>
            <w:pPr>
              <w:spacing w:after="0"/>
              <w:rPr>
                <w:sz w:val="21"/>
                <w:szCs w:val="21"/>
                <w:color w:val="auto"/>
              </w:rPr>
            </w:pPr>
          </w:p>
        </w:tc>
      </w:tr>
      <w:tr>
        <w:trPr>
          <w:trHeight w:val="256"/>
        </w:trPr>
        <w:tc>
          <w:tcPr>
            <w:tcW w:w="2880" w:type="dxa"/>
            <w:vAlign w:val="bottom"/>
          </w:tcPr>
          <w:p>
            <w:pPr>
              <w:ind w:left="20"/>
              <w:spacing w:after="0"/>
              <w:rPr>
                <w:sz w:val="20"/>
                <w:szCs w:val="20"/>
                <w:color w:val="auto"/>
              </w:rPr>
            </w:pPr>
            <w:r>
              <w:rPr>
                <w:rFonts w:ascii="Arial" w:cs="Arial" w:eastAsia="Arial" w:hAnsi="Arial"/>
                <w:sz w:val="18"/>
                <w:szCs w:val="18"/>
                <w:color w:val="auto"/>
              </w:rPr>
              <w:t>Goodwill (non-tax deductible)</w:t>
            </w: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88,730,652</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69,029,291</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66,176,544</w:t>
            </w:r>
          </w:p>
        </w:tc>
        <w:tc>
          <w:tcPr>
            <w:tcW w:w="120" w:type="dxa"/>
            <w:vAlign w:val="bottom"/>
          </w:tcPr>
          <w:p>
            <w:pPr>
              <w:spacing w:after="0"/>
              <w:rPr>
                <w:sz w:val="22"/>
                <w:szCs w:val="22"/>
                <w:color w:val="auto"/>
              </w:rPr>
            </w:pPr>
          </w:p>
        </w:tc>
      </w:tr>
      <w:tr>
        <w:trPr>
          <w:trHeight w:val="290"/>
        </w:trPr>
        <w:tc>
          <w:tcPr>
            <w:tcW w:w="2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assets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140,541,815</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108,698,732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118,354,503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-24765</wp:posOffset>
            </wp:positionV>
            <wp:extent cx="946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-7620</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-24765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520" w:right="140"/>
        <w:spacing w:after="0" w:line="275" w:lineRule="auto"/>
        <w:rPr>
          <w:sz w:val="20"/>
          <w:szCs w:val="20"/>
          <w:color w:val="auto"/>
        </w:rPr>
      </w:pPr>
      <w:r>
        <w:rPr>
          <w:rFonts w:ascii="Arial" w:cs="Arial" w:eastAsia="Arial" w:hAnsi="Arial"/>
          <w:sz w:val="18"/>
          <w:szCs w:val="18"/>
          <w:color w:val="auto"/>
        </w:rPr>
        <w:t>As part of the initial purchase accounting for each of the above acquisitions, the Company recorded intangible assets of $173,926,457 all of which was associated with licenses and permits that allow for the processing, cultivation and retail sale of cannabis. The weighted-average amortization period for the licenses intangibles was 15 years. Acquisition related expenses incurred during the three and nine months ended September 30, 2021 were approximately $0.2 million and $1.3 million respectively.</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Acquisitions consist of Liberty Compassion Inc. and GreenStar Herbals Inc. The details of the transactions are discussed below.</w:t>
      </w:r>
    </w:p>
    <w:p>
      <w:pPr>
        <w:spacing w:after="0" w:line="248" w:lineRule="exact"/>
        <w:rPr>
          <w:sz w:val="20"/>
          <w:szCs w:val="20"/>
          <w:color w:val="auto"/>
        </w:rPr>
      </w:pPr>
    </w:p>
    <w:p>
      <w:pPr>
        <w:ind w:left="540" w:hanging="442"/>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Liberty Compassion Inc.</w:t>
      </w:r>
    </w:p>
    <w:p>
      <w:pPr>
        <w:spacing w:after="0" w:line="279" w:lineRule="exact"/>
        <w:rPr>
          <w:sz w:val="20"/>
          <w:szCs w:val="20"/>
          <w:color w:val="auto"/>
        </w:rPr>
      </w:pPr>
    </w:p>
    <w:p>
      <w:pPr>
        <w:jc w:val="both"/>
        <w:ind w:left="520"/>
        <w:spacing w:after="0" w:line="315" w:lineRule="auto"/>
        <w:rPr>
          <w:sz w:val="20"/>
          <w:szCs w:val="20"/>
          <w:color w:val="auto"/>
        </w:rPr>
      </w:pPr>
      <w:r>
        <w:rPr>
          <w:rFonts w:ascii="Arial" w:cs="Arial" w:eastAsia="Arial" w:hAnsi="Arial"/>
          <w:sz w:val="16"/>
          <w:szCs w:val="16"/>
          <w:color w:val="auto"/>
        </w:rPr>
        <w:t>On June 1, 2021, the Company acquired 100% of the ownership interests of Liberty Compassion Inc. (</w:t>
      </w:r>
      <w:r>
        <w:rPr>
          <w:rFonts w:ascii="Arial" w:cs="Arial" w:eastAsia="Arial" w:hAnsi="Arial"/>
          <w:sz w:val="16"/>
          <w:szCs w:val="16"/>
          <w:b w:val="1"/>
          <w:bCs w:val="1"/>
          <w:color w:val="auto"/>
        </w:rPr>
        <w:t>"Liberty"</w:t>
      </w:r>
      <w:r>
        <w:rPr>
          <w:rFonts w:ascii="Arial" w:cs="Arial" w:eastAsia="Arial" w:hAnsi="Arial"/>
          <w:sz w:val="16"/>
          <w:szCs w:val="16"/>
          <w:color w:val="auto"/>
        </w:rPr>
        <w:t>), a Massachusetts-based medical cannabis cultivator and retailer, for the purposes of expanding the Company's operational capacity in the Massachusetts market. The acquisition was an all stock transaction whereby consideration was satisfied through the issuance of 2,146,565 Subordinate Voting Shares (including 259,765 deferred shares) valued at approximately $64.6 million, based on the fair value of the securities on their date of issuance, which was the closing price of Green Thumb's Subordinate Voting Shares as traded on the Canadian Securities Exchange ("</w:t>
      </w:r>
      <w:r>
        <w:rPr>
          <w:rFonts w:ascii="Arial" w:cs="Arial" w:eastAsia="Arial" w:hAnsi="Arial"/>
          <w:sz w:val="16"/>
          <w:szCs w:val="16"/>
          <w:b w:val="1"/>
          <w:bCs w:val="1"/>
          <w:color w:val="auto"/>
        </w:rPr>
        <w:t>CSE</w:t>
      </w:r>
      <w:r>
        <w:rPr>
          <w:rFonts w:ascii="Arial" w:cs="Arial" w:eastAsia="Arial" w:hAnsi="Arial"/>
          <w:sz w:val="16"/>
          <w:szCs w:val="16"/>
          <w:color w:val="auto"/>
        </w:rPr>
        <w:t>") on the date of the transaction.</w:t>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13" w:name="page14"/>
    <w:bookmarkEnd w:id="13"/>
    <w:p>
      <w:pPr>
        <w:jc w:val="center"/>
        <w:ind w:right="-11"/>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72" w:right="276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352" w:hanging="352"/>
        <w:spacing w:after="0"/>
        <w:tabs>
          <w:tab w:leader="none" w:pos="3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32" w:hanging="452"/>
        <w:spacing w:after="0"/>
        <w:tabs>
          <w:tab w:leader="none" w:pos="63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Dharma Pharmaceuticals, LLC</w:t>
      </w:r>
    </w:p>
    <w:p>
      <w:pPr>
        <w:spacing w:after="0" w:line="252" w:lineRule="exact"/>
        <w:rPr>
          <w:sz w:val="20"/>
          <w:szCs w:val="20"/>
          <w:color w:val="auto"/>
        </w:rPr>
      </w:pPr>
    </w:p>
    <w:p>
      <w:pPr>
        <w:ind w:left="512"/>
        <w:spacing w:after="0" w:line="289" w:lineRule="auto"/>
        <w:rPr>
          <w:sz w:val="20"/>
          <w:szCs w:val="20"/>
          <w:color w:val="auto"/>
        </w:rPr>
      </w:pPr>
      <w:r>
        <w:rPr>
          <w:rFonts w:ascii="Arial" w:cs="Arial" w:eastAsia="Arial" w:hAnsi="Arial"/>
          <w:sz w:val="17"/>
          <w:szCs w:val="17"/>
          <w:color w:val="auto"/>
        </w:rPr>
        <w:t>On July 1, 2021 Green Thumb Industries acquired 100% of Dharma Pharmaceuticals, LLC (“</w:t>
      </w:r>
      <w:r>
        <w:rPr>
          <w:rFonts w:ascii="Arial" w:cs="Arial" w:eastAsia="Arial" w:hAnsi="Arial"/>
          <w:sz w:val="17"/>
          <w:szCs w:val="17"/>
          <w:b w:val="1"/>
          <w:bCs w:val="1"/>
          <w:color w:val="auto"/>
        </w:rPr>
        <w:t>Dharma</w:t>
      </w:r>
      <w:r>
        <w:rPr>
          <w:rFonts w:ascii="Arial" w:cs="Arial" w:eastAsia="Arial" w:hAnsi="Arial"/>
          <w:sz w:val="17"/>
          <w:szCs w:val="17"/>
          <w:color w:val="auto"/>
        </w:rPr>
        <w:t>”), a Virginia-based medical cannabis cultivator, processor and retailer, for the purpose of expanding Green Thumb's national presence. Green Thumb exchanged $15,175,384 in cash along with 2,298,779 Subordinate Voting Shares (including 229,878 deferred shares) valued at approximately $75.9 million, based on the fair value of the securities on their date of issuance, which was the closing price of Green Thumb's Subordinate Voting Shares as traded on the CSE on the date of the transaction. The purchase agreement included additional consideration of up to $65.0 million in shares of Green Thumb depending upon the successful opening of 5 retail dispensaries in the Virginia area within the first three years following the signing of the purchase agreement and the legal sale of adult use cannabis in a retail dispensary by January 1, 2025.</w:t>
      </w:r>
    </w:p>
    <w:p>
      <w:pPr>
        <w:spacing w:after="0" w:line="192" w:lineRule="exact"/>
        <w:rPr>
          <w:sz w:val="20"/>
          <w:szCs w:val="20"/>
          <w:color w:val="auto"/>
        </w:rPr>
      </w:pPr>
    </w:p>
    <w:p>
      <w:pPr>
        <w:ind w:left="512" w:right="20"/>
        <w:spacing w:after="0" w:line="272" w:lineRule="auto"/>
        <w:rPr>
          <w:sz w:val="20"/>
          <w:szCs w:val="20"/>
          <w:color w:val="auto"/>
        </w:rPr>
      </w:pPr>
      <w:r>
        <w:rPr>
          <w:rFonts w:ascii="Arial" w:cs="Arial" w:eastAsia="Arial" w:hAnsi="Arial"/>
          <w:sz w:val="18"/>
          <w:szCs w:val="18"/>
          <w:color w:val="auto"/>
        </w:rPr>
        <w:t>On August 16, 2021, the Company issued 199,993 Subordinate Voting Shares to the former owners of Dharma in connection with the successful opening of one retail dispensary in Virginia. The shares had a fair value of $5,949,078 at the date of issuance. As of September 30, 2021, the estimated value of the contingent consideration associated with the acquisition of Dharma, which was valued based on a probability weighting of the potential payments, was $45.9 million, of which $19.8 million was included as a current liability on the Company's unaudited interim condensed consolidated balance sheets.</w:t>
      </w:r>
    </w:p>
    <w:p>
      <w:pPr>
        <w:spacing w:after="0" w:line="173" w:lineRule="exact"/>
        <w:rPr>
          <w:sz w:val="20"/>
          <w:szCs w:val="20"/>
          <w:color w:val="auto"/>
        </w:rPr>
      </w:pPr>
    </w:p>
    <w:p>
      <w:pPr>
        <w:ind w:left="632" w:hanging="497"/>
        <w:spacing w:after="0"/>
        <w:tabs>
          <w:tab w:leader="none" w:pos="63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Mobley Pain Management and Wellness Center LLC and Canwell Processing LLC</w:t>
      </w:r>
    </w:p>
    <w:p>
      <w:pPr>
        <w:spacing w:after="0" w:line="256" w:lineRule="exact"/>
        <w:rPr>
          <w:sz w:val="20"/>
          <w:szCs w:val="20"/>
          <w:color w:val="auto"/>
        </w:rPr>
      </w:pPr>
    </w:p>
    <w:p>
      <w:pPr>
        <w:ind w:left="512"/>
        <w:spacing w:after="0" w:line="286" w:lineRule="auto"/>
        <w:rPr>
          <w:sz w:val="20"/>
          <w:szCs w:val="20"/>
          <w:color w:val="auto"/>
        </w:rPr>
      </w:pPr>
      <w:r>
        <w:rPr>
          <w:rFonts w:ascii="Arial" w:cs="Arial" w:eastAsia="Arial" w:hAnsi="Arial"/>
          <w:sz w:val="17"/>
          <w:szCs w:val="17"/>
          <w:color w:val="auto"/>
        </w:rPr>
        <w:t>On August 1, 2021, the Company acquired Mobley Pain Management and Wellness Center LLC and Canwell Processing LLC (collectively referred to as "</w:t>
      </w:r>
      <w:r>
        <w:rPr>
          <w:rFonts w:ascii="Arial" w:cs="Arial" w:eastAsia="Arial" w:hAnsi="Arial"/>
          <w:sz w:val="17"/>
          <w:szCs w:val="17"/>
          <w:b w:val="1"/>
          <w:bCs w:val="1"/>
          <w:color w:val="auto"/>
        </w:rPr>
        <w:t>Summit</w:t>
      </w:r>
      <w:r>
        <w:rPr>
          <w:rFonts w:ascii="Arial" w:cs="Arial" w:eastAsia="Arial" w:hAnsi="Arial"/>
          <w:sz w:val="17"/>
          <w:szCs w:val="17"/>
          <w:color w:val="auto"/>
        </w:rPr>
        <w:t>"), both of which have contractual interests in Summit Medical Compassion Center, Inc. a non-profit entity with vertically integrated cannabis operations in Rhode Island for the purpose of expanding GreenThumb's national presence. Green Thumb exchanged 2,387,807 Subordinate Voting Shares valued at approximately $71.0 million (including 303,599 deferred shares) based on the fair value of the securities on their date of issuance, which was the closing price of Green Thumb's Subordinate Voting Shares as traded on the CSE on the date of the transaction. The purchase agreement included additional consideration of up to 2,500,000 Subordinate Voting Shares of Green Thumb depending upon the achievement of certain earnings targets over the twelve month period following the close of the transaction. As of September 30, 2021, the estimated value of the contingent consideration associated with the acquisition of Summit, which was valued based on the probability weighting of the potential payments, was $38.4 million all of which was included as a current liability on the Company's unaudited interim condensed consolidated balance sheets.</w:t>
      </w:r>
    </w:p>
    <w:p>
      <w:pPr>
        <w:spacing w:after="0" w:line="164" w:lineRule="exact"/>
        <w:rPr>
          <w:sz w:val="20"/>
          <w:szCs w:val="20"/>
          <w:color w:val="auto"/>
        </w:rPr>
      </w:pPr>
    </w:p>
    <w:p>
      <w:pPr>
        <w:ind w:left="612" w:hanging="477"/>
        <w:spacing w:after="0"/>
        <w:tabs>
          <w:tab w:leader="none" w:pos="61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GreenStar Herbals Inc.</w:t>
      </w:r>
    </w:p>
    <w:p>
      <w:pPr>
        <w:spacing w:after="0" w:line="252" w:lineRule="exact"/>
        <w:rPr>
          <w:sz w:val="20"/>
          <w:szCs w:val="20"/>
          <w:color w:val="auto"/>
        </w:rPr>
      </w:pPr>
    </w:p>
    <w:p>
      <w:pPr>
        <w:ind w:left="512"/>
        <w:spacing w:after="0" w:line="287" w:lineRule="auto"/>
        <w:rPr>
          <w:sz w:val="20"/>
          <w:szCs w:val="20"/>
          <w:color w:val="auto"/>
        </w:rPr>
      </w:pPr>
      <w:r>
        <w:rPr>
          <w:rFonts w:ascii="Arial" w:cs="Arial" w:eastAsia="Arial" w:hAnsi="Arial"/>
          <w:sz w:val="17"/>
          <w:szCs w:val="17"/>
          <w:color w:val="auto"/>
        </w:rPr>
        <w:t>On September 1, 2021, the Company acquired GreenStar Herbals Inc. ("</w:t>
      </w:r>
      <w:r>
        <w:rPr>
          <w:rFonts w:ascii="Arial" w:cs="Arial" w:eastAsia="Arial" w:hAnsi="Arial"/>
          <w:sz w:val="17"/>
          <w:szCs w:val="17"/>
          <w:b w:val="1"/>
          <w:bCs w:val="1"/>
          <w:color w:val="auto"/>
        </w:rPr>
        <w:t>GreenStar</w:t>
      </w:r>
      <w:r>
        <w:rPr>
          <w:rFonts w:ascii="Arial" w:cs="Arial" w:eastAsia="Arial" w:hAnsi="Arial"/>
          <w:sz w:val="17"/>
          <w:szCs w:val="17"/>
          <w:color w:val="auto"/>
        </w:rPr>
        <w:t>"), a Massachusetts-based adult-use cannabis retailer, for the purpose of expanding the Company's operational capacity in the Massachusetts market. Green Thumb exchanged $5,222,967 in cash along with 1,348,216 Subordinate Voting Shares (including 161,306 deferred shares) valued at approximately $39.7 million, based on the fair value of the securities on their date of issuance, which was the closing price of Green Thumb's Subordinate Voting Shares as traded on the CSE on the date of the transaction. The purchase agreement included additional consideration of up to 663,810 Subordinate Voting Shares of Green Thumb depending upon the achievement of certain revenue metrics of GreenStar over the twenty-four month period following the close of the transaction. As of September 30, 2021, the estimated value of the contingent consideration associated with the acquisition of GreenStar, which was valued based on the probability weighting of the potential payments, was $8.9 million, all of which was included as a non-current liability on the Company's unaudited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5" w:right="3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2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83"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31"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The estimated useful lives, residual values, and amortization methods are reviewed at each year end, and any changes in estimates are accounted for prospectively.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and December 31, 2020, intangible assets consisted of the following:</w:t>
      </w:r>
    </w:p>
    <w:p>
      <w:pPr>
        <w:spacing w:after="0" w:line="200" w:lineRule="exact"/>
        <w:rPr>
          <w:sz w:val="20"/>
          <w:szCs w:val="20"/>
          <w:color w:val="auto"/>
        </w:rPr>
      </w:pPr>
    </w:p>
    <w:p>
      <w:pPr>
        <w:spacing w:after="0" w:line="34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2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Net Book Value</w:t>
            </w:r>
          </w:p>
        </w:tc>
        <w:tc>
          <w:tcPr>
            <w:tcW w:w="80" w:type="dxa"/>
            <w:vAlign w:val="bottom"/>
          </w:tcPr>
          <w:p>
            <w:pPr>
              <w:spacing w:after="0"/>
              <w:rPr>
                <w:sz w:val="16"/>
                <w:szCs w:val="16"/>
                <w:color w:val="auto"/>
              </w:rPr>
            </w:pPr>
          </w:p>
        </w:tc>
      </w:tr>
      <w:tr>
        <w:trPr>
          <w:trHeight w:val="256"/>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Licenses and Permits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515,368,694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59,514,065</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455,854,629</w:t>
            </w:r>
          </w:p>
        </w:tc>
        <w:tc>
          <w:tcPr>
            <w:tcW w:w="44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343,135,736</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41,993,595</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301,142,141</w:t>
            </w:r>
          </w:p>
        </w:tc>
        <w:tc>
          <w:tcPr>
            <w:tcW w:w="80" w:type="dxa"/>
            <w:vAlign w:val="bottom"/>
            <w:shd w:val="clear" w:color="auto" w:fill="CFF0FC"/>
          </w:tcPr>
          <w:p>
            <w:pPr>
              <w:spacing w:after="0"/>
              <w:rPr>
                <w:sz w:val="22"/>
                <w:szCs w:val="22"/>
                <w:color w:val="auto"/>
              </w:rPr>
            </w:pPr>
          </w:p>
        </w:tc>
      </w:tr>
      <w:tr>
        <w:trPr>
          <w:trHeight w:val="220"/>
        </w:trPr>
        <w:tc>
          <w:tcPr>
            <w:tcW w:w="2700" w:type="dxa"/>
            <w:vAlign w:val="bottom"/>
          </w:tcPr>
          <w:p>
            <w:pPr>
              <w:spacing w:after="0"/>
              <w:rPr>
                <w:sz w:val="20"/>
                <w:szCs w:val="20"/>
                <w:color w:val="auto"/>
              </w:rPr>
            </w:pPr>
            <w:r>
              <w:rPr>
                <w:rFonts w:ascii="Arial" w:cs="Arial" w:eastAsia="Arial" w:hAnsi="Arial"/>
                <w:sz w:val="16"/>
                <w:szCs w:val="16"/>
                <w:color w:val="auto"/>
              </w:rPr>
              <w:t>Trademarks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98,935,601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22,174,913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76,760,688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99,295,599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13,455,178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85,840,421</w:t>
            </w:r>
          </w:p>
        </w:tc>
        <w:tc>
          <w:tcPr>
            <w:tcW w:w="80" w:type="dxa"/>
            <w:vAlign w:val="bottom"/>
          </w:tcPr>
          <w:p>
            <w:pPr>
              <w:spacing w:after="0"/>
              <w:rPr>
                <w:sz w:val="19"/>
                <w:szCs w:val="19"/>
                <w:color w:val="auto"/>
              </w:rPr>
            </w:pPr>
          </w:p>
        </w:tc>
      </w:tr>
      <w:tr>
        <w:trPr>
          <w:trHeight w:val="239"/>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24,438,000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9,071,493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15,366,507</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25,258,000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7,583,005</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17,674,995</w:t>
            </w:r>
          </w:p>
        </w:tc>
        <w:tc>
          <w:tcPr>
            <w:tcW w:w="80" w:type="dxa"/>
            <w:vAlign w:val="bottom"/>
            <w:shd w:val="clear" w:color="auto" w:fill="CFF0FC"/>
          </w:tcPr>
          <w:p>
            <w:pPr>
              <w:spacing w:after="0"/>
              <w:rPr>
                <w:sz w:val="20"/>
                <w:szCs w:val="20"/>
                <w:color w:val="auto"/>
              </w:rPr>
            </w:pPr>
          </w:p>
        </w:tc>
      </w:tr>
      <w:tr>
        <w:trPr>
          <w:trHeight w:val="227"/>
        </w:trPr>
        <w:tc>
          <w:tcPr>
            <w:tcW w:w="2700" w:type="dxa"/>
            <w:vAlign w:val="bottom"/>
          </w:tcPr>
          <w:p>
            <w:pPr>
              <w:spacing w:after="0"/>
              <w:rPr>
                <w:sz w:val="20"/>
                <w:szCs w:val="20"/>
                <w:color w:val="auto"/>
              </w:rPr>
            </w:pPr>
            <w:r>
              <w:rPr>
                <w:rFonts w:ascii="Arial" w:cs="Arial" w:eastAsia="Arial" w:hAnsi="Arial"/>
                <w:sz w:val="16"/>
                <w:szCs w:val="16"/>
                <w:color w:val="auto"/>
              </w:rPr>
              <w:t>Non-Competition Agreements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2,565,000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1,362,472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1,202,528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2,585,480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1,001,003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1,584,477</w:t>
            </w:r>
          </w:p>
        </w:tc>
        <w:tc>
          <w:tcPr>
            <w:tcW w:w="80" w:type="dxa"/>
            <w:vAlign w:val="bottom"/>
          </w:tcPr>
          <w:p>
            <w:pPr>
              <w:spacing w:after="0"/>
              <w:rPr>
                <w:sz w:val="19"/>
                <w:szCs w:val="19"/>
                <w:color w:val="auto"/>
              </w:rPr>
            </w:pPr>
          </w:p>
        </w:tc>
      </w:tr>
      <w:tr>
        <w:trPr>
          <w:trHeight w:val="266"/>
        </w:trPr>
        <w:tc>
          <w:tcPr>
            <w:tcW w:w="2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Intangible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641,307,295</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92,122,943</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549,184,352</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470,274,815</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64,032,781</w:t>
            </w: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406,242,034</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-25400</wp:posOffset>
            </wp:positionV>
            <wp:extent cx="137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-8255</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-25400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-8255</wp:posOffset>
            </wp:positionV>
            <wp:extent cx="137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1289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1289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1200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59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9" w:lineRule="exact"/>
        <w:rPr>
          <w:sz w:val="20"/>
          <w:szCs w:val="20"/>
          <w:color w:val="auto"/>
        </w:rPr>
      </w:pPr>
    </w:p>
    <w:p>
      <w:pPr>
        <w:ind w:right="80"/>
        <w:spacing w:after="0" w:line="359" w:lineRule="auto"/>
        <w:rPr>
          <w:sz w:val="20"/>
          <w:szCs w:val="20"/>
          <w:color w:val="auto"/>
        </w:rPr>
      </w:pPr>
      <w:r>
        <w:rPr>
          <w:rFonts w:ascii="Arial" w:cs="Arial" w:eastAsia="Arial" w:hAnsi="Arial"/>
          <w:sz w:val="16"/>
          <w:szCs w:val="16"/>
          <w:color w:val="auto"/>
        </w:rPr>
        <w:t>The Company recorded amortization expense for the three and nine months ended September 30, 2021 of $10,937,748 and $30,984,139, respectively. The Company recorded amortization expense for the three and nine months ended September 30, 2020 of $9,531,290 and $27,286,390,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September 30, 2021:</w:t>
      </w:r>
    </w:p>
    <w:p>
      <w:pPr>
        <w:spacing w:after="0" w:line="257" w:lineRule="exact"/>
        <w:rPr>
          <w:sz w:val="20"/>
          <w:szCs w:val="20"/>
          <w:color w:val="auto"/>
        </w:rPr>
      </w:pPr>
    </w:p>
    <w:tbl>
      <w:tblPr>
        <w:tblLayout w:type="fixed"/>
        <w:tblInd w:w="3100"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ind w:right="441"/>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5"/>
                <w:szCs w:val="15"/>
                <w:color w:val="auto"/>
              </w:rPr>
            </w:pPr>
          </w:p>
        </w:tc>
      </w:tr>
      <w:tr>
        <w:trPr>
          <w:trHeight w:val="198"/>
        </w:trPr>
        <w:tc>
          <w:tcPr>
            <w:tcW w:w="32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r>
      <w:tr>
        <w:trPr>
          <w:trHeight w:val="223"/>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Remainder of 2021</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12,527,442</w:t>
            </w:r>
          </w:p>
        </w:tc>
        <w:tc>
          <w:tcPr>
            <w:tcW w:w="140" w:type="dxa"/>
            <w:vAlign w:val="bottom"/>
            <w:shd w:val="clear" w:color="auto" w:fill="CFF0FC"/>
          </w:tcPr>
          <w:p>
            <w:pPr>
              <w:spacing w:after="0"/>
              <w:rPr>
                <w:sz w:val="19"/>
                <w:szCs w:val="19"/>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50,079,212</w:t>
            </w:r>
          </w:p>
        </w:tc>
        <w:tc>
          <w:tcPr>
            <w:tcW w:w="140" w:type="dxa"/>
            <w:vAlign w:val="bottom"/>
          </w:tcPr>
          <w:p>
            <w:pPr>
              <w:spacing w:after="0"/>
              <w:rPr>
                <w:sz w:val="19"/>
                <w:szCs w:val="19"/>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50,076,435</w:t>
            </w:r>
          </w:p>
        </w:tc>
        <w:tc>
          <w:tcPr>
            <w:tcW w:w="140" w:type="dxa"/>
            <w:vAlign w:val="bottom"/>
            <w:shd w:val="clear" w:color="auto" w:fill="CFF0FC"/>
          </w:tcPr>
          <w:p>
            <w:pPr>
              <w:spacing w:after="0"/>
              <w:rPr>
                <w:sz w:val="20"/>
                <w:szCs w:val="20"/>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49,495,101</w:t>
            </w:r>
          </w:p>
        </w:tc>
        <w:tc>
          <w:tcPr>
            <w:tcW w:w="140" w:type="dxa"/>
            <w:vAlign w:val="bottom"/>
          </w:tcPr>
          <w:p>
            <w:pPr>
              <w:spacing w:after="0"/>
              <w:rPr>
                <w:sz w:val="19"/>
                <w:szCs w:val="19"/>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2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49,397,435</w:t>
            </w:r>
          </w:p>
        </w:tc>
        <w:tc>
          <w:tcPr>
            <w:tcW w:w="140" w:type="dxa"/>
            <w:vAlign w:val="bottom"/>
            <w:shd w:val="clear" w:color="auto" w:fill="CFF0FC"/>
          </w:tcPr>
          <w:p>
            <w:pPr>
              <w:spacing w:after="0"/>
              <w:rPr>
                <w:sz w:val="20"/>
                <w:szCs w:val="20"/>
                <w:color w:val="auto"/>
              </w:rPr>
            </w:pPr>
          </w:p>
        </w:tc>
      </w:tr>
      <w:tr>
        <w:trPr>
          <w:trHeight w:val="227"/>
        </w:trPr>
        <w:tc>
          <w:tcPr>
            <w:tcW w:w="32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337,608,727</w:t>
            </w:r>
          </w:p>
        </w:tc>
        <w:tc>
          <w:tcPr>
            <w:tcW w:w="140" w:type="dxa"/>
            <w:vAlign w:val="bottom"/>
          </w:tcPr>
          <w:p>
            <w:pPr>
              <w:spacing w:after="0"/>
              <w:rPr>
                <w:sz w:val="19"/>
                <w:szCs w:val="19"/>
                <w:color w:val="auto"/>
              </w:rPr>
            </w:pPr>
          </w:p>
        </w:tc>
      </w:tr>
      <w:tr>
        <w:trPr>
          <w:trHeight w:val="219"/>
        </w:trPr>
        <w:tc>
          <w:tcPr>
            <w:tcW w:w="326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549,184,352</w:t>
            </w:r>
          </w:p>
        </w:tc>
        <w:tc>
          <w:tcPr>
            <w:tcW w:w="140" w:type="dxa"/>
            <w:vAlign w:val="bottom"/>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 weighted average amortization period remaining for intangible assets was 12.35 years.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and December 31, 2020 the balances of goodwill, by segment,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6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Consumer Package Goods</w:t>
            </w: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Total</w:t>
            </w:r>
          </w:p>
        </w:tc>
      </w:tr>
      <w:tr>
        <w:trPr>
          <w:trHeight w:val="220"/>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1660" w:type="dxa"/>
            <w:vAlign w:val="bottom"/>
          </w:tcPr>
          <w:p>
            <w:pPr>
              <w:jc w:val="right"/>
              <w:spacing w:after="0"/>
              <w:rPr>
                <w:sz w:val="20"/>
                <w:szCs w:val="20"/>
                <w:color w:val="auto"/>
              </w:rPr>
            </w:pPr>
            <w:r>
              <w:rPr>
                <w:rFonts w:ascii="Arial" w:cs="Arial" w:eastAsia="Arial" w:hAnsi="Arial"/>
                <w:sz w:val="16"/>
                <w:szCs w:val="16"/>
                <w:color w:val="auto"/>
              </w:rPr>
              <w:t>130,680,935</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252,016,532</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382,697,467</w:t>
            </w:r>
          </w:p>
        </w:tc>
      </w:tr>
      <w:tr>
        <w:trPr>
          <w:trHeight w:val="239"/>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Acquisition of Dharma Pharmaceuticals, LLC</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43,378,626</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45,352,026</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88,730,652</w:t>
            </w:r>
          </w:p>
        </w:tc>
      </w:tr>
      <w:tr>
        <w:trPr>
          <w:trHeight w:val="206"/>
        </w:trPr>
        <w:tc>
          <w:tcPr>
            <w:tcW w:w="4320" w:type="dxa"/>
            <w:vAlign w:val="bottom"/>
          </w:tcPr>
          <w:p>
            <w:pPr>
              <w:ind w:left="20"/>
              <w:spacing w:after="0"/>
              <w:rPr>
                <w:sz w:val="20"/>
                <w:szCs w:val="20"/>
                <w:color w:val="auto"/>
              </w:rPr>
            </w:pPr>
            <w:r>
              <w:rPr>
                <w:rFonts w:ascii="Arial" w:cs="Arial" w:eastAsia="Arial" w:hAnsi="Arial"/>
                <w:sz w:val="16"/>
                <w:szCs w:val="16"/>
                <w:color w:val="auto"/>
              </w:rPr>
              <w:t>Acquisition of Summit Medical Compassion Center,</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6"/>
                <w:szCs w:val="16"/>
                <w:color w:val="auto"/>
              </w:rPr>
              <w:t>Inc.</w:t>
            </w:r>
          </w:p>
        </w:tc>
        <w:tc>
          <w:tcPr>
            <w:tcW w:w="1660" w:type="dxa"/>
            <w:vAlign w:val="bottom"/>
          </w:tcPr>
          <w:p>
            <w:pPr>
              <w:jc w:val="right"/>
              <w:spacing w:after="0"/>
              <w:rPr>
                <w:sz w:val="20"/>
                <w:szCs w:val="20"/>
                <w:color w:val="auto"/>
              </w:rPr>
            </w:pPr>
            <w:r>
              <w:rPr>
                <w:rFonts w:ascii="Arial" w:cs="Arial" w:eastAsia="Arial" w:hAnsi="Arial"/>
                <w:sz w:val="16"/>
                <w:szCs w:val="16"/>
                <w:color w:val="auto"/>
              </w:rPr>
              <w:t>47,864,947</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21,164,344</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69,029,291</w:t>
            </w:r>
          </w:p>
        </w:tc>
      </w:tr>
      <w:tr>
        <w:trPr>
          <w:trHeight w:val="239"/>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Acquisitions</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34,048,860</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32,127,684</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66,176,544</w:t>
            </w:r>
          </w:p>
        </w:tc>
      </w:tr>
      <w:tr>
        <w:trPr>
          <w:trHeight w:val="227"/>
        </w:trPr>
        <w:tc>
          <w:tcPr>
            <w:tcW w:w="4320" w:type="dxa"/>
            <w:vAlign w:val="bottom"/>
          </w:tcPr>
          <w:p>
            <w:pPr>
              <w:ind w:left="20"/>
              <w:spacing w:after="0"/>
              <w:rPr>
                <w:sz w:val="20"/>
                <w:szCs w:val="20"/>
                <w:color w:val="auto"/>
              </w:rPr>
            </w:pPr>
            <w:r>
              <w:rPr>
                <w:rFonts w:ascii="Arial" w:cs="Arial" w:eastAsia="Arial" w:hAnsi="Arial"/>
                <w:sz w:val="16"/>
                <w:szCs w:val="16"/>
                <w:color w:val="auto"/>
              </w:rPr>
              <w:t>Adjustments to Purchase Price Allocations</w:t>
            </w:r>
          </w:p>
        </w:tc>
        <w:tc>
          <w:tcPr>
            <w:tcW w:w="1660" w:type="dxa"/>
            <w:vAlign w:val="bottom"/>
          </w:tcPr>
          <w:p>
            <w:pPr>
              <w:jc w:val="right"/>
              <w:spacing w:after="0"/>
              <w:rPr>
                <w:sz w:val="20"/>
                <w:szCs w:val="20"/>
                <w:color w:val="auto"/>
              </w:rPr>
            </w:pPr>
            <w:r>
              <w:rPr>
                <w:rFonts w:ascii="Arial" w:cs="Arial" w:eastAsia="Arial" w:hAnsi="Arial"/>
                <w:sz w:val="16"/>
                <w:szCs w:val="16"/>
                <w:color w:val="auto"/>
              </w:rPr>
              <w:t>(9,150,000)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(9,150,000)</w:t>
            </w:r>
          </w:p>
        </w:tc>
      </w:tr>
      <w:tr>
        <w:trPr>
          <w:trHeight w:val="266"/>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As of September 30, 2021</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$246,823,368</w:t>
            </w:r>
          </w:p>
        </w:tc>
        <w:tc>
          <w:tcPr>
            <w:tcW w:w="120" w:type="dxa"/>
            <w:vAlign w:val="bottom"/>
            <w:tcBorders>
              <w:bottom w:val="single" w:sz="8" w:color="CFF0FC"/>
            </w:tcBorders>
            <w:shd w:val="clear" w:color="auto" w:fill="CFF0FC"/>
          </w:tcPr>
          <w:p>
            <w:pPr>
              <w:spacing w:after="0"/>
              <w:rPr>
                <w:sz w:val="23"/>
                <w:szCs w:val="23"/>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$350,660,586</w:t>
            </w:r>
          </w:p>
        </w:tc>
        <w:tc>
          <w:tcPr>
            <w:tcW w:w="120" w:type="dxa"/>
            <w:vAlign w:val="bottom"/>
            <w:tcBorders>
              <w:bottom w:val="single" w:sz="8" w:color="CFF0FC"/>
            </w:tcBorders>
            <w:shd w:val="clear" w:color="auto" w:fill="CFF0FC"/>
          </w:tcPr>
          <w:p>
            <w:pPr>
              <w:spacing w:after="0"/>
              <w:rPr>
                <w:sz w:val="23"/>
                <w:szCs w:val="23"/>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$597,483,954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During the third quarter 2021, the Company made immaterial adjustments to the purchase price allocations associated with previously acquired entities that resulted in a reduction to goodwill and a corresponding reduction to deferred tax liabilities.</w:t>
      </w:r>
    </w:p>
    <w:p>
      <w:pPr>
        <w:sectPr>
          <w:pgSz w:w="11900" w:h="16838" w:orient="portrait"/>
          <w:cols w:equalWidth="0" w:num="1">
            <w:col w:w="11200"/>
          </w:cols>
          <w:pgMar w:left="320" w:top="135" w:right="37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type w:val="continuous"/>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8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5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As of September 30, 2021 and December 31, 2020, the Company held various equity interests in privately held cannabis companies as well as investments in convertible notes that had a combined fair value of $50,627,826 and $40,794,806 as of each period end, respectively. The Company measures its investments that do not have readily determinable fair value at cost minus impairment, plus or minus changes resulting from observable price changes in orderly transactions for the identical or a similar investment of the same issuer. The Company performs an assessment on a quarterly basis to determine whether triggering events for impairment exist and to identify any observable price changes.</w:t>
      </w:r>
    </w:p>
    <w:p>
      <w:pPr>
        <w:spacing w:after="0" w:line="174"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following table summarizes the change in the Company’s investments during the nine months ended September 30, 2021 and year ending December 31, 2020:</w:t>
      </w:r>
    </w:p>
    <w:p>
      <w:pPr>
        <w:spacing w:after="0" w:line="233" w:lineRule="exact"/>
        <w:rPr>
          <w:sz w:val="20"/>
          <w:szCs w:val="20"/>
          <w:color w:val="auto"/>
        </w:rPr>
      </w:pPr>
    </w:p>
    <w:tbl>
      <w:tblPr>
        <w:tblLayout w:type="fixed"/>
        <w:tblInd w:w="2420" w:type="dxa"/>
        <w:tblCellMar>
          <w:top w:w="0" w:type="dxa"/>
          <w:left w:w="0" w:type="dxa"/>
          <w:bottom w:w="0" w:type="dxa"/>
          <w:right w:w="0" w:type="dxa"/>
        </w:tblCellMar>
      </w:tblPr>
      <w:tr>
        <w:trPr>
          <w:trHeight w:val="230"/>
        </w:trPr>
        <w:tc>
          <w:tcPr>
            <w:tcW w:w="2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2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September 30, 2021</w:t>
            </w:r>
          </w:p>
        </w:tc>
        <w:tc>
          <w:tcPr>
            <w:tcW w:w="24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r>
      <w:tr>
        <w:trPr>
          <w:trHeight w:val="257"/>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40,794,806</w:t>
            </w:r>
          </w:p>
        </w:tc>
        <w:tc>
          <w:tcPr>
            <w:tcW w:w="30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14,068,821</w:t>
            </w:r>
          </w:p>
        </w:tc>
        <w:tc>
          <w:tcPr>
            <w:tcW w:w="180" w:type="dxa"/>
            <w:vAlign w:val="bottom"/>
            <w:shd w:val="clear" w:color="auto" w:fill="CFF0FC"/>
          </w:tcPr>
          <w:p>
            <w:pPr>
              <w:spacing w:after="0"/>
              <w:rPr>
                <w:sz w:val="22"/>
                <w:szCs w:val="22"/>
                <w:color w:val="auto"/>
              </w:rPr>
            </w:pP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31,053,096</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525,000</w:t>
            </w:r>
          </w:p>
        </w:tc>
        <w:tc>
          <w:tcPr>
            <w:tcW w:w="180" w:type="dxa"/>
            <w:vAlign w:val="bottom"/>
          </w:tcPr>
          <w:p>
            <w:pPr>
              <w:spacing w:after="0"/>
              <w:rPr>
                <w:sz w:val="21"/>
                <w:szCs w:val="21"/>
                <w:color w:val="auto"/>
              </w:rPr>
            </w:pPr>
          </w:p>
        </w:tc>
      </w:tr>
      <w:tr>
        <w:trPr>
          <w:trHeight w:val="263"/>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Disposals</w:t>
            </w:r>
          </w:p>
        </w:tc>
        <w:tc>
          <w:tcPr>
            <w:tcW w:w="200" w:type="dxa"/>
            <w:vAlign w:val="bottom"/>
            <w:shd w:val="clear" w:color="auto" w:fill="CFF0FC"/>
          </w:tcPr>
          <w:p>
            <w:pPr>
              <w:spacing w:after="0"/>
              <w:rPr>
                <w:sz w:val="22"/>
                <w:szCs w:val="22"/>
                <w:color w:val="auto"/>
              </w:rPr>
            </w:pP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(18,282,213 )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(169,818 )</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Fair value adjustment</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14,604,387</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26,370,803</w:t>
            </w:r>
          </w:p>
        </w:tc>
        <w:tc>
          <w:tcPr>
            <w:tcW w:w="180" w:type="dxa"/>
            <w:vAlign w:val="bottom"/>
          </w:tcPr>
          <w:p>
            <w:pPr>
              <w:spacing w:after="0"/>
              <w:rPr>
                <w:sz w:val="21"/>
                <w:szCs w:val="21"/>
                <w:color w:val="auto"/>
              </w:rPr>
            </w:pPr>
          </w:p>
        </w:tc>
      </w:tr>
      <w:tr>
        <w:trPr>
          <w:trHeight w:val="263"/>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Transfers out</w:t>
            </w:r>
          </w:p>
        </w:tc>
        <w:tc>
          <w:tcPr>
            <w:tcW w:w="200" w:type="dxa"/>
            <w:vAlign w:val="bottom"/>
            <w:shd w:val="clear" w:color="auto" w:fill="CFF0FC"/>
          </w:tcPr>
          <w:p>
            <w:pPr>
              <w:spacing w:after="0"/>
              <w:rPr>
                <w:sz w:val="22"/>
                <w:szCs w:val="22"/>
                <w:color w:val="auto"/>
              </w:rPr>
            </w:pPr>
          </w:p>
        </w:tc>
        <w:tc>
          <w:tcPr>
            <w:tcW w:w="2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(17,542,250 )</w:t>
            </w:r>
          </w:p>
        </w:tc>
        <w:tc>
          <w:tcPr>
            <w:tcW w:w="24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50"/>
        </w:trPr>
        <w:tc>
          <w:tcPr>
            <w:tcW w:w="25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Ending</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50,627,826</w:t>
            </w:r>
          </w:p>
        </w:tc>
        <w:tc>
          <w:tcPr>
            <w:tcW w:w="30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40,794,806</w:t>
            </w:r>
          </w:p>
        </w:tc>
        <w:tc>
          <w:tcPr>
            <w:tcW w:w="180" w:type="dxa"/>
            <w:vAlign w:val="bottom"/>
            <w:tcBorders>
              <w:top w:val="single" w:sz="8" w:color="CFF0FC"/>
            </w:tcBorders>
          </w:tcPr>
          <w:p>
            <w:pPr>
              <w:spacing w:after="0"/>
              <w:rPr>
                <w:sz w:val="21"/>
                <w:szCs w:val="2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-193675</wp:posOffset>
            </wp:positionV>
            <wp:extent cx="1268730" cy="1943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68730" cy="194310"/>
                    </a:xfrm>
                    <a:prstGeom prst="rect">
                      <a:avLst/>
                    </a:prstGeom>
                    <a:noFill/>
                  </pic:spPr>
                </pic:pic>
              </a:graphicData>
            </a:graphic>
          </wp:anchor>
        </w:drawing>
      </w:r>
    </w:p>
    <w:p>
      <w:pPr>
        <w:spacing w:after="0" w:line="209" w:lineRule="exact"/>
        <w:rPr>
          <w:sz w:val="20"/>
          <w:szCs w:val="20"/>
          <w:color w:val="auto"/>
        </w:rPr>
      </w:pPr>
    </w:p>
    <w:p>
      <w:pPr>
        <w:ind w:right="120"/>
        <w:spacing w:after="0" w:line="293" w:lineRule="auto"/>
        <w:rPr>
          <w:sz w:val="20"/>
          <w:szCs w:val="20"/>
          <w:color w:val="auto"/>
        </w:rPr>
      </w:pPr>
      <w:r>
        <w:rPr>
          <w:rFonts w:ascii="Arial" w:cs="Arial" w:eastAsia="Arial" w:hAnsi="Arial"/>
          <w:sz w:val="18"/>
          <w:szCs w:val="18"/>
          <w:color w:val="auto"/>
        </w:rPr>
        <w:t>During the three and nine months ended September 30, 2021 and 2020, the Company recorded fair value gains (losses) of $(4,074,934) and $14,604,387, respectively and $7,284,213 and $6,717,178,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Equity Investments</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On January 15, 2021, the Company sold approximately half of its equity interest in a privately held entity for $18,112,500 in cash. Subsequently, the privately held entity became publicly traded. As of the three and nine months ended September 30, 2021, Green Thumb recorded a loss on the fair value of the equity interest of $3,948,841 and a gain of $9,568,348, respectively, based on the trading price of the securities. As of September 30, 2021 and December 31, 2020, the fair value of the equity interest was $28,705,037 and $37,249,189, respectively.</w:t>
      </w:r>
    </w:p>
    <w:p>
      <w:pPr>
        <w:spacing w:after="0" w:line="183" w:lineRule="exact"/>
        <w:rPr>
          <w:sz w:val="20"/>
          <w:szCs w:val="20"/>
          <w:color w:val="auto"/>
        </w:rPr>
      </w:pPr>
    </w:p>
    <w:p>
      <w:pPr>
        <w:ind w:right="20"/>
        <w:spacing w:after="0" w:line="292" w:lineRule="auto"/>
        <w:rPr>
          <w:sz w:val="20"/>
          <w:szCs w:val="20"/>
          <w:color w:val="auto"/>
        </w:rPr>
      </w:pPr>
      <w:r>
        <w:rPr>
          <w:rFonts w:ascii="Arial" w:cs="Arial" w:eastAsia="Arial" w:hAnsi="Arial"/>
          <w:sz w:val="17"/>
          <w:szCs w:val="17"/>
          <w:color w:val="auto"/>
        </w:rPr>
        <w:t>Separately, during the first half of 2021, the Company made an additional investment in a privately held entity in the amount of $12,335,635, recorded fair value adjustments of $4,110,378 and obtained representation on the entity's board of directors. Given Green Thumb's cumulative ownership interest and representation on the entity's board of directors, it was determined that the Company could exert significant influence over the entity. As of June 30, 2021, the Company reclassified its investment in the privately held entity to investment in associates on the unaudited interim condensed consolidated balance sheets and began accounting for the investment as an equity method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Convertible Notes Receivable</w:t>
      </w:r>
    </w:p>
    <w:p>
      <w:pPr>
        <w:spacing w:after="0" w:line="256"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color w:val="auto"/>
        </w:rPr>
        <w:t>During the first nine months of 2021, the Company made multiple investments in the form of convertible notes receivable in the amount of $15,417,500 and an investment in a note receivable without a conversion feature in the amount of $1,500,000. The interest on the convertible notes receivable range between 0.91% - 10% with terms between 15 months to three years. The interest on the note receivable without conversion feature is 3% annually with a 180 day term. The calculated fair values are recorded as a Level 3 fair value investment as of September 30, 2021 and include the initial investment cost and contractual interest of $207,500. See Note 14 - Fair Value Measurements for additional details.</w:t>
      </w:r>
    </w:p>
    <w:p>
      <w:pPr>
        <w:spacing w:after="0" w:line="146" w:lineRule="exact"/>
        <w:rPr>
          <w:sz w:val="20"/>
          <w:szCs w:val="20"/>
          <w:color w:val="auto"/>
        </w:rPr>
      </w:pPr>
    </w:p>
    <w:p>
      <w:pPr>
        <w:ind w:right="780"/>
        <w:spacing w:after="0" w:line="293" w:lineRule="auto"/>
        <w:rPr>
          <w:sz w:val="20"/>
          <w:szCs w:val="20"/>
          <w:color w:val="auto"/>
        </w:rPr>
      </w:pPr>
      <w:r>
        <w:rPr>
          <w:rFonts w:ascii="Arial" w:cs="Arial" w:eastAsia="Arial" w:hAnsi="Arial"/>
          <w:sz w:val="18"/>
          <w:szCs w:val="18"/>
          <w:color w:val="auto"/>
        </w:rPr>
        <w:t>Unrealized gains and (losses) recognized on equity investments held during the three and nine months ended September 30, 2021and 2020 were $(4,140,268) and $14,596,174 and $8,134,213 and $8,117,178, respectively.</w:t>
      </w: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19"/>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35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2" w:lineRule="exact"/>
        <w:rPr>
          <w:rFonts w:ascii="Arial" w:cs="Arial" w:eastAsia="Arial" w:hAnsi="Arial"/>
          <w:sz w:val="18"/>
          <w:szCs w:val="18"/>
          <w:b w:val="1"/>
          <w:bCs w:val="1"/>
          <w:color w:val="auto"/>
        </w:rPr>
      </w:pPr>
    </w:p>
    <w:p>
      <w:pPr>
        <w:ind w:left="440" w:hanging="432"/>
        <w:spacing w:after="0"/>
        <w:tabs>
          <w:tab w:leader="none" w:pos="44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right="40"/>
        <w:spacing w:after="0" w:line="303" w:lineRule="auto"/>
        <w:rPr>
          <w:sz w:val="20"/>
          <w:szCs w:val="20"/>
          <w:color w:val="auto"/>
        </w:rPr>
      </w:pPr>
      <w:r>
        <w:rPr>
          <w:rFonts w:ascii="Arial" w:cs="Arial" w:eastAsia="Arial" w:hAnsi="Arial"/>
          <w:sz w:val="17"/>
          <w:szCs w:val="17"/>
          <w:color w:val="auto"/>
        </w:rPr>
        <w:t>The Company has operating leases for certain Rise Dispensaries, and other retail dispensaries as well as many of the Company’s processing and cultivation facilities located throughout the U.S and operating leases for corporate office space in Illinois. Operating lease right-of-use assets and operating lease liabilities are recognized based on the present value of future minimum lease payments over the lease term at commencement date.</w:t>
      </w:r>
    </w:p>
    <w:p>
      <w:pPr>
        <w:spacing w:after="0" w:line="164"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 The Company accounts for real estate leases and the related fixed non-lease components together as a single component.</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 For the three and nine months ended September 30, 2021 the company recorded operating lease expense of $8,732,600 and $24,760,298 compared to operating lease expense of $6,557,340 and $18,987,980 for the three and nine months ended September 30, 2020.</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operating leases as of September 30, 2021 and December 31, 2020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1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December 31, 2020</w:t>
            </w:r>
          </w:p>
        </w:tc>
      </w:tr>
      <w:tr>
        <w:trPr>
          <w:trHeight w:val="25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avgerage remaining lease term (years)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12.10</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620" w:type="dxa"/>
            <w:vAlign w:val="bottom"/>
          </w:tcPr>
          <w:p>
            <w:pPr>
              <w:jc w:val="right"/>
              <w:spacing w:after="0"/>
              <w:rPr>
                <w:sz w:val="20"/>
                <w:szCs w:val="20"/>
                <w:color w:val="auto"/>
              </w:rPr>
            </w:pPr>
            <w:r>
              <w:rPr>
                <w:rFonts w:ascii="Arial" w:cs="Arial" w:eastAsia="Arial" w:hAnsi="Arial"/>
                <w:sz w:val="18"/>
                <w:szCs w:val="18"/>
                <w:color w:val="auto"/>
              </w:rPr>
              <w:t>13.67%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13.70%</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for operating leases as of September 30, 2021 were as follows:</w:t>
      </w:r>
    </w:p>
    <w:p>
      <w:pPr>
        <w:spacing w:after="0" w:line="298" w:lineRule="exact"/>
        <w:rPr>
          <w:sz w:val="20"/>
          <w:szCs w:val="20"/>
          <w:color w:val="auto"/>
        </w:rPr>
      </w:pPr>
    </w:p>
    <w:tbl>
      <w:tblPr>
        <w:tblLayout w:type="fixed"/>
        <w:tblInd w:w="198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4"/>
                <w:szCs w:val="14"/>
                <w:b w:val="1"/>
                <w:bCs w:val="1"/>
                <w:color w:val="auto"/>
                <w:w w:val="98"/>
              </w:rPr>
              <w:t>Maturities of Lease Liability</w:t>
            </w:r>
          </w:p>
        </w:tc>
        <w:tc>
          <w:tcPr>
            <w:tcW w:w="1100" w:type="dxa"/>
            <w:vAlign w:val="bottom"/>
            <w:tcBorders>
              <w:bottom w:val="single" w:sz="8" w:color="auto"/>
            </w:tcBorders>
          </w:tcPr>
          <w:p>
            <w:pPr>
              <w:spacing w:after="0"/>
              <w:rPr>
                <w:sz w:val="16"/>
                <w:szCs w:val="16"/>
                <w:color w:val="auto"/>
              </w:rPr>
            </w:pPr>
          </w:p>
        </w:tc>
      </w:tr>
      <w:tr>
        <w:trPr>
          <w:trHeight w:val="196"/>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Third Party</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Related Party</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22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Remainder of 2021</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7,922,552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275,855</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8,198,407</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32,128,809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1,119,130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33,247,939</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32,058,049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1,144,320</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33,202,369</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rPr>
              <w:t>2024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31,508,225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1,026,677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32,534,902</w:t>
            </w:r>
          </w:p>
        </w:tc>
      </w:tr>
      <w:tr>
        <w:trPr>
          <w:trHeight w:val="239"/>
        </w:trPr>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2025</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29,190,223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947,727</w:t>
            </w: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30,137,950</w:t>
            </w:r>
          </w:p>
        </w:tc>
      </w:tr>
      <w:tr>
        <w:trPr>
          <w:trHeight w:val="226"/>
        </w:trPr>
        <w:tc>
          <w:tcPr>
            <w:tcW w:w="2720" w:type="dxa"/>
            <w:vAlign w:val="bottom"/>
          </w:tcPr>
          <w:p>
            <w:pPr>
              <w:ind w:left="20"/>
              <w:spacing w:after="0"/>
              <w:rPr>
                <w:sz w:val="20"/>
                <w:szCs w:val="20"/>
                <w:color w:val="auto"/>
              </w:rPr>
            </w:pPr>
            <w:r>
              <w:rPr>
                <w:rFonts w:ascii="Arial" w:cs="Arial" w:eastAsia="Arial" w:hAnsi="Arial"/>
                <w:sz w:val="16"/>
                <w:szCs w:val="16"/>
                <w:color w:val="auto"/>
              </w:rPr>
              <w:t>2026 and Thereafter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294,266,749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8,035,397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302,302,146</w:t>
            </w:r>
          </w:p>
        </w:tc>
      </w:tr>
      <w:tr>
        <w:trPr>
          <w:trHeight w:val="223"/>
        </w:trPr>
        <w:tc>
          <w:tcPr>
            <w:tcW w:w="2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Total Lease Payments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427,074,607</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12,549,106</w:t>
            </w: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439,623,713</w:t>
            </w: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color w:val="auto"/>
              </w:rPr>
              <w:t>Less: Interest</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(245,267,484)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(5,893,969)</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(251,161,453)</w:t>
            </w:r>
          </w:p>
        </w:tc>
      </w:tr>
      <w:tr>
        <w:trPr>
          <w:trHeight w:val="266"/>
        </w:trPr>
        <w:tc>
          <w:tcPr>
            <w:tcW w:w="2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Present Value of Lease Liability</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181,807,123</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6,655,137</w:t>
            </w:r>
          </w:p>
        </w:tc>
        <w:tc>
          <w:tcPr>
            <w:tcW w:w="120" w:type="dxa"/>
            <w:vAlign w:val="bottom"/>
            <w:tcBorders>
              <w:bottom w:val="single" w:sz="8" w:color="CFF0FC"/>
            </w:tcBorders>
            <w:shd w:val="clear" w:color="auto" w:fill="CFF0FC"/>
          </w:tcPr>
          <w:p>
            <w:pPr>
              <w:spacing w:after="0"/>
              <w:rPr>
                <w:sz w:val="23"/>
                <w:szCs w:val="23"/>
                <w:color w:val="auto"/>
              </w:rPr>
            </w:pPr>
          </w:p>
        </w:tc>
        <w:tc>
          <w:tcPr>
            <w:tcW w:w="44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188,462,260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-330835</wp:posOffset>
            </wp:positionV>
            <wp:extent cx="774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-330835</wp:posOffset>
            </wp:positionV>
            <wp:extent cx="685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-25400</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Operating Leases</w:t>
      </w:r>
    </w:p>
    <w:p>
      <w:pPr>
        <w:spacing w:after="0" w:line="243"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The Company entered into related party transactions with respect to its leasing arrangements for certain facilities in Florida, Maryland, Massachusetts and Nevada. Wendy Berger, a director of the Company, is a principal of WBS Equities, LLC, which is the Manager of Mosaic Real Estate, LLC, and owns certain facilities leased by the Company. Additionally, Mosaic Real Estate, LLC is indirectly owned in part by Ms. Berger (through the Wendy Berger 1998 Revocable Trust), Benjamin Kovler, the Chief Executive Officer and a director of the Company (through KP Capital, LLC), and Anthony Georgiadis, the Chief Financial Officer and a director of the Company (through Three One Four Holdings, LLC). The terms of these leases range from 7 years to 15 years. For the three and nine months ended September 30, 2021, the Company recorded lease expense of $295,298 and $890,730, respectively, associated with these leasing arrangements. For the three and nine months ended September 30, 2020, the Company recorded lease expense of $353,537 and $1,146,243, respectively associated with these leases.</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2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2021 and December 31, 2020, notes payable consisted of the following:</w:t>
      </w:r>
    </w:p>
    <w:p>
      <w:pPr>
        <w:spacing w:after="0" w:line="200" w:lineRule="exact"/>
        <w:rPr>
          <w:sz w:val="20"/>
          <w:szCs w:val="20"/>
          <w:color w:val="auto"/>
        </w:rPr>
      </w:pP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September 30, 2021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9"/>
              </w:rPr>
              <w:t>December 31, 2020</w:t>
            </w:r>
          </w:p>
        </w:tc>
      </w:tr>
      <w:tr>
        <w:trPr>
          <w:trHeight w:val="256"/>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 xml:space="preserve">Charitable Contributions </w:t>
            </w:r>
            <w:r>
              <w:rPr>
                <w:rFonts w:ascii="Arial" w:cs="Arial" w:eastAsia="Arial" w:hAnsi="Arial"/>
                <w:sz w:val="19"/>
                <w:szCs w:val="19"/>
                <w:color w:val="auto"/>
                <w:vertAlign w:val="superscript"/>
              </w:rPr>
              <w:t>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1,284,449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717,430</w:t>
            </w:r>
          </w:p>
        </w:tc>
      </w:tr>
      <w:tr>
        <w:trPr>
          <w:trHeight w:val="257"/>
        </w:trPr>
        <w:tc>
          <w:tcPr>
            <w:tcW w:w="5420" w:type="dxa"/>
            <w:vAlign w:val="bottom"/>
          </w:tcPr>
          <w:p>
            <w:pPr>
              <w:spacing w:after="0"/>
              <w:rPr>
                <w:sz w:val="20"/>
                <w:szCs w:val="20"/>
                <w:color w:val="auto"/>
              </w:rPr>
            </w:pPr>
            <w:r>
              <w:rPr>
                <w:rFonts w:ascii="Arial" w:cs="Arial" w:eastAsia="Arial" w:hAnsi="Arial"/>
                <w:sz w:val="14"/>
                <w:szCs w:val="14"/>
                <w:color w:val="auto"/>
              </w:rPr>
              <w:t xml:space="preserve">Private placement debt dated May 22, 2019 </w:t>
            </w:r>
            <w:r>
              <w:rPr>
                <w:rFonts w:ascii="Arial" w:cs="Arial" w:eastAsia="Arial" w:hAnsi="Arial"/>
                <w:sz w:val="19"/>
                <w:szCs w:val="19"/>
                <w:color w:val="auto"/>
                <w:vertAlign w:val="superscript"/>
              </w:rPr>
              <w:t>2</w:t>
            </w:r>
          </w:p>
        </w:tc>
        <w:tc>
          <w:tcPr>
            <w:tcW w:w="1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94,955,094</w:t>
            </w:r>
          </w:p>
        </w:tc>
      </w:tr>
      <w:tr>
        <w:trPr>
          <w:trHeight w:val="256"/>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Private placement debt dated April 30, 2021</w:t>
            </w:r>
            <w:r>
              <w:rPr>
                <w:rFonts w:ascii="Arial" w:cs="Arial" w:eastAsia="Arial" w:hAnsi="Arial"/>
                <w:sz w:val="19"/>
                <w:szCs w:val="19"/>
                <w:color w:val="auto"/>
                <w:vertAlign w:val="superscript"/>
              </w:rPr>
              <w:t>3</w:t>
            </w: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195,163,333</w:t>
            </w:r>
          </w:p>
        </w:tc>
        <w:tc>
          <w:tcPr>
            <w:tcW w:w="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 xml:space="preserve">Mortgage notes </w:t>
            </w:r>
            <w:r>
              <w:rPr>
                <w:rFonts w:ascii="Arial" w:cs="Arial" w:eastAsia="Arial" w:hAnsi="Arial"/>
                <w:sz w:val="19"/>
                <w:szCs w:val="19"/>
                <w:color w:val="auto"/>
                <w:vertAlign w:val="superscript"/>
              </w:rPr>
              <w:t>4</w:t>
            </w:r>
          </w:p>
        </w:tc>
        <w:tc>
          <w:tcPr>
            <w:tcW w:w="140" w:type="dxa"/>
            <w:vAlign w:val="bottom"/>
            <w:tcBorders>
              <w:bottom w:val="single" w:sz="8" w:color="CFF0FC"/>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10,090,290</w:t>
            </w:r>
          </w:p>
        </w:tc>
        <w:tc>
          <w:tcPr>
            <w:tcW w:w="1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3,382,455</w:t>
            </w:r>
          </w:p>
        </w:tc>
      </w:tr>
      <w:tr>
        <w:trPr>
          <w:trHeight w:val="250"/>
        </w:trPr>
        <w:tc>
          <w:tcPr>
            <w:tcW w:w="5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notes payable</w:t>
            </w: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206,538,072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99,054,979</w:t>
            </w: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(777,275)</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(341,983)</w:t>
            </w:r>
          </w:p>
        </w:tc>
      </w:tr>
      <w:tr>
        <w:trPr>
          <w:trHeight w:val="250"/>
        </w:trPr>
        <w:tc>
          <w:tcPr>
            <w:tcW w:w="5420" w:type="dxa"/>
            <w:vAlign w:val="bottom"/>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205,760,797</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98,712,996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-513715</wp:posOffset>
            </wp:positionV>
            <wp:extent cx="8572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-170815</wp:posOffset>
            </wp:positionV>
            <wp:extent cx="570039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00395" cy="18859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1"/>
          <w:szCs w:val="11"/>
          <w:color w:val="auto"/>
        </w:rPr>
        <w:t>____________________</w:t>
      </w:r>
    </w:p>
    <w:p>
      <w:pPr>
        <w:spacing w:after="0" w:line="10" w:lineRule="exact"/>
        <w:rPr>
          <w:sz w:val="20"/>
          <w:szCs w:val="20"/>
          <w:color w:val="auto"/>
        </w:rPr>
      </w:pPr>
    </w:p>
    <w:p>
      <w:pPr>
        <w:ind w:left="1020" w:right="60" w:firstLine="6"/>
        <w:spacing w:after="0" w:line="235" w:lineRule="auto"/>
        <w:tabs>
          <w:tab w:leader="none" w:pos="1115" w:val="left"/>
        </w:tabs>
        <w:numPr>
          <w:ilvl w:val="1"/>
          <w:numId w:val="25"/>
        </w:numPr>
        <w:rPr>
          <w:rFonts w:ascii="Arial" w:cs="Arial" w:eastAsia="Arial" w:hAnsi="Arial"/>
          <w:sz w:val="22"/>
          <w:szCs w:val="22"/>
          <w:b w:val="1"/>
          <w:bCs w:val="1"/>
          <w:color w:val="auto"/>
          <w:vertAlign w:val="superscript"/>
        </w:rPr>
      </w:pPr>
      <w:r>
        <w:rPr>
          <w:rFonts w:ascii="Arial" w:cs="Arial" w:eastAsia="Arial" w:hAnsi="Arial"/>
          <w:sz w:val="16"/>
          <w:szCs w:val="16"/>
          <w:color w:val="auto"/>
        </w:rPr>
        <w:t>In connection with acquisitions completed in 2017 and 2019, the Company is required to make quarterly charitable contributions of $50,000 through October 2024 and $200,000 per year through May 2024, respectively. The net present value of these required payments has been recorded as a liability with interest rates ranging between 2.17% - 7.00%.</w:t>
      </w:r>
    </w:p>
    <w:p>
      <w:pPr>
        <w:spacing w:after="0" w:line="2" w:lineRule="exact"/>
        <w:rPr>
          <w:rFonts w:ascii="Arial" w:cs="Arial" w:eastAsia="Arial" w:hAnsi="Arial"/>
          <w:sz w:val="22"/>
          <w:szCs w:val="22"/>
          <w:b w:val="1"/>
          <w:bCs w:val="1"/>
          <w:color w:val="auto"/>
          <w:vertAlign w:val="superscript"/>
        </w:rPr>
      </w:pPr>
    </w:p>
    <w:p>
      <w:pPr>
        <w:ind w:left="1020"/>
        <w:spacing w:after="0" w:line="239" w:lineRule="auto"/>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2</w:t>
      </w:r>
      <w:r>
        <w:rPr>
          <w:rFonts w:ascii="Arial" w:cs="Arial" w:eastAsia="Arial" w:hAnsi="Arial"/>
          <w:sz w:val="16"/>
          <w:szCs w:val="16"/>
          <w:color w:val="auto"/>
        </w:rPr>
        <w:t xml:space="preserve"> On May 22, 2019, the Company issued private placement debt in an original amount of $105,466,429 with an interest rate of 12.00%, maturing on May 22, 2023. The debt was issued at a discount, the carrying value of which was $9,045,187 and $10,511,335 as of April 30, 2021, just prior to repayment, and December 31, 2020, respectively.</w:t>
      </w:r>
    </w:p>
    <w:p>
      <w:pPr>
        <w:ind w:left="1020" w:right="200"/>
        <w:spacing w:after="0" w:line="228" w:lineRule="auto"/>
        <w:rPr>
          <w:rFonts w:ascii="Arial" w:cs="Arial" w:eastAsia="Arial" w:hAnsi="Arial"/>
          <w:sz w:val="22"/>
          <w:szCs w:val="22"/>
          <w:b w:val="1"/>
          <w:bCs w:val="1"/>
          <w:color w:val="auto"/>
          <w:vertAlign w:val="superscript"/>
        </w:rPr>
      </w:pPr>
      <w:r>
        <w:rPr>
          <w:rFonts w:ascii="Arial" w:cs="Arial" w:eastAsia="Arial" w:hAnsi="Arial"/>
          <w:sz w:val="21"/>
          <w:szCs w:val="21"/>
          <w:b w:val="1"/>
          <w:bCs w:val="1"/>
          <w:color w:val="auto"/>
          <w:vertAlign w:val="superscript"/>
        </w:rPr>
        <w:t>3</w:t>
      </w:r>
      <w:r>
        <w:rPr>
          <w:rFonts w:ascii="Arial" w:cs="Arial" w:eastAsia="Arial" w:hAnsi="Arial"/>
          <w:sz w:val="16"/>
          <w:szCs w:val="16"/>
          <w:color w:val="auto"/>
        </w:rPr>
        <w:t xml:space="preserve"> The April 30, 2021 private placement debt was issued in an original amount of $216,734,258 with an interest rate of 7.00%, maturing on April 30, 2024. The debt was issued at a discount, the carrying value of which was $21,570,925 as of September 30, 2021.</w:t>
      </w:r>
    </w:p>
    <w:p>
      <w:pPr>
        <w:ind w:left="1020"/>
        <w:spacing w:after="0" w:line="259" w:lineRule="auto"/>
        <w:rPr>
          <w:rFonts w:ascii="Arial" w:cs="Arial" w:eastAsia="Arial" w:hAnsi="Arial"/>
          <w:sz w:val="22"/>
          <w:szCs w:val="22"/>
          <w:b w:val="1"/>
          <w:bCs w:val="1"/>
          <w:color w:val="auto"/>
          <w:vertAlign w:val="superscript"/>
        </w:rPr>
      </w:pPr>
      <w:r>
        <w:rPr>
          <w:rFonts w:ascii="Arial" w:cs="Arial" w:eastAsia="Arial" w:hAnsi="Arial"/>
          <w:sz w:val="20"/>
          <w:szCs w:val="20"/>
          <w:b w:val="1"/>
          <w:bCs w:val="1"/>
          <w:color w:val="auto"/>
          <w:vertAlign w:val="superscript"/>
        </w:rPr>
        <w:t>4</w:t>
      </w:r>
      <w:r>
        <w:rPr>
          <w:rFonts w:ascii="Arial" w:cs="Arial" w:eastAsia="Arial" w:hAnsi="Arial"/>
          <w:sz w:val="15"/>
          <w:szCs w:val="15"/>
          <w:color w:val="auto"/>
        </w:rPr>
        <w:t xml:space="preserve"> Mortgage notes, in the original amount of $10,437,000 were issued by the Company in connection with various operating properties. These mortgage notes mature between August 20, 2025 and August 1, 2041 and were issued at a discount, the carrying value of which was $165,159 and $174,223, and are presented net of principal payments of $181,551 and $50,322 as of September 30, 2021 and December 31, 2020, respectively.</w:t>
      </w:r>
    </w:p>
    <w:p>
      <w:pPr>
        <w:spacing w:after="0" w:line="96" w:lineRule="exact"/>
        <w:rPr>
          <w:rFonts w:ascii="Arial" w:cs="Arial" w:eastAsia="Arial" w:hAnsi="Arial"/>
          <w:sz w:val="22"/>
          <w:szCs w:val="22"/>
          <w:b w:val="1"/>
          <w:bCs w:val="1"/>
          <w:color w:val="auto"/>
          <w:vertAlign w:val="superscript"/>
        </w:rPr>
      </w:pPr>
    </w:p>
    <w:p>
      <w:pPr>
        <w:ind w:left="960" w:hanging="443"/>
        <w:spacing w:after="0"/>
        <w:tabs>
          <w:tab w:leader="none" w:pos="9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April 30, 2021 Private Placement Financing</w:t>
      </w:r>
    </w:p>
    <w:p>
      <w:pPr>
        <w:spacing w:after="0" w:line="256" w:lineRule="exact"/>
        <w:rPr>
          <w:sz w:val="20"/>
          <w:szCs w:val="20"/>
          <w:color w:val="auto"/>
        </w:rPr>
      </w:pPr>
    </w:p>
    <w:p>
      <w:pPr>
        <w:ind w:left="1020" w:right="140"/>
        <w:spacing w:after="0" w:line="287" w:lineRule="auto"/>
        <w:rPr>
          <w:sz w:val="20"/>
          <w:szCs w:val="20"/>
          <w:color w:val="auto"/>
        </w:rPr>
      </w:pPr>
      <w:r>
        <w:rPr>
          <w:rFonts w:ascii="Arial" w:cs="Arial" w:eastAsia="Arial" w:hAnsi="Arial"/>
          <w:sz w:val="17"/>
          <w:szCs w:val="17"/>
          <w:color w:val="auto"/>
        </w:rPr>
        <w:t>On April 30, 2021, the Company closed a $216,734,258 Senior Secured non-brokered private placement financing through the issuance of senior secured notes (the “</w:t>
      </w:r>
      <w:r>
        <w:rPr>
          <w:rFonts w:ascii="Arial" w:cs="Arial" w:eastAsia="Arial" w:hAnsi="Arial"/>
          <w:sz w:val="17"/>
          <w:szCs w:val="17"/>
          <w:b w:val="1"/>
          <w:bCs w:val="1"/>
          <w:color w:val="auto"/>
        </w:rPr>
        <w:t>April 30, 2021 Notes</w:t>
      </w:r>
      <w:r>
        <w:rPr>
          <w:rFonts w:ascii="Arial" w:cs="Arial" w:eastAsia="Arial" w:hAnsi="Arial"/>
          <w:sz w:val="17"/>
          <w:szCs w:val="17"/>
          <w:color w:val="auto"/>
        </w:rPr>
        <w:t>”). The Company used the proceeds to retire the Company’s existing $105,466,429, senior secured notes due May 22, 2023 (the "</w:t>
      </w:r>
      <w:r>
        <w:rPr>
          <w:rFonts w:ascii="Arial" w:cs="Arial" w:eastAsia="Arial" w:hAnsi="Arial"/>
          <w:sz w:val="17"/>
          <w:szCs w:val="17"/>
          <w:b w:val="1"/>
          <w:bCs w:val="1"/>
          <w:color w:val="auto"/>
        </w:rPr>
        <w:t>May 22, 2019 Notes</w:t>
      </w:r>
      <w:r>
        <w:rPr>
          <w:rFonts w:ascii="Arial" w:cs="Arial" w:eastAsia="Arial" w:hAnsi="Arial"/>
          <w:sz w:val="17"/>
          <w:szCs w:val="17"/>
          <w:color w:val="auto"/>
        </w:rPr>
        <w:t>") and the remaining proceeds for general working capital purposes as well as various growth initiatives. The Notes have a maturity date of April 30, 2024 and bear interest from the date of issue of 7.00% per annum, payable quarterly, with an option, at the discretion of the Company, to extend for an additional 12 months. The financing permits the Company to borrow an additional $33,265,742 over the next twelve months. The purchasers of the Notes also received 1,459,044 warrants (the “</w:t>
      </w:r>
      <w:r>
        <w:rPr>
          <w:rFonts w:ascii="Arial" w:cs="Arial" w:eastAsia="Arial" w:hAnsi="Arial"/>
          <w:sz w:val="17"/>
          <w:szCs w:val="17"/>
          <w:b w:val="1"/>
          <w:bCs w:val="1"/>
          <w:color w:val="auto"/>
        </w:rPr>
        <w:t>Warrants</w:t>
      </w:r>
      <w:r>
        <w:rPr>
          <w:rFonts w:ascii="Arial" w:cs="Arial" w:eastAsia="Arial" w:hAnsi="Arial"/>
          <w:sz w:val="17"/>
          <w:szCs w:val="17"/>
          <w:color w:val="auto"/>
        </w:rPr>
        <w:t>”) which allow the holder to purchase one Subordinate Voting Share at an exercise price of $32.68 per share, for a period of 60 months from the date of issue.</w:t>
      </w:r>
    </w:p>
    <w:p>
      <w:pPr>
        <w:spacing w:after="0" w:line="195" w:lineRule="exact"/>
        <w:rPr>
          <w:sz w:val="20"/>
          <w:szCs w:val="20"/>
          <w:color w:val="auto"/>
        </w:rPr>
      </w:pPr>
    </w:p>
    <w:p>
      <w:pPr>
        <w:ind w:left="1020" w:right="20"/>
        <w:spacing w:after="0" w:line="287" w:lineRule="auto"/>
        <w:rPr>
          <w:sz w:val="20"/>
          <w:szCs w:val="20"/>
          <w:color w:val="auto"/>
        </w:rPr>
      </w:pPr>
      <w:r>
        <w:rPr>
          <w:rFonts w:ascii="Arial" w:cs="Arial" w:eastAsia="Arial" w:hAnsi="Arial"/>
          <w:sz w:val="17"/>
          <w:szCs w:val="17"/>
          <w:color w:val="auto"/>
        </w:rPr>
        <w:t>The refinancing of the Notes involved multiple lenders who were considered members of a loan syndicate. In determining whether the refinancing of the Notes should be accounted for as a debt extinguishment or a debt modification, the Company considered whether, prior to and following the refinancing, creditors remained the same or changed, and whether the changes in debt terms were substantial. A change in the terms of the Notes was considered to be substantial if the present value of the remaining cash flows under the April 30, 2021 Notes were at least 10% different from the present value of the remaining cash flows under the May 22, 2019 Notes (commonly referred to as the “</w:t>
      </w:r>
      <w:r>
        <w:rPr>
          <w:rFonts w:ascii="Arial" w:cs="Arial" w:eastAsia="Arial" w:hAnsi="Arial"/>
          <w:sz w:val="17"/>
          <w:szCs w:val="17"/>
          <w:b w:val="1"/>
          <w:bCs w:val="1"/>
          <w:color w:val="auto"/>
        </w:rPr>
        <w:t>10%</w:t>
      </w:r>
      <w:r>
        <w:rPr>
          <w:rFonts w:ascii="Arial" w:cs="Arial" w:eastAsia="Arial" w:hAnsi="Arial"/>
          <w:sz w:val="17"/>
          <w:szCs w:val="17"/>
          <w:color w:val="auto"/>
        </w:rPr>
        <w:t xml:space="preserve"> </w:t>
      </w:r>
      <w:r>
        <w:rPr>
          <w:rFonts w:ascii="Arial" w:cs="Arial" w:eastAsia="Arial" w:hAnsi="Arial"/>
          <w:sz w:val="17"/>
          <w:szCs w:val="17"/>
          <w:b w:val="1"/>
          <w:bCs w:val="1"/>
          <w:color w:val="auto"/>
        </w:rPr>
        <w:t>Test</w:t>
      </w:r>
      <w:r>
        <w:rPr>
          <w:rFonts w:ascii="Arial" w:cs="Arial" w:eastAsia="Arial" w:hAnsi="Arial"/>
          <w:sz w:val="17"/>
          <w:szCs w:val="17"/>
          <w:color w:val="auto"/>
        </w:rPr>
        <w:t>”). The Company performed a separate 10% Test for each individual lender participating in the loan syndication. Of the 30 lenders who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participated in the original financing of the May 22, 2019 Notes, 18 were accounted for as a debt extinguishment, while 12 were treated as a modification. Additionally, 9 new lenders joined the loan syndicate.</w:t>
      </w:r>
    </w:p>
    <w:p>
      <w:pPr>
        <w:spacing w:after="0" w:line="195" w:lineRule="exact"/>
        <w:rPr>
          <w:sz w:val="20"/>
          <w:szCs w:val="20"/>
          <w:color w:val="auto"/>
        </w:rPr>
      </w:pPr>
    </w:p>
    <w:p>
      <w:pPr>
        <w:ind w:left="1020" w:right="40"/>
        <w:spacing w:after="0" w:line="292" w:lineRule="auto"/>
        <w:rPr>
          <w:sz w:val="20"/>
          <w:szCs w:val="20"/>
          <w:color w:val="auto"/>
        </w:rPr>
      </w:pPr>
      <w:r>
        <w:rPr>
          <w:rFonts w:ascii="Arial" w:cs="Arial" w:eastAsia="Arial" w:hAnsi="Arial"/>
          <w:sz w:val="17"/>
          <w:szCs w:val="17"/>
          <w:color w:val="auto"/>
        </w:rPr>
        <w:t>On October 15, 2021, the Company amended the Notes Purchase Agreement, for the purposes of borrowing an additional $33.2 million. The additional borrowings have terms consistent with the April 30, 2021 Notes and increase the total amount borrowed to $250 million. The Company intends to use the additional proceeds for general working capital purposes as well as various growth initiatives. The purchasers of the Notes received an additional 243,304 warrants which allow the holder to purchase one Subordinate Voting Share at an exercise price of $30.02 per share, for a period of 60 months from the date of issue.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00" w:hanging="483"/>
        <w:spacing w:after="0"/>
        <w:tabs>
          <w:tab w:leader="none" w:pos="10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35" w:lineRule="exact"/>
        <w:rPr>
          <w:sz w:val="20"/>
          <w:szCs w:val="20"/>
          <w:color w:val="auto"/>
        </w:rPr>
      </w:pPr>
    </w:p>
    <w:p>
      <w:pPr>
        <w:ind w:left="1140"/>
        <w:spacing w:after="0" w:line="271" w:lineRule="auto"/>
        <w:rPr>
          <w:sz w:val="20"/>
          <w:szCs w:val="20"/>
          <w:color w:val="auto"/>
        </w:rPr>
      </w:pPr>
      <w:r>
        <w:rPr>
          <w:rFonts w:ascii="Arial" w:cs="Arial" w:eastAsia="Arial" w:hAnsi="Arial"/>
          <w:sz w:val="18"/>
          <w:szCs w:val="18"/>
          <w:color w:val="auto"/>
        </w:rPr>
        <w:t>A portion of the April 30, 2021 Notes are held by related parties as well as unrelated third-party lenders at a percentage of approximately 1% and 99%, respectively. The related parties consist of Benjamin Kovler, the Chief Executive Officer and a director of the Company (held through KP Capital, LLC and Outsiders Capital, LLC); Andrew Grossman, the Executive Vice President of Capital Markets of the Company (held through AG Funding Group, LLC); Anthony Georgiadis, the Chief Financial Officer and a director of the Corporation (held through Three One Four Holdings, LLC); and Anthony Georgiadis and William Gruver, a director of the Corporation (held through ABG, LLC).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8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4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ind w:right="140"/>
        <w:spacing w:after="0" w:line="359" w:lineRule="auto"/>
        <w:rPr>
          <w:sz w:val="20"/>
          <w:szCs w:val="20"/>
          <w:color w:val="auto"/>
        </w:rPr>
      </w:pPr>
      <w:r>
        <w:rPr>
          <w:rFonts w:ascii="Arial" w:cs="Arial" w:eastAsia="Arial" w:hAnsi="Arial"/>
          <w:sz w:val="16"/>
          <w:szCs w:val="16"/>
          <w:color w:val="auto"/>
        </w:rPr>
        <w:t>As part of the Company’s private placement financing, as well as other financing arrangements, the Company issued warrants to related parties, as well as unrelated third parties, which allow the holders to purchase Subordinate Voting Shares at an exercise price determined at the time of issuance.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number of warrants outstanding as of September 30, 2021 and December 31,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Liability Classified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w w:val="99"/>
              </w:rPr>
              <w:t>Equity Classified</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r>
      <w:tr>
        <w:trPr>
          <w:trHeight w:val="203"/>
        </w:trPr>
        <w:tc>
          <w:tcPr>
            <w:tcW w:w="2760" w:type="dxa"/>
            <w:vAlign w:val="bottom"/>
          </w:tcPr>
          <w:p>
            <w:pPr>
              <w:spacing w:after="0"/>
              <w:rPr>
                <w:sz w:val="17"/>
                <w:szCs w:val="17"/>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 Exercise</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220" w:type="dxa"/>
            <w:vAlign w:val="bottom"/>
          </w:tcPr>
          <w:p>
            <w:pPr>
              <w:spacing w:after="0"/>
              <w:rPr>
                <w:sz w:val="17"/>
                <w:szCs w:val="17"/>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 Exercise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7"/>
                <w:szCs w:val="17"/>
                <w:color w:val="auto"/>
              </w:rPr>
            </w:pPr>
          </w:p>
        </w:tc>
      </w:tr>
      <w:tr>
        <w:trPr>
          <w:trHeight w:val="223"/>
        </w:trPr>
        <w:tc>
          <w:tcPr>
            <w:tcW w:w="2760" w:type="dxa"/>
            <w:vAlign w:val="bottom"/>
          </w:tcPr>
          <w:p>
            <w:pPr>
              <w:spacing w:after="0"/>
              <w:rPr>
                <w:sz w:val="19"/>
                <w:szCs w:val="19"/>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Price (C$)</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Price (USD)</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19"/>
                <w:szCs w:val="19"/>
                <w:color w:val="auto"/>
              </w:rPr>
            </w:pPr>
          </w:p>
        </w:tc>
      </w:tr>
      <w:tr>
        <w:trPr>
          <w:trHeight w:val="22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as at December 31, 2020</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2,485,794</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FF0FC"/>
          </w:tcPr>
          <w:p>
            <w:pPr>
              <w:spacing w:after="0"/>
              <w:rPr>
                <w:sz w:val="19"/>
                <w:szCs w:val="19"/>
                <w:color w:val="auto"/>
              </w:rPr>
            </w:pPr>
          </w:p>
        </w:tc>
      </w:tr>
      <w:tr>
        <w:trPr>
          <w:trHeight w:val="220"/>
        </w:trPr>
        <w:tc>
          <w:tcPr>
            <w:tcW w:w="2760" w:type="dxa"/>
            <w:vAlign w:val="bottom"/>
          </w:tcPr>
          <w:p>
            <w:pPr>
              <w:ind w:left="20"/>
              <w:spacing w:after="0"/>
              <w:rPr>
                <w:sz w:val="20"/>
                <w:szCs w:val="20"/>
                <w:color w:val="auto"/>
              </w:rPr>
            </w:pPr>
            <w:r>
              <w:rPr>
                <w:rFonts w:ascii="Arial" w:cs="Arial" w:eastAsia="Arial" w:hAnsi="Arial"/>
                <w:sz w:val="16"/>
                <w:szCs w:val="16"/>
                <w:color w:val="auto"/>
              </w:rPr>
              <w:t>Warrants Issued</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1,459,044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32.68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9"/>
                <w:szCs w:val="19"/>
                <w:color w:val="auto"/>
              </w:rPr>
            </w:pPr>
          </w:p>
        </w:tc>
      </w:tr>
      <w:tr>
        <w:trPr>
          <w:trHeight w:val="239"/>
        </w:trPr>
        <w:tc>
          <w:tcPr>
            <w:tcW w:w="2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Warrants Exercised</w:t>
            </w: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(278,381 )</w:t>
            </w:r>
          </w:p>
        </w:tc>
        <w:tc>
          <w:tcPr>
            <w:tcW w:w="3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18.16</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2760" w:type="dxa"/>
            <w:vAlign w:val="bottom"/>
          </w:tcPr>
          <w:p>
            <w:pPr>
              <w:ind w:left="20"/>
              <w:spacing w:after="0"/>
              <w:rPr>
                <w:sz w:val="20"/>
                <w:szCs w:val="20"/>
                <w:color w:val="auto"/>
              </w:rPr>
            </w:pPr>
            <w:r>
              <w:rPr>
                <w:rFonts w:ascii="Arial" w:cs="Arial" w:eastAsia="Arial" w:hAnsi="Arial"/>
                <w:sz w:val="16"/>
                <w:szCs w:val="16"/>
                <w:color w:val="auto"/>
              </w:rPr>
              <w:t>Warrants Expired</w:t>
            </w:r>
          </w:p>
        </w:tc>
        <w:tc>
          <w:tcPr>
            <w:tcW w:w="1340" w:type="dxa"/>
            <w:vAlign w:val="bottom"/>
            <w:gridSpan w:val="2"/>
          </w:tcPr>
          <w:p>
            <w:pPr>
              <w:jc w:val="right"/>
              <w:ind w:right="40"/>
              <w:spacing w:after="0"/>
              <w:rPr>
                <w:sz w:val="20"/>
                <w:szCs w:val="20"/>
                <w:color w:val="auto"/>
              </w:rPr>
            </w:pPr>
            <w:r>
              <w:rPr>
                <w:rFonts w:ascii="Arial" w:cs="Arial" w:eastAsia="Arial" w:hAnsi="Arial"/>
                <w:sz w:val="16"/>
                <w:szCs w:val="16"/>
                <w:color w:val="auto"/>
              </w:rPr>
              <w:t>(109,482 )</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22.90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63"/>
        </w:trPr>
        <w:tc>
          <w:tcPr>
            <w:tcW w:w="2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as at September 30, 2021</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2,097,931</w:t>
            </w:r>
          </w:p>
        </w:tc>
        <w:tc>
          <w:tcPr>
            <w:tcW w:w="1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18.26</w:t>
            </w:r>
          </w:p>
        </w:tc>
        <w:tc>
          <w:tcPr>
            <w:tcW w:w="2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2.67</w:t>
            </w:r>
          </w:p>
        </w:tc>
        <w:tc>
          <w:tcPr>
            <w:tcW w:w="2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1,494,044</w:t>
            </w:r>
          </w:p>
        </w:tc>
        <w:tc>
          <w:tcPr>
            <w:tcW w:w="2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32.13</w:t>
            </w:r>
          </w:p>
        </w:tc>
        <w:tc>
          <w:tcPr>
            <w:tcW w:w="2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-24765</wp:posOffset>
            </wp:positionV>
            <wp:extent cx="2914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-7620</wp:posOffset>
            </wp:positionV>
            <wp:extent cx="2914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1454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1454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1080" w:hanging="443"/>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Classified Warrants Outstanding</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the fair value of the liability classified warrants at September 30, 2021 and December 31,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b w:val="1"/>
                <w:bCs w:val="1"/>
                <w:color w:val="auto"/>
              </w:rPr>
              <w:t>Warrants</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Warrant Liability</w:t>
            </w:r>
          </w:p>
        </w:tc>
        <w:tc>
          <w:tcPr>
            <w:tcW w:w="120" w:type="dxa"/>
            <w:vAlign w:val="bottom"/>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Strike Price</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20"/>
                <w:szCs w:val="20"/>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September 30, 2021</w:t>
            </w:r>
          </w:p>
        </w:tc>
        <w:tc>
          <w:tcPr>
            <w:tcW w:w="220" w:type="dxa"/>
            <w:vAlign w:val="bottom"/>
          </w:tcPr>
          <w:p>
            <w:pPr>
              <w:spacing w:after="0"/>
              <w:rPr>
                <w:sz w:val="20"/>
                <w:szCs w:val="20"/>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December 31, 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r>
      <w:tr>
        <w:trPr>
          <w:trHeight w:val="256"/>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Bridge Financing Warrants</w:t>
            </w: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C$22.90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100,723</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1,089,500</w:t>
            </w:r>
          </w:p>
        </w:tc>
        <w:tc>
          <w:tcPr>
            <w:tcW w:w="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2,544,500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(1,455,000 )</w:t>
            </w: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Private Placement Financing Warrants</w:t>
            </w:r>
          </w:p>
        </w:tc>
        <w:tc>
          <w:tcPr>
            <w:tcW w:w="120" w:type="dxa"/>
            <w:vAlign w:val="bottom"/>
          </w:tcPr>
          <w:p>
            <w:pPr>
              <w:spacing w:after="0"/>
              <w:rPr>
                <w:sz w:val="21"/>
                <w:szCs w:val="21"/>
                <w:color w:val="auto"/>
              </w:rPr>
            </w:pPr>
          </w:p>
        </w:tc>
        <w:tc>
          <w:tcPr>
            <w:tcW w:w="1140" w:type="dxa"/>
            <w:vAlign w:val="bottom"/>
          </w:tcPr>
          <w:p>
            <w:pPr>
              <w:ind w:left="260"/>
              <w:spacing w:after="0"/>
              <w:rPr>
                <w:sz w:val="20"/>
                <w:szCs w:val="20"/>
                <w:color w:val="auto"/>
              </w:rPr>
            </w:pPr>
            <w:r>
              <w:rPr>
                <w:rFonts w:ascii="Arial" w:cs="Arial" w:eastAsia="Arial" w:hAnsi="Arial"/>
                <w:sz w:val="18"/>
                <w:szCs w:val="18"/>
                <w:color w:val="auto"/>
              </w:rPr>
              <w:t>C$19.39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1,606,533</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25,188,000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28,756,500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(3,568,500 )</w:t>
            </w:r>
          </w:p>
        </w:tc>
      </w:tr>
      <w:tr>
        <w:trPr>
          <w:trHeight w:val="263"/>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Modification Warrants</w:t>
            </w: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C$12.04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316,947</w:t>
            </w:r>
          </w:p>
        </w:tc>
        <w:tc>
          <w:tcPr>
            <w:tcW w:w="2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6,293,000</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6,630,000</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(337,000 )</w:t>
            </w:r>
          </w:p>
        </w:tc>
      </w:tr>
      <w:tr>
        <w:trPr>
          <w:trHeight w:val="250"/>
        </w:trPr>
        <w:tc>
          <w:tcPr>
            <w:tcW w:w="3380" w:type="dxa"/>
            <w:vAlign w:val="bottom"/>
          </w:tcPr>
          <w:p>
            <w:pPr>
              <w:ind w:left="20"/>
              <w:spacing w:after="0"/>
              <w:rPr>
                <w:sz w:val="20"/>
                <w:szCs w:val="20"/>
                <w:color w:val="auto"/>
              </w:rPr>
            </w:pPr>
            <w:r>
              <w:rPr>
                <w:rFonts w:ascii="Arial" w:cs="Arial" w:eastAsia="Arial" w:hAnsi="Arial"/>
                <w:sz w:val="18"/>
                <w:szCs w:val="18"/>
                <w:color w:val="auto"/>
              </w:rPr>
              <w:t>Additional Modification Warrants</w:t>
            </w:r>
          </w:p>
        </w:tc>
        <w:tc>
          <w:tcPr>
            <w:tcW w:w="120" w:type="dxa"/>
            <w:vAlign w:val="bottom"/>
          </w:tcPr>
          <w:p>
            <w:pPr>
              <w:spacing w:after="0"/>
              <w:rPr>
                <w:sz w:val="21"/>
                <w:szCs w:val="21"/>
                <w:color w:val="auto"/>
              </w:rPr>
            </w:pPr>
          </w:p>
        </w:tc>
        <w:tc>
          <w:tcPr>
            <w:tcW w:w="1140" w:type="dxa"/>
            <w:vAlign w:val="bottom"/>
          </w:tcPr>
          <w:p>
            <w:pPr>
              <w:ind w:left="260"/>
              <w:spacing w:after="0"/>
              <w:rPr>
                <w:sz w:val="20"/>
                <w:szCs w:val="20"/>
                <w:color w:val="auto"/>
              </w:rPr>
            </w:pPr>
            <w:r>
              <w:rPr>
                <w:rFonts w:ascii="Arial" w:cs="Arial" w:eastAsia="Arial" w:hAnsi="Arial"/>
                <w:sz w:val="18"/>
                <w:szCs w:val="18"/>
                <w:color w:val="auto"/>
              </w:rPr>
              <w:t>C$14.03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73,728</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1,432,500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1,523,000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(90,500 )</w:t>
            </w:r>
          </w:p>
        </w:tc>
      </w:tr>
      <w:tr>
        <w:trPr>
          <w:trHeight w:val="20"/>
        </w:trPr>
        <w:tc>
          <w:tcPr>
            <w:tcW w:w="3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Totals</w:t>
            </w:r>
          </w:p>
        </w:tc>
        <w:tc>
          <w:tcPr>
            <w:tcW w:w="12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2,097,931</w:t>
            </w:r>
          </w:p>
        </w:tc>
        <w:tc>
          <w:tcPr>
            <w:tcW w:w="240" w:type="dxa"/>
            <w:vAlign w:val="bottom"/>
            <w:shd w:val="clear" w:color="auto" w:fill="CFF0FC"/>
          </w:tcPr>
          <w:p>
            <w:pPr>
              <w:spacing w:after="0"/>
              <w:rPr>
                <w:sz w:val="23"/>
                <w:szCs w:val="23"/>
                <w:color w:val="auto"/>
              </w:rPr>
            </w:pP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34,003,000</w:t>
            </w:r>
          </w:p>
        </w:tc>
        <w:tc>
          <w:tcPr>
            <w:tcW w:w="220" w:type="dxa"/>
            <w:vAlign w:val="bottom"/>
            <w:shd w:val="clear" w:color="auto" w:fill="CFF0FC"/>
          </w:tcPr>
          <w:p>
            <w:pPr>
              <w:spacing w:after="0"/>
              <w:rPr>
                <w:sz w:val="23"/>
                <w:szCs w:val="23"/>
                <w:color w:val="auto"/>
              </w:rPr>
            </w:pP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39,454,000</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(5,451,000 )</w:t>
            </w: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-24765</wp:posOffset>
            </wp:positionV>
            <wp:extent cx="1543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1543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137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137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137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520" w:right="80"/>
        <w:spacing w:after="0" w:line="279" w:lineRule="auto"/>
        <w:rPr>
          <w:sz w:val="20"/>
          <w:szCs w:val="20"/>
          <w:color w:val="auto"/>
        </w:rPr>
      </w:pPr>
      <w:r>
        <w:rPr>
          <w:rFonts w:ascii="Arial" w:cs="Arial" w:eastAsia="Arial" w:hAnsi="Arial"/>
          <w:sz w:val="18"/>
          <w:szCs w:val="18"/>
          <w:color w:val="auto"/>
        </w:rPr>
        <w:t>During the three and nine months ended September 30, 2021 and 2020, the Company recorded a gain of $13,461,750 and $5,451,000, and a loss of $3,181,114 and $2,060,771, respectively, on the change in the fair value of the warrant liability within other income (expense) on the unaudited interim condensed consolidated statements of operations.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significant assumptions used in determining the fair value of the warrant liability as of each reporting date (see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 14 - Fair Value Measurements for additional details):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14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r>
      <w:tr>
        <w:trPr>
          <w:trHeight w:val="263"/>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Significant Assumptions</w:t>
            </w:r>
          </w:p>
        </w:tc>
        <w:tc>
          <w:tcPr>
            <w:tcW w:w="28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2"/>
                <w:szCs w:val="22"/>
                <w:color w:val="auto"/>
              </w:rPr>
            </w:pPr>
          </w:p>
        </w:tc>
        <w:tc>
          <w:tcPr>
            <w:tcW w:w="21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5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Volatility</w:t>
            </w:r>
          </w:p>
        </w:tc>
        <w:tc>
          <w:tcPr>
            <w:tcW w:w="5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52.27% - 75.30%</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72.19% - 79.10%</w:t>
            </w: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Remaining Term</w:t>
            </w:r>
          </w:p>
        </w:tc>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1.03 - 3.64 years</w:t>
            </w:r>
          </w:p>
        </w:tc>
        <w:tc>
          <w:tcPr>
            <w:tcW w:w="2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1.78 - 4.39 years</w:t>
            </w:r>
          </w:p>
        </w:tc>
      </w:tr>
      <w:tr>
        <w:trPr>
          <w:trHeight w:val="263"/>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 Free Rate</w:t>
            </w:r>
          </w:p>
        </w:tc>
        <w:tc>
          <w:tcPr>
            <w:tcW w:w="5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0.52% - 0.81%</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0.20% - 0.28%</w:t>
            </w:r>
          </w:p>
        </w:tc>
      </w:tr>
      <w:tr>
        <w:trPr>
          <w:trHeight w:val="689"/>
        </w:trPr>
        <w:tc>
          <w:tcPr>
            <w:tcW w:w="3680" w:type="dxa"/>
            <w:vAlign w:val="bottom"/>
          </w:tcPr>
          <w:p>
            <w:pPr>
              <w:spacing w:after="0"/>
              <w:rPr>
                <w:sz w:val="24"/>
                <w:szCs w:val="24"/>
                <w:color w:val="auto"/>
              </w:rPr>
            </w:pP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2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9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WARRANTS </w:t>
      </w:r>
      <w:r>
        <w:rPr>
          <w:rFonts w:ascii="Arial" w:cs="Arial" w:eastAsia="Arial" w:hAnsi="Arial"/>
          <w:sz w:val="21"/>
          <w:szCs w:val="2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1080" w:hanging="443"/>
        <w:spacing w:after="0"/>
        <w:tabs>
          <w:tab w:leader="none" w:pos="10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Equity Classified Warrants Outstanding</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summarizes the fair value of the equity classified warrants at September 30, 2021 and December 31, 2020:</w:t>
      </w:r>
    </w:p>
    <w:p>
      <w:pPr>
        <w:spacing w:after="0" w:line="302"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43"/>
        </w:trPr>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ind w:left="320"/>
              <w:spacing w:after="0"/>
              <w:rPr>
                <w:sz w:val="20"/>
                <w:szCs w:val="20"/>
                <w:color w:val="auto"/>
              </w:rPr>
            </w:pPr>
            <w:r>
              <w:rPr>
                <w:rFonts w:ascii="Arial" w:cs="Arial" w:eastAsia="Arial" w:hAnsi="Arial"/>
                <w:sz w:val="18"/>
                <w:szCs w:val="18"/>
                <w:b w:val="1"/>
                <w:bCs w:val="1"/>
                <w:color w:val="auto"/>
              </w:rPr>
              <w:t>Warrants</w:t>
            </w:r>
          </w:p>
        </w:tc>
        <w:tc>
          <w:tcPr>
            <w:tcW w:w="10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1"/>
                <w:szCs w:val="21"/>
                <w:color w:val="auto"/>
              </w:rPr>
            </w:pPr>
          </w:p>
        </w:tc>
      </w:tr>
      <w:tr>
        <w:trPr>
          <w:trHeight w:val="26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Warrants Included in Contributed Surplus</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Strike Price</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Outstanding</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2"/>
                <w:szCs w:val="22"/>
                <w:color w:val="auto"/>
              </w:rPr>
            </w:pPr>
          </w:p>
        </w:tc>
      </w:tr>
      <w:tr>
        <w:trPr>
          <w:trHeight w:val="257"/>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Dispensary Mortgage Warrants</w:t>
            </w:r>
          </w:p>
        </w:tc>
        <w:tc>
          <w:tcPr>
            <w:tcW w:w="3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181,272</w:t>
            </w:r>
          </w:p>
        </w:tc>
        <w:tc>
          <w:tcPr>
            <w:tcW w:w="100" w:type="dxa"/>
            <w:vAlign w:val="bottom"/>
            <w:shd w:val="clear" w:color="auto" w:fill="CFF0FC"/>
          </w:tcPr>
          <w:p>
            <w:pPr>
              <w:spacing w:after="0"/>
              <w:rPr>
                <w:sz w:val="22"/>
                <w:szCs w:val="22"/>
                <w:color w:val="auto"/>
              </w:rPr>
            </w:pPr>
          </w:p>
        </w:tc>
      </w:tr>
      <w:tr>
        <w:trPr>
          <w:trHeight w:val="250"/>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Private Placement Refinancing Warrants</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1,459,044</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22,258,608</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Totals</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1,494,044</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22,439,880</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181,272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-25400</wp:posOffset>
            </wp:positionV>
            <wp:extent cx="1625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1625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1625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16256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equity warrants were valued as of the date of issuance using a Black Scholes Option Pricing model. The following table summarizes the significant assumptions used in determining the fair value of the warrants as of each respective issuance date:</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272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Private Placement</w:t>
            </w:r>
          </w:p>
        </w:tc>
        <w:tc>
          <w:tcPr>
            <w:tcW w:w="2220" w:type="dxa"/>
            <w:vAlign w:val="bottom"/>
          </w:tcPr>
          <w:p>
            <w:pPr>
              <w:spacing w:after="0"/>
              <w:rPr>
                <w:sz w:val="19"/>
                <w:szCs w:val="19"/>
                <w:color w:val="auto"/>
              </w:rPr>
            </w:pPr>
          </w:p>
        </w:tc>
      </w:tr>
      <w:tr>
        <w:trPr>
          <w:trHeight w:val="229"/>
        </w:trPr>
        <w:tc>
          <w:tcPr>
            <w:tcW w:w="2920" w:type="dxa"/>
            <w:vAlign w:val="bottom"/>
          </w:tcPr>
          <w:p>
            <w:pPr>
              <w:spacing w:after="0"/>
              <w:rPr>
                <w:sz w:val="19"/>
                <w:szCs w:val="19"/>
                <w:color w:val="auto"/>
              </w:rPr>
            </w:pPr>
          </w:p>
        </w:tc>
        <w:tc>
          <w:tcPr>
            <w:tcW w:w="272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Refinancing</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Dispensary Mortgage</w:t>
            </w:r>
          </w:p>
        </w:tc>
      </w:tr>
      <w:tr>
        <w:trPr>
          <w:trHeight w:val="241"/>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Significant Assumptions</w:t>
            </w:r>
          </w:p>
        </w:tc>
        <w:tc>
          <w:tcPr>
            <w:tcW w:w="272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b w:val="1"/>
                <w:bCs w:val="1"/>
                <w:color w:val="auto"/>
                <w:w w:val="94"/>
              </w:rPr>
              <w:t>Warrants</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Warrants</w:t>
            </w:r>
          </w:p>
        </w:tc>
      </w:tr>
      <w:tr>
        <w:trPr>
          <w:trHeight w:val="250"/>
        </w:trPr>
        <w:tc>
          <w:tcPr>
            <w:tcW w:w="2920" w:type="dxa"/>
            <w:vAlign w:val="bottom"/>
          </w:tcPr>
          <w:p>
            <w:pPr>
              <w:spacing w:after="0"/>
              <w:rPr>
                <w:sz w:val="20"/>
                <w:szCs w:val="20"/>
                <w:color w:val="auto"/>
              </w:rPr>
            </w:pPr>
            <w:r>
              <w:rPr>
                <w:rFonts w:ascii="Arial" w:cs="Arial" w:eastAsia="Arial" w:hAnsi="Arial"/>
                <w:sz w:val="18"/>
                <w:szCs w:val="18"/>
                <w:color w:val="auto"/>
              </w:rPr>
              <w:t>Date of Issuance</w:t>
            </w:r>
          </w:p>
        </w:tc>
        <w:tc>
          <w:tcPr>
            <w:tcW w:w="2720" w:type="dxa"/>
            <w:vAlign w:val="bottom"/>
          </w:tcPr>
          <w:p>
            <w:pPr>
              <w:jc w:val="center"/>
              <w:ind w:left="790"/>
              <w:spacing w:after="0"/>
              <w:rPr>
                <w:sz w:val="20"/>
                <w:szCs w:val="20"/>
                <w:color w:val="auto"/>
              </w:rPr>
            </w:pPr>
            <w:r>
              <w:rPr>
                <w:rFonts w:ascii="Arial" w:cs="Arial" w:eastAsia="Arial" w:hAnsi="Arial"/>
                <w:sz w:val="18"/>
                <w:szCs w:val="18"/>
                <w:color w:val="auto"/>
                <w:w w:val="93"/>
              </w:rPr>
              <w:t>April 30, 2021</w:t>
            </w:r>
          </w:p>
        </w:tc>
        <w:tc>
          <w:tcPr>
            <w:tcW w:w="2220" w:type="dxa"/>
            <w:vAlign w:val="bottom"/>
          </w:tcPr>
          <w:p>
            <w:pPr>
              <w:jc w:val="center"/>
              <w:spacing w:after="0"/>
              <w:rPr>
                <w:sz w:val="20"/>
                <w:szCs w:val="20"/>
                <w:color w:val="auto"/>
              </w:rPr>
            </w:pPr>
            <w:r>
              <w:rPr>
                <w:rFonts w:ascii="Arial" w:cs="Arial" w:eastAsia="Arial" w:hAnsi="Arial"/>
                <w:sz w:val="18"/>
                <w:szCs w:val="18"/>
                <w:color w:val="auto"/>
                <w:w w:val="86"/>
              </w:rPr>
              <w:t>June 5, 2020</w:t>
            </w:r>
          </w:p>
        </w:tc>
      </w:tr>
      <w:tr>
        <w:trPr>
          <w:trHeight w:val="26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272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rPr>
              <w:t>73%</w:t>
            </w:r>
          </w:p>
        </w:tc>
        <w:tc>
          <w:tcPr>
            <w:tcW w:w="2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80%</w:t>
            </w:r>
          </w:p>
        </w:tc>
      </w:tr>
      <w:tr>
        <w:trPr>
          <w:trHeight w:val="250"/>
        </w:trPr>
        <w:tc>
          <w:tcPr>
            <w:tcW w:w="2920" w:type="dxa"/>
            <w:vAlign w:val="bottom"/>
          </w:tcPr>
          <w:p>
            <w:pPr>
              <w:spacing w:after="0"/>
              <w:rPr>
                <w:sz w:val="20"/>
                <w:szCs w:val="20"/>
                <w:color w:val="auto"/>
              </w:rPr>
            </w:pPr>
            <w:r>
              <w:rPr>
                <w:rFonts w:ascii="Arial" w:cs="Arial" w:eastAsia="Arial" w:hAnsi="Arial"/>
                <w:sz w:val="18"/>
                <w:szCs w:val="18"/>
                <w:color w:val="auto"/>
              </w:rPr>
              <w:t>Estimated Term</w:t>
            </w:r>
          </w:p>
        </w:tc>
        <w:tc>
          <w:tcPr>
            <w:tcW w:w="2720" w:type="dxa"/>
            <w:vAlign w:val="bottom"/>
          </w:tcPr>
          <w:p>
            <w:pPr>
              <w:jc w:val="center"/>
              <w:ind w:left="790"/>
              <w:spacing w:after="0"/>
              <w:rPr>
                <w:sz w:val="20"/>
                <w:szCs w:val="20"/>
                <w:color w:val="auto"/>
              </w:rPr>
            </w:pPr>
            <w:r>
              <w:rPr>
                <w:rFonts w:ascii="Arial" w:cs="Arial" w:eastAsia="Arial" w:hAnsi="Arial"/>
                <w:sz w:val="18"/>
                <w:szCs w:val="18"/>
                <w:color w:val="auto"/>
                <w:w w:val="88"/>
              </w:rPr>
              <w:t>4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84"/>
              </w:rPr>
              <w:t>5 years</w:t>
            </w:r>
          </w:p>
        </w:tc>
      </w:tr>
      <w:tr>
        <w:trPr>
          <w:trHeight w:val="26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Risk Free Rate</w:t>
            </w:r>
          </w:p>
        </w:tc>
        <w:tc>
          <w:tcPr>
            <w:tcW w:w="272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0.74%</w:t>
            </w:r>
          </w:p>
        </w:tc>
        <w:tc>
          <w:tcPr>
            <w:tcW w:w="2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0.37%</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 w:right="39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40" w:hanging="532"/>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 xml:space="preserve">Common shares, which include the Company’s Subordinate Voting Shares, Multiple Voting Shares and Super Voting Shares, are classified as equity. Incremental costs directly attributable to the issuance of common shares are recognized as a deduction from equity. The proceeds from the exercise of stock options or warrants together with amounts previously recorded in reserves over the applicable vesting periods are recorded as share capital. Income tax relating to transaction costs of an equity transaction is accounted for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58" w:lineRule="exact"/>
        <w:rPr>
          <w:sz w:val="20"/>
          <w:szCs w:val="20"/>
          <w:color w:val="auto"/>
        </w:rPr>
      </w:pPr>
    </w:p>
    <w:p>
      <w:pPr>
        <w:ind w:left="1080" w:hanging="443"/>
        <w:spacing w:after="0"/>
        <w:tabs>
          <w:tab w:leader="none" w:pos="10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Company has the following classes of share capital, with each class having no par value:</w:t>
      </w:r>
    </w:p>
    <w:p>
      <w:pPr>
        <w:spacing w:after="0" w:line="127" w:lineRule="exact"/>
        <w:rPr>
          <w:sz w:val="20"/>
          <w:szCs w:val="20"/>
          <w:color w:val="auto"/>
        </w:rPr>
      </w:pPr>
    </w:p>
    <w:p>
      <w:pPr>
        <w:ind w:left="1960" w:hanging="729"/>
        <w:spacing w:after="0"/>
        <w:tabs>
          <w:tab w:leader="none" w:pos="1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135" w:lineRule="exact"/>
        <w:rPr>
          <w:sz w:val="20"/>
          <w:szCs w:val="20"/>
          <w:color w:val="auto"/>
        </w:rPr>
      </w:pPr>
    </w:p>
    <w:p>
      <w:pPr>
        <w:ind w:left="1160"/>
        <w:spacing w:after="0" w:line="292" w:lineRule="auto"/>
        <w:rPr>
          <w:sz w:val="20"/>
          <w:szCs w:val="20"/>
          <w:color w:val="auto"/>
        </w:rPr>
      </w:pPr>
      <w:r>
        <w:rPr>
          <w:rFonts w:ascii="Arial" w:cs="Arial" w:eastAsia="Arial" w:hAnsi="Arial"/>
          <w:sz w:val="17"/>
          <w:szCs w:val="17"/>
          <w:color w:val="auto"/>
        </w:rPr>
        <w:t>The holders of the Subordinate Voting Shares are entitled to receive dividends which may be declared from time to time and are entitled to one vote per share at meetings of the Company’s shareholders. All Subordinate Voting Shares are ranked equally with regard to the Company’s residual assets. The Company is authorized to issue an unlimited number of no par value Subordinate Voting Shares. During the nine months ended September 30, 2021, the shareholders of the Company converted 635 Multiple Voting Shares into 63,500 Subordinate Voting Shares and 17,000 Super Voting Shares into 1,700,000 Subordinate Voting Shares.</w:t>
      </w:r>
    </w:p>
    <w:p>
      <w:pPr>
        <w:spacing w:after="0" w:line="62" w:lineRule="exact"/>
        <w:rPr>
          <w:sz w:val="20"/>
          <w:szCs w:val="20"/>
          <w:color w:val="auto"/>
        </w:rPr>
      </w:pPr>
    </w:p>
    <w:p>
      <w:pPr>
        <w:ind w:left="1840" w:hanging="659"/>
        <w:spacing w:after="0"/>
        <w:tabs>
          <w:tab w:leader="none" w:pos="1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35" w:lineRule="exact"/>
        <w:rPr>
          <w:sz w:val="20"/>
          <w:szCs w:val="20"/>
          <w:color w:val="auto"/>
        </w:rPr>
      </w:pPr>
    </w:p>
    <w:p>
      <w:pPr>
        <w:ind w:left="1160" w:right="280"/>
        <w:spacing w:after="0" w:line="272" w:lineRule="auto"/>
        <w:rPr>
          <w:sz w:val="20"/>
          <w:szCs w:val="20"/>
          <w:color w:val="auto"/>
        </w:rPr>
      </w:pPr>
      <w:r>
        <w:rPr>
          <w:rFonts w:ascii="Arial" w:cs="Arial" w:eastAsia="Arial" w:hAnsi="Arial"/>
          <w:sz w:val="18"/>
          <w:szCs w:val="18"/>
          <w:color w:val="auto"/>
        </w:rPr>
        <w:t>Each Multiple Voting Share is entitled to 100 votes per share at shareholder meetings of the Company and is exchangeable for 100 Subordinate Voting Shares. At September 30, 2021, the Company had 39,654 issued and outstanding Multiple Voting Shares, which convert into 3,965,400 Subordinate Voting Shares. The Company is authorized to issue an unlimited number of Multiple Voting Shares. During the nine months ended September 30, 2021, the shareholders of the Company converted 635 Multiple Voting Shares into 63,500 Subordinate Voting Shares.</w:t>
      </w:r>
    </w:p>
    <w:p>
      <w:pPr>
        <w:spacing w:after="0" w:line="79" w:lineRule="exact"/>
        <w:rPr>
          <w:sz w:val="20"/>
          <w:szCs w:val="20"/>
          <w:color w:val="auto"/>
        </w:rPr>
      </w:pPr>
    </w:p>
    <w:p>
      <w:pPr>
        <w:ind w:left="1940" w:hanging="809"/>
        <w:spacing w:after="0"/>
        <w:tabs>
          <w:tab w:leader="none" w:pos="19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Super Voting Shares</w:t>
      </w:r>
    </w:p>
    <w:p>
      <w:pPr>
        <w:spacing w:after="0" w:line="135" w:lineRule="exact"/>
        <w:rPr>
          <w:sz w:val="20"/>
          <w:szCs w:val="20"/>
          <w:color w:val="auto"/>
        </w:rPr>
      </w:pPr>
    </w:p>
    <w:p>
      <w:pPr>
        <w:ind w:left="1160" w:right="100"/>
        <w:spacing w:after="0" w:line="272" w:lineRule="auto"/>
        <w:rPr>
          <w:sz w:val="20"/>
          <w:szCs w:val="20"/>
          <w:color w:val="auto"/>
        </w:rPr>
      </w:pPr>
      <w:r>
        <w:rPr>
          <w:rFonts w:ascii="Arial" w:cs="Arial" w:eastAsia="Arial" w:hAnsi="Arial"/>
          <w:sz w:val="18"/>
          <w:szCs w:val="18"/>
          <w:color w:val="auto"/>
        </w:rPr>
        <w:t>Each Super Voting Share is entitled to 1,000 votes per share at shareholder meetings of the Company and is exchangeable for 100 Subordinate Voting Shares or one Multiple Voting Share. At September 30, 2021, the Company had 295,031 issued and outstanding Super Voting Shares which convert into 29,503,100 Subordinate Voting Shares. The Company is authorized to issue an unlimited number of Super Voting Shares. During the nine months ended September 30, 2021, the shareholders of the Company converted 17,000 Super Voting Shares into 1,700,000 Subordinate Voting Shares.</w:t>
      </w:r>
    </w:p>
    <w:p>
      <w:pPr>
        <w:spacing w:after="0" w:line="79" w:lineRule="exact"/>
        <w:rPr>
          <w:sz w:val="20"/>
          <w:szCs w:val="20"/>
          <w:color w:val="auto"/>
        </w:rPr>
      </w:pPr>
    </w:p>
    <w:p>
      <w:pPr>
        <w:ind w:left="1080" w:hanging="443"/>
        <w:spacing w:after="0"/>
        <w:tabs>
          <w:tab w:leader="none" w:pos="10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3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57"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4"/>
              </w:rPr>
              <w:t>Issued and Outstanding</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4760" w:type="dxa"/>
            <w:vAlign w:val="bottom"/>
          </w:tcPr>
          <w:p>
            <w:pPr>
              <w:spacing w:after="0"/>
              <w:rPr>
                <w:sz w:val="15"/>
                <w:szCs w:val="15"/>
                <w:color w:val="auto"/>
              </w:rPr>
            </w:pPr>
          </w:p>
        </w:tc>
        <w:tc>
          <w:tcPr>
            <w:tcW w:w="1380" w:type="dxa"/>
            <w:vAlign w:val="bottom"/>
          </w:tcPr>
          <w:p>
            <w:pPr>
              <w:jc w:val="right"/>
              <w:ind w:right="234"/>
              <w:spacing w:after="0"/>
              <w:rPr>
                <w:sz w:val="20"/>
                <w:szCs w:val="20"/>
                <w:color w:val="auto"/>
              </w:rPr>
            </w:pPr>
            <w:r>
              <w:rPr>
                <w:rFonts w:ascii="Arial" w:cs="Arial" w:eastAsia="Arial" w:hAnsi="Arial"/>
                <w:sz w:val="14"/>
                <w:szCs w:val="14"/>
                <w:b w:val="1"/>
                <w:bCs w:val="1"/>
                <w:color w:val="auto"/>
              </w:rPr>
              <w:t>Subordinate</w:t>
            </w:r>
          </w:p>
        </w:tc>
        <w:tc>
          <w:tcPr>
            <w:tcW w:w="22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Multiple</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Super</w:t>
            </w:r>
          </w:p>
        </w:tc>
      </w:tr>
      <w:tr>
        <w:trPr>
          <w:trHeight w:val="175"/>
        </w:trPr>
        <w:tc>
          <w:tcPr>
            <w:tcW w:w="4760" w:type="dxa"/>
            <w:vAlign w:val="bottom"/>
          </w:tcPr>
          <w:p>
            <w:pPr>
              <w:spacing w:after="0"/>
              <w:rPr>
                <w:sz w:val="15"/>
                <w:szCs w:val="15"/>
                <w:color w:val="auto"/>
              </w:rPr>
            </w:pPr>
          </w:p>
        </w:tc>
        <w:tc>
          <w:tcPr>
            <w:tcW w:w="1380" w:type="dxa"/>
            <w:vAlign w:val="bottom"/>
          </w:tcPr>
          <w:p>
            <w:pPr>
              <w:jc w:val="right"/>
              <w:ind w:right="414"/>
              <w:spacing w:after="0"/>
              <w:rPr>
                <w:sz w:val="20"/>
                <w:szCs w:val="20"/>
                <w:color w:val="auto"/>
              </w:rPr>
            </w:pPr>
            <w:r>
              <w:rPr>
                <w:rFonts w:ascii="Arial" w:cs="Arial" w:eastAsia="Arial" w:hAnsi="Arial"/>
                <w:sz w:val="14"/>
                <w:szCs w:val="14"/>
                <w:b w:val="1"/>
                <w:bCs w:val="1"/>
                <w:color w:val="auto"/>
              </w:rPr>
              <w:t>Voting</w:t>
            </w:r>
          </w:p>
        </w:tc>
        <w:tc>
          <w:tcPr>
            <w:tcW w:w="220" w:type="dxa"/>
            <w:vAlign w:val="bottom"/>
          </w:tcPr>
          <w:p>
            <w:pPr>
              <w:spacing w:after="0"/>
              <w:rPr>
                <w:sz w:val="15"/>
                <w:szCs w:val="15"/>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Voting</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Voting</w:t>
            </w:r>
          </w:p>
        </w:tc>
      </w:tr>
      <w:tr>
        <w:trPr>
          <w:trHeight w:val="192"/>
        </w:trPr>
        <w:tc>
          <w:tcPr>
            <w:tcW w:w="4760" w:type="dxa"/>
            <w:vAlign w:val="bottom"/>
          </w:tcPr>
          <w:p>
            <w:pPr>
              <w:spacing w:after="0"/>
              <w:rPr>
                <w:sz w:val="16"/>
                <w:szCs w:val="16"/>
                <w:color w:val="auto"/>
              </w:rPr>
            </w:pPr>
          </w:p>
        </w:tc>
        <w:tc>
          <w:tcPr>
            <w:tcW w:w="13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r>
      <w:tr>
        <w:trPr>
          <w:trHeight w:val="256"/>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 at December 31, 2020</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178,113,221</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40,289</w:t>
            </w: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312,031</w:t>
            </w:r>
          </w:p>
        </w:tc>
        <w:tc>
          <w:tcPr>
            <w:tcW w:w="100" w:type="dxa"/>
            <w:vAlign w:val="bottom"/>
            <w:shd w:val="clear" w:color="auto" w:fill="CFF0FC"/>
          </w:tcPr>
          <w:p>
            <w:pPr>
              <w:spacing w:after="0"/>
              <w:rPr>
                <w:sz w:val="22"/>
                <w:szCs w:val="22"/>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Issuance of common shares pursuant to S-1</w:t>
            </w:r>
          </w:p>
        </w:tc>
        <w:tc>
          <w:tcPr>
            <w:tcW w:w="1380" w:type="dxa"/>
            <w:vAlign w:val="bottom"/>
          </w:tcPr>
          <w:p>
            <w:pPr>
              <w:jc w:val="right"/>
              <w:spacing w:after="0"/>
              <w:rPr>
                <w:sz w:val="20"/>
                <w:szCs w:val="20"/>
                <w:color w:val="auto"/>
              </w:rPr>
            </w:pPr>
            <w:r>
              <w:rPr>
                <w:rFonts w:ascii="Arial" w:cs="Arial" w:eastAsia="Arial" w:hAnsi="Arial"/>
                <w:sz w:val="18"/>
                <w:szCs w:val="18"/>
                <w:color w:val="auto"/>
              </w:rPr>
              <w:t>4,693,991</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shares under business combinations and</w:t>
            </w: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investments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7,290,180</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Distribution of contingent consideration</w:t>
            </w:r>
          </w:p>
        </w:tc>
        <w:tc>
          <w:tcPr>
            <w:tcW w:w="1380" w:type="dxa"/>
            <w:vAlign w:val="bottom"/>
          </w:tcPr>
          <w:p>
            <w:pPr>
              <w:jc w:val="right"/>
              <w:spacing w:after="0"/>
              <w:rPr>
                <w:sz w:val="20"/>
                <w:szCs w:val="20"/>
                <w:color w:val="auto"/>
              </w:rPr>
            </w:pPr>
            <w:r>
              <w:rPr>
                <w:rFonts w:ascii="Arial" w:cs="Arial" w:eastAsia="Arial" w:hAnsi="Arial"/>
                <w:sz w:val="18"/>
                <w:szCs w:val="18"/>
                <w:color w:val="auto"/>
              </w:rPr>
              <w:t>612,737</w:t>
            </w:r>
          </w:p>
        </w:tc>
        <w:tc>
          <w:tcPr>
            <w:tcW w:w="2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of deferred shares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190,263</w:t>
            </w:r>
          </w:p>
        </w:tc>
        <w:tc>
          <w:tcPr>
            <w:tcW w:w="22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w w:val="97"/>
              </w:rPr>
              <w:t>Issuance of shares for redemption of noncontrolling interests</w:t>
            </w:r>
          </w:p>
        </w:tc>
        <w:tc>
          <w:tcPr>
            <w:tcW w:w="1380" w:type="dxa"/>
            <w:vAlign w:val="bottom"/>
          </w:tcPr>
          <w:p>
            <w:pPr>
              <w:jc w:val="right"/>
              <w:spacing w:after="0"/>
              <w:rPr>
                <w:sz w:val="20"/>
                <w:szCs w:val="20"/>
                <w:color w:val="auto"/>
              </w:rPr>
            </w:pPr>
            <w:r>
              <w:rPr>
                <w:rFonts w:ascii="Arial" w:cs="Arial" w:eastAsia="Arial" w:hAnsi="Arial"/>
                <w:sz w:val="18"/>
                <w:szCs w:val="18"/>
                <w:color w:val="auto"/>
              </w:rPr>
              <w:t>136,075</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shares upon exercise of options and</w:t>
            </w: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977,646</w:t>
            </w:r>
          </w:p>
        </w:tc>
        <w:tc>
          <w:tcPr>
            <w:tcW w:w="22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Issuances of shares upon vesting of RSUs</w:t>
            </w:r>
          </w:p>
        </w:tc>
        <w:tc>
          <w:tcPr>
            <w:tcW w:w="1380" w:type="dxa"/>
            <w:vAlign w:val="bottom"/>
          </w:tcPr>
          <w:p>
            <w:pPr>
              <w:jc w:val="right"/>
              <w:spacing w:after="0"/>
              <w:rPr>
                <w:sz w:val="20"/>
                <w:szCs w:val="20"/>
                <w:color w:val="auto"/>
              </w:rPr>
            </w:pPr>
            <w:r>
              <w:rPr>
                <w:rFonts w:ascii="Arial" w:cs="Arial" w:eastAsia="Arial" w:hAnsi="Arial"/>
                <w:sz w:val="18"/>
                <w:szCs w:val="18"/>
                <w:color w:val="auto"/>
              </w:rPr>
              <w:t>357,756</w:t>
            </w:r>
          </w:p>
        </w:tc>
        <w:tc>
          <w:tcPr>
            <w:tcW w:w="2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issued in association with notes payable</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8,514</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Shares issued for settlement of business dispute</w:t>
            </w:r>
          </w:p>
        </w:tc>
        <w:tc>
          <w:tcPr>
            <w:tcW w:w="1380" w:type="dxa"/>
            <w:vAlign w:val="bottom"/>
          </w:tcPr>
          <w:p>
            <w:pPr>
              <w:jc w:val="right"/>
              <w:spacing w:after="0"/>
              <w:rPr>
                <w:sz w:val="20"/>
                <w:szCs w:val="20"/>
                <w:color w:val="auto"/>
              </w:rPr>
            </w:pPr>
            <w:r>
              <w:rPr>
                <w:rFonts w:ascii="Arial" w:cs="Arial" w:eastAsia="Arial" w:hAnsi="Arial"/>
                <w:sz w:val="18"/>
                <w:szCs w:val="18"/>
                <w:color w:val="auto"/>
              </w:rPr>
              <w:t>240,000</w:t>
            </w:r>
          </w:p>
        </w:tc>
        <w:tc>
          <w:tcPr>
            <w:tcW w:w="2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Exchange of shares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1,763,500</w:t>
            </w:r>
          </w:p>
        </w:tc>
        <w:tc>
          <w:tcPr>
            <w:tcW w:w="22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(635 )</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(17,000 )</w:t>
            </w:r>
          </w:p>
        </w:tc>
      </w:tr>
      <w:tr>
        <w:trPr>
          <w:trHeight w:val="250"/>
        </w:trPr>
        <w:tc>
          <w:tcPr>
            <w:tcW w:w="47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As at September 30, 2021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194,383,883</w:t>
            </w:r>
          </w:p>
        </w:tc>
        <w:tc>
          <w:tcPr>
            <w:tcW w:w="220" w:type="dxa"/>
            <w:vAlign w:val="bottom"/>
            <w:tcBorders>
              <w:top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39,654</w:t>
            </w:r>
          </w:p>
        </w:tc>
        <w:tc>
          <w:tcPr>
            <w:tcW w:w="240" w:type="dxa"/>
            <w:vAlign w:val="bottom"/>
            <w:tcBorders>
              <w:top w:val="single" w:sz="8" w:color="CFF0FC"/>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295,031</w:t>
            </w:r>
          </w:p>
        </w:tc>
        <w:tc>
          <w:tcPr>
            <w:tcW w:w="100" w:type="dxa"/>
            <w:vAlign w:val="bottom"/>
            <w:tcBorders>
              <w:top w:val="single" w:sz="8" w:color="CFF0FC"/>
            </w:tcBorders>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-193675</wp:posOffset>
            </wp:positionV>
            <wp:extent cx="1371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-193675</wp:posOffset>
            </wp:positionV>
            <wp:extent cx="15430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-193675</wp:posOffset>
            </wp:positionV>
            <wp:extent cx="6858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left="1080" w:hanging="445"/>
        <w:spacing w:after="0"/>
        <w:tabs>
          <w:tab w:leader="none" w:pos="10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480" w:right="4840" w:hanging="684"/>
        <w:spacing w:after="0" w:line="391" w:lineRule="auto"/>
        <w:tabs>
          <w:tab w:leader="none" w:pos="1410" w:val="left"/>
        </w:tabs>
        <w:numPr>
          <w:ilvl w:val="1"/>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Issuance of Shares Under Business Combinations and Investments </w:t>
      </w:r>
      <w:r>
        <w:rPr>
          <w:rFonts w:ascii="Arial" w:cs="Arial" w:eastAsia="Arial" w:hAnsi="Arial"/>
          <w:sz w:val="18"/>
          <w:szCs w:val="18"/>
          <w:i w:val="1"/>
          <w:iCs w:val="1"/>
          <w:color w:val="auto"/>
        </w:rPr>
        <w:t>GTI New Jersey, LLC</w:t>
      </w:r>
    </w:p>
    <w:p>
      <w:pPr>
        <w:spacing w:after="0" w:line="1" w:lineRule="exact"/>
        <w:rPr>
          <w:sz w:val="20"/>
          <w:szCs w:val="20"/>
          <w:color w:val="auto"/>
        </w:rPr>
      </w:pPr>
    </w:p>
    <w:p>
      <w:pPr>
        <w:ind w:left="1480" w:right="80"/>
        <w:spacing w:after="0" w:line="286" w:lineRule="auto"/>
        <w:rPr>
          <w:sz w:val="20"/>
          <w:szCs w:val="20"/>
          <w:color w:val="auto"/>
        </w:rPr>
      </w:pPr>
      <w:r>
        <w:rPr>
          <w:rFonts w:ascii="Arial" w:cs="Arial" w:eastAsia="Arial" w:hAnsi="Arial"/>
          <w:sz w:val="17"/>
          <w:szCs w:val="17"/>
          <w:color w:val="auto"/>
        </w:rPr>
        <w:t>In connection with the Company’s April 23, 2019 acquisition of the non-controlling interest in GTI New Jersey, LLC, the Company agreed to award the previous minority shareholders of the entity up to $3,000,000 in Subordinate Voting Shares. On May 7, 2020, the Company received approval from the New Jersey Department of Health to begin buildout of an additional retail dispensary. As of that date, the Company recorded a current obligation of $2,000,000 representing the maximum value of the shares to be issuable to the former minority shareholders of GTI New Jersey, LLC. On March 15, 2021 and September 16, 2021, retail dispensaries located in Paramus, New Jersey and Bloomfield, New Jersey were successfully opened. As a result, the Company issued 30,414 and 36,947 Subordinate Voting Shares to the former minority shareholders of GTI New Jersey, LLC, with fair values of $1,038,307 and $939,538 on the date of issuance, respectfully. As of September 30, 2021, and December 31, 2020, the Company carried an obligation of $0 and $2,000,000, respectively, associated with the retail dispensary agreement with the former minority shareholders of GTI New Jersey, LLC.</w:t>
      </w:r>
    </w:p>
    <w:p>
      <w:pPr>
        <w:spacing w:after="0" w:line="7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also Note 4 - Acquisitions for additional details.</w:t>
      </w:r>
    </w:p>
    <w:p>
      <w:pPr>
        <w:spacing w:after="0" w:line="131" w:lineRule="exact"/>
        <w:rPr>
          <w:sz w:val="20"/>
          <w:szCs w:val="20"/>
          <w:color w:val="auto"/>
        </w:rPr>
      </w:pPr>
    </w:p>
    <w:p>
      <w:pPr>
        <w:ind w:left="1480" w:right="6740" w:hanging="734"/>
        <w:spacing w:after="0" w:line="440" w:lineRule="auto"/>
        <w:tabs>
          <w:tab w:leader="none" w:pos="1410"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Distribution of Contingent Consideration </w:t>
      </w:r>
      <w:r>
        <w:rPr>
          <w:rFonts w:ascii="Arial" w:cs="Arial" w:eastAsia="Arial" w:hAnsi="Arial"/>
          <w:sz w:val="16"/>
          <w:szCs w:val="16"/>
          <w:i w:val="1"/>
          <w:iCs w:val="1"/>
          <w:color w:val="auto"/>
        </w:rPr>
        <w:t>Integral Associates, LLC</w:t>
      </w:r>
    </w:p>
    <w:p>
      <w:pPr>
        <w:ind w:left="1480"/>
        <w:spacing w:after="0" w:line="286" w:lineRule="auto"/>
        <w:rPr>
          <w:sz w:val="20"/>
          <w:szCs w:val="20"/>
          <w:color w:val="auto"/>
        </w:rPr>
      </w:pPr>
      <w:r>
        <w:rPr>
          <w:rFonts w:ascii="Arial" w:cs="Arial" w:eastAsia="Arial" w:hAnsi="Arial"/>
          <w:sz w:val="17"/>
          <w:szCs w:val="17"/>
          <w:color w:val="auto"/>
        </w:rPr>
        <w:t>In connection with the Company’s 2019 acquisition of Integral Associates, LLC, the purchase agreement included contingent consideration which was dependent upon the awarding of conditional and final dispensary operating licenses. On March 22, 2021, the Company issued 412,744 Subordinate Voting Shares to the former owners of Integral Associates, LLC in connection with the awarding of a final retail dispensary license located in Pasadena, California. The shares had a fair value of $12,672,681 at the date of issuance and resulted in a loss of $8,172,681 which was recorded in other income (expense) in the unaudited interim condensed consolidated statement of operations. In addition, the Company determined that the likelihood that the Company will obtain retail dispensary operating licenses in either West Hollywood or Culver City, California, under commercially reasonable terms was remote. Consequently, the Company remeasured the contingent liability associated with these milestones which resulted in a reduction to the contingent liability of $7,750,000 with a corresponding increase to other income (expense) in the unaudited interim condensed consolidated statement of operations.</w:t>
      </w:r>
    </w:p>
    <w:p>
      <w:pPr>
        <w:spacing w:after="0" w:line="74" w:lineRule="exact"/>
        <w:rPr>
          <w:sz w:val="20"/>
          <w:szCs w:val="20"/>
          <w:color w:val="auto"/>
        </w:rPr>
      </w:pPr>
    </w:p>
    <w:p>
      <w:pPr>
        <w:ind w:left="1480" w:right="20"/>
        <w:spacing w:after="0" w:line="303" w:lineRule="auto"/>
        <w:rPr>
          <w:sz w:val="20"/>
          <w:szCs w:val="20"/>
          <w:color w:val="auto"/>
        </w:rPr>
      </w:pPr>
      <w:r>
        <w:rPr>
          <w:rFonts w:ascii="Arial" w:cs="Arial" w:eastAsia="Arial" w:hAnsi="Arial"/>
          <w:sz w:val="17"/>
          <w:szCs w:val="17"/>
          <w:color w:val="auto"/>
        </w:rPr>
        <w:t>As of September 30, 2021 and December 31, 2020, the estimated fair value of the contingent consideration associated with the acquisition of Integral Associates, LLC, which was valued using a probability weighting of the potential payouts, was $14,850,000 and $27,100,000, respectively of which $4,950,000, in each period, was recorded as a non-current liability.</w:t>
      </w:r>
    </w:p>
    <w:p>
      <w:pPr>
        <w:spacing w:after="0" w:line="56" w:lineRule="exact"/>
        <w:rPr>
          <w:sz w:val="20"/>
          <w:szCs w:val="20"/>
          <w:color w:val="auto"/>
        </w:rPr>
      </w:pPr>
    </w:p>
    <w:p>
      <w:pPr>
        <w:ind w:left="1480"/>
        <w:spacing w:after="0"/>
        <w:rPr>
          <w:sz w:val="20"/>
          <w:szCs w:val="20"/>
          <w:color w:val="auto"/>
        </w:rPr>
      </w:pPr>
      <w:r>
        <w:rPr>
          <w:rFonts w:ascii="Arial" w:cs="Arial" w:eastAsia="Arial" w:hAnsi="Arial"/>
          <w:sz w:val="18"/>
          <w:szCs w:val="18"/>
          <w:i w:val="1"/>
          <w:iCs w:val="1"/>
          <w:color w:val="auto"/>
        </w:rPr>
        <w:t>Dharma Pharmaceuticals, LLC</w:t>
      </w:r>
    </w:p>
    <w:p>
      <w:pPr>
        <w:spacing w:after="0" w:line="248" w:lineRule="exact"/>
        <w:rPr>
          <w:sz w:val="20"/>
          <w:szCs w:val="20"/>
          <w:color w:val="auto"/>
        </w:rPr>
      </w:pPr>
    </w:p>
    <w:p>
      <w:pPr>
        <w:ind w:left="1540" w:right="40"/>
        <w:spacing w:after="0" w:line="291" w:lineRule="auto"/>
        <w:rPr>
          <w:sz w:val="20"/>
          <w:szCs w:val="20"/>
          <w:color w:val="auto"/>
        </w:rPr>
      </w:pPr>
      <w:r>
        <w:rPr>
          <w:rFonts w:ascii="Arial" w:cs="Arial" w:eastAsia="Arial" w:hAnsi="Arial"/>
          <w:sz w:val="17"/>
          <w:szCs w:val="17"/>
          <w:color w:val="auto"/>
        </w:rPr>
        <w:t>In connection with the Company's 2021 acquisition of Dharma Pharmaceuticals, LLC ("</w:t>
      </w:r>
      <w:r>
        <w:rPr>
          <w:rFonts w:ascii="Arial" w:cs="Arial" w:eastAsia="Arial" w:hAnsi="Arial"/>
          <w:sz w:val="17"/>
          <w:szCs w:val="17"/>
          <w:b w:val="1"/>
          <w:bCs w:val="1"/>
          <w:color w:val="auto"/>
        </w:rPr>
        <w:t>Dharma</w:t>
      </w:r>
      <w:r>
        <w:rPr>
          <w:rFonts w:ascii="Arial" w:cs="Arial" w:eastAsia="Arial" w:hAnsi="Arial"/>
          <w:sz w:val="17"/>
          <w:szCs w:val="17"/>
          <w:color w:val="auto"/>
        </w:rPr>
        <w:t>"), the purchase agreement included contingent consideration of up to $65.0 million in Subordinate Voting Shares of Green Thumb, which was dependent upon the successful opening of up to 5 retail dispensaries in the Virginia area within the first three years following the signing of the agreement and the legal sale of adult use cannabis in a retail dispensary by January 1, 2025. On August 16, 2021, the Company issued 199,993 Subordinate Voting Shares to the former owners of Dharma in connection with the successful opening of one retail dispensary in Virginia. The shares had a fair value of $5,949,078 at the date of issuance.</w:t>
      </w:r>
    </w:p>
    <w:p>
      <w:pPr>
        <w:spacing w:after="0" w:line="188" w:lineRule="exact"/>
        <w:rPr>
          <w:sz w:val="20"/>
          <w:szCs w:val="20"/>
          <w:color w:val="auto"/>
        </w:rPr>
      </w:pPr>
    </w:p>
    <w:p>
      <w:pPr>
        <w:ind w:left="1540" w:right="160"/>
        <w:spacing w:after="0" w:line="303" w:lineRule="auto"/>
        <w:rPr>
          <w:sz w:val="20"/>
          <w:szCs w:val="20"/>
          <w:color w:val="auto"/>
        </w:rPr>
      </w:pPr>
      <w:r>
        <w:rPr>
          <w:rFonts w:ascii="Arial" w:cs="Arial" w:eastAsia="Arial" w:hAnsi="Arial"/>
          <w:sz w:val="17"/>
          <w:szCs w:val="17"/>
          <w:color w:val="auto"/>
        </w:rPr>
        <w:t>As of September 30, 2021, the estimated fair value of the contingent consideration associated with the acquisition of Dharma, which was valued based on a probability weighting of the potential payments, was $45,872,665, of which $19,883,434 was included as a current liability on the Company's unaudited interim condensed consolidated balance sheets.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3" w:name="page24"/>
    <w:bookmarkEnd w:id="23"/>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840" w:hanging="442"/>
        <w:spacing w:after="0"/>
        <w:tabs>
          <w:tab w:leader="none" w:pos="840" w:val="left"/>
        </w:tabs>
        <w:numPr>
          <w:ilvl w:val="1"/>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Issued and Outstanding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4" w:lineRule="exact"/>
        <w:rPr>
          <w:sz w:val="20"/>
          <w:szCs w:val="20"/>
          <w:color w:val="auto"/>
        </w:rPr>
      </w:pPr>
    </w:p>
    <w:p>
      <w:pPr>
        <w:jc w:val="right"/>
        <w:ind w:left="1480" w:right="7460" w:hanging="784"/>
        <w:spacing w:after="0" w:line="469" w:lineRule="auto"/>
        <w:tabs>
          <w:tab w:leader="none" w:pos="1410" w:val="left"/>
        </w:tabs>
        <w:numPr>
          <w:ilvl w:val="0"/>
          <w:numId w:val="42"/>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Distribution of Deferred Shares </w:t>
      </w:r>
      <w:r>
        <w:rPr>
          <w:rFonts w:ascii="Arial" w:cs="Arial" w:eastAsia="Arial" w:hAnsi="Arial"/>
          <w:sz w:val="15"/>
          <w:szCs w:val="15"/>
          <w:i w:val="1"/>
          <w:iCs w:val="1"/>
          <w:color w:val="auto"/>
        </w:rPr>
        <w:t>For Success Holding Company</w:t>
      </w:r>
    </w:p>
    <w:p>
      <w:pPr>
        <w:spacing w:after="0" w:line="1" w:lineRule="exact"/>
        <w:rPr>
          <w:sz w:val="20"/>
          <w:szCs w:val="20"/>
          <w:color w:val="auto"/>
        </w:rPr>
      </w:pPr>
    </w:p>
    <w:p>
      <w:pPr>
        <w:ind w:left="1480" w:right="40"/>
        <w:spacing w:after="0" w:line="314" w:lineRule="auto"/>
        <w:rPr>
          <w:sz w:val="20"/>
          <w:szCs w:val="20"/>
          <w:color w:val="auto"/>
        </w:rPr>
      </w:pPr>
      <w:r>
        <w:rPr>
          <w:rFonts w:ascii="Arial" w:cs="Arial" w:eastAsia="Arial" w:hAnsi="Arial"/>
          <w:sz w:val="16"/>
          <w:szCs w:val="16"/>
          <w:color w:val="auto"/>
        </w:rPr>
        <w:t>As part of the consideration exchanged in the Company’s 2019 acquisition of For Success Holding Company, deferred shares were held back for a period of twenty-four months from the close of the transaction. On February 22, 2021, the Company issued 146,315 Subordinate Voting Shares with a value of $1,825,597 in connection with the Company’s 2019 acquisition of For Success Holding Company. The issuance of the deferred shares represented the final payout to the former owners of For Success Holding Company and resulted in the cancelation of 780 shares valued at $9,732 representing certain reimbursable costs incurred by the Company.</w:t>
      </w:r>
    </w:p>
    <w:p>
      <w:pPr>
        <w:spacing w:after="0" w:line="5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also Note 4 - Acquisitions for additional details.</w:t>
      </w:r>
    </w:p>
    <w:p>
      <w:pPr>
        <w:spacing w:after="0" w:line="131" w:lineRule="exact"/>
        <w:rPr>
          <w:sz w:val="20"/>
          <w:szCs w:val="20"/>
          <w:color w:val="auto"/>
        </w:rPr>
      </w:pPr>
    </w:p>
    <w:p>
      <w:pPr>
        <w:ind w:left="1340" w:hanging="748"/>
        <w:spacing w:after="0"/>
        <w:tabs>
          <w:tab w:leader="none" w:pos="1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Issuance of Registered Shares Pursuant to S-1</w:t>
      </w:r>
    </w:p>
    <w:p>
      <w:pPr>
        <w:spacing w:after="0" w:line="13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On February 8, 2021, the SEC declared effective the Company’s Registration Statement No. 333-248213 on Form S-1 filed on</w:t>
      </w:r>
    </w:p>
    <w:p>
      <w:pPr>
        <w:spacing w:after="0" w:line="3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February 2, 2021. Shortly thereafter, the Company received an offer from a single institutional investor to purchase 3,122,074 of the</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Subordinate Voting Shares registered on the Form S-1 at a price of $32.03 per share for a total of $100,000,030. The transaction closed</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on February 9, 2021. On February 23, 2021, the Company accepted additional offers to purchase a total of 1,571,917 Subordinate</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Voting Shares at a price of $35.50 per share, for a total of $55,803,054. The Company is using the net proceeds from the sale of</w:t>
      </w:r>
    </w:p>
    <w:p>
      <w:pPr>
        <w:spacing w:after="0" w:line="34"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securities for general corporate purposes, which may include capital expenditures, working capital and general and administrative</w:t>
      </w:r>
    </w:p>
    <w:p>
      <w:pPr>
        <w:spacing w:after="0" w:line="3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expenses. The Company also is using a portion of the net proceeds to acquire or invest in business and products that are complimentary</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to the Company’s own businesses and products. Additionally, the Company incurred legal, audit and other professional fees of</w:t>
      </w:r>
    </w:p>
    <w:p>
      <w:pPr>
        <w:spacing w:after="0" w:line="34"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$304,944 associated the issuance of the registered shares. Such fees have been recorded within contributed surplus (deficit) within the</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Company’s unaudited interim condensed consolidated statement of shareholders’ equity.</w:t>
      </w:r>
    </w:p>
    <w:p>
      <w:pPr>
        <w:spacing w:after="0" w:line="126" w:lineRule="exact"/>
        <w:rPr>
          <w:sz w:val="20"/>
          <w:szCs w:val="20"/>
          <w:color w:val="auto"/>
        </w:rPr>
      </w:pPr>
    </w:p>
    <w:p>
      <w:pPr>
        <w:ind w:left="1080" w:hanging="443"/>
        <w:spacing w:after="0"/>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35" w:lineRule="exact"/>
        <w:rPr>
          <w:sz w:val="20"/>
          <w:szCs w:val="20"/>
          <w:color w:val="auto"/>
        </w:rPr>
      </w:pPr>
    </w:p>
    <w:p>
      <w:pPr>
        <w:ind w:left="1160" w:right="100"/>
        <w:spacing w:after="0" w:line="288" w:lineRule="auto"/>
        <w:rPr>
          <w:sz w:val="20"/>
          <w:szCs w:val="20"/>
          <w:color w:val="auto"/>
        </w:rPr>
      </w:pPr>
      <w:r>
        <w:rPr>
          <w:rFonts w:ascii="Arial" w:cs="Arial" w:eastAsia="Arial" w:hAnsi="Arial"/>
          <w:sz w:val="17"/>
          <w:szCs w:val="17"/>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measures their value indirectly by reference to the fair value of the equity instruments granted. For transactions with employees and others providing similar services, the Company measures the fair value of the services by reference to the fair value of the equity instruments granted. Equity settled stock-based payments under stock-based payment plans are ultimately recognized as an expense in profit or loss with a corresponding credit to equity.</w:t>
      </w:r>
    </w:p>
    <w:p>
      <w:pPr>
        <w:spacing w:after="0" w:line="73" w:lineRule="exact"/>
        <w:rPr>
          <w:sz w:val="20"/>
          <w:szCs w:val="20"/>
          <w:color w:val="auto"/>
        </w:rPr>
      </w:pPr>
    </w:p>
    <w:p>
      <w:pPr>
        <w:ind w:left="1160" w:right="140"/>
        <w:spacing w:after="0" w:line="279" w:lineRule="auto"/>
        <w:rPr>
          <w:sz w:val="20"/>
          <w:szCs w:val="20"/>
          <w:color w:val="auto"/>
        </w:rPr>
      </w:pPr>
      <w:r>
        <w:rPr>
          <w:rFonts w:ascii="Arial" w:cs="Arial" w:eastAsia="Arial" w:hAnsi="Arial"/>
          <w:sz w:val="18"/>
          <w:szCs w:val="18"/>
          <w:color w:val="auto"/>
        </w:rPr>
        <w:t>In June 2018, the Company established the Green Thumb Industries Inc. 2018 Stock and Incentive Plan, which was amended by Amendment No. 1 thereto (as amended, the “</w:t>
      </w:r>
      <w:r>
        <w:rPr>
          <w:rFonts w:ascii="Arial" w:cs="Arial" w:eastAsia="Arial" w:hAnsi="Arial"/>
          <w:sz w:val="18"/>
          <w:szCs w:val="18"/>
          <w:b w:val="1"/>
          <w:bCs w:val="1"/>
          <w:color w:val="auto"/>
        </w:rPr>
        <w:t>Plan</w:t>
      </w:r>
      <w:r>
        <w:rPr>
          <w:rFonts w:ascii="Arial" w:cs="Arial" w:eastAsia="Arial" w:hAnsi="Arial"/>
          <w:sz w:val="18"/>
          <w:szCs w:val="18"/>
          <w:color w:val="auto"/>
        </w:rPr>
        <w:t>”). The maximum number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and options issued under the Plan shall not exceed 10% of the issued and outstanding shares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4" w:name="page25"/>
    <w:bookmarkEnd w:id="24"/>
    <w:p>
      <w:pPr>
        <w:jc w:val="center"/>
        <w:ind w:right="-51"/>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72" w:right="268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32" w:hanging="532"/>
        <w:spacing w:after="0"/>
        <w:tabs>
          <w:tab w:leader="none" w:pos="53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1092" w:hanging="465"/>
        <w:spacing w:after="0"/>
        <w:tabs>
          <w:tab w:leader="none" w:pos="109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135" w:lineRule="exact"/>
        <w:rPr>
          <w:sz w:val="20"/>
          <w:szCs w:val="20"/>
          <w:color w:val="auto"/>
        </w:rPr>
      </w:pPr>
    </w:p>
    <w:p>
      <w:pPr>
        <w:ind w:left="1152" w:right="40"/>
        <w:spacing w:after="0" w:line="272" w:lineRule="auto"/>
        <w:rPr>
          <w:sz w:val="20"/>
          <w:szCs w:val="20"/>
          <w:color w:val="auto"/>
        </w:rPr>
      </w:pPr>
      <w:r>
        <w:rPr>
          <w:rFonts w:ascii="Arial" w:cs="Arial" w:eastAsia="Arial" w:hAnsi="Arial"/>
          <w:sz w:val="18"/>
          <w:szCs w:val="18"/>
          <w:color w:val="auto"/>
        </w:rPr>
        <w:t>The Company recognizes compensation expense for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with no adjustment to prior periods for expense previously recognized.</w:t>
      </w:r>
    </w:p>
    <w:p>
      <w:pPr>
        <w:spacing w:after="0" w:line="83" w:lineRule="exact"/>
        <w:rPr>
          <w:sz w:val="20"/>
          <w:szCs w:val="20"/>
          <w:color w:val="auto"/>
        </w:rPr>
      </w:pPr>
    </w:p>
    <w:p>
      <w:pPr>
        <w:ind w:left="1152" w:right="60"/>
        <w:spacing w:after="0" w:line="279" w:lineRule="auto"/>
        <w:rPr>
          <w:sz w:val="20"/>
          <w:szCs w:val="20"/>
          <w:color w:val="auto"/>
        </w:rPr>
      </w:pPr>
      <w:r>
        <w:rPr>
          <w:rFonts w:ascii="Arial" w:cs="Arial" w:eastAsia="Arial" w:hAnsi="Arial"/>
          <w:sz w:val="18"/>
          <w:szCs w:val="18"/>
          <w:color w:val="auto"/>
        </w:rPr>
        <w:t>Option and RSU grants generally vest over three years, and options typically have a life of five or ten years. Option grants are determined by the Compensation Committee of the Company’s Board of Directors with the option price set at no less than 100% of the fair market value of a share on the date of grant.</w:t>
      </w:r>
    </w:p>
    <w:p>
      <w:pPr>
        <w:spacing w:after="0" w:line="75"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Stock option activity is summarized as follows:</w:t>
      </w:r>
    </w:p>
    <w:p>
      <w:pPr>
        <w:spacing w:after="0" w:line="298" w:lineRule="exact"/>
        <w:rPr>
          <w:sz w:val="20"/>
          <w:szCs w:val="20"/>
          <w:color w:val="auto"/>
        </w:rPr>
      </w:pPr>
    </w:p>
    <w:tbl>
      <w:tblPr>
        <w:tblLayout w:type="fixed"/>
        <w:tblInd w:w="512" w:type="dxa"/>
        <w:tblCellMar>
          <w:top w:w="0" w:type="dxa"/>
          <w:left w:w="0" w:type="dxa"/>
          <w:bottom w:w="0" w:type="dxa"/>
          <w:right w:w="0" w:type="dxa"/>
        </w:tblCellMar>
      </w:tblPr>
      <w:tr>
        <w:trPr>
          <w:trHeight w:val="175"/>
        </w:trPr>
        <w:tc>
          <w:tcPr>
            <w:tcW w:w="3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Avereage</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32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Weighted Average</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Remaining Contractual</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2"/>
        </w:trPr>
        <w:tc>
          <w:tcPr>
            <w:tcW w:w="3260" w:type="dxa"/>
            <w:vAlign w:val="bottom"/>
          </w:tcPr>
          <w:p>
            <w:pPr>
              <w:spacing w:after="0"/>
              <w:rPr>
                <w:sz w:val="16"/>
                <w:szCs w:val="16"/>
                <w:color w:val="auto"/>
              </w:rPr>
            </w:pPr>
          </w:p>
        </w:tc>
        <w:tc>
          <w:tcPr>
            <w:tcW w:w="20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Exercise Price C$</w:t>
            </w:r>
          </w:p>
        </w:tc>
        <w:tc>
          <w:tcPr>
            <w:tcW w:w="10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80" w:type="dxa"/>
            <w:vAlign w:val="bottom"/>
          </w:tcPr>
          <w:p>
            <w:pPr>
              <w:spacing w:after="0"/>
              <w:rPr>
                <w:sz w:val="16"/>
                <w:szCs w:val="16"/>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Aggregate Intrinsic Value</w:t>
            </w:r>
          </w:p>
        </w:tc>
        <w:tc>
          <w:tcPr>
            <w:tcW w:w="80" w:type="dxa"/>
            <w:vAlign w:val="bottom"/>
          </w:tcPr>
          <w:p>
            <w:pPr>
              <w:spacing w:after="0"/>
              <w:rPr>
                <w:sz w:val="16"/>
                <w:szCs w:val="16"/>
                <w:color w:val="auto"/>
              </w:rPr>
            </w:pPr>
          </w:p>
        </w:tc>
      </w:tr>
      <w:tr>
        <w:trPr>
          <w:trHeight w:val="256"/>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Balance as at December 31, 2020</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5,664,406</w:t>
            </w: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54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85,408,034</w:t>
            </w:r>
          </w:p>
        </w:tc>
        <w:tc>
          <w:tcPr>
            <w:tcW w:w="8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1,303,143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37.44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(699,265 )</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13,566,825</w:t>
            </w:r>
          </w:p>
        </w:tc>
        <w:tc>
          <w:tcPr>
            <w:tcW w:w="8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(642,623 )</w:t>
            </w:r>
          </w:p>
        </w:tc>
        <w:tc>
          <w:tcPr>
            <w:tcW w:w="134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7"/>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Balance as at September 30, 2021</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5,625,661</w:t>
            </w:r>
          </w:p>
        </w:tc>
        <w:tc>
          <w:tcPr>
            <w:tcW w:w="120" w:type="dxa"/>
            <w:vAlign w:val="bottom"/>
            <w:shd w:val="clear" w:color="auto" w:fill="CFF0FC"/>
          </w:tcPr>
          <w:p>
            <w:pPr>
              <w:spacing w:after="0"/>
              <w:rPr>
                <w:sz w:val="22"/>
                <w:szCs w:val="22"/>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FF0FC"/>
          </w:tcPr>
          <w:p>
            <w:pPr>
              <w:spacing w:after="0"/>
              <w:rPr>
                <w:sz w:val="22"/>
                <w:szCs w:val="22"/>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78,129,641</w:t>
            </w:r>
          </w:p>
        </w:tc>
        <w:tc>
          <w:tcPr>
            <w:tcW w:w="80" w:type="dxa"/>
            <w:vAlign w:val="bottom"/>
            <w:shd w:val="clear" w:color="auto" w:fill="CFF0FC"/>
          </w:tcPr>
          <w:p>
            <w:pPr>
              <w:spacing w:after="0"/>
              <w:rPr>
                <w:sz w:val="22"/>
                <w:szCs w:val="22"/>
                <w:color w:val="auto"/>
              </w:rPr>
            </w:pPr>
          </w:p>
        </w:tc>
      </w:tr>
      <w:tr>
        <w:trPr>
          <w:trHeight w:val="250"/>
        </w:trPr>
        <w:tc>
          <w:tcPr>
            <w:tcW w:w="3260" w:type="dxa"/>
            <w:vAlign w:val="bottom"/>
          </w:tcPr>
          <w:p>
            <w:pPr>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spacing w:after="0"/>
              <w:rPr>
                <w:sz w:val="20"/>
                <w:szCs w:val="20"/>
                <w:color w:val="auto"/>
              </w:rPr>
            </w:pPr>
            <w:r>
              <w:rPr>
                <w:rFonts w:ascii="Arial" w:cs="Arial" w:eastAsia="Arial" w:hAnsi="Arial"/>
                <w:sz w:val="18"/>
                <w:szCs w:val="18"/>
                <w:color w:val="auto"/>
              </w:rPr>
              <w:t>3,335,293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63"/>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September 30, 2021</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2,396,807</w:t>
            </w:r>
          </w:p>
        </w:tc>
        <w:tc>
          <w:tcPr>
            <w:tcW w:w="12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540" w:type="dxa"/>
            <w:vAlign w:val="bottom"/>
            <w:gridSpan w:val="2"/>
            <w:shd w:val="clear" w:color="auto" w:fill="CFF0FC"/>
          </w:tcPr>
          <w:p>
            <w:pPr>
              <w:jc w:val="right"/>
              <w:ind w:right="279"/>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41,611,631</w:t>
            </w:r>
          </w:p>
        </w:tc>
        <w:tc>
          <w:tcPr>
            <w:tcW w:w="80" w:type="dxa"/>
            <w:vAlign w:val="bottom"/>
            <w:shd w:val="clear" w:color="auto" w:fill="CFF0FC"/>
          </w:tcPr>
          <w:p>
            <w:pPr>
              <w:spacing w:after="0"/>
              <w:rPr>
                <w:sz w:val="22"/>
                <w:szCs w:val="22"/>
                <w:color w:val="auto"/>
              </w:rPr>
            </w:pPr>
          </w:p>
        </w:tc>
      </w:tr>
    </w:tbl>
    <w:p>
      <w:pPr>
        <w:spacing w:after="0" w:line="364" w:lineRule="exact"/>
        <w:rPr>
          <w:sz w:val="20"/>
          <w:szCs w:val="20"/>
          <w:color w:val="auto"/>
        </w:rPr>
      </w:pPr>
    </w:p>
    <w:p>
      <w:pPr>
        <w:ind w:left="1132"/>
        <w:spacing w:after="0" w:line="272"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September 30, 2021 and December 31, 2020, respectively, and the exercise price, multiplied by the number of in-the-money options) that would have been received by the option holders had all option holders exercised their in-the-money options on September 30, 2021 and December 31, 2020. This amount will change in future periods based on the fair market value of the Company’s Subordinate Voting Shares and the number of options outstanding.</w:t>
      </w:r>
    </w:p>
    <w:p>
      <w:pPr>
        <w:spacing w:after="0" w:line="83" w:lineRule="exact"/>
        <w:rPr>
          <w:sz w:val="20"/>
          <w:szCs w:val="20"/>
          <w:color w:val="auto"/>
        </w:rPr>
      </w:pPr>
    </w:p>
    <w:p>
      <w:pPr>
        <w:ind w:left="1132" w:right="300"/>
        <w:spacing w:after="0" w:line="293" w:lineRule="auto"/>
        <w:rPr>
          <w:sz w:val="20"/>
          <w:szCs w:val="20"/>
          <w:color w:val="auto"/>
        </w:rPr>
      </w:pPr>
      <w:r>
        <w:rPr>
          <w:rFonts w:ascii="Arial" w:cs="Arial" w:eastAsia="Arial" w:hAnsi="Arial"/>
          <w:sz w:val="18"/>
          <w:szCs w:val="18"/>
          <w:color w:val="auto"/>
        </w:rPr>
        <w:t>The following table summarizes the weighted average grant date fair value and intrinsic value of options exercised for the nine months ended September 30, 2021 and 2020:</w:t>
      </w:r>
    </w:p>
    <w:p>
      <w:pPr>
        <w:spacing w:after="0" w:line="229" w:lineRule="exact"/>
        <w:rPr>
          <w:sz w:val="20"/>
          <w:szCs w:val="20"/>
          <w:color w:val="auto"/>
        </w:rPr>
      </w:pPr>
    </w:p>
    <w:tbl>
      <w:tblPr>
        <w:tblLayout w:type="fixed"/>
        <w:tblInd w:w="452"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r>
      <w:tr>
        <w:trPr>
          <w:trHeight w:val="196"/>
        </w:trPr>
        <w:tc>
          <w:tcPr>
            <w:tcW w:w="7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grant date fair value (per share) of stock option units granted (C$)</w:t>
            </w:r>
          </w:p>
        </w:tc>
        <w:tc>
          <w:tcPr>
            <w:tcW w:w="2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FF0FC"/>
          </w:tcPr>
          <w:p>
            <w:pPr>
              <w:spacing w:after="0"/>
              <w:rPr>
                <w:sz w:val="22"/>
                <w:szCs w:val="22"/>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Intrinsic value of stock option units exercised, using market price at vest date (US$)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13,566,825</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194,247</w:t>
            </w:r>
          </w:p>
        </w:tc>
        <w:tc>
          <w:tcPr>
            <w:tcW w:w="100" w:type="dxa"/>
            <w:vAlign w:val="bottom"/>
          </w:tcPr>
          <w:p>
            <w:pPr>
              <w:spacing w:after="0"/>
              <w:rPr>
                <w:sz w:val="21"/>
                <w:szCs w:val="21"/>
                <w:color w:val="auto"/>
              </w:rPr>
            </w:pPr>
          </w:p>
        </w:tc>
      </w:tr>
    </w:tbl>
    <w:p>
      <w:pPr>
        <w:spacing w:after="0" w:line="283" w:lineRule="exact"/>
        <w:rPr>
          <w:sz w:val="20"/>
          <w:szCs w:val="20"/>
          <w:color w:val="auto"/>
        </w:rPr>
      </w:pPr>
    </w:p>
    <w:p>
      <w:pPr>
        <w:ind w:left="1132"/>
        <w:spacing w:after="0"/>
        <w:rPr>
          <w:sz w:val="20"/>
          <w:szCs w:val="20"/>
          <w:color w:val="auto"/>
        </w:rPr>
      </w:pPr>
      <w:r>
        <w:rPr>
          <w:rFonts w:ascii="Arial" w:cs="Arial" w:eastAsia="Arial" w:hAnsi="Arial"/>
          <w:sz w:val="16"/>
          <w:szCs w:val="16"/>
          <w:color w:val="auto"/>
        </w:rPr>
        <w:t>The Company used the Black-Scholes option pricing model to estimate the fair value of the options granted during the nine months ended</w:t>
      </w:r>
    </w:p>
    <w:p>
      <w:pPr>
        <w:spacing w:after="0" w:line="4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September 30, 2021 and the year ended December 31, 2020, using the following ranges of assumptions:</w:t>
      </w:r>
    </w:p>
    <w:p>
      <w:pPr>
        <w:spacing w:after="0" w:line="324" w:lineRule="exact"/>
        <w:rPr>
          <w:sz w:val="20"/>
          <w:szCs w:val="20"/>
          <w:color w:val="auto"/>
        </w:rPr>
      </w:pPr>
    </w:p>
    <w:tbl>
      <w:tblPr>
        <w:tblLayout w:type="fixed"/>
        <w:tblInd w:w="1632"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400" w:type="dxa"/>
            <w:vAlign w:val="bottom"/>
          </w:tcPr>
          <w:p>
            <w:pPr>
              <w:ind w:left="860"/>
              <w:spacing w:after="0"/>
              <w:rPr>
                <w:sz w:val="20"/>
                <w:szCs w:val="20"/>
                <w:color w:val="auto"/>
              </w:rPr>
            </w:pPr>
            <w:r>
              <w:rPr>
                <w:rFonts w:ascii="Arial" w:cs="Arial" w:eastAsia="Arial" w:hAnsi="Arial"/>
                <w:sz w:val="14"/>
                <w:szCs w:val="14"/>
                <w:b w:val="1"/>
                <w:bCs w:val="1"/>
                <w:color w:val="auto"/>
              </w:rPr>
              <w:t>September 30,</w:t>
            </w:r>
          </w:p>
        </w:tc>
        <w:tc>
          <w:tcPr>
            <w:tcW w:w="1940" w:type="dxa"/>
            <w:vAlign w:val="bottom"/>
          </w:tcPr>
          <w:p>
            <w:pPr>
              <w:jc w:val="center"/>
              <w:ind w:left="136"/>
              <w:spacing w:after="0"/>
              <w:rPr>
                <w:sz w:val="20"/>
                <w:szCs w:val="20"/>
                <w:color w:val="auto"/>
              </w:rPr>
            </w:pPr>
            <w:r>
              <w:rPr>
                <w:rFonts w:ascii="Arial" w:cs="Arial" w:eastAsia="Arial" w:hAnsi="Arial"/>
                <w:sz w:val="14"/>
                <w:szCs w:val="14"/>
                <w:b w:val="1"/>
                <w:bCs w:val="1"/>
                <w:color w:val="auto"/>
                <w:w w:val="92"/>
              </w:rPr>
              <w:t>December 31,</w:t>
            </w:r>
          </w:p>
        </w:tc>
      </w:tr>
      <w:tr>
        <w:trPr>
          <w:trHeight w:val="222"/>
        </w:trPr>
        <w:tc>
          <w:tcPr>
            <w:tcW w:w="3620" w:type="dxa"/>
            <w:vAlign w:val="bottom"/>
          </w:tcPr>
          <w:p>
            <w:pPr>
              <w:spacing w:after="0"/>
              <w:rPr>
                <w:sz w:val="19"/>
                <w:szCs w:val="19"/>
                <w:color w:val="auto"/>
              </w:rPr>
            </w:pPr>
          </w:p>
        </w:tc>
        <w:tc>
          <w:tcPr>
            <w:tcW w:w="240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b w:val="1"/>
                <w:bCs w:val="1"/>
                <w:color w:val="auto"/>
                <w:w w:val="96"/>
              </w:rPr>
              <w:t>2021</w:t>
            </w:r>
          </w:p>
        </w:tc>
        <w:tc>
          <w:tcPr>
            <w:tcW w:w="194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b w:val="1"/>
                <w:bCs w:val="1"/>
                <w:color w:val="auto"/>
                <w:w w:val="89"/>
              </w:rPr>
              <w:t>2020</w:t>
            </w:r>
          </w:p>
        </w:tc>
      </w:tr>
      <w:tr>
        <w:trPr>
          <w:trHeight w:val="25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2400" w:type="dxa"/>
            <w:vAlign w:val="bottom"/>
            <w:shd w:val="clear" w:color="auto" w:fill="CFF0FC"/>
          </w:tcPr>
          <w:p>
            <w:pPr>
              <w:jc w:val="center"/>
              <w:ind w:left="116"/>
              <w:spacing w:after="0"/>
              <w:rPr>
                <w:sz w:val="20"/>
                <w:szCs w:val="20"/>
                <w:color w:val="auto"/>
              </w:rPr>
            </w:pPr>
            <w:r>
              <w:rPr>
                <w:rFonts w:ascii="Arial" w:cs="Arial" w:eastAsia="Arial" w:hAnsi="Arial"/>
                <w:sz w:val="18"/>
                <w:szCs w:val="18"/>
                <w:color w:val="auto"/>
                <w:w w:val="91"/>
              </w:rPr>
              <w:t>0.33% - 0.87%</w:t>
            </w:r>
          </w:p>
        </w:tc>
        <w:tc>
          <w:tcPr>
            <w:tcW w:w="1940" w:type="dxa"/>
            <w:vAlign w:val="bottom"/>
            <w:shd w:val="clear" w:color="auto" w:fill="CFF0FC"/>
          </w:tcPr>
          <w:p>
            <w:pPr>
              <w:jc w:val="center"/>
              <w:ind w:left="136"/>
              <w:spacing w:after="0"/>
              <w:rPr>
                <w:sz w:val="20"/>
                <w:szCs w:val="20"/>
                <w:color w:val="auto"/>
              </w:rPr>
            </w:pPr>
            <w:r>
              <w:rPr>
                <w:rFonts w:ascii="Arial" w:cs="Arial" w:eastAsia="Arial" w:hAnsi="Arial"/>
                <w:sz w:val="18"/>
                <w:szCs w:val="18"/>
                <w:color w:val="auto"/>
                <w:w w:val="91"/>
              </w:rPr>
              <w:t>0.31% - 1.37%</w:t>
            </w: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400" w:type="dxa"/>
            <w:vAlign w:val="bottom"/>
          </w:tcPr>
          <w:p>
            <w:pPr>
              <w:jc w:val="center"/>
              <w:ind w:left="116"/>
              <w:spacing w:after="0"/>
              <w:rPr>
                <w:sz w:val="20"/>
                <w:szCs w:val="20"/>
                <w:color w:val="auto"/>
              </w:rPr>
            </w:pPr>
            <w:r>
              <w:rPr>
                <w:rFonts w:ascii="Arial" w:cs="Arial" w:eastAsia="Arial" w:hAnsi="Arial"/>
                <w:sz w:val="18"/>
                <w:szCs w:val="18"/>
                <w:color w:val="auto"/>
                <w:w w:val="92"/>
              </w:rPr>
              <w:t>0%</w:t>
            </w:r>
          </w:p>
        </w:tc>
        <w:tc>
          <w:tcPr>
            <w:tcW w:w="1940" w:type="dxa"/>
            <w:vAlign w:val="bottom"/>
          </w:tcPr>
          <w:p>
            <w:pPr>
              <w:jc w:val="center"/>
              <w:ind w:left="136"/>
              <w:spacing w:after="0"/>
              <w:rPr>
                <w:sz w:val="20"/>
                <w:szCs w:val="20"/>
                <w:color w:val="auto"/>
              </w:rPr>
            </w:pPr>
            <w:r>
              <w:rPr>
                <w:rFonts w:ascii="Arial" w:cs="Arial" w:eastAsia="Arial" w:hAnsi="Arial"/>
                <w:sz w:val="18"/>
                <w:szCs w:val="18"/>
                <w:color w:val="auto"/>
                <w:w w:val="92"/>
              </w:rPr>
              <w:t>0%</w:t>
            </w:r>
          </w:p>
        </w:tc>
      </w:tr>
      <w:tr>
        <w:trPr>
          <w:trHeight w:val="263"/>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400" w:type="dxa"/>
            <w:vAlign w:val="bottom"/>
            <w:shd w:val="clear" w:color="auto" w:fill="CFF0FC"/>
          </w:tcPr>
          <w:p>
            <w:pPr>
              <w:jc w:val="center"/>
              <w:ind w:left="136"/>
              <w:spacing w:after="0"/>
              <w:rPr>
                <w:sz w:val="20"/>
                <w:szCs w:val="20"/>
                <w:color w:val="auto"/>
              </w:rPr>
            </w:pPr>
            <w:r>
              <w:rPr>
                <w:rFonts w:ascii="Arial" w:cs="Arial" w:eastAsia="Arial" w:hAnsi="Arial"/>
                <w:sz w:val="18"/>
                <w:szCs w:val="18"/>
                <w:color w:val="auto"/>
                <w:w w:val="94"/>
              </w:rPr>
              <w:t>73%</w:t>
            </w:r>
          </w:p>
        </w:tc>
        <w:tc>
          <w:tcPr>
            <w:tcW w:w="1940" w:type="dxa"/>
            <w:vAlign w:val="bottom"/>
            <w:shd w:val="clear" w:color="auto" w:fill="CFF0FC"/>
          </w:tcPr>
          <w:p>
            <w:pPr>
              <w:jc w:val="center"/>
              <w:ind w:left="136"/>
              <w:spacing w:after="0"/>
              <w:rPr>
                <w:sz w:val="20"/>
                <w:szCs w:val="20"/>
                <w:color w:val="auto"/>
              </w:rPr>
            </w:pPr>
            <w:r>
              <w:rPr>
                <w:rFonts w:ascii="Arial" w:cs="Arial" w:eastAsia="Arial" w:hAnsi="Arial"/>
                <w:sz w:val="18"/>
                <w:szCs w:val="18"/>
                <w:color w:val="auto"/>
                <w:w w:val="88"/>
              </w:rPr>
              <w:t>80%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Expected option life</w:t>
            </w:r>
          </w:p>
        </w:tc>
        <w:tc>
          <w:tcPr>
            <w:tcW w:w="2400" w:type="dxa"/>
            <w:vAlign w:val="bottom"/>
          </w:tcPr>
          <w:p>
            <w:pPr>
              <w:ind w:left="840"/>
              <w:spacing w:after="0"/>
              <w:rPr>
                <w:sz w:val="20"/>
                <w:szCs w:val="20"/>
                <w:color w:val="auto"/>
              </w:rPr>
            </w:pPr>
            <w:r>
              <w:rPr>
                <w:rFonts w:ascii="Arial" w:cs="Arial" w:eastAsia="Arial" w:hAnsi="Arial"/>
                <w:sz w:val="18"/>
                <w:szCs w:val="18"/>
                <w:color w:val="auto"/>
              </w:rPr>
              <w:t>3 – 3.5 years</w:t>
            </w:r>
          </w:p>
        </w:tc>
        <w:tc>
          <w:tcPr>
            <w:tcW w:w="1940" w:type="dxa"/>
            <w:vAlign w:val="bottom"/>
          </w:tcPr>
          <w:p>
            <w:pPr>
              <w:jc w:val="center"/>
              <w:ind w:left="136"/>
              <w:spacing w:after="0"/>
              <w:rPr>
                <w:sz w:val="20"/>
                <w:szCs w:val="20"/>
                <w:color w:val="auto"/>
              </w:rPr>
            </w:pPr>
            <w:r>
              <w:rPr>
                <w:rFonts w:ascii="Arial" w:cs="Arial" w:eastAsia="Arial" w:hAnsi="Arial"/>
                <w:sz w:val="18"/>
                <w:szCs w:val="18"/>
                <w:color w:val="auto"/>
                <w:w w:val="89"/>
              </w:rPr>
              <w:t>3 - 5 years</w:t>
            </w:r>
          </w:p>
        </w:tc>
      </w:tr>
    </w:tbl>
    <w:p>
      <w:pPr>
        <w:spacing w:after="0" w:line="28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As permitted under ASC 718, the Company has made an accounting policy choice to account for forfeitures when they occur.</w:t>
      </w:r>
    </w:p>
    <w:p>
      <w:pPr>
        <w:sectPr>
          <w:pgSz w:w="11900" w:h="16838" w:orient="portrait"/>
          <w:cols w:equalWidth="0" w:num="1">
            <w:col w:w="11132"/>
          </w:cols>
          <w:pgMar w:left="328" w:top="135" w:right="439" w:bottom="1440" w:gutter="0" w:footer="0" w:header="0"/>
        </w:sectPr>
      </w:pPr>
    </w:p>
    <w:p>
      <w:pPr>
        <w:spacing w:after="0" w:line="293" w:lineRule="exact"/>
        <w:rPr>
          <w:sz w:val="20"/>
          <w:szCs w:val="20"/>
          <w:color w:val="auto"/>
        </w:rPr>
      </w:pPr>
    </w:p>
    <w:p>
      <w:pPr>
        <w:jc w:val="center"/>
        <w:ind w:right="-11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135" w:right="439" w:bottom="1440" w:gutter="0" w:footer="0" w:header="0"/>
          <w:type w:val="continuous"/>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00" w:hanging="465"/>
        <w:spacing w:after="0"/>
        <w:tabs>
          <w:tab w:leader="none" w:pos="1100" w:val="left"/>
        </w:tabs>
        <w:numPr>
          <w:ilvl w:val="1"/>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1160" w:right="60"/>
        <w:spacing w:after="0" w:line="293" w:lineRule="auto"/>
        <w:rPr>
          <w:sz w:val="20"/>
          <w:szCs w:val="20"/>
          <w:color w:val="auto"/>
        </w:rPr>
      </w:pPr>
      <w:r>
        <w:rPr>
          <w:rFonts w:ascii="Arial" w:cs="Arial" w:eastAsia="Arial" w:hAnsi="Arial"/>
          <w:sz w:val="18"/>
          <w:szCs w:val="18"/>
          <w:color w:val="auto"/>
        </w:rPr>
        <w:t>The following table summarizes the number of non-vested RSU awards as of September 30, 2021 and December 31, 2020 and the changes during the nine months ended September 30, 2021:</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w w:val="95"/>
              </w:rPr>
              <w:t>Weighted Average Grant</w:t>
            </w:r>
          </w:p>
        </w:tc>
        <w:tc>
          <w:tcPr>
            <w:tcW w:w="80" w:type="dxa"/>
            <w:vAlign w:val="bottom"/>
          </w:tcPr>
          <w:p>
            <w:pPr>
              <w:spacing w:after="0"/>
              <w:rPr>
                <w:sz w:val="15"/>
                <w:szCs w:val="15"/>
                <w:color w:val="auto"/>
              </w:rPr>
            </w:pPr>
          </w:p>
        </w:tc>
      </w:tr>
      <w:tr>
        <w:trPr>
          <w:trHeight w:val="192"/>
        </w:trPr>
        <w:tc>
          <w:tcPr>
            <w:tcW w:w="4540" w:type="dxa"/>
            <w:vAlign w:val="bottom"/>
          </w:tcPr>
          <w:p>
            <w:pPr>
              <w:spacing w:after="0"/>
              <w:rPr>
                <w:sz w:val="16"/>
                <w:szCs w:val="16"/>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 Shares</w:t>
            </w:r>
          </w:p>
        </w:tc>
        <w:tc>
          <w:tcPr>
            <w:tcW w:w="1660" w:type="dxa"/>
            <w:vAlign w:val="bottom"/>
          </w:tcPr>
          <w:p>
            <w:pPr>
              <w:jc w:val="right"/>
              <w:ind w:right="115"/>
              <w:spacing w:after="0"/>
              <w:rPr>
                <w:sz w:val="20"/>
                <w:szCs w:val="20"/>
                <w:color w:val="auto"/>
              </w:rPr>
            </w:pPr>
            <w:r>
              <w:rPr>
                <w:rFonts w:ascii="Arial" w:cs="Arial" w:eastAsia="Arial" w:hAnsi="Arial"/>
                <w:sz w:val="14"/>
                <w:szCs w:val="14"/>
                <w:b w:val="1"/>
                <w:bCs w:val="1"/>
                <w:color w:val="auto"/>
              </w:rPr>
              <w:t>Date Fair Value (C$)</w:t>
            </w:r>
          </w:p>
        </w:tc>
        <w:tc>
          <w:tcPr>
            <w:tcW w:w="80" w:type="dxa"/>
            <w:vAlign w:val="bottom"/>
          </w:tcPr>
          <w:p>
            <w:pPr>
              <w:spacing w:after="0"/>
              <w:rPr>
                <w:sz w:val="16"/>
                <w:szCs w:val="16"/>
                <w:color w:val="auto"/>
              </w:rPr>
            </w:pPr>
          </w:p>
        </w:tc>
      </w:tr>
      <w:tr>
        <w:trPr>
          <w:trHeight w:val="25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Nonvested Shares at December 31, 2020</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689,340</w:t>
            </w:r>
          </w:p>
        </w:tc>
        <w:tc>
          <w:tcPr>
            <w:tcW w:w="100" w:type="dxa"/>
            <w:vAlign w:val="bottom"/>
            <w:shd w:val="clear" w:color="auto" w:fill="CFF0FC"/>
          </w:tcPr>
          <w:p>
            <w:pPr>
              <w:spacing w:after="0"/>
              <w:rPr>
                <w:sz w:val="22"/>
                <w:szCs w:val="22"/>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80" w:type="dxa"/>
            <w:vAlign w:val="bottom"/>
            <w:shd w:val="clear" w:color="auto" w:fill="CFF0FC"/>
          </w:tcPr>
          <w:p>
            <w:pPr>
              <w:spacing w:after="0"/>
              <w:rPr>
                <w:sz w:val="22"/>
                <w:szCs w:val="22"/>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127,137</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38.21</w:t>
            </w:r>
          </w:p>
        </w:tc>
        <w:tc>
          <w:tcPr>
            <w:tcW w:w="80" w:type="dxa"/>
            <w:vAlign w:val="bottom"/>
          </w:tcPr>
          <w:p>
            <w:pPr>
              <w:spacing w:after="0"/>
              <w:rPr>
                <w:sz w:val="21"/>
                <w:szCs w:val="21"/>
                <w:color w:val="auto"/>
              </w:rPr>
            </w:pPr>
          </w:p>
        </w:tc>
      </w:tr>
      <w:tr>
        <w:trPr>
          <w:trHeight w:val="26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(105,785 )</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FF0FC"/>
          </w:tcPr>
          <w:p>
            <w:pPr>
              <w:spacing w:after="0"/>
              <w:rPr>
                <w:sz w:val="22"/>
                <w:szCs w:val="22"/>
                <w:color w:val="auto"/>
              </w:rPr>
            </w:pPr>
          </w:p>
        </w:tc>
      </w:tr>
      <w:tr>
        <w:trPr>
          <w:trHeight w:val="250"/>
        </w:trPr>
        <w:tc>
          <w:tcPr>
            <w:tcW w:w="4540" w:type="dxa"/>
            <w:vAlign w:val="bottom"/>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(357,756 )</w:t>
            </w:r>
          </w:p>
        </w:tc>
        <w:tc>
          <w:tcPr>
            <w:tcW w:w="1660" w:type="dxa"/>
            <w:vAlign w:val="bottom"/>
          </w:tcPr>
          <w:p>
            <w:pPr>
              <w:jc w:val="right"/>
              <w:spacing w:after="0"/>
              <w:rPr>
                <w:sz w:val="20"/>
                <w:szCs w:val="20"/>
                <w:color w:val="auto"/>
              </w:rPr>
            </w:pPr>
            <w:r>
              <w:rPr>
                <w:rFonts w:ascii="Arial" w:cs="Arial" w:eastAsia="Arial" w:hAnsi="Arial"/>
                <w:sz w:val="18"/>
                <w:szCs w:val="18"/>
                <w:color w:val="auto"/>
              </w:rPr>
              <w:t>21.56</w:t>
            </w:r>
          </w:p>
        </w:tc>
        <w:tc>
          <w:tcPr>
            <w:tcW w:w="80" w:type="dxa"/>
            <w:vAlign w:val="bottom"/>
          </w:tcPr>
          <w:p>
            <w:pPr>
              <w:spacing w:after="0"/>
              <w:rPr>
                <w:sz w:val="21"/>
                <w:szCs w:val="21"/>
                <w:color w:val="auto"/>
              </w:rPr>
            </w:pPr>
          </w:p>
        </w:tc>
      </w:tr>
      <w:tr>
        <w:trPr>
          <w:trHeight w:val="257"/>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Nonvested Shares at September 30, 2021</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352,936</w:t>
            </w:r>
          </w:p>
        </w:tc>
        <w:tc>
          <w:tcPr>
            <w:tcW w:w="100" w:type="dxa"/>
            <w:vAlign w:val="bottom"/>
            <w:shd w:val="clear" w:color="auto" w:fill="CFF0FC"/>
          </w:tcPr>
          <w:p>
            <w:pPr>
              <w:spacing w:after="0"/>
              <w:rPr>
                <w:sz w:val="22"/>
                <w:szCs w:val="22"/>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8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ind w:left="1140"/>
        <w:spacing w:after="0" w:line="293" w:lineRule="auto"/>
        <w:rPr>
          <w:sz w:val="20"/>
          <w:szCs w:val="20"/>
          <w:color w:val="auto"/>
        </w:rPr>
      </w:pPr>
      <w:r>
        <w:rPr>
          <w:rFonts w:ascii="Arial" w:cs="Arial" w:eastAsia="Arial" w:hAnsi="Arial"/>
          <w:sz w:val="18"/>
          <w:szCs w:val="18"/>
          <w:color w:val="auto"/>
        </w:rPr>
        <w:t>The following table summarizes the weighted average grant date fair value of RSUs granted and total fair value of RSUs vested for the nine months ended September 30, 2021 and 2020:</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Nine Months Ended September 30,</w:t>
            </w:r>
          </w:p>
        </w:tc>
        <w:tc>
          <w:tcPr>
            <w:tcW w:w="80" w:type="dxa"/>
            <w:vAlign w:val="bottom"/>
          </w:tcPr>
          <w:p>
            <w:pPr>
              <w:spacing w:after="0"/>
              <w:rPr>
                <w:sz w:val="16"/>
                <w:szCs w:val="16"/>
                <w:color w:val="auto"/>
              </w:rPr>
            </w:pPr>
          </w:p>
        </w:tc>
      </w:tr>
      <w:tr>
        <w:trPr>
          <w:trHeight w:val="196"/>
        </w:trPr>
        <w:tc>
          <w:tcPr>
            <w:tcW w:w="59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42"/>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4"/>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of RSUs granted (C$)</w:t>
            </w:r>
          </w:p>
        </w:tc>
        <w:tc>
          <w:tcPr>
            <w:tcW w:w="44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38.21</w:t>
            </w:r>
          </w:p>
        </w:tc>
        <w:tc>
          <w:tcPr>
            <w:tcW w:w="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80" w:type="dxa"/>
            <w:vAlign w:val="bottom"/>
            <w:shd w:val="clear" w:color="auto" w:fill="CFF0FC"/>
          </w:tcPr>
          <w:p>
            <w:pPr>
              <w:spacing w:after="0"/>
              <w:rPr>
                <w:sz w:val="21"/>
                <w:szCs w:val="21"/>
                <w:color w:val="auto"/>
              </w:rPr>
            </w:pP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Intrinsic value of RSUs vested, using market</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price at vest date (US$)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10,813,387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8,955,783</w:t>
            </w:r>
          </w:p>
        </w:tc>
        <w:tc>
          <w:tcPr>
            <w:tcW w:w="80" w:type="dxa"/>
            <w:vAlign w:val="bottom"/>
          </w:tcPr>
          <w:p>
            <w:pPr>
              <w:spacing w:after="0"/>
              <w:rPr>
                <w:sz w:val="20"/>
                <w:szCs w:val="20"/>
                <w:color w:val="auto"/>
              </w:rPr>
            </w:pPr>
          </w:p>
        </w:tc>
      </w:tr>
    </w:tbl>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stock-based compensation expense for the three and nine months ended September 30, 2021 and 2020 was as follows:</w:t>
      </w:r>
    </w:p>
    <w:p>
      <w:pPr>
        <w:spacing w:after="0" w:line="200" w:lineRule="exact"/>
        <w:rPr>
          <w:sz w:val="20"/>
          <w:szCs w:val="20"/>
          <w:color w:val="auto"/>
        </w:rPr>
      </w:pPr>
    </w:p>
    <w:p>
      <w:pPr>
        <w:spacing w:after="0" w:line="300"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w w:val="98"/>
              </w:rPr>
              <w:t>Nine Months Ended September 30,</w:t>
            </w:r>
          </w:p>
        </w:tc>
        <w:tc>
          <w:tcPr>
            <w:tcW w:w="80" w:type="dxa"/>
            <w:vAlign w:val="bottom"/>
          </w:tcPr>
          <w:p>
            <w:pPr>
              <w:spacing w:after="0"/>
              <w:rPr>
                <w:sz w:val="16"/>
                <w:szCs w:val="16"/>
                <w:color w:val="auto"/>
              </w:rPr>
            </w:pPr>
          </w:p>
        </w:tc>
      </w:tr>
      <w:tr>
        <w:trPr>
          <w:trHeight w:val="196"/>
        </w:trPr>
        <w:tc>
          <w:tcPr>
            <w:tcW w:w="3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3,483,587</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2,614,273</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9,821,525</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8,209,557</w:t>
            </w:r>
          </w:p>
        </w:tc>
        <w:tc>
          <w:tcPr>
            <w:tcW w:w="80" w:type="dxa"/>
            <w:vAlign w:val="bottom"/>
            <w:shd w:val="clear" w:color="auto" w:fill="CFF0FC"/>
          </w:tcPr>
          <w:p>
            <w:pPr>
              <w:spacing w:after="0"/>
              <w:rPr>
                <w:sz w:val="22"/>
                <w:szCs w:val="22"/>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1,511,255</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1,821,361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4,876,655</w:t>
            </w:r>
          </w:p>
        </w:tc>
        <w:tc>
          <w:tcPr>
            <w:tcW w:w="1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6,999,963</w:t>
            </w:r>
          </w:p>
        </w:tc>
        <w:tc>
          <w:tcPr>
            <w:tcW w:w="80" w:type="dxa"/>
            <w:vAlign w:val="bottom"/>
          </w:tcPr>
          <w:p>
            <w:pPr>
              <w:spacing w:after="0"/>
              <w:rPr>
                <w:sz w:val="21"/>
                <w:szCs w:val="21"/>
                <w:color w:val="auto"/>
              </w:rPr>
            </w:pPr>
          </w:p>
        </w:tc>
      </w:tr>
      <w:tr>
        <w:trPr>
          <w:trHeight w:val="290"/>
        </w:trPr>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 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4,994,842</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4,435,634</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14,698,180</w:t>
            </w: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15,209,520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-24765</wp:posOffset>
            </wp:positionV>
            <wp:extent cx="1111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1454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454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1111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-24765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1140" w:right="540"/>
        <w:spacing w:after="0" w:line="293" w:lineRule="auto"/>
        <w:rPr>
          <w:sz w:val="20"/>
          <w:szCs w:val="20"/>
          <w:color w:val="auto"/>
        </w:rPr>
      </w:pPr>
      <w:r>
        <w:rPr>
          <w:rFonts w:ascii="Arial" w:cs="Arial" w:eastAsia="Arial" w:hAnsi="Arial"/>
          <w:sz w:val="18"/>
          <w:szCs w:val="18"/>
          <w:color w:val="auto"/>
        </w:rPr>
        <w:t>As of September 30, 2021, $24,203,212 of total unrecognized expense related to stock-based compensation awards is expected to be recognized over a weighted-average period of 2.05 years.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6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175"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following table summarizes the Company’s income tax expense and effective tax rates for the three and nine months ended September 30, 2021 and 2020:</w:t>
      </w:r>
    </w:p>
    <w:p>
      <w:pPr>
        <w:sectPr>
          <w:pgSz w:w="11900" w:h="16838" w:orient="portrait"/>
          <w:cols w:equalWidth="0" w:num="1">
            <w:col w:w="11220"/>
          </w:cols>
          <w:pgMar w:left="320" w:top="135" w:right="359" w:bottom="1440" w:gutter="0" w:footer="0" w:header="0"/>
        </w:sectPr>
      </w:pPr>
    </w:p>
    <w:p>
      <w:pPr>
        <w:spacing w:after="0" w:line="296"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31115</wp:posOffset>
            </wp:positionV>
            <wp:extent cx="20745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14" w:lineRule="exact"/>
        <w:rPr>
          <w:sz w:val="20"/>
          <w:szCs w:val="20"/>
          <w:color w:val="auto"/>
        </w:rPr>
      </w:pPr>
    </w:p>
    <w:p>
      <w:pPr>
        <w:ind w:left="4020"/>
        <w:spacing w:after="0"/>
        <w:tabs>
          <w:tab w:leader="none" w:pos="58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31115</wp:posOffset>
            </wp:positionV>
            <wp:extent cx="19799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114" w:lineRule="exact"/>
        <w:rPr>
          <w:sz w:val="20"/>
          <w:szCs w:val="20"/>
          <w:color w:val="auto"/>
        </w:rPr>
      </w:pPr>
    </w:p>
    <w:p>
      <w:pPr>
        <w:ind w:left="80"/>
        <w:spacing w:after="0"/>
        <w:tabs>
          <w:tab w:leader="none" w:pos="182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36" w:lineRule="exact"/>
        <w:rPr>
          <w:sz w:val="20"/>
          <w:szCs w:val="20"/>
          <w:color w:val="auto"/>
        </w:rPr>
      </w:pPr>
    </w:p>
    <w:p>
      <w:pPr>
        <w:sectPr>
          <w:pgSz w:w="11900" w:h="16838" w:orient="portrait"/>
          <w:cols w:equalWidth="0" w:num="2">
            <w:col w:w="7100" w:space="720"/>
            <w:col w:w="3400"/>
          </w:cols>
          <w:pgMar w:left="320" w:top="135" w:right="359" w:bottom="1440" w:gutter="0" w:footer="0" w:header="0"/>
          <w:type w:val="continuous"/>
        </w:sectPr>
      </w:pPr>
    </w:p>
    <w:tbl>
      <w:tblPr>
        <w:tblLayout w:type="fixed"/>
        <w:tblInd w:w="800" w:type="dxa"/>
        <w:tblCellMar>
          <w:top w:w="0" w:type="dxa"/>
          <w:left w:w="0" w:type="dxa"/>
          <w:bottom w:w="0" w:type="dxa"/>
          <w:right w:w="0" w:type="dxa"/>
        </w:tblCellMar>
      </w:tblPr>
      <w:tr>
        <w:trPr>
          <w:trHeight w:val="262"/>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Income before Income Taxes</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58,904,765</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39,189,341</w:t>
            </w:r>
          </w:p>
        </w:tc>
        <w:tc>
          <w:tcPr>
            <w:tcW w:w="5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154,517,434</w:t>
            </w:r>
          </w:p>
        </w:tc>
        <w:tc>
          <w:tcPr>
            <w:tcW w:w="5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52,189,559</w:t>
            </w:r>
          </w:p>
        </w:tc>
      </w:tr>
      <w:tr>
        <w:trPr>
          <w:trHeight w:val="250"/>
        </w:trPr>
        <w:tc>
          <w:tcPr>
            <w:tcW w:w="2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37,319,988</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28,436,332</w:t>
            </w:r>
          </w:p>
        </w:tc>
        <w:tc>
          <w:tcPr>
            <w:tcW w:w="5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98,202,898</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56,964,047</w:t>
            </w:r>
          </w:p>
        </w:tc>
      </w:tr>
      <w:tr>
        <w:trPr>
          <w:trHeight w:val="263"/>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Effective Tax Rate</w:t>
            </w:r>
          </w:p>
        </w:tc>
        <w:tc>
          <w:tcPr>
            <w:tcW w:w="4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w:t>
            </w:r>
          </w:p>
        </w:tc>
        <w:tc>
          <w:tcPr>
            <w:tcW w:w="440" w:type="dxa"/>
            <w:vAlign w:val="bottom"/>
            <w:shd w:val="clear" w:color="auto" w:fill="CFF0FC"/>
          </w:tcPr>
          <w:p>
            <w:pPr>
              <w:spacing w:after="0"/>
              <w:rPr>
                <w:sz w:val="22"/>
                <w:szCs w:val="2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5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63.6%</w:t>
            </w:r>
          </w:p>
        </w:tc>
        <w:tc>
          <w:tcPr>
            <w:tcW w:w="5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r>
    </w:tbl>
    <w:p>
      <w:pPr>
        <w:spacing w:after="0" w:line="269"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 has computed its provision for income taxes under the discrete method which treats the year-to-date period as if it were the annual period and determines the income tax expense or benefit on that basis. The discrete method is applied when application of the estimated annual effective tax rate is impractical because it is not possible to reliably estimate the annual effective tax rate. We believe that, at this time, the use of this discrete method is more appropriate than the annual effective tax rate method as the estimated annual effective tax rate method is not reliable due to the high degree of uncertainty in estimating annual pre-tax income due to the early growth stage of the business.</w:t>
      </w:r>
    </w:p>
    <w:p>
      <w:pPr>
        <w:spacing w:after="0" w:line="170" w:lineRule="exact"/>
        <w:rPr>
          <w:sz w:val="20"/>
          <w:szCs w:val="20"/>
          <w:color w:val="auto"/>
        </w:rPr>
      </w:pPr>
    </w:p>
    <w:p>
      <w:pPr>
        <w:ind w:right="320"/>
        <w:spacing w:after="0" w:line="281" w:lineRule="auto"/>
        <w:rPr>
          <w:sz w:val="20"/>
          <w:szCs w:val="20"/>
          <w:color w:val="auto"/>
        </w:rPr>
      </w:pPr>
      <w:r>
        <w:rPr>
          <w:rFonts w:ascii="Arial" w:cs="Arial" w:eastAsia="Arial" w:hAnsi="Arial"/>
          <w:sz w:val="18"/>
          <w:szCs w:val="18"/>
          <w:color w:val="auto"/>
        </w:rPr>
        <w:t>Due to its cannabis operations, the Company is subject to the limitations of Internal Revenue Code (“</w:t>
      </w:r>
      <w:r>
        <w:rPr>
          <w:rFonts w:ascii="Arial" w:cs="Arial" w:eastAsia="Arial" w:hAnsi="Arial"/>
          <w:sz w:val="18"/>
          <w:szCs w:val="18"/>
          <w:b w:val="1"/>
          <w:bCs w:val="1"/>
          <w:color w:val="auto"/>
        </w:rPr>
        <w:t>IRC</w:t>
      </w:r>
      <w:r>
        <w:rPr>
          <w:rFonts w:ascii="Arial" w:cs="Arial" w:eastAsia="Arial" w:hAnsi="Arial"/>
          <w:sz w:val="18"/>
          <w:szCs w:val="18"/>
          <w:color w:val="auto"/>
        </w:rPr>
        <w:t>”) Section 280E under which the Company is only allowed to deduct expenses directly related to sales of product. This results in permanent differences between ordinary and necessary business expenses deemed non-allowable under IRC Section 280E.</w:t>
      </w:r>
    </w:p>
    <w:p>
      <w:pPr>
        <w:spacing w:after="0" w:line="181" w:lineRule="exact"/>
        <w:rPr>
          <w:sz w:val="20"/>
          <w:szCs w:val="20"/>
          <w:color w:val="auto"/>
        </w:rPr>
      </w:pPr>
    </w:p>
    <w:p>
      <w:pPr>
        <w:jc w:val="both"/>
        <w:ind w:right="200"/>
        <w:spacing w:after="0" w:line="279" w:lineRule="auto"/>
        <w:rPr>
          <w:sz w:val="20"/>
          <w:szCs w:val="20"/>
          <w:color w:val="auto"/>
        </w:rPr>
      </w:pPr>
      <w:r>
        <w:rPr>
          <w:rFonts w:ascii="Arial" w:cs="Arial" w:eastAsia="Arial" w:hAnsi="Arial"/>
          <w:sz w:val="18"/>
          <w:szCs w:val="18"/>
          <w:color w:val="auto"/>
        </w:rPr>
        <w:t>The effective tax rate for the three and nine months ended September 30, 2021 varies widely from the three and nine months ended September 30, 2020, primarily due to the reduction in non deductible expenses as a proportion of total expenses in the current year. The Company incurs expenses that are not deductible due to IRC Section 280E limitations which results in significant income tax expense.</w:t>
      </w:r>
    </w:p>
    <w:p>
      <w:pPr>
        <w:spacing w:after="0" w:line="183" w:lineRule="exact"/>
        <w:rPr>
          <w:sz w:val="20"/>
          <w:szCs w:val="20"/>
          <w:color w:val="auto"/>
        </w:rPr>
      </w:pPr>
    </w:p>
    <w:p>
      <w:pPr>
        <w:ind w:right="300"/>
        <w:spacing w:after="0" w:line="303" w:lineRule="auto"/>
        <w:rPr>
          <w:sz w:val="20"/>
          <w:szCs w:val="20"/>
          <w:color w:val="auto"/>
        </w:rPr>
      </w:pPr>
      <w:r>
        <w:rPr>
          <w:rFonts w:ascii="Arial" w:cs="Arial" w:eastAsia="Arial" w:hAnsi="Arial"/>
          <w:sz w:val="17"/>
          <w:szCs w:val="17"/>
          <w:color w:val="auto"/>
        </w:rPr>
        <w:t>The Company is subject to income taxes in the United States and Canada. Significant judgment is required in evaluating the Company’s uncertain tax positions and determining the provision for income taxes. The Company’s gross unrecognized tax benefits were approximately $19.2 million and $10.3 million as of September 30, 2021 and December 31, 2020, respectively, recorded within Deferred Income Taxes.</w:t>
      </w:r>
    </w:p>
    <w:p>
      <w:pPr>
        <w:spacing w:after="0" w:line="56" w:lineRule="exact"/>
        <w:rPr>
          <w:sz w:val="20"/>
          <w:szCs w:val="20"/>
          <w:color w:val="auto"/>
        </w:rPr>
      </w:pPr>
    </w:p>
    <w:p>
      <w:pPr>
        <w:ind w:right="40"/>
        <w:spacing w:after="0" w:line="293" w:lineRule="auto"/>
        <w:rPr>
          <w:sz w:val="20"/>
          <w:szCs w:val="20"/>
          <w:color w:val="auto"/>
        </w:rPr>
      </w:pPr>
      <w:r>
        <w:rPr>
          <w:rFonts w:ascii="Arial" w:cs="Arial" w:eastAsia="Arial" w:hAnsi="Arial"/>
          <w:sz w:val="18"/>
          <w:szCs w:val="18"/>
          <w:color w:val="auto"/>
        </w:rPr>
        <w:t>The federal statute of limitation remains open for the 2018 tax year to the present. The state income tax returns generally remain open for the 2017 tax year through the present. Net operating losses arising prior to these years are also open to examination if and when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Taxes paid during the nine months ended September 30, 2021 and 2020 were $109,702,550 and $37,820,228, respectively.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 w:right="35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4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2021 and 2020 other income (expense) was comprised of the following:</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31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September 30,</w:t>
            </w:r>
          </w:p>
        </w:tc>
        <w:tc>
          <w:tcPr>
            <w:tcW w:w="29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196"/>
        </w:trPr>
        <w:tc>
          <w:tcPr>
            <w:tcW w:w="45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adjustments on equity investments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(4,074,934 ) $</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7,284,213</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14,604,387</w:t>
            </w:r>
          </w:p>
        </w:tc>
        <w:tc>
          <w:tcPr>
            <w:tcW w:w="10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6,717,178</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3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(815,937 )</w:t>
            </w:r>
          </w:p>
        </w:tc>
      </w:tr>
      <w:tr>
        <w:trPr>
          <w:trHeight w:val="26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(9,881,847 )</w:t>
            </w:r>
          </w:p>
        </w:tc>
        <w:tc>
          <w:tcPr>
            <w:tcW w:w="34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Fair value adjustments on warrants issued</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13,461,750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(3,181,114 )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5,451,000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(2,060,771 )</w:t>
            </w:r>
          </w:p>
        </w:tc>
      </w:tr>
      <w:tr>
        <w:trPr>
          <w:trHeight w:val="26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adjustments on contingent consideration</w:t>
            </w:r>
          </w:p>
        </w:tc>
        <w:tc>
          <w:tcPr>
            <w:tcW w:w="3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(249,078 )</w:t>
            </w: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442,991</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(662,027 )</w:t>
            </w: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425,426</w:t>
            </w:r>
          </w:p>
        </w:tc>
        <w:tc>
          <w:tcPr>
            <w:tcW w:w="100" w:type="dxa"/>
            <w:vAlign w:val="bottom"/>
            <w:shd w:val="clear" w:color="auto" w:fill="CFF0FC"/>
          </w:tcPr>
          <w:p>
            <w:pPr>
              <w:spacing w:after="0"/>
              <w:rPr>
                <w:sz w:val="22"/>
                <w:szCs w:val="22"/>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3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(316,177 )</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850,000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1,330,196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1,400,000</w:t>
            </w:r>
          </w:p>
        </w:tc>
        <w:tc>
          <w:tcPr>
            <w:tcW w:w="100" w:type="dxa"/>
            <w:vAlign w:val="bottom"/>
          </w:tcPr>
          <w:p>
            <w:pPr>
              <w:spacing w:after="0"/>
              <w:rPr>
                <w:sz w:val="21"/>
                <w:szCs w:val="21"/>
                <w:color w:val="auto"/>
              </w:rPr>
            </w:pPr>
          </w:p>
        </w:tc>
      </w:tr>
      <w:tr>
        <w:trPr>
          <w:trHeight w:val="257"/>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(696,948 )</w:t>
            </w:r>
          </w:p>
        </w:tc>
        <w:tc>
          <w:tcPr>
            <w:tcW w:w="3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1,036,793</w:t>
            </w:r>
          </w:p>
        </w:tc>
        <w:tc>
          <w:tcPr>
            <w:tcW w:w="2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(1,036,636 )</w:t>
            </w:r>
          </w:p>
        </w:tc>
        <w:tc>
          <w:tcPr>
            <w:tcW w:w="3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1,835,670</w:t>
            </w:r>
          </w:p>
        </w:tc>
        <w:tc>
          <w:tcPr>
            <w:tcW w:w="100" w:type="dxa"/>
            <w:vAlign w:val="bottom"/>
            <w:shd w:val="clear" w:color="auto" w:fill="CFF0FC"/>
          </w:tcPr>
          <w:p>
            <w:pPr>
              <w:spacing w:after="0"/>
              <w:rPr>
                <w:sz w:val="22"/>
                <w:szCs w:val="22"/>
                <w:color w:val="auto"/>
              </w:rPr>
            </w:pPr>
          </w:p>
        </w:tc>
      </w:tr>
      <w:tr>
        <w:trPr>
          <w:trHeight w:val="256"/>
        </w:trPr>
        <w:tc>
          <w:tcPr>
            <w:tcW w:w="4560" w:type="dxa"/>
            <w:vAlign w:val="bottom"/>
          </w:tcPr>
          <w:p>
            <w:pPr>
              <w:spacing w:after="0"/>
              <w:rPr>
                <w:sz w:val="20"/>
                <w:szCs w:val="20"/>
                <w:color w:val="auto"/>
              </w:rPr>
            </w:pPr>
            <w:r>
              <w:rPr>
                <w:rFonts w:ascii="Arial" w:cs="Arial" w:eastAsia="Arial" w:hAnsi="Arial"/>
                <w:sz w:val="18"/>
                <w:szCs w:val="18"/>
                <w:b w:val="1"/>
                <w:bCs w:val="1"/>
                <w:color w:val="auto"/>
              </w:rPr>
              <w:t>Total Other Income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8,124,613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6,432,883</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9,805,073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7,501,566</w:t>
            </w:r>
          </w:p>
        </w:tc>
        <w:tc>
          <w:tcPr>
            <w:tcW w:w="100" w:type="dxa"/>
            <w:vAlign w:val="bottom"/>
          </w:tcPr>
          <w:p>
            <w:pPr>
              <w:spacing w:after="0"/>
              <w:rPr>
                <w:sz w:val="22"/>
                <w:szCs w:val="22"/>
                <w:color w:val="auto"/>
              </w:rPr>
            </w:pPr>
          </w:p>
        </w:tc>
      </w:tr>
      <w:tr>
        <w:trPr>
          <w:trHeight w:val="20"/>
        </w:trPr>
        <w:tc>
          <w:tcPr>
            <w:tcW w:w="4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185"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contingent liabilities for contracts. Contingent consideration is measured upon acquisition and is estimated using probability weighting of potential payouts. Subsequent changes in the estimated contingent consideration from the final purchase price allocation are recognized in the Company’s unaudited interim condensed consolidated statement of operations.</w:t>
      </w:r>
    </w:p>
    <w:p>
      <w:pPr>
        <w:spacing w:after="0" w:line="79" w:lineRule="exact"/>
        <w:rPr>
          <w:sz w:val="20"/>
          <w:szCs w:val="20"/>
          <w:color w:val="auto"/>
        </w:rPr>
      </w:pPr>
    </w:p>
    <w:p>
      <w:pPr>
        <w:ind w:left="960" w:hanging="443"/>
        <w:spacing w:after="0"/>
        <w:tabs>
          <w:tab w:leader="none" w:pos="9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5" w:lineRule="exact"/>
        <w:rPr>
          <w:sz w:val="20"/>
          <w:szCs w:val="20"/>
          <w:color w:val="auto"/>
        </w:rPr>
      </w:pPr>
    </w:p>
    <w:p>
      <w:pPr>
        <w:ind w:left="1020" w:right="20"/>
        <w:spacing w:after="0" w:line="292" w:lineRule="auto"/>
        <w:rPr>
          <w:sz w:val="20"/>
          <w:szCs w:val="20"/>
          <w:color w:val="auto"/>
        </w:rPr>
      </w:pPr>
      <w:r>
        <w:rPr>
          <w:rFonts w:ascii="Arial" w:cs="Arial" w:eastAsia="Arial" w:hAnsi="Arial"/>
          <w:sz w:val="17"/>
          <w:szCs w:val="17"/>
          <w:color w:val="auto"/>
        </w:rPr>
        <w:t>The Company’s operations are subject to a variety of local and state regulations. Failure to comply with one or more of those regulations could result in fines, sanctions, restrictions on its operations, or losses of permits that could result in the Company ceasing operations in that specific state or local jurisdiction. While management believes that the Company is in compliance with applicable local and state regulations at September 30, 2021 and December 31, 2020, cannabis and other regulations continue to evolve and are subject to differing interpretations. As a result, the Company may be subject to regulatory fines, penalties, or restrictions in the future.</w:t>
      </w:r>
    </w:p>
    <w:p>
      <w:pPr>
        <w:spacing w:after="0" w:line="62" w:lineRule="exact"/>
        <w:rPr>
          <w:sz w:val="20"/>
          <w:szCs w:val="20"/>
          <w:color w:val="auto"/>
        </w:rPr>
      </w:pPr>
    </w:p>
    <w:p>
      <w:pPr>
        <w:ind w:left="960" w:hanging="443"/>
        <w:spacing w:after="0"/>
        <w:tabs>
          <w:tab w:leader="none" w:pos="9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35" w:lineRule="exact"/>
        <w:rPr>
          <w:sz w:val="20"/>
          <w:szCs w:val="20"/>
          <w:color w:val="auto"/>
        </w:rPr>
      </w:pPr>
    </w:p>
    <w:p>
      <w:pPr>
        <w:ind w:left="1020" w:right="180"/>
        <w:spacing w:after="0" w:line="296" w:lineRule="auto"/>
        <w:rPr>
          <w:sz w:val="20"/>
          <w:szCs w:val="20"/>
          <w:color w:val="auto"/>
        </w:rPr>
      </w:pPr>
      <w:r>
        <w:rPr>
          <w:rFonts w:ascii="Arial" w:cs="Arial" w:eastAsia="Arial" w:hAnsi="Arial"/>
          <w:sz w:val="17"/>
          <w:szCs w:val="17"/>
          <w:color w:val="auto"/>
        </w:rPr>
        <w:t>From time to time, the Company may be involved in litigation relating to claims arising out of operations in the normal course of business. At September 30, 2021 and December 31, 2020,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58" w:lineRule="exact"/>
        <w:rPr>
          <w:sz w:val="20"/>
          <w:szCs w:val="20"/>
          <w:color w:val="auto"/>
        </w:rPr>
      </w:pPr>
    </w:p>
    <w:p>
      <w:pPr>
        <w:ind w:left="960" w:hanging="443"/>
        <w:spacing w:after="0"/>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35" w:lineRule="exact"/>
        <w:rPr>
          <w:sz w:val="20"/>
          <w:szCs w:val="20"/>
          <w:color w:val="auto"/>
        </w:rPr>
      </w:pPr>
    </w:p>
    <w:p>
      <w:pPr>
        <w:ind w:left="1020" w:right="180"/>
        <w:spacing w:after="0" w:line="293" w:lineRule="auto"/>
        <w:rPr>
          <w:sz w:val="20"/>
          <w:szCs w:val="20"/>
          <w:color w:val="auto"/>
        </w:rPr>
      </w:pPr>
      <w:r>
        <w:rPr>
          <w:rFonts w:ascii="Arial" w:cs="Arial" w:eastAsia="Arial" w:hAnsi="Arial"/>
          <w:sz w:val="18"/>
          <w:szCs w:val="18"/>
          <w:color w:val="auto"/>
        </w:rPr>
        <w:t>As of September 30, 2021, the Company held approximately $51,404,000 of open construction commitments to contractors on work being performed.</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0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91" w:lineRule="exact"/>
        <w:rPr>
          <w:sz w:val="20"/>
          <w:szCs w:val="20"/>
          <w:color w:val="auto"/>
        </w:rPr>
      </w:pPr>
    </w:p>
    <w:p>
      <w:pPr>
        <w:ind w:right="900"/>
        <w:spacing w:after="0" w:line="359"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1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assets or liabilities;</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that are observable for the asset or liability, either directly or indirectly; and</w:t>
      </w:r>
    </w:p>
    <w:p>
      <w:pPr>
        <w:spacing w:after="0" w:line="131"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for the asset or liability that are not based on observable market data.</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Instruments</w:t>
      </w:r>
    </w:p>
    <w:p>
      <w:pPr>
        <w:spacing w:after="0" w:line="135" w:lineRule="exact"/>
        <w:rPr>
          <w:sz w:val="20"/>
          <w:szCs w:val="20"/>
          <w:color w:val="auto"/>
        </w:rPr>
      </w:pPr>
    </w:p>
    <w:p>
      <w:pPr>
        <w:ind w:left="520" w:right="620"/>
        <w:spacing w:after="0" w:line="293" w:lineRule="auto"/>
        <w:rPr>
          <w:sz w:val="20"/>
          <w:szCs w:val="20"/>
          <w:color w:val="auto"/>
        </w:rPr>
      </w:pPr>
      <w:r>
        <w:rPr>
          <w:rFonts w:ascii="Arial" w:cs="Arial" w:eastAsia="Arial" w:hAnsi="Arial"/>
          <w:sz w:val="18"/>
          <w:szCs w:val="18"/>
          <w:color w:val="auto"/>
        </w:rPr>
        <w:t>The Company’s financial instruments consist of cash and cash equivalents, accounts receivable, investments, accounts payable and accrued liabilities, notes payable, warrant liability, and contingent consideration payable.</w:t>
      </w:r>
    </w:p>
    <w:p>
      <w:pPr>
        <w:spacing w:after="0" w:line="62" w:lineRule="exact"/>
        <w:rPr>
          <w:sz w:val="20"/>
          <w:szCs w:val="20"/>
          <w:color w:val="auto"/>
        </w:rPr>
      </w:pPr>
    </w:p>
    <w:p>
      <w:pPr>
        <w:ind w:left="520" w:right="40"/>
        <w:spacing w:after="0" w:line="275" w:lineRule="auto"/>
        <w:rPr>
          <w:sz w:val="20"/>
          <w:szCs w:val="20"/>
          <w:color w:val="auto"/>
        </w:rPr>
      </w:pPr>
      <w:r>
        <w:rPr>
          <w:rFonts w:ascii="Arial" w:cs="Arial" w:eastAsia="Arial" w:hAnsi="Arial"/>
          <w:sz w:val="18"/>
          <w:szCs w:val="18"/>
          <w:color w:val="auto"/>
        </w:rPr>
        <w:t>For the Company's long-term notes payable (which consist of charitable contributions, private placement debt and mortgage notes), for which there were no quoted market prices or active trading markets, it was not practicable to estimate the fair value of these financial instruments. The carrying amount of notes payable at September 30, 2021 and December 31, 2020 was $206,538,072 and $99,054,979, which includes $777,275 and $341,983, respectively, of short-term debt due within one year.</w:t>
      </w:r>
    </w:p>
    <w:p>
      <w:pPr>
        <w:spacing w:after="0" w:line="77" w:lineRule="exact"/>
        <w:rPr>
          <w:sz w:val="20"/>
          <w:szCs w:val="20"/>
          <w:color w:val="auto"/>
        </w:rPr>
      </w:pPr>
    </w:p>
    <w:p>
      <w:pPr>
        <w:ind w:left="520" w:right="580"/>
        <w:spacing w:after="0" w:line="359" w:lineRule="auto"/>
        <w:rPr>
          <w:sz w:val="20"/>
          <w:szCs w:val="20"/>
          <w:color w:val="auto"/>
        </w:rPr>
      </w:pPr>
      <w:r>
        <w:rPr>
          <w:rFonts w:ascii="Arial" w:cs="Arial" w:eastAsia="Arial" w:hAnsi="Arial"/>
          <w:sz w:val="16"/>
          <w:szCs w:val="16"/>
          <w:color w:val="auto"/>
        </w:rPr>
        <w:t>Financial instruments recorded at fair value are classified using a fair value hierarchy that reflects the significance of the inputs to fair value measurements. The fair values of the Company’s financial instruments associated with each of the three levels of the hierarchy are:</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As of September 30, 2021</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3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r>
      <w:tr>
        <w:trPr>
          <w:trHeight w:val="256"/>
        </w:trPr>
        <w:tc>
          <w:tcPr>
            <w:tcW w:w="37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118"/>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285,792,378</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285,792,378</w:t>
            </w:r>
          </w:p>
        </w:tc>
        <w:tc>
          <w:tcPr>
            <w:tcW w:w="120" w:type="dxa"/>
            <w:vAlign w:val="bottom"/>
            <w:shd w:val="clear" w:color="auto" w:fill="CFF0FC"/>
          </w:tcPr>
          <w:p>
            <w:pPr>
              <w:spacing w:after="0"/>
              <w:rPr>
                <w:sz w:val="22"/>
                <w:szCs w:val="22"/>
                <w:color w:val="auto"/>
              </w:rPr>
            </w:pP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29,520,367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21,107,459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50,627,826</w:t>
            </w:r>
          </w:p>
        </w:tc>
        <w:tc>
          <w:tcPr>
            <w:tcW w:w="120" w:type="dxa"/>
            <w:vAlign w:val="bottom"/>
          </w:tcPr>
          <w:p>
            <w:pPr>
              <w:spacing w:after="0"/>
              <w:rPr>
                <w:sz w:val="21"/>
                <w:szCs w:val="21"/>
                <w:color w:val="auto"/>
              </w:rPr>
            </w:pPr>
          </w:p>
        </w:tc>
      </w:tr>
      <w:tr>
        <w:trPr>
          <w:trHeight w:val="263"/>
        </w:trPr>
        <w:tc>
          <w:tcPr>
            <w:tcW w:w="37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Contingent Consideration Payable</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(108,024,422 )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(108,024,422 )</w:t>
            </w: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(34,003,000 )</w:t>
            </w:r>
          </w:p>
        </w:tc>
        <w:tc>
          <w:tcPr>
            <w:tcW w:w="26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(34,003,000 )</w:t>
            </w: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3700" w:type="dxa"/>
            <w:vAlign w:val="bottom"/>
            <w:tcBorders>
              <w:right w:val="single" w:sz="8" w:color="CFF0FC"/>
            </w:tcBorders>
            <w:shd w:val="clear" w:color="auto" w:fill="CFF0FC"/>
          </w:tcPr>
          <w:p>
            <w:pPr>
              <w:spacing w:after="0"/>
              <w:rPr>
                <w:sz w:val="23"/>
                <w:szCs w:val="23"/>
                <w:color w:val="auto"/>
              </w:rPr>
            </w:pPr>
          </w:p>
        </w:tc>
        <w:tc>
          <w:tcPr>
            <w:tcW w:w="280" w:type="dxa"/>
            <w:vAlign w:val="bottom"/>
            <w:shd w:val="clear" w:color="auto" w:fill="CFF0FC"/>
          </w:tcPr>
          <w:p>
            <w:pPr>
              <w:jc w:val="right"/>
              <w:ind w:right="118"/>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315,312,745</w:t>
            </w:r>
          </w:p>
        </w:tc>
        <w:tc>
          <w:tcPr>
            <w:tcW w:w="2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right w:val="single" w:sz="8" w:color="CFF0FC"/>
            </w:tcBorders>
            <w:shd w:val="clear" w:color="auto" w:fill="CFF0FC"/>
          </w:tcPr>
          <w:p>
            <w:pPr>
              <w:spacing w:after="0"/>
              <w:rPr>
                <w:sz w:val="23"/>
                <w:szCs w:val="23"/>
                <w:color w:val="auto"/>
              </w:rPr>
            </w:pPr>
          </w:p>
        </w:tc>
        <w:tc>
          <w:tcPr>
            <w:tcW w:w="240" w:type="dxa"/>
            <w:vAlign w:val="bottom"/>
            <w:shd w:val="clear" w:color="auto" w:fill="CFF0FC"/>
          </w:tcPr>
          <w:p>
            <w:pPr>
              <w:jc w:val="right"/>
              <w:ind w:right="78"/>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(120,919,963 )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194,392,782</w:t>
            </w:r>
          </w:p>
        </w:tc>
        <w:tc>
          <w:tcPr>
            <w:tcW w:w="120" w:type="dxa"/>
            <w:vAlign w:val="bottom"/>
            <w:shd w:val="clear" w:color="auto" w:fill="CFF0FC"/>
          </w:tcPr>
          <w:p>
            <w:pPr>
              <w:spacing w:after="0"/>
              <w:rPr>
                <w:sz w:val="23"/>
                <w:szCs w:val="23"/>
                <w:color w:val="auto"/>
              </w:rPr>
            </w:pPr>
          </w:p>
        </w:tc>
      </w:tr>
      <w:tr>
        <w:trPr>
          <w:trHeight w:val="20"/>
        </w:trPr>
        <w:tc>
          <w:tcPr>
            <w:tcW w:w="37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453"/>
        </w:trPr>
        <w:tc>
          <w:tcPr>
            <w:tcW w:w="3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As of December 31, 2020</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r>
      <w:tr>
        <w:trPr>
          <w:trHeight w:val="256"/>
        </w:trPr>
        <w:tc>
          <w:tcPr>
            <w:tcW w:w="37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83,757,785</w:t>
            </w:r>
          </w:p>
        </w:tc>
        <w:tc>
          <w:tcPr>
            <w:tcW w:w="5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83,757,785</w:t>
            </w:r>
          </w:p>
        </w:tc>
        <w:tc>
          <w:tcPr>
            <w:tcW w:w="120" w:type="dxa"/>
            <w:vAlign w:val="bottom"/>
            <w:shd w:val="clear" w:color="auto" w:fill="CFF0FC"/>
          </w:tcPr>
          <w:p>
            <w:pPr>
              <w:spacing w:after="0"/>
              <w:rPr>
                <w:sz w:val="22"/>
                <w:szCs w:val="22"/>
                <w:color w:val="auto"/>
              </w:rPr>
            </w:pP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923,581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39,871,225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40,794,806</w:t>
            </w:r>
          </w:p>
        </w:tc>
        <w:tc>
          <w:tcPr>
            <w:tcW w:w="120" w:type="dxa"/>
            <w:vAlign w:val="bottom"/>
          </w:tcPr>
          <w:p>
            <w:pPr>
              <w:spacing w:after="0"/>
              <w:rPr>
                <w:sz w:val="21"/>
                <w:szCs w:val="21"/>
                <w:color w:val="auto"/>
              </w:rPr>
            </w:pPr>
          </w:p>
        </w:tc>
      </w:tr>
      <w:tr>
        <w:trPr>
          <w:trHeight w:val="263"/>
        </w:trPr>
        <w:tc>
          <w:tcPr>
            <w:tcW w:w="370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Contingent Consideration Payable</w:t>
            </w:r>
          </w:p>
        </w:tc>
        <w:tc>
          <w:tcPr>
            <w:tcW w:w="28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Borders>
              <w:right w:val="single" w:sz="8" w:color="CFF0FC"/>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(27,100,000 )</w:t>
            </w:r>
          </w:p>
        </w:tc>
        <w:tc>
          <w:tcPr>
            <w:tcW w:w="2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(27,100,000 )</w:t>
            </w:r>
          </w:p>
        </w:tc>
      </w:tr>
      <w:tr>
        <w:trPr>
          <w:trHeight w:val="250"/>
        </w:trPr>
        <w:tc>
          <w:tcPr>
            <w:tcW w:w="3700" w:type="dxa"/>
            <w:vAlign w:val="bottom"/>
          </w:tcPr>
          <w:p>
            <w:pPr>
              <w:spacing w:after="0"/>
              <w:rPr>
                <w:sz w:val="20"/>
                <w:szCs w:val="20"/>
                <w:color w:val="auto"/>
              </w:rPr>
            </w:pPr>
            <w:r>
              <w:rPr>
                <w:rFonts w:ascii="Arial" w:cs="Arial" w:eastAsia="Arial" w:hAnsi="Arial"/>
                <w:sz w:val="18"/>
                <w:szCs w:val="18"/>
                <w:color w:val="auto"/>
              </w:rPr>
              <w:t>Warrant Liability</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(39,454,000 )</w:t>
            </w:r>
          </w:p>
        </w:tc>
        <w:tc>
          <w:tcPr>
            <w:tcW w:w="26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(39,454,000 )</w:t>
            </w:r>
          </w:p>
        </w:tc>
      </w:tr>
      <w:tr>
        <w:trPr>
          <w:trHeight w:val="20"/>
        </w:trPr>
        <w:tc>
          <w:tcPr>
            <w:tcW w:w="3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0"/>
        </w:trPr>
        <w:tc>
          <w:tcPr>
            <w:tcW w:w="3700" w:type="dxa"/>
            <w:vAlign w:val="bottom"/>
            <w:tcBorders>
              <w:right w:val="single" w:sz="8" w:color="CFF0FC"/>
            </w:tcBorders>
            <w:shd w:val="clear" w:color="auto" w:fill="CFF0FC"/>
          </w:tcPr>
          <w:p>
            <w:pPr>
              <w:spacing w:after="0"/>
              <w:rPr>
                <w:sz w:val="23"/>
                <w:szCs w:val="23"/>
                <w:color w:val="auto"/>
              </w:rPr>
            </w:pPr>
          </w:p>
        </w:tc>
        <w:tc>
          <w:tcPr>
            <w:tcW w:w="280" w:type="dxa"/>
            <w:vAlign w:val="bottom"/>
            <w:shd w:val="clear" w:color="auto" w:fill="CFF0FC"/>
          </w:tcPr>
          <w:p>
            <w:pPr>
              <w:jc w:val="right"/>
              <w:ind w:right="98"/>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84,681,366</w:t>
            </w:r>
          </w:p>
        </w:tc>
        <w:tc>
          <w:tcPr>
            <w:tcW w:w="2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FF0FC"/>
          </w:tcPr>
          <w:p>
            <w:pPr>
              <w:ind w:left="88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right w:val="single" w:sz="8" w:color="CFF0FC"/>
            </w:tcBorders>
            <w:shd w:val="clear" w:color="auto" w:fill="CFF0FC"/>
          </w:tcPr>
          <w:p>
            <w:pPr>
              <w:spacing w:after="0"/>
              <w:rPr>
                <w:sz w:val="23"/>
                <w:szCs w:val="23"/>
                <w:color w:val="auto"/>
              </w:rPr>
            </w:pPr>
          </w:p>
        </w:tc>
        <w:tc>
          <w:tcPr>
            <w:tcW w:w="240" w:type="dxa"/>
            <w:vAlign w:val="bottom"/>
            <w:shd w:val="clear" w:color="auto" w:fill="CFF0FC"/>
          </w:tcPr>
          <w:p>
            <w:pPr>
              <w:jc w:val="right"/>
              <w:ind w:right="58"/>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(26,682,775 )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57,998,591</w:t>
            </w:r>
          </w:p>
        </w:tc>
        <w:tc>
          <w:tcPr>
            <w:tcW w:w="120" w:type="dxa"/>
            <w:vAlign w:val="bottom"/>
            <w:shd w:val="clear" w:color="auto" w:fill="CFF0FC"/>
          </w:tcPr>
          <w:p>
            <w:pPr>
              <w:spacing w:after="0"/>
              <w:rPr>
                <w:sz w:val="23"/>
                <w:szCs w:val="23"/>
                <w:color w:val="auto"/>
              </w:rPr>
            </w:pPr>
          </w:p>
        </w:tc>
      </w:tr>
      <w:tr>
        <w:trPr>
          <w:trHeight w:val="20"/>
        </w:trPr>
        <w:tc>
          <w:tcPr>
            <w:tcW w:w="37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-1319530</wp:posOffset>
            </wp:positionV>
            <wp:extent cx="1631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-1302385</wp:posOffset>
            </wp:positionV>
            <wp:extent cx="1631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-1319530</wp:posOffset>
            </wp:positionV>
            <wp:extent cx="15430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-1302385</wp:posOffset>
            </wp:positionV>
            <wp:extent cx="1543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-1319530</wp:posOffset>
            </wp:positionV>
            <wp:extent cx="1543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-1302385</wp:posOffset>
            </wp:positionV>
            <wp:extent cx="154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-1319530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-1302385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-24765</wp:posOffset>
            </wp:positionV>
            <wp:extent cx="1631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-7620</wp:posOffset>
            </wp:positionV>
            <wp:extent cx="1631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1625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1625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543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15430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ind w:left="520" w:right="100"/>
        <w:spacing w:after="0" w:line="275" w:lineRule="auto"/>
        <w:rPr>
          <w:sz w:val="20"/>
          <w:szCs w:val="20"/>
          <w:color w:val="auto"/>
        </w:rPr>
      </w:pPr>
      <w:r>
        <w:rPr>
          <w:rFonts w:ascii="Arial" w:cs="Arial" w:eastAsia="Arial" w:hAnsi="Arial"/>
          <w:sz w:val="18"/>
          <w:szCs w:val="18"/>
          <w:color w:val="auto"/>
        </w:rPr>
        <w:t>During the nine months ended September 30, 2021, the Company held an investment in a privately held entity that became a publicly traded company. As a result, the Company received shares of the publicly traded entity in exchange for the shares in the privately held entity. The transaction resulted in a transfer of the investment from Level 3 to Level 1. As of September 30, 2021 and December 31, 2020 the fair value of the investment was $28,705,037 and $37,249,189, respectively.</w:t>
      </w:r>
    </w:p>
    <w:p>
      <w:pPr>
        <w:spacing w:after="0" w:line="163" w:lineRule="exact"/>
        <w:rPr>
          <w:sz w:val="20"/>
          <w:szCs w:val="20"/>
          <w:color w:val="auto"/>
        </w:rPr>
      </w:pPr>
    </w:p>
    <w:p>
      <w:pPr>
        <w:jc w:val="both"/>
        <w:ind w:left="520" w:right="20"/>
        <w:spacing w:after="0" w:line="335" w:lineRule="auto"/>
        <w:rPr>
          <w:sz w:val="20"/>
          <w:szCs w:val="20"/>
          <w:color w:val="auto"/>
        </w:rPr>
      </w:pPr>
      <w:r>
        <w:rPr>
          <w:rFonts w:ascii="Arial" w:cs="Arial" w:eastAsia="Arial" w:hAnsi="Arial"/>
          <w:sz w:val="14"/>
          <w:szCs w:val="14"/>
          <w:color w:val="auto"/>
        </w:rPr>
        <w:t>Similarly, during the nine months ended September 30, 2020, the Company held an equity investment in a privately held entity that was subsequently acquired by a publicly traded entity . As a result of the acquisition, the Company received shares of the acquiring entity in exchange for the shares in the privately held entity. The transaction resulted in a transfer of the investment from Level 3 to Level 1. As of September 30, 2020, the fair value of the Level 1 investment was $675,594.</w:t>
      </w:r>
    </w:p>
    <w:p>
      <w:pPr>
        <w:sectPr>
          <w:pgSz w:w="11900" w:h="16838" w:orient="portrait"/>
          <w:cols w:equalWidth="0" w:num="1">
            <w:col w:w="11160"/>
          </w:cols>
          <w:pgMar w:left="320" w:top="135" w:right="41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 w:right="419" w:bottom="1440" w:gutter="0" w:footer="0" w:header="0"/>
          <w:type w:val="continuous"/>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8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table presents the summarized financial information about the Company’s consolidated variable interest entities (“</w:t>
      </w:r>
      <w:r>
        <w:rPr>
          <w:rFonts w:ascii="Arial" w:cs="Arial" w:eastAsia="Arial" w:hAnsi="Arial"/>
          <w:sz w:val="16"/>
          <w:szCs w:val="16"/>
          <w:b w:val="1"/>
          <w:bCs w:val="1"/>
          <w:color w:val="auto"/>
        </w:rPr>
        <w:t>VIEs</w:t>
      </w:r>
      <w:r>
        <w:rPr>
          <w:rFonts w:ascii="Arial" w:cs="Arial" w:eastAsia="Arial" w:hAnsi="Arial"/>
          <w:sz w:val="16"/>
          <w:szCs w:val="16"/>
          <w:color w:val="auto"/>
        </w:rPr>
        <w:t>”) which are included in the unaudited interim condensed consolidated balance sheet as of September 30, 2021 and the consolidated balance sheet as of December 31, 2020. All of these entities were determined to be VIEs as the Company possesses the power to direct activities through management services agreements (“</w:t>
      </w:r>
      <w:r>
        <w:rPr>
          <w:rFonts w:ascii="Arial" w:cs="Arial" w:eastAsia="Arial" w:hAnsi="Arial"/>
          <w:sz w:val="16"/>
          <w:szCs w:val="16"/>
          <w:b w:val="1"/>
          <w:bCs w:val="1"/>
          <w:color w:val="auto"/>
        </w:rPr>
        <w:t>MSAs</w:t>
      </w:r>
      <w:r>
        <w:rPr>
          <w:rFonts w:ascii="Arial" w:cs="Arial" w:eastAsia="Arial" w:hAnsi="Arial"/>
          <w:sz w:val="16"/>
          <w:szCs w:val="16"/>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2021</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December 31, 2020</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9"/>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Chesapeake</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Chesapeake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r>
      <w:tr>
        <w:trPr>
          <w:trHeight w:val="186"/>
        </w:trPr>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Alternatives,</w:t>
            </w: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Illinois</w:t>
            </w:r>
          </w:p>
        </w:tc>
        <w:tc>
          <w:tcPr>
            <w:tcW w:w="200" w:type="dxa"/>
            <w:vAlign w:val="bottom"/>
          </w:tcPr>
          <w:p>
            <w:pPr>
              <w:spacing w:after="0"/>
              <w:rPr>
                <w:sz w:val="16"/>
                <w:szCs w:val="16"/>
                <w:color w:val="auto"/>
              </w:rPr>
            </w:pPr>
          </w:p>
        </w:tc>
        <w:tc>
          <w:tcPr>
            <w:tcW w:w="1240" w:type="dxa"/>
            <w:vAlign w:val="bottom"/>
          </w:tcPr>
          <w:p>
            <w:pPr>
              <w:jc w:val="center"/>
              <w:ind w:right="136"/>
              <w:spacing w:after="0"/>
              <w:rPr>
                <w:sz w:val="20"/>
                <w:szCs w:val="20"/>
                <w:color w:val="auto"/>
              </w:rPr>
            </w:pPr>
            <w:r>
              <w:rPr>
                <w:rFonts w:ascii="Arial" w:cs="Arial" w:eastAsia="Arial" w:hAnsi="Arial"/>
                <w:sz w:val="14"/>
                <w:szCs w:val="14"/>
                <w:b w:val="1"/>
                <w:bCs w:val="1"/>
                <w:color w:val="auto"/>
                <w:w w:val="95"/>
              </w:rPr>
              <w:t>Non-material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Alternatives,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Illinois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Non-material</w:t>
            </w:r>
          </w:p>
        </w:tc>
        <w:tc>
          <w:tcPr>
            <w:tcW w:w="80" w:type="dxa"/>
            <w:vAlign w:val="bottom"/>
          </w:tcPr>
          <w:p>
            <w:pPr>
              <w:spacing w:after="0"/>
              <w:rPr>
                <w:sz w:val="16"/>
                <w:szCs w:val="16"/>
                <w:color w:val="auto"/>
              </w:rPr>
            </w:pPr>
          </w:p>
        </w:tc>
      </w:tr>
      <w:tr>
        <w:trPr>
          <w:trHeight w:val="208"/>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Disp, LLC</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VIEs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Disp, LLC</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8"/>
              </w:rPr>
              <w:t>VIEs</w:t>
            </w:r>
          </w:p>
        </w:tc>
        <w:tc>
          <w:tcPr>
            <w:tcW w:w="80" w:type="dxa"/>
            <w:vAlign w:val="bottom"/>
          </w:tcPr>
          <w:p>
            <w:pPr>
              <w:spacing w:after="0"/>
              <w:rPr>
                <w:sz w:val="18"/>
                <w:szCs w:val="18"/>
                <w:color w:val="auto"/>
              </w:rPr>
            </w:pPr>
          </w:p>
        </w:tc>
      </w:tr>
      <w:tr>
        <w:trPr>
          <w:trHeight w:val="256"/>
        </w:trPr>
        <w:tc>
          <w:tcPr>
            <w:tcW w:w="2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  $</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902,868</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1,318,258</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32,307,718</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3,738,868</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2,592,803</w:t>
            </w:r>
          </w:p>
        </w:tc>
        <w:tc>
          <w:tcPr>
            <w:tcW w:w="80" w:type="dxa"/>
            <w:vAlign w:val="bottom"/>
            <w:shd w:val="clear" w:color="auto" w:fill="CFF0FC"/>
          </w:tcPr>
          <w:p>
            <w:pPr>
              <w:spacing w:after="0"/>
              <w:rPr>
                <w:sz w:val="22"/>
                <w:szCs w:val="22"/>
                <w:color w:val="auto"/>
              </w:rPr>
            </w:pPr>
          </w:p>
        </w:tc>
      </w:tr>
      <w:tr>
        <w:trPr>
          <w:trHeight w:val="250"/>
        </w:trPr>
        <w:tc>
          <w:tcPr>
            <w:tcW w:w="2580" w:type="dxa"/>
            <w:vAlign w:val="bottom"/>
          </w:tcPr>
          <w:p>
            <w:pPr>
              <w:ind w:left="120"/>
              <w:spacing w:after="0"/>
              <w:rPr>
                <w:sz w:val="20"/>
                <w:szCs w:val="20"/>
                <w:color w:val="auto"/>
              </w:rPr>
            </w:pPr>
            <w:r>
              <w:rPr>
                <w:rFonts w:ascii="Arial" w:cs="Arial" w:eastAsia="Arial" w:hAnsi="Arial"/>
                <w:sz w:val="18"/>
                <w:szCs w:val="18"/>
                <w:color w:val="auto"/>
              </w:rPr>
              <w:t>Non-current assets</w:t>
            </w:r>
          </w:p>
        </w:tc>
        <w:tc>
          <w:tcPr>
            <w:tcW w:w="120" w:type="dxa"/>
            <w:vAlign w:val="bottom"/>
          </w:tcPr>
          <w:p>
            <w:pPr>
              <w:spacing w:after="0"/>
              <w:rPr>
                <w:sz w:val="21"/>
                <w:szCs w:val="21"/>
                <w:color w:val="auto"/>
              </w:rPr>
            </w:pP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3,391,185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1,822,624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3,367,360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3,657,392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2,281,839</w:t>
            </w:r>
          </w:p>
        </w:tc>
        <w:tc>
          <w:tcPr>
            <w:tcW w:w="80" w:type="dxa"/>
            <w:vAlign w:val="bottom"/>
          </w:tcPr>
          <w:p>
            <w:pPr>
              <w:spacing w:after="0"/>
              <w:rPr>
                <w:sz w:val="21"/>
                <w:szCs w:val="21"/>
                <w:color w:val="auto"/>
              </w:rPr>
            </w:pPr>
          </w:p>
        </w:tc>
      </w:tr>
      <w:tr>
        <w:trPr>
          <w:trHeight w:val="263"/>
        </w:trPr>
        <w:tc>
          <w:tcPr>
            <w:tcW w:w="2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5,404,327</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368,221</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23,362,255</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336,970</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1,563,224</w:t>
            </w:r>
          </w:p>
        </w:tc>
        <w:tc>
          <w:tcPr>
            <w:tcW w:w="80" w:type="dxa"/>
            <w:vAlign w:val="bottom"/>
            <w:shd w:val="clear" w:color="auto" w:fill="CFF0FC"/>
          </w:tcPr>
          <w:p>
            <w:pPr>
              <w:spacing w:after="0"/>
              <w:rPr>
                <w:sz w:val="22"/>
                <w:szCs w:val="22"/>
                <w:color w:val="auto"/>
              </w:rPr>
            </w:pPr>
          </w:p>
        </w:tc>
      </w:tr>
      <w:tr>
        <w:trPr>
          <w:trHeight w:val="250"/>
        </w:trPr>
        <w:tc>
          <w:tcPr>
            <w:tcW w:w="258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21"/>
                <w:szCs w:val="21"/>
                <w:color w:val="auto"/>
              </w:rPr>
            </w:pP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720,001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768,573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461,926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783,356</w:t>
            </w:r>
          </w:p>
        </w:tc>
        <w:tc>
          <w:tcPr>
            <w:tcW w:w="80" w:type="dxa"/>
            <w:vAlign w:val="bottom"/>
          </w:tcPr>
          <w:p>
            <w:pPr>
              <w:spacing w:after="0"/>
              <w:rPr>
                <w:sz w:val="21"/>
                <w:szCs w:val="21"/>
                <w:color w:val="auto"/>
              </w:rPr>
            </w:pPr>
          </w:p>
        </w:tc>
      </w:tr>
      <w:tr>
        <w:trPr>
          <w:trHeight w:val="263"/>
        </w:trPr>
        <w:tc>
          <w:tcPr>
            <w:tcW w:w="2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FF0FC"/>
          </w:tcPr>
          <w:p>
            <w:pPr>
              <w:spacing w:after="0"/>
              <w:rPr>
                <w:sz w:val="22"/>
                <w:szCs w:val="22"/>
                <w:color w:val="auto"/>
              </w:rPr>
            </w:pPr>
          </w:p>
        </w:tc>
        <w:tc>
          <w:tcPr>
            <w:tcW w:w="122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(767,976 )</w:t>
            </w:r>
          </w:p>
        </w:tc>
        <w:tc>
          <w:tcPr>
            <w:tcW w:w="20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664,434</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3,173,683</w:t>
            </w:r>
          </w:p>
        </w:tc>
        <w:tc>
          <w:tcPr>
            <w:tcW w:w="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363,413</w:t>
            </w:r>
          </w:p>
        </w:tc>
        <w:tc>
          <w:tcPr>
            <w:tcW w:w="80" w:type="dxa"/>
            <w:vAlign w:val="bottom"/>
            <w:shd w:val="clear" w:color="auto" w:fill="CFF0FC"/>
          </w:tcPr>
          <w:p>
            <w:pPr>
              <w:spacing w:after="0"/>
              <w:rPr>
                <w:sz w:val="22"/>
                <w:szCs w:val="22"/>
                <w:color w:val="auto"/>
              </w:rPr>
            </w:pPr>
          </w:p>
        </w:tc>
      </w:tr>
      <w:tr>
        <w:trPr>
          <w:trHeight w:val="242"/>
        </w:trPr>
        <w:tc>
          <w:tcPr>
            <w:tcW w:w="2580" w:type="dxa"/>
            <w:vAlign w:val="bottom"/>
          </w:tcPr>
          <w:p>
            <w:pPr>
              <w:ind w:left="120"/>
              <w:spacing w:after="0"/>
              <w:rPr>
                <w:sz w:val="20"/>
                <w:szCs w:val="20"/>
                <w:color w:val="auto"/>
              </w:rPr>
            </w:pPr>
            <w:r>
              <w:rPr>
                <w:rFonts w:ascii="Arial" w:cs="Arial" w:eastAsia="Arial" w:hAnsi="Arial"/>
                <w:sz w:val="18"/>
                <w:szCs w:val="18"/>
                <w:color w:val="auto"/>
              </w:rPr>
              <w:t>Equity attributable to Green</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2580" w:type="dxa"/>
            <w:vAlign w:val="bottom"/>
          </w:tcPr>
          <w:p>
            <w:pPr>
              <w:ind w:left="120"/>
              <w:spacing w:after="0"/>
              <w:rPr>
                <w:sz w:val="20"/>
                <w:szCs w:val="20"/>
                <w:color w:val="auto"/>
              </w:rPr>
            </w:pPr>
            <w:r>
              <w:rPr>
                <w:rFonts w:ascii="Arial" w:cs="Arial" w:eastAsia="Arial" w:hAnsi="Arial"/>
                <w:sz w:val="18"/>
                <w:szCs w:val="18"/>
                <w:color w:val="auto"/>
              </w:rPr>
              <w:t>Thumb Industries Inc.</w:t>
            </w:r>
          </w:p>
        </w:tc>
        <w:tc>
          <w:tcPr>
            <w:tcW w:w="120" w:type="dxa"/>
            <w:vAlign w:val="bottom"/>
          </w:tcPr>
          <w:p>
            <w:pPr>
              <w:spacing w:after="0"/>
              <w:rPr>
                <w:sz w:val="20"/>
                <w:szCs w:val="20"/>
                <w:color w:val="auto"/>
              </w:rPr>
            </w:pPr>
          </w:p>
        </w:tc>
        <w:tc>
          <w:tcPr>
            <w:tcW w:w="122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(767,976 )</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1,388,226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11,544,250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3,173,683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2,260,773</w:t>
            </w:r>
          </w:p>
        </w:tc>
        <w:tc>
          <w:tcPr>
            <w:tcW w:w="80" w:type="dxa"/>
            <w:vAlign w:val="bottom"/>
          </w:tcPr>
          <w:p>
            <w:pPr>
              <w:spacing w:after="0"/>
              <w:rPr>
                <w:sz w:val="20"/>
                <w:szCs w:val="20"/>
                <w:color w:val="auto"/>
              </w:rPr>
            </w:pPr>
          </w:p>
        </w:tc>
      </w:tr>
    </w:tbl>
    <w:p>
      <w:pPr>
        <w:spacing w:after="0" w:line="2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On September 1, 2021, the Company acquired the remaining minority interest in a retail dispensary for $850,000 in cash and the issuance of 136,075 shares of Green Thumb which had a fair value of $4,070,003, based on the closing price of Green Thumb’s Subordinate Voting Shares as traded on the CSE on the date of the transaction. As a result, the remaining equity associated with the non controlling interest was closed to share capital of Green Thumb as of September 1, 2021. On December 31, 2020, the MSA for Chesapeake Alternatives, LLC was amended and restated to make GTI Maryland, LLC, the sole member of the entity. As a result, the remaining equity associated with the non controlling interest was closed to share capital of Green Thumb as of December 31, 2020.</w:t>
      </w:r>
    </w:p>
    <w:p>
      <w:pPr>
        <w:spacing w:after="0" w:line="191"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 following tables present the summarized financial information about the Company’s VIEs which are included in the unaudited interim condensed consolidated statements of operations for the three and nine months ended September 30, 2021 and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1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6"/>
              </w:rPr>
              <w:t>September 30, 2021</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3"/>
              </w:rPr>
              <w:t>September 30, 2020</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Chesapeake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88"/>
              </w:rPr>
              <w:t>Chesapeake</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Alternatives,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Non-material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Alternatives,</w:t>
            </w:r>
          </w:p>
        </w:tc>
        <w:tc>
          <w:tcPr>
            <w:tcW w:w="240" w:type="dxa"/>
            <w:vAlign w:val="bottom"/>
          </w:tcPr>
          <w:p>
            <w:pPr>
              <w:spacing w:after="0"/>
              <w:rPr>
                <w:sz w:val="16"/>
                <w:szCs w:val="16"/>
                <w:color w:val="auto"/>
              </w:rPr>
            </w:pPr>
          </w:p>
        </w:tc>
        <w:tc>
          <w:tcPr>
            <w:tcW w:w="124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Illinois</w:t>
            </w:r>
          </w:p>
        </w:tc>
        <w:tc>
          <w:tcPr>
            <w:tcW w:w="200" w:type="dxa"/>
            <w:vAlign w:val="bottom"/>
          </w:tcPr>
          <w:p>
            <w:pPr>
              <w:spacing w:after="0"/>
              <w:rPr>
                <w:sz w:val="16"/>
                <w:szCs w:val="16"/>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Non-material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Disp, LLC</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VIEs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LLC</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7"/>
              </w:rPr>
              <w:t>Disp, LLC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6,330,859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3,981,488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5,684,349</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5,224,583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2,695,781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1,016,881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358,742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26,134</w:t>
            </w:r>
          </w:p>
        </w:tc>
        <w:tc>
          <w:tcPr>
            <w:tcW w:w="240" w:type="dxa"/>
            <w:vAlign w:val="bottom"/>
            <w:shd w:val="clear" w:color="auto" w:fill="CFF0FC"/>
          </w:tcPr>
          <w:p>
            <w:pPr>
              <w:spacing w:after="0"/>
              <w:rPr>
                <w:sz w:val="21"/>
                <w:szCs w:val="21"/>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897,494</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185,452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00" w:type="dxa"/>
            <w:vAlign w:val="bottom"/>
          </w:tcPr>
          <w:p>
            <w:pPr>
              <w:ind w:left="20"/>
              <w:spacing w:after="0"/>
              <w:rPr>
                <w:sz w:val="20"/>
                <w:szCs w:val="20"/>
                <w:color w:val="auto"/>
              </w:rPr>
            </w:pPr>
            <w:r>
              <w:rPr>
                <w:rFonts w:ascii="Arial" w:cs="Arial" w:eastAsia="Arial" w:hAnsi="Arial"/>
                <w:sz w:val="18"/>
                <w:szCs w:val="18"/>
                <w:color w:val="auto"/>
                <w:w w:val="94"/>
              </w:rPr>
              <w:t>Net income attributable to Green</w:t>
            </w:r>
          </w:p>
        </w:tc>
        <w:tc>
          <w:tcPr>
            <w:tcW w:w="100" w:type="dxa"/>
            <w:vAlign w:val="bottom"/>
          </w:tcPr>
          <w:p>
            <w:pPr>
              <w:spacing w:after="0"/>
              <w:rPr>
                <w:sz w:val="21"/>
                <w:szCs w:val="21"/>
                <w:color w:val="auto"/>
              </w:rPr>
            </w:pPr>
          </w:p>
        </w:tc>
        <w:tc>
          <w:tcPr>
            <w:tcW w:w="940" w:type="dxa"/>
            <w:vAlign w:val="bottom"/>
            <w:vMerge w:val="restart"/>
          </w:tcPr>
          <w:p>
            <w:pPr>
              <w:ind w:left="7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1,016,882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712,482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1,033,650</w:t>
            </w:r>
          </w:p>
        </w:tc>
        <w:tc>
          <w:tcPr>
            <w:tcW w:w="24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897,494</w:t>
            </w:r>
          </w:p>
        </w:tc>
        <w:tc>
          <w:tcPr>
            <w:tcW w:w="2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294,969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Thumb Industries Inc.</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2,033,763</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1,071,224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1,059,784</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1,794,988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480,421</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58"/>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96"/>
              </w:rPr>
              <w:t>September 30, 2021</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3"/>
              </w:rPr>
              <w:t>September 30, 2020</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Chesapeake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88"/>
              </w:rPr>
              <w:t>Chesapeake</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8"/>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Alternatives,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8"/>
              <w:spacing w:after="0"/>
              <w:rPr>
                <w:sz w:val="20"/>
                <w:szCs w:val="20"/>
                <w:color w:val="auto"/>
              </w:rPr>
            </w:pPr>
            <w:r>
              <w:rPr>
                <w:rFonts w:ascii="Arial" w:cs="Arial" w:eastAsia="Arial" w:hAnsi="Arial"/>
                <w:sz w:val="14"/>
                <w:szCs w:val="14"/>
                <w:b w:val="1"/>
                <w:bCs w:val="1"/>
                <w:color w:val="auto"/>
                <w:w w:val="94"/>
              </w:rPr>
              <w:t>Illinois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Non-material</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5"/>
              </w:rPr>
              <w:t>Alternatives,</w:t>
            </w:r>
          </w:p>
        </w:tc>
        <w:tc>
          <w:tcPr>
            <w:tcW w:w="240" w:type="dxa"/>
            <w:vAlign w:val="bottom"/>
          </w:tcPr>
          <w:p>
            <w:pPr>
              <w:spacing w:after="0"/>
              <w:rPr>
                <w:sz w:val="16"/>
                <w:szCs w:val="16"/>
                <w:color w:val="auto"/>
              </w:rPr>
            </w:pPr>
          </w:p>
        </w:tc>
        <w:tc>
          <w:tcPr>
            <w:tcW w:w="124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Illinois</w:t>
            </w:r>
          </w:p>
        </w:tc>
        <w:tc>
          <w:tcPr>
            <w:tcW w:w="200" w:type="dxa"/>
            <w:vAlign w:val="bottom"/>
          </w:tcPr>
          <w:p>
            <w:pPr>
              <w:spacing w:after="0"/>
              <w:rPr>
                <w:sz w:val="16"/>
                <w:szCs w:val="16"/>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Non-material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Disp, LLC</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VIEs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LLC</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7"/>
              </w:rPr>
              <w:t>Disp, LLC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VIEs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18,274,669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11,115,034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14,792,710</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13,170,514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6,778,501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attributable to</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tcBorders>
              <w:right w:val="single" w:sz="8" w:color="CFF0FC"/>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2,658,340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1,026,385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206,929</w:t>
            </w:r>
          </w:p>
        </w:tc>
        <w:tc>
          <w:tcPr>
            <w:tcW w:w="240" w:type="dxa"/>
            <w:vAlign w:val="bottom"/>
            <w:shd w:val="clear" w:color="auto" w:fill="CFF0FC"/>
          </w:tcPr>
          <w:p>
            <w:pPr>
              <w:spacing w:after="0"/>
              <w:rPr>
                <w:sz w:val="21"/>
                <w:szCs w:val="21"/>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2,170,912</w:t>
            </w: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319,511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00" w:type="dxa"/>
            <w:vAlign w:val="bottom"/>
          </w:tcPr>
          <w:p>
            <w:pPr>
              <w:ind w:left="20"/>
              <w:spacing w:after="0"/>
              <w:rPr>
                <w:sz w:val="20"/>
                <w:szCs w:val="20"/>
                <w:color w:val="auto"/>
              </w:rPr>
            </w:pPr>
            <w:r>
              <w:rPr>
                <w:rFonts w:ascii="Arial" w:cs="Arial" w:eastAsia="Arial" w:hAnsi="Arial"/>
                <w:sz w:val="18"/>
                <w:szCs w:val="18"/>
                <w:color w:val="auto"/>
                <w:w w:val="94"/>
              </w:rPr>
              <w:t>Net income attributable to Green</w:t>
            </w:r>
          </w:p>
        </w:tc>
        <w:tc>
          <w:tcPr>
            <w:tcW w:w="100" w:type="dxa"/>
            <w:vAlign w:val="bottom"/>
          </w:tcPr>
          <w:p>
            <w:pPr>
              <w:spacing w:after="0"/>
              <w:rPr>
                <w:sz w:val="21"/>
                <w:szCs w:val="21"/>
                <w:color w:val="auto"/>
              </w:rPr>
            </w:pPr>
          </w:p>
        </w:tc>
        <w:tc>
          <w:tcPr>
            <w:tcW w:w="940" w:type="dxa"/>
            <w:vAlign w:val="bottom"/>
            <w:vMerge w:val="restart"/>
          </w:tcPr>
          <w:p>
            <w:pPr>
              <w:ind w:left="7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2,658,340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1,601,578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3,812,121</w:t>
            </w:r>
          </w:p>
        </w:tc>
        <w:tc>
          <w:tcPr>
            <w:tcW w:w="240" w:type="dxa"/>
            <w:vAlign w:val="bottom"/>
          </w:tcPr>
          <w:p>
            <w:pPr>
              <w:spacing w:after="0"/>
              <w:rPr>
                <w:sz w:val="21"/>
                <w:szCs w:val="2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2,170,913</w:t>
            </w:r>
          </w:p>
        </w:tc>
        <w:tc>
          <w:tcPr>
            <w:tcW w:w="200" w:type="dxa"/>
            <w:vAlign w:val="bottom"/>
          </w:tcPr>
          <w:p>
            <w:pPr>
              <w:spacing w:after="0"/>
              <w:rPr>
                <w:sz w:val="21"/>
                <w:szCs w:val="2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661,341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Thumb Industries Inc.</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5,316,680</w:t>
            </w:r>
          </w:p>
        </w:tc>
        <w:tc>
          <w:tcPr>
            <w:tcW w:w="10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2,627,963</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4,019,050</w:t>
            </w: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4,341,825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980,852</w:t>
            </w:r>
          </w:p>
        </w:tc>
        <w:tc>
          <w:tcPr>
            <w:tcW w:w="8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-1807845</wp:posOffset>
            </wp:positionV>
            <wp:extent cx="4740275" cy="8401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40275" cy="8401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514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-8255</wp:posOffset>
            </wp:positionV>
            <wp:extent cx="59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-24765</wp:posOffset>
            </wp:positionV>
            <wp:extent cx="514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431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431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431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431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4318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68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As of September 30, 2021 and 2020, and December 31, 2020, VIEs included in the Other Non-material VIEs are Bluepoint Wellness of Westport LLC and Meshow, LLC.</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5" w:right="43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both"/>
        <w:ind w:left="2780" w:right="2780" w:hanging="41"/>
        <w:spacing w:after="0" w:line="358"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i w:val="1"/>
          <w:iCs w:val="1"/>
          <w:color w:val="auto"/>
        </w:rPr>
        <w:t>(Amounts Expressed in United States Dollars, Except Where Stated Otherwise)</w:t>
      </w:r>
    </w:p>
    <w:p>
      <w:pPr>
        <w:spacing w:after="0" w:line="20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Company operates in two segments: the cultivation, production and sale of cannabis products to retail stores (“</w:t>
      </w:r>
      <w:r>
        <w:rPr>
          <w:rFonts w:ascii="Arial" w:cs="Arial" w:eastAsia="Arial" w:hAnsi="Arial"/>
          <w:sz w:val="18"/>
          <w:szCs w:val="18"/>
          <w:b w:val="1"/>
          <w:bCs w:val="1"/>
          <w:color w:val="auto"/>
        </w:rPr>
        <w:t>Consumer Packaged Goods</w:t>
      </w:r>
      <w:r>
        <w:rPr>
          <w:rFonts w:ascii="Arial" w:cs="Arial" w:eastAsia="Arial" w:hAnsi="Arial"/>
          <w:sz w:val="18"/>
          <w:szCs w:val="18"/>
          <w:color w:val="auto"/>
        </w:rPr>
        <w:t>”) and retailing of cannabis to patients and consumers (“</w:t>
      </w:r>
      <w:r>
        <w:rPr>
          <w:rFonts w:ascii="Arial" w:cs="Arial" w:eastAsia="Arial" w:hAnsi="Arial"/>
          <w:sz w:val="18"/>
          <w:szCs w:val="18"/>
          <w:b w:val="1"/>
          <w:bCs w:val="1"/>
          <w:color w:val="auto"/>
        </w:rPr>
        <w:t>Retail</w:t>
      </w:r>
      <w:r>
        <w:rPr>
          <w:rFonts w:ascii="Arial" w:cs="Arial" w:eastAsia="Arial" w:hAnsi="Arial"/>
          <w:sz w:val="18"/>
          <w:szCs w:val="18"/>
          <w:color w:val="auto"/>
        </w:rPr>
        <w:t>”). The Company does not allocate operating expenses to these business units, nor does it allocate specific assets. Additionally, the Chief Operating Decision Maker does not review total assets or net income (loss) by segments; therefore, such information is not presented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presents revenues by type for the three and nine months ended September 30, 2021 and 2020:</w:t>
      </w:r>
    </w:p>
    <w:p>
      <w:pPr>
        <w:spacing w:after="0" w:line="302" w:lineRule="exact"/>
        <w:rPr>
          <w:sz w:val="20"/>
          <w:szCs w:val="20"/>
          <w:color w:val="auto"/>
        </w:rPr>
      </w:pPr>
    </w:p>
    <w:tbl>
      <w:tblPr>
        <w:tblLayout w:type="fixed"/>
        <w:tblInd w:w="24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9"/>
              </w:rPr>
              <w:t>Three Months Ended September 30,</w:t>
            </w:r>
          </w:p>
        </w:tc>
        <w:tc>
          <w:tcPr>
            <w:tcW w:w="280" w:type="dxa"/>
            <w:vAlign w:val="bottom"/>
          </w:tcPr>
          <w:p>
            <w:pPr>
              <w:spacing w:after="0"/>
              <w:rPr>
                <w:sz w:val="20"/>
                <w:szCs w:val="20"/>
                <w:color w:val="auto"/>
              </w:rPr>
            </w:pPr>
          </w:p>
        </w:tc>
        <w:tc>
          <w:tcPr>
            <w:tcW w:w="334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50"/>
        </w:trPr>
        <w:tc>
          <w:tcPr>
            <w:tcW w:w="3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r>
      <w:tr>
        <w:trPr>
          <w:trHeight w:val="257"/>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Revenues, Net of Discounts</w:t>
            </w:r>
          </w:p>
        </w:tc>
        <w:tc>
          <w:tcPr>
            <w:tcW w:w="480" w:type="dxa"/>
            <w:vAlign w:val="bottom"/>
            <w:shd w:val="clear" w:color="auto" w:fill="CFF0FC"/>
          </w:tcPr>
          <w:p>
            <w:pPr>
              <w:spacing w:after="0"/>
              <w:rPr>
                <w:sz w:val="22"/>
                <w:szCs w:val="22"/>
                <w:color w:val="auto"/>
              </w:rPr>
            </w:pPr>
          </w:p>
        </w:tc>
        <w:tc>
          <w:tcPr>
            <w:tcW w:w="17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Consumer Packaged Goods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121,073,396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74,702,069</w:t>
            </w: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343,014,324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177,355,614</w:t>
            </w:r>
          </w:p>
        </w:tc>
        <w:tc>
          <w:tcPr>
            <w:tcW w:w="120" w:type="dxa"/>
            <w:vAlign w:val="bottom"/>
          </w:tcPr>
          <w:p>
            <w:pPr>
              <w:spacing w:after="0"/>
              <w:rPr>
                <w:sz w:val="21"/>
                <w:szCs w:val="2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w:t>
            </w:r>
          </w:p>
        </w:tc>
        <w:tc>
          <w:tcPr>
            <w:tcW w:w="48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161,016,450</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111,948,115</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441,241,047</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275,451,137</w:t>
            </w:r>
          </w:p>
        </w:tc>
        <w:tc>
          <w:tcPr>
            <w:tcW w:w="120" w:type="dxa"/>
            <w:vAlign w:val="bottom"/>
            <w:shd w:val="clear" w:color="auto" w:fill="CFF0FC"/>
          </w:tcPr>
          <w:p>
            <w:pPr>
              <w:spacing w:after="0"/>
              <w:rPr>
                <w:sz w:val="22"/>
                <w:szCs w:val="22"/>
                <w:color w:val="auto"/>
              </w:rPr>
            </w:pPr>
          </w:p>
        </w:tc>
      </w:tr>
      <w:tr>
        <w:trPr>
          <w:trHeight w:val="256"/>
        </w:trPr>
        <w:tc>
          <w:tcPr>
            <w:tcW w:w="316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480" w:type="dxa"/>
            <w:vAlign w:val="bottom"/>
          </w:tcPr>
          <w:p>
            <w:pPr>
              <w:spacing w:after="0"/>
              <w:rPr>
                <w:sz w:val="22"/>
                <w:szCs w:val="22"/>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(48,412,965 )</w:t>
            </w:r>
          </w:p>
        </w:tc>
        <w:tc>
          <w:tcPr>
            <w:tcW w:w="200" w:type="dxa"/>
            <w:vAlign w:val="bottom"/>
          </w:tcPr>
          <w:p>
            <w:pPr>
              <w:spacing w:after="0"/>
              <w:rPr>
                <w:sz w:val="22"/>
                <w:szCs w:val="2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(29,546,343 )</w:t>
            </w:r>
          </w:p>
        </w:tc>
        <w:tc>
          <w:tcPr>
            <w:tcW w:w="280" w:type="dxa"/>
            <w:vAlign w:val="bottom"/>
          </w:tcPr>
          <w:p>
            <w:pPr>
              <w:spacing w:after="0"/>
              <w:rPr>
                <w:sz w:val="22"/>
                <w:szCs w:val="22"/>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(134,276,094 )</w:t>
            </w:r>
          </w:p>
        </w:tc>
        <w:tc>
          <w:tcPr>
            <w:tcW w:w="200" w:type="dxa"/>
            <w:vAlign w:val="bottom"/>
          </w:tcPr>
          <w:p>
            <w:pPr>
              <w:spacing w:after="0"/>
              <w:rPr>
                <w:sz w:val="22"/>
                <w:szCs w:val="22"/>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(73,460,384 )</w:t>
            </w:r>
          </w:p>
        </w:tc>
      </w:tr>
      <w:tr>
        <w:trPr>
          <w:trHeight w:val="290"/>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Revenues, net of discounts</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233,676,881</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157,103,841</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649,979,277</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379,346,367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i w:val="1"/>
                <w:iCs w:val="1"/>
                <w:color w:val="auto"/>
              </w:rPr>
              <w:t>Depreciation and Amortization</w:t>
            </w:r>
          </w:p>
        </w:tc>
        <w:tc>
          <w:tcPr>
            <w:tcW w:w="4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Packaged Goods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9,132,095</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10,029,857</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25,546,006</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33,089,808</w:t>
            </w:r>
          </w:p>
        </w:tc>
        <w:tc>
          <w:tcPr>
            <w:tcW w:w="120" w:type="dxa"/>
            <w:vAlign w:val="bottom"/>
            <w:shd w:val="clear" w:color="auto" w:fill="CFF0FC"/>
          </w:tcPr>
          <w:p>
            <w:pPr>
              <w:spacing w:after="0"/>
              <w:rPr>
                <w:sz w:val="22"/>
                <w:szCs w:val="22"/>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Retail</w:t>
            </w:r>
          </w:p>
        </w:tc>
        <w:tc>
          <w:tcPr>
            <w:tcW w:w="4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8,040,971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1,505,019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21,693,473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5,390,152</w:t>
            </w:r>
          </w:p>
        </w:tc>
        <w:tc>
          <w:tcPr>
            <w:tcW w:w="120" w:type="dxa"/>
            <w:vAlign w:val="bottom"/>
          </w:tcPr>
          <w:p>
            <w:pPr>
              <w:spacing w:after="0"/>
              <w:rPr>
                <w:sz w:val="21"/>
                <w:szCs w:val="2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Eliminations</w:t>
            </w:r>
          </w:p>
        </w:tc>
        <w:tc>
          <w:tcPr>
            <w:tcW w:w="48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50"/>
        </w:trPr>
        <w:tc>
          <w:tcPr>
            <w:tcW w:w="31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Depreciation and Amortization</w:t>
            </w:r>
          </w:p>
        </w:tc>
        <w:tc>
          <w:tcPr>
            <w:tcW w:w="48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17,173,066</w:t>
            </w:r>
          </w:p>
        </w:tc>
        <w:tc>
          <w:tcPr>
            <w:tcW w:w="12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11,534,876</w:t>
            </w:r>
          </w:p>
        </w:tc>
        <w:tc>
          <w:tcPr>
            <w:tcW w:w="200" w:type="dxa"/>
            <w:vAlign w:val="bottom"/>
            <w:tcBorders>
              <w:top w:val="single" w:sz="8" w:color="CFF0FC"/>
            </w:tcBorders>
          </w:tcPr>
          <w:p>
            <w:pPr>
              <w:spacing w:after="0"/>
              <w:rPr>
                <w:sz w:val="21"/>
                <w:szCs w:val="21"/>
                <w:color w:val="auto"/>
              </w:rPr>
            </w:pPr>
          </w:p>
        </w:tc>
        <w:tc>
          <w:tcPr>
            <w:tcW w:w="28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47,239,479</w:t>
            </w:r>
          </w:p>
        </w:tc>
        <w:tc>
          <w:tcPr>
            <w:tcW w:w="100" w:type="dxa"/>
            <w:vAlign w:val="bottom"/>
            <w:tcBorders>
              <w:top w:val="single" w:sz="8" w:color="CFF0FC"/>
            </w:tcBorders>
          </w:tcPr>
          <w:p>
            <w:pPr>
              <w:spacing w:after="0"/>
              <w:rPr>
                <w:sz w:val="21"/>
                <w:szCs w:val="21"/>
                <w:color w:val="auto"/>
              </w:rPr>
            </w:pPr>
          </w:p>
        </w:tc>
        <w:tc>
          <w:tcPr>
            <w:tcW w:w="20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38,479,960</w:t>
            </w:r>
          </w:p>
        </w:tc>
        <w:tc>
          <w:tcPr>
            <w:tcW w:w="120" w:type="dxa"/>
            <w:vAlign w:val="bottom"/>
            <w:tcBorders>
              <w:top w:val="single" w:sz="8" w:color="CFF0FC"/>
            </w:tcBorders>
          </w:tcPr>
          <w:p>
            <w:pPr>
              <w:spacing w:after="0"/>
              <w:rPr>
                <w:sz w:val="21"/>
                <w:szCs w:val="21"/>
                <w:color w:val="auto"/>
              </w:rPr>
            </w:pPr>
          </w:p>
        </w:tc>
      </w:tr>
      <w:tr>
        <w:trPr>
          <w:trHeight w:val="20"/>
        </w:trPr>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Income Taxes</w:t>
            </w:r>
          </w:p>
        </w:tc>
        <w:tc>
          <w:tcPr>
            <w:tcW w:w="480" w:type="dxa"/>
            <w:vAlign w:val="bottom"/>
            <w:shd w:val="clear" w:color="auto" w:fill="CFF0FC"/>
          </w:tcPr>
          <w:p>
            <w:pPr>
              <w:spacing w:after="0"/>
              <w:rPr>
                <w:sz w:val="20"/>
                <w:szCs w:val="20"/>
                <w:color w:val="auto"/>
              </w:rPr>
            </w:pPr>
          </w:p>
        </w:tc>
        <w:tc>
          <w:tcPr>
            <w:tcW w:w="1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50"/>
        </w:trPr>
        <w:tc>
          <w:tcPr>
            <w:tcW w:w="3160" w:type="dxa"/>
            <w:vAlign w:val="bottom"/>
          </w:tcPr>
          <w:p>
            <w:pPr>
              <w:ind w:left="20"/>
              <w:spacing w:after="0"/>
              <w:rPr>
                <w:sz w:val="20"/>
                <w:szCs w:val="20"/>
                <w:color w:val="auto"/>
              </w:rPr>
            </w:pPr>
            <w:r>
              <w:rPr>
                <w:rFonts w:ascii="Arial" w:cs="Arial" w:eastAsia="Arial" w:hAnsi="Arial"/>
                <w:sz w:val="18"/>
                <w:szCs w:val="18"/>
                <w:color w:val="auto"/>
              </w:rPr>
              <w:t>Consumer Packaged Goods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16,017,796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12,928,449</w:t>
            </w:r>
          </w:p>
        </w:tc>
        <w:tc>
          <w:tcPr>
            <w:tcW w:w="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42,951,572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23,553,449</w:t>
            </w:r>
          </w:p>
        </w:tc>
        <w:tc>
          <w:tcPr>
            <w:tcW w:w="120" w:type="dxa"/>
            <w:vAlign w:val="bottom"/>
          </w:tcPr>
          <w:p>
            <w:pPr>
              <w:spacing w:after="0"/>
              <w:rPr>
                <w:sz w:val="21"/>
                <w:szCs w:val="2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w:t>
            </w:r>
          </w:p>
        </w:tc>
        <w:tc>
          <w:tcPr>
            <w:tcW w:w="480" w:type="dxa"/>
            <w:vAlign w:val="bottom"/>
            <w:shd w:val="clear" w:color="auto" w:fill="CFF0FC"/>
          </w:tcPr>
          <w:p>
            <w:pPr>
              <w:spacing w:after="0"/>
              <w:rPr>
                <w:sz w:val="22"/>
                <w:szCs w:val="22"/>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21,302,192</w:t>
            </w: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15,507,883</w:t>
            </w:r>
          </w:p>
        </w:tc>
        <w:tc>
          <w:tcPr>
            <w:tcW w:w="2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55,251,326</w:t>
            </w:r>
          </w:p>
        </w:tc>
        <w:tc>
          <w:tcPr>
            <w:tcW w:w="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33,410,598</w:t>
            </w:r>
          </w:p>
        </w:tc>
        <w:tc>
          <w:tcPr>
            <w:tcW w:w="120" w:type="dxa"/>
            <w:vAlign w:val="bottom"/>
            <w:shd w:val="clear" w:color="auto" w:fill="CFF0FC"/>
          </w:tcPr>
          <w:p>
            <w:pPr>
              <w:spacing w:after="0"/>
              <w:rPr>
                <w:sz w:val="22"/>
                <w:szCs w:val="22"/>
                <w:color w:val="auto"/>
              </w:rPr>
            </w:pPr>
          </w:p>
        </w:tc>
      </w:tr>
      <w:tr>
        <w:trPr>
          <w:trHeight w:val="257"/>
        </w:trPr>
        <w:tc>
          <w:tcPr>
            <w:tcW w:w="3160" w:type="dxa"/>
            <w:vAlign w:val="bottom"/>
          </w:tcPr>
          <w:p>
            <w:pPr>
              <w:ind w:left="20"/>
              <w:spacing w:after="0"/>
              <w:rPr>
                <w:sz w:val="20"/>
                <w:szCs w:val="20"/>
                <w:color w:val="auto"/>
              </w:rPr>
            </w:pPr>
            <w:r>
              <w:rPr>
                <w:rFonts w:ascii="Arial" w:cs="Arial" w:eastAsia="Arial" w:hAnsi="Arial"/>
                <w:sz w:val="18"/>
                <w:szCs w:val="18"/>
                <w:color w:val="auto"/>
              </w:rPr>
              <w:t>Intersegment Eliminations</w:t>
            </w:r>
          </w:p>
        </w:tc>
        <w:tc>
          <w:tcPr>
            <w:tcW w:w="480" w:type="dxa"/>
            <w:vAlign w:val="bottom"/>
          </w:tcPr>
          <w:p>
            <w:pPr>
              <w:spacing w:after="0"/>
              <w:rPr>
                <w:sz w:val="22"/>
                <w:szCs w:val="22"/>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90"/>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Income Taxes</w:t>
            </w:r>
          </w:p>
        </w:tc>
        <w:tc>
          <w:tcPr>
            <w:tcW w:w="4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37,319,988</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28,436,332</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98,202,898</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56,964,047</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-1722755</wp:posOffset>
            </wp:positionV>
            <wp:extent cx="20574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-1704975</wp:posOffset>
            </wp:positionV>
            <wp:extent cx="20574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-1722755</wp:posOffset>
            </wp:positionV>
            <wp:extent cx="1714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-1704975</wp:posOffset>
            </wp:positionV>
            <wp:extent cx="17145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-1722755</wp:posOffset>
            </wp:positionV>
            <wp:extent cx="1974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-1704975</wp:posOffset>
            </wp:positionV>
            <wp:extent cx="19748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-1722755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-1704975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-1042035</wp:posOffset>
            </wp:positionV>
            <wp:extent cx="2057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-1042035</wp:posOffset>
            </wp:positionV>
            <wp:extent cx="17145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-1042035</wp:posOffset>
            </wp:positionV>
            <wp:extent cx="19748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97485" cy="571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-1042035</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20574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-8255</wp:posOffset>
            </wp:positionV>
            <wp:extent cx="2057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17145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-8255</wp:posOffset>
            </wp:positionV>
            <wp:extent cx="1714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1974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748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19748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-24765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-8255</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auto"/>
        </w:rPr>
        <w:t>Goodwill assigned to the Consumer Packaged Goods segment as of September 30, 2021 and December 31, 2020 was $350,660,586 and $252,016,532, respectively. Intangible assets, net assigned to the Consumer Packaged Goods segment as of September 30, 2021 and December 31, 2020 was $270,549,090 and $211,303,718, respectively.</w:t>
      </w:r>
    </w:p>
    <w:p>
      <w:pPr>
        <w:spacing w:after="0" w:line="183" w:lineRule="exact"/>
        <w:rPr>
          <w:sz w:val="20"/>
          <w:szCs w:val="20"/>
          <w:color w:val="auto"/>
        </w:rPr>
      </w:pPr>
    </w:p>
    <w:p>
      <w:pPr>
        <w:ind w:right="220"/>
        <w:spacing w:after="0" w:line="359" w:lineRule="auto"/>
        <w:rPr>
          <w:sz w:val="20"/>
          <w:szCs w:val="20"/>
          <w:color w:val="auto"/>
        </w:rPr>
      </w:pPr>
      <w:r>
        <w:rPr>
          <w:rFonts w:ascii="Arial" w:cs="Arial" w:eastAsia="Arial" w:hAnsi="Arial"/>
          <w:sz w:val="16"/>
          <w:szCs w:val="16"/>
          <w:color w:val="auto"/>
        </w:rPr>
        <w:t>Goodwill assigned to the Retail segment as of September 30, 2021 and December 31, 2020 was $246,823,368 and $130,680,935, respectively. Intangible assets, net assigned to the Retail segment as of September 30, 2021 and December 31, 2020 was $278,635,262 and $194,938,316, respectively.</w:t>
      </w:r>
    </w:p>
    <w:p>
      <w:pPr>
        <w:spacing w:after="0" w:line="125"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The Company’s assets are aggregated into two reportable segments (Retail and Consumer Packaged Goods). For the purposes of testing goodwill, Green Thumb has identified 26 reporting units. The Company determined its reporting units by first reviewing the operating segments based on the geographic areas in which Green Thumb conducts business (or each market). The markets were then further divided into reporting units based on the market operations (Retail and Consumer Packaged Goods) which were primarily determined based on the licenses each market holds. All revenues are derived from customers domiciled in the United States and all assets are located in the United States.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 DISCUSSION AND ANALYSIS OF FINANCIAL CONDITION AND RESULTS OF OPERATION</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This management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of the financial condition and results of operations of Green Thumb Industries Inc. (the “</w:t>
      </w:r>
      <w:r>
        <w:rPr>
          <w:rFonts w:ascii="Arial" w:cs="Arial" w:eastAsia="Arial" w:hAnsi="Arial"/>
          <w:sz w:val="17"/>
          <w:szCs w:val="17"/>
          <w:b w:val="1"/>
          <w:bCs w:val="1"/>
          <w:color w:val="auto"/>
        </w:rPr>
        <w:t>Company</w:t>
      </w:r>
      <w:r>
        <w:rPr>
          <w:rFonts w:ascii="Arial" w:cs="Arial" w:eastAsia="Arial" w:hAnsi="Arial"/>
          <w:sz w:val="17"/>
          <w:szCs w:val="17"/>
          <w:color w:val="auto"/>
        </w:rPr>
        <w:t>” or “</w:t>
      </w:r>
      <w:r>
        <w:rPr>
          <w:rFonts w:ascii="Arial" w:cs="Arial" w:eastAsia="Arial" w:hAnsi="Arial"/>
          <w:sz w:val="17"/>
          <w:szCs w:val="17"/>
          <w:b w:val="1"/>
          <w:bCs w:val="1"/>
          <w:color w:val="auto"/>
        </w:rPr>
        <w:t>Green Thumb</w:t>
      </w:r>
      <w:r>
        <w:rPr>
          <w:rFonts w:ascii="Arial" w:cs="Arial" w:eastAsia="Arial" w:hAnsi="Arial"/>
          <w:sz w:val="17"/>
          <w:szCs w:val="17"/>
          <w:color w:val="auto"/>
        </w:rPr>
        <w:t>”) is for the three and nine months ended September 30, 2021 and 2020. It is supplemental to, and should be read in conjunction with, the Company’s unaudited interim condensed consolidated financial statements as of September 30, 2021 and the consolidated financial statements for the year ended December 31, 2020 included in the Company’s Annual Report on Form 10-K for the year ended December 31, 2020 filed with the U.S. Securities and Exchange Commission on March 18, 2021 (the “</w:t>
      </w:r>
      <w:r>
        <w:rPr>
          <w:rFonts w:ascii="Arial" w:cs="Arial" w:eastAsia="Arial" w:hAnsi="Arial"/>
          <w:sz w:val="17"/>
          <w:szCs w:val="17"/>
          <w:b w:val="1"/>
          <w:bCs w:val="1"/>
          <w:color w:val="auto"/>
        </w:rPr>
        <w:t>Original 2020 Form 10-K</w:t>
      </w:r>
      <w:r>
        <w:rPr>
          <w:rFonts w:ascii="Arial" w:cs="Arial" w:eastAsia="Arial" w:hAnsi="Arial"/>
          <w:sz w:val="17"/>
          <w:szCs w:val="17"/>
          <w:color w:val="auto"/>
        </w:rPr>
        <w:t>”) and the accompanying notes for each respective period, as amended by Amendment No. 1 on Form 10-K/A filed with the SEC on March 19, 2021, Amendment No. 2 on Form 10-K/A filed with the SEC on April 30, 2021 (the “Second Amendment”) and Amendment No. 3 on Form 10-K/A filed with the SEC on July 14, 2021. The Original 2020 Form 10-K as so amended is referred to herein as (the “</w:t>
      </w:r>
      <w:r>
        <w:rPr>
          <w:rFonts w:ascii="Arial" w:cs="Arial" w:eastAsia="Arial" w:hAnsi="Arial"/>
          <w:sz w:val="17"/>
          <w:szCs w:val="17"/>
          <w:b w:val="1"/>
          <w:bCs w:val="1"/>
          <w:color w:val="auto"/>
        </w:rPr>
        <w:t>2020 Form 10-K</w:t>
      </w:r>
      <w:r>
        <w:rPr>
          <w:rFonts w:ascii="Arial" w:cs="Arial" w:eastAsia="Arial" w:hAnsi="Arial"/>
          <w:sz w:val="17"/>
          <w:szCs w:val="17"/>
          <w:color w:val="auto"/>
        </w:rPr>
        <w:t>”). The Company’s financial statements are prepared in accordance with accounting principles generally 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Financial information presented in this MD&amp;A is presented in United States dollars (“</w:t>
      </w:r>
      <w:r>
        <w:rPr>
          <w:rFonts w:ascii="Arial" w:cs="Arial" w:eastAsia="Arial" w:hAnsi="Arial"/>
          <w:sz w:val="17"/>
          <w:szCs w:val="17"/>
          <w:b w:val="1"/>
          <w:bCs w:val="1"/>
          <w:color w:val="auto"/>
        </w:rPr>
        <w:t>$</w:t>
      </w:r>
      <w:r>
        <w:rPr>
          <w:rFonts w:ascii="Arial" w:cs="Arial" w:eastAsia="Arial" w:hAnsi="Arial"/>
          <w:sz w:val="17"/>
          <w:szCs w:val="17"/>
          <w:color w:val="auto"/>
        </w:rPr>
        <w:t>” or “</w:t>
      </w:r>
      <w:r>
        <w:rPr>
          <w:rFonts w:ascii="Arial" w:cs="Arial" w:eastAsia="Arial" w:hAnsi="Arial"/>
          <w:sz w:val="17"/>
          <w:szCs w:val="17"/>
          <w:b w:val="1"/>
          <w:bCs w:val="1"/>
          <w:color w:val="auto"/>
        </w:rPr>
        <w:t>US$</w:t>
      </w:r>
      <w:r>
        <w:rPr>
          <w:rFonts w:ascii="Arial" w:cs="Arial" w:eastAsia="Arial" w:hAnsi="Arial"/>
          <w:sz w:val="17"/>
          <w:szCs w:val="17"/>
          <w:color w:val="auto"/>
        </w:rPr>
        <w:t>”), unless otherwise indicated.</w:t>
      </w:r>
    </w:p>
    <w:p>
      <w:pPr>
        <w:spacing w:after="0" w:line="177" w:lineRule="exact"/>
        <w:rPr>
          <w:sz w:val="20"/>
          <w:szCs w:val="20"/>
          <w:color w:val="auto"/>
        </w:rPr>
      </w:pPr>
    </w:p>
    <w:p>
      <w:pPr>
        <w:ind w:right="260" w:firstLine="509"/>
        <w:spacing w:after="0" w:line="319" w:lineRule="auto"/>
        <w:rPr>
          <w:sz w:val="20"/>
          <w:szCs w:val="20"/>
          <w:color w:val="auto"/>
        </w:rPr>
      </w:pPr>
      <w:r>
        <w:rPr>
          <w:rFonts w:ascii="Arial" w:cs="Arial" w:eastAsia="Arial" w:hAnsi="Arial"/>
          <w:sz w:val="16"/>
          <w:szCs w:val="16"/>
          <w:color w:val="auto"/>
        </w:rPr>
        <w:t>This MD&amp;A contains certain “forward-looking statements” and certain “forward-looking information” as defined under applicable United States securities laws. Please refer to the discussion of forward-looking statements and information set out under the heading “Disclosure Regarding Forward-Looking Statements,” identified in the ‘‘Risks and Uncertainties’’ section of this MD&amp;A and in Part II, Item 1A, “Risk Factors.” As a result of many factors, the Company’s actual results may differ materially from those anticipated in these forward-looking statements and information.</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127" w:lineRule="exact"/>
        <w:rPr>
          <w:sz w:val="20"/>
          <w:szCs w:val="20"/>
          <w:color w:val="auto"/>
        </w:rPr>
      </w:pPr>
    </w:p>
    <w:p>
      <w:pPr>
        <w:ind w:firstLine="509"/>
        <w:spacing w:after="0" w:line="276" w:lineRule="auto"/>
        <w:rPr>
          <w:sz w:val="20"/>
          <w:szCs w:val="20"/>
          <w:color w:val="auto"/>
        </w:rPr>
      </w:pPr>
      <w:r>
        <w:rPr>
          <w:rFonts w:ascii="Arial" w:cs="Arial" w:eastAsia="Arial" w:hAnsi="Arial"/>
          <w:sz w:val="18"/>
          <w:szCs w:val="18"/>
          <w:color w:val="auto"/>
        </w:rPr>
        <w:t>In March 2020, the World Health Organization categorized coronavirus disease 2019 (together with its variants “</w:t>
      </w:r>
      <w:r>
        <w:rPr>
          <w:rFonts w:ascii="Arial" w:cs="Arial" w:eastAsia="Arial" w:hAnsi="Arial"/>
          <w:sz w:val="18"/>
          <w:szCs w:val="18"/>
          <w:b w:val="1"/>
          <w:bCs w:val="1"/>
          <w:color w:val="auto"/>
        </w:rPr>
        <w:t>COVID-19</w:t>
      </w:r>
      <w:r>
        <w:rPr>
          <w:rFonts w:ascii="Arial" w:cs="Arial" w:eastAsia="Arial" w:hAnsi="Arial"/>
          <w:sz w:val="18"/>
          <w:szCs w:val="18"/>
          <w:color w:val="auto"/>
        </w:rPr>
        <w:t>”) as a pandemic. COVID-19 continues to spread throughout the U.S. and other countries across the world, and the duration and severity of its effects and those of its variants are currently unknown. The Company continues to implement and evaluate actions to strengthen its financial position and support the continuity of its business and operations in the face of this pandemic and other events.</w:t>
      </w:r>
    </w:p>
    <w:p>
      <w:pPr>
        <w:spacing w:after="0" w:line="186"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The Company’s priorities during the COVID-19 pandemic are protecting the health and safety of its employees and its customers, following the recommended actions of government and health authorities. In the future, the pandemic may cause reduced demand for the Company’s products and services if, for example, the pandemic results in a recessionary economic environment or potential new restrictions on business operations or the movement of individuals. However, given the Company’s operations have to date been deemed “essential” services in the states in which it does business, the Company believes that there will continue to be strong demand for Green Thumb products.</w:t>
      </w:r>
    </w:p>
    <w:p>
      <w:pPr>
        <w:spacing w:after="0" w:line="174"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Operations of the Company are currently ongoing as the cultivation, processing and sale of cannabis products is currently considered an “essential” business by all states in which the Company operates with respect to all customers. The Company’s ability to continue to operate without any significant negative operational impact from the COVID-19 pandemic and any of its variants will in part depend on the Company’s ability to protect its employees, customers and supply chain and its continued designation as “essential” in states where it does business that currently or in the future impose restrictions on business operations.</w:t>
      </w:r>
    </w:p>
    <w:p>
      <w:pPr>
        <w:spacing w:after="0" w:line="191" w:lineRule="exact"/>
        <w:rPr>
          <w:sz w:val="20"/>
          <w:szCs w:val="20"/>
          <w:color w:val="auto"/>
        </w:rPr>
      </w:pPr>
    </w:p>
    <w:p>
      <w:pPr>
        <w:ind w:right="180" w:firstLine="509"/>
        <w:spacing w:after="0" w:line="275" w:lineRule="auto"/>
        <w:rPr>
          <w:sz w:val="20"/>
          <w:szCs w:val="20"/>
          <w:color w:val="auto"/>
        </w:rPr>
      </w:pPr>
      <w:r>
        <w:rPr>
          <w:rFonts w:ascii="Arial" w:cs="Arial" w:eastAsia="Arial" w:hAnsi="Arial"/>
          <w:sz w:val="18"/>
          <w:szCs w:val="18"/>
          <w:color w:val="auto"/>
        </w:rPr>
        <w:t>The pandemic has not materially impacted the Company’s business operations or liquidity position to date. The Company continues to generate operating cash flows to meet its short-term liquidity needs. In all locations where applicable regulations limiting in-store retail activity have been enacted by governmental authorities, the Company has expanded consumer delivery options and curbside pickup to help further protect the health and safety of Green Thumb employees and customers.</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3" w:name="page34"/>
    <w:bookmarkEnd w:id="33"/>
    <w:p>
      <w:pPr>
        <w:ind w:firstLine="509"/>
        <w:spacing w:after="0" w:line="296" w:lineRule="auto"/>
        <w:rPr>
          <w:sz w:val="20"/>
          <w:szCs w:val="20"/>
          <w:color w:val="auto"/>
        </w:rPr>
      </w:pPr>
      <w:r>
        <w:rPr>
          <w:rFonts w:ascii="Arial" w:cs="Arial" w:eastAsia="Arial" w:hAnsi="Arial"/>
          <w:sz w:val="17"/>
          <w:szCs w:val="17"/>
          <w:color w:val="auto"/>
        </w:rPr>
        <w:t>During the first nine months of 2021 the Company’s revenue, gross profit and operating income were not negatively impacted by COVID-19 and the Company generally maintained the consistency of its operations. However, the uncertain nature of the spread of COVID-19 and its variants may impact its business operations for reasons including the potential quarantine of Green Thumb employees or those of its supply chain partners and its continued designation as “essential” in states where it does business that currently or in the future impose restrictions on business operations.</w:t>
      </w:r>
    </w:p>
    <w:p>
      <w:pPr>
        <w:spacing w:after="0" w:line="399" w:lineRule="exact"/>
        <w:rPr>
          <w:sz w:val="20"/>
          <w:szCs w:val="20"/>
          <w:color w:val="auto"/>
        </w:rPr>
      </w:pPr>
    </w:p>
    <w:p>
      <w:pPr>
        <w:ind w:right="480" w:firstLine="509"/>
        <w:spacing w:after="0" w:line="293"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Green Thumb’s results, please refer to “Risk Factors” in Part II, Item 1A of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135" w:lineRule="exact"/>
        <w:rPr>
          <w:sz w:val="20"/>
          <w:szCs w:val="20"/>
          <w:color w:val="auto"/>
        </w:rPr>
      </w:pPr>
    </w:p>
    <w:p>
      <w:pPr>
        <w:ind w:right="300" w:firstLine="509"/>
        <w:spacing w:after="0" w:line="329" w:lineRule="auto"/>
        <w:rPr>
          <w:sz w:val="20"/>
          <w:szCs w:val="20"/>
          <w:color w:val="auto"/>
        </w:rPr>
      </w:pPr>
      <w:r>
        <w:rPr>
          <w:rFonts w:ascii="Arial" w:cs="Arial" w:eastAsia="Arial" w:hAnsi="Arial"/>
          <w:sz w:val="16"/>
          <w:szCs w:val="16"/>
          <w:color w:val="auto"/>
        </w:rPr>
        <w:t>Established in 2014 and headquartered in Chicago, Illinois, Green Thumb, a national cannabis consumer packaged goods company and retailer promotes well-being through the power of cannabis while being committed to community and sustainable profitable growth. As of September 30, 2021, Green Thumb has revenue in 14 U.S. markets, employs approximately 3,400 people and serves millions of patients and customers annually.</w:t>
      </w:r>
    </w:p>
    <w:p>
      <w:pPr>
        <w:spacing w:after="0" w:line="148" w:lineRule="exact"/>
        <w:rPr>
          <w:sz w:val="20"/>
          <w:szCs w:val="20"/>
          <w:color w:val="auto"/>
        </w:rPr>
      </w:pPr>
    </w:p>
    <w:p>
      <w:pPr>
        <w:ind w:right="60" w:firstLine="509"/>
        <w:spacing w:after="0" w:line="275" w:lineRule="auto"/>
        <w:rPr>
          <w:sz w:val="20"/>
          <w:szCs w:val="20"/>
          <w:color w:val="auto"/>
        </w:rPr>
      </w:pPr>
      <w:r>
        <w:rPr>
          <w:rFonts w:ascii="Arial" w:cs="Arial" w:eastAsia="Arial" w:hAnsi="Arial"/>
          <w:sz w:val="18"/>
          <w:szCs w:val="18"/>
          <w:color w:val="auto"/>
        </w:rPr>
        <w:t>Green Thumb’s core business is manufacturing, distributing and marketing a portfolio of owned cannabis consumer packaged goods brands (which we refer to as our Consumer Packaged Goods business), including Beboe, Dogwalkers, Dr. Solomon’s, Good Green, incredibles and Rythm. The Company distributes and markets these products primarily to third-party licensed retail cannabis stores across the United States as well as to Green Thumb-owned retail stores (which we refer to as our Retail business).</w:t>
      </w:r>
    </w:p>
    <w:p>
      <w:pPr>
        <w:spacing w:after="0" w:line="185" w:lineRule="exact"/>
        <w:rPr>
          <w:sz w:val="20"/>
          <w:szCs w:val="20"/>
          <w:color w:val="auto"/>
        </w:rPr>
      </w:pPr>
    </w:p>
    <w:p>
      <w:pPr>
        <w:ind w:right="340" w:firstLine="509"/>
        <w:spacing w:after="0" w:line="290" w:lineRule="auto"/>
        <w:rPr>
          <w:sz w:val="20"/>
          <w:szCs w:val="20"/>
          <w:color w:val="auto"/>
        </w:rPr>
      </w:pPr>
      <w:r>
        <w:rPr>
          <w:rFonts w:ascii="Arial" w:cs="Arial" w:eastAsia="Arial" w:hAnsi="Arial"/>
          <w:sz w:val="17"/>
          <w:szCs w:val="17"/>
          <w:color w:val="auto"/>
        </w:rPr>
        <w:t>The Company’s Consumer Packaged Goods portfolio is primarily generated from plant material that Green Thumb grows and processes itself, which we use to produce our consumer packaged goods in 16 manufacturing facilities. This portfolio consists of stock keeping units (“</w:t>
      </w:r>
      <w:r>
        <w:rPr>
          <w:rFonts w:ascii="Arial" w:cs="Arial" w:eastAsia="Arial" w:hAnsi="Arial"/>
          <w:sz w:val="17"/>
          <w:szCs w:val="17"/>
          <w:b w:val="1"/>
          <w:bCs w:val="1"/>
          <w:color w:val="auto"/>
        </w:rPr>
        <w:t>SKUs</w:t>
      </w:r>
      <w:r>
        <w:rPr>
          <w:rFonts w:ascii="Arial" w:cs="Arial" w:eastAsia="Arial" w:hAnsi="Arial"/>
          <w:sz w:val="17"/>
          <w:szCs w:val="17"/>
          <w:color w:val="auto"/>
        </w:rPr>
        <w:t>”) across a range of cannabis product categories, including flower, pre-rolls, concentrates, vape, capsules, tinctures, edibles, topicals and other cannabis-related products (none of which product categories are individually material to the Company). These Consumer Packaged Goods products are sold in retail locations throughout the U.S. including at Green Thumb’s own Rise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other dispensaries.</w:t>
      </w:r>
    </w:p>
    <w:p>
      <w:pPr>
        <w:spacing w:after="0" w:line="91" w:lineRule="exact"/>
        <w:rPr>
          <w:sz w:val="20"/>
          <w:szCs w:val="20"/>
          <w:color w:val="auto"/>
        </w:rPr>
      </w:pPr>
    </w:p>
    <w:p>
      <w:pPr>
        <w:ind w:right="20" w:firstLine="509"/>
        <w:spacing w:after="0" w:line="276" w:lineRule="auto"/>
        <w:rPr>
          <w:sz w:val="20"/>
          <w:szCs w:val="20"/>
          <w:color w:val="auto"/>
        </w:rPr>
      </w:pPr>
      <w:r>
        <w:rPr>
          <w:rFonts w:ascii="Arial" w:cs="Arial" w:eastAsia="Arial" w:hAnsi="Arial"/>
          <w:sz w:val="17"/>
          <w:szCs w:val="17"/>
          <w:color w:val="auto"/>
        </w:rPr>
        <w:t>Green Thumb owns and operates a national cannabis retail chain called Rise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Green Thumb owns stores under other names, primarily where we co-own the stores or naming is subject to licensing or similar restrictions. The income from Green Thumb’s retail stores is primarily from the sale of cannabis-related products, which includes the sale of Green Thumb produced products as well as those produced by third parties, with an immaterial (under 10%) portion of this income resulting from the sale of other merchandise (such as t-shirts and accessories for cannabis use). The Rise stores currently are located in nine of the states in which we operate (including Nevada and Virginia). As of September 30, 2021, the Company had 65 open and operating retail locations. The Company’s new store opening plans will remain fluid depending on market conditions, obtaining local licensing, construction and other permissions and subject to the Company’s capital allocation plans and the evolving situation with respect to the COVID-19 as described above and under the heading “Liquidity, Financing Activities During the Period, and Capital Resources”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Results of Operations – Consolidated</w:t>
      </w:r>
    </w:p>
    <w:p>
      <w:pPr>
        <w:spacing w:after="0" w:line="131" w:lineRule="exact"/>
        <w:rPr>
          <w:sz w:val="20"/>
          <w:szCs w:val="20"/>
          <w:color w:val="auto"/>
        </w:rPr>
      </w:pPr>
    </w:p>
    <w:p>
      <w:pPr>
        <w:ind w:right="20" w:firstLine="509"/>
        <w:spacing w:after="0" w:line="296" w:lineRule="auto"/>
        <w:rPr>
          <w:sz w:val="20"/>
          <w:szCs w:val="20"/>
          <w:color w:val="auto"/>
        </w:rPr>
      </w:pPr>
      <w:r>
        <w:rPr>
          <w:rFonts w:ascii="Arial" w:cs="Arial" w:eastAsia="Arial" w:hAnsi="Arial"/>
          <w:sz w:val="17"/>
          <w:szCs w:val="17"/>
          <w:color w:val="auto"/>
        </w:rPr>
        <w:t>The following table sets forth the Company’s selected consolidated financial results for the periods, and as of the dates, indicated. The (i) unaudited condensed consolidated statements of operations for the three and nine months ended September 30, 2021 and 2020 and (ii) unaudited interim condensed consolidated balance sheet as of September 30, 2021 and December 31, 2020 have been derived from, and should be read in conjunction with the unaudited interim condensed consolidated financial statements and accompanying notes presented in Item 1 of this Report.</w:t>
      </w:r>
    </w:p>
    <w:p>
      <w:pPr>
        <w:spacing w:after="0" w:line="399" w:lineRule="exact"/>
        <w:rPr>
          <w:sz w:val="20"/>
          <w:szCs w:val="20"/>
          <w:color w:val="auto"/>
        </w:rPr>
      </w:pPr>
    </w:p>
    <w:p>
      <w:pPr>
        <w:ind w:right="100" w:firstLine="509"/>
        <w:spacing w:after="0" w:line="359" w:lineRule="auto"/>
        <w:rPr>
          <w:sz w:val="20"/>
          <w:szCs w:val="20"/>
          <w:color w:val="auto"/>
        </w:rPr>
      </w:pPr>
      <w:r>
        <w:rPr>
          <w:rFonts w:ascii="Arial" w:cs="Arial" w:eastAsia="Arial" w:hAnsi="Arial"/>
          <w:sz w:val="16"/>
          <w:szCs w:val="16"/>
          <w:color w:val="auto"/>
        </w:rPr>
        <w:t>The Company’s unaudited interim condensed consolidated financial statements have been prepared in accordance with U.S. GAAP and on a going-concern basis that contemplates continuity of operations and realization of assets and liquidation of liabilities in the ordinary course of business.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right"/>
              <w:ind w:right="46"/>
              <w:spacing w:after="0"/>
              <w:rPr>
                <w:sz w:val="20"/>
                <w:szCs w:val="20"/>
                <w:color w:val="auto"/>
              </w:rPr>
            </w:pPr>
            <w:r>
              <w:rPr>
                <w:rFonts w:ascii="Arial" w:cs="Arial" w:eastAsia="Arial" w:hAnsi="Arial"/>
                <w:sz w:val="14"/>
                <w:szCs w:val="14"/>
                <w:b w:val="1"/>
                <w:bCs w:val="1"/>
                <w:color w:val="auto"/>
                <w:w w:val="96"/>
              </w:rPr>
              <w:t>Three Months Ended September</w:t>
            </w:r>
          </w:p>
        </w:tc>
        <w:tc>
          <w:tcPr>
            <w:tcW w:w="120" w:type="dxa"/>
            <w:vAlign w:val="bottom"/>
          </w:tcPr>
          <w:p>
            <w:pPr>
              <w:spacing w:after="0"/>
              <w:rPr>
                <w:sz w:val="15"/>
                <w:szCs w:val="15"/>
                <w:color w:val="auto"/>
              </w:rPr>
            </w:pPr>
          </w:p>
        </w:tc>
        <w:tc>
          <w:tcPr>
            <w:tcW w:w="21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Nine Months Ended September</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QTD Change</w:t>
            </w:r>
          </w:p>
        </w:tc>
        <w:tc>
          <w:tcPr>
            <w:tcW w:w="160" w:type="dxa"/>
            <w:vAlign w:val="bottom"/>
          </w:tcPr>
          <w:p>
            <w:pPr>
              <w:spacing w:after="0"/>
              <w:rPr>
                <w:sz w:val="16"/>
                <w:szCs w:val="16"/>
                <w:color w:val="auto"/>
              </w:rPr>
            </w:pPr>
          </w:p>
        </w:tc>
        <w:tc>
          <w:tcPr>
            <w:tcW w:w="16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YTD Change</w:t>
            </w: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Revenues, net of discounts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2"/>
              </w:rPr>
              <w:t>233,676,881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157,103,841</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649,979,277</w:t>
            </w:r>
          </w:p>
        </w:tc>
        <w:tc>
          <w:tcPr>
            <w:tcW w:w="1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379,346,367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4"/>
              </w:rPr>
              <w:t>76,573,040</w:t>
            </w:r>
          </w:p>
        </w:tc>
        <w:tc>
          <w:tcPr>
            <w:tcW w:w="4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49%</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270,632,910</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71%</w:t>
            </w:r>
          </w:p>
        </w:tc>
        <w:tc>
          <w:tcPr>
            <w:tcW w:w="0" w:type="dxa"/>
            <w:vAlign w:val="bottom"/>
          </w:tcPr>
          <w:p>
            <w:pPr>
              <w:spacing w:after="0"/>
              <w:rPr>
                <w:sz w:val="1"/>
                <w:szCs w:val="1"/>
                <w:color w:val="auto"/>
              </w:rPr>
            </w:pPr>
          </w:p>
        </w:tc>
      </w:tr>
      <w:tr>
        <w:trPr>
          <w:trHeight w:val="196"/>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Cost of Goods Sold, net</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(104,159,371)</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(70,146,676)</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(286,685,443)</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color w:val="auto"/>
                <w:w w:val="94"/>
              </w:rPr>
              <w:t>(175,707,874)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(34,012,695)</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(48)%</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(110,977,569)</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(63)%</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w w:val="92"/>
              </w:rPr>
              <w:t>129,517,510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86,957,165</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363,293,834</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203,638,493</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4"/>
              </w:rPr>
              <w:t>42,560,345</w:t>
            </w:r>
          </w:p>
        </w:tc>
        <w:tc>
          <w:tcPr>
            <w:tcW w:w="4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49%</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159,655,341</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78%</w:t>
            </w:r>
          </w:p>
        </w:tc>
        <w:tc>
          <w:tcPr>
            <w:tcW w:w="0" w:type="dxa"/>
            <w:vAlign w:val="bottom"/>
          </w:tcPr>
          <w:p>
            <w:pPr>
              <w:spacing w:after="0"/>
              <w:rPr>
                <w:sz w:val="1"/>
                <w:szCs w:val="1"/>
                <w:color w:val="auto"/>
              </w:rPr>
            </w:pPr>
          </w:p>
        </w:tc>
      </w:tr>
      <w:tr>
        <w:trPr>
          <w:trHeight w:val="197"/>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Total Expenses</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71,448,927</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49,745,979</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202,835,651</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144,823,947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21,702,948</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44%</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58,011,704</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40%</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Income From Operations</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w w:val="94"/>
              </w:rPr>
              <w:t>58,068,583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37,211,186</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160,458,183</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58,814,546</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4"/>
              </w:rPr>
              <w:t>20,857,397</w:t>
            </w:r>
          </w:p>
        </w:tc>
        <w:tc>
          <w:tcPr>
            <w:tcW w:w="4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56%</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101,643,637</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173%</w:t>
            </w:r>
          </w:p>
        </w:tc>
        <w:tc>
          <w:tcPr>
            <w:tcW w:w="0" w:type="dxa"/>
            <w:vAlign w:val="bottom"/>
          </w:tcPr>
          <w:p>
            <w:pPr>
              <w:spacing w:after="0"/>
              <w:rPr>
                <w:sz w:val="1"/>
                <w:szCs w:val="1"/>
                <w:color w:val="auto"/>
              </w:rPr>
            </w:pPr>
          </w:p>
        </w:tc>
      </w:tr>
      <w:tr>
        <w:trPr>
          <w:trHeight w:val="197"/>
        </w:trPr>
        <w:tc>
          <w:tcPr>
            <w:tcW w:w="3140" w:type="dxa"/>
            <w:vAlign w:val="bottom"/>
            <w:gridSpan w:val="2"/>
          </w:tcPr>
          <w:p>
            <w:pPr>
              <w:ind w:left="200"/>
              <w:spacing w:after="0"/>
              <w:rPr>
                <w:sz w:val="20"/>
                <w:szCs w:val="20"/>
                <w:color w:val="auto"/>
              </w:rPr>
            </w:pPr>
            <w:r>
              <w:rPr>
                <w:rFonts w:ascii="Arial" w:cs="Arial" w:eastAsia="Arial" w:hAnsi="Arial"/>
                <w:sz w:val="14"/>
                <w:szCs w:val="14"/>
                <w:color w:val="auto"/>
              </w:rPr>
              <w:t>Total Other Income (Expense)</w:t>
            </w:r>
          </w:p>
        </w:tc>
        <w:tc>
          <w:tcPr>
            <w:tcW w:w="140" w:type="dxa"/>
            <w:vAlign w:val="bottom"/>
          </w:tcPr>
          <w:p>
            <w:pPr>
              <w:spacing w:after="0"/>
              <w:rPr>
                <w:sz w:val="17"/>
                <w:szCs w:val="17"/>
                <w:color w:val="auto"/>
              </w:rPr>
            </w:pPr>
          </w:p>
        </w:tc>
        <w:tc>
          <w:tcPr>
            <w:tcW w:w="980" w:type="dxa"/>
            <w:vAlign w:val="bottom"/>
          </w:tcPr>
          <w:p>
            <w:pPr>
              <w:jc w:val="center"/>
              <w:ind w:left="48"/>
              <w:spacing w:after="0"/>
              <w:rPr>
                <w:sz w:val="20"/>
                <w:szCs w:val="20"/>
                <w:color w:val="auto"/>
              </w:rPr>
            </w:pPr>
            <w:r>
              <w:rPr>
                <w:rFonts w:ascii="Arial" w:cs="Arial" w:eastAsia="Arial" w:hAnsi="Arial"/>
                <w:sz w:val="14"/>
                <w:szCs w:val="14"/>
                <w:color w:val="auto"/>
                <w:w w:val="90"/>
              </w:rPr>
              <w:t>836,182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1,978,155</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(5,940,749)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4"/>
              </w:rPr>
              <w:t>(6,624,987)</w:t>
            </w:r>
          </w:p>
        </w:tc>
        <w:tc>
          <w:tcPr>
            <w:tcW w:w="14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2"/>
              </w:rPr>
              <w:t>(1,141,973)</w:t>
            </w:r>
          </w:p>
        </w:tc>
        <w:tc>
          <w:tcPr>
            <w:tcW w:w="400" w:type="dxa"/>
            <w:vAlign w:val="bottom"/>
          </w:tcPr>
          <w:p>
            <w:pPr>
              <w:jc w:val="center"/>
              <w:spacing w:after="0"/>
              <w:rPr>
                <w:sz w:val="20"/>
                <w:szCs w:val="20"/>
                <w:color w:val="auto"/>
              </w:rPr>
            </w:pPr>
            <w:r>
              <w:rPr>
                <w:rFonts w:ascii="Arial" w:cs="Arial" w:eastAsia="Arial" w:hAnsi="Arial"/>
                <w:sz w:val="14"/>
                <w:szCs w:val="14"/>
                <w:color w:val="auto"/>
                <w:w w:val="96"/>
              </w:rPr>
              <w:t>(58)%</w:t>
            </w:r>
          </w:p>
        </w:tc>
        <w:tc>
          <w:tcPr>
            <w:tcW w:w="1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684,238</w:t>
            </w: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183"/>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5"/>
              </w:rPr>
              <w:t>Income Before Provision for Income Taxes and Non-</w:t>
            </w:r>
          </w:p>
        </w:tc>
        <w:tc>
          <w:tcPr>
            <w:tcW w:w="14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Controlling Interest</w:t>
            </w: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w w:val="94"/>
              </w:rPr>
              <w:t>58,904,765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39,189,341</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154,517,434</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52,189,559</w:t>
            </w:r>
          </w:p>
        </w:tc>
        <w:tc>
          <w:tcPr>
            <w:tcW w:w="14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4"/>
              </w:rPr>
              <w:t>19,715,424</w:t>
            </w:r>
          </w:p>
        </w:tc>
        <w:tc>
          <w:tcPr>
            <w:tcW w:w="4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50%</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102,327,875</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196%</w:t>
            </w:r>
          </w:p>
        </w:tc>
        <w:tc>
          <w:tcPr>
            <w:tcW w:w="0" w:type="dxa"/>
            <w:vAlign w:val="bottom"/>
          </w:tcPr>
          <w:p>
            <w:pPr>
              <w:spacing w:after="0"/>
              <w:rPr>
                <w:sz w:val="1"/>
                <w:szCs w:val="1"/>
                <w:color w:val="auto"/>
              </w:rPr>
            </w:pPr>
          </w:p>
        </w:tc>
      </w:tr>
      <w:tr>
        <w:trPr>
          <w:trHeight w:val="197"/>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Provision for Income Taxes</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4"/>
              </w:rPr>
              <w:t>37,319,988</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28,436,332</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98,202,898</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56,964,047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8,883,656</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31%</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41,238,851</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72%</w:t>
            </w:r>
          </w:p>
        </w:tc>
        <w:tc>
          <w:tcPr>
            <w:tcW w:w="0" w:type="dxa"/>
            <w:vAlign w:val="bottom"/>
          </w:tcPr>
          <w:p>
            <w:pPr>
              <w:spacing w:after="0"/>
              <w:rPr>
                <w:sz w:val="1"/>
                <w:szCs w:val="1"/>
                <w:color w:val="auto"/>
              </w:rPr>
            </w:pPr>
          </w:p>
        </w:tc>
      </w:tr>
      <w:tr>
        <w:trPr>
          <w:trHeight w:val="202"/>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9"/>
              </w:rPr>
              <w:t>Net Income (Loss) Before Non-Controlling Interest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w w:val="94"/>
              </w:rPr>
              <w:t>21,584,777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10,753,009</w:t>
            </w: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1"/>
              </w:rPr>
              <w:t>56,314,536</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(4,774,488)</w:t>
            </w:r>
          </w:p>
        </w:tc>
        <w:tc>
          <w:tcPr>
            <w:tcW w:w="1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4"/>
              </w:rPr>
              <w:t>10,831,768</w:t>
            </w:r>
          </w:p>
        </w:tc>
        <w:tc>
          <w:tcPr>
            <w:tcW w:w="4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101%</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61,089,024</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1,279%</w:t>
            </w:r>
          </w:p>
        </w:tc>
        <w:tc>
          <w:tcPr>
            <w:tcW w:w="0" w:type="dxa"/>
            <w:vAlign w:val="bottom"/>
          </w:tcPr>
          <w:p>
            <w:pPr>
              <w:spacing w:after="0"/>
              <w:rPr>
                <w:sz w:val="1"/>
                <w:szCs w:val="1"/>
                <w:color w:val="auto"/>
              </w:rPr>
            </w:pPr>
          </w:p>
        </w:tc>
      </w:tr>
      <w:tr>
        <w:trPr>
          <w:trHeight w:val="196"/>
        </w:trPr>
        <w:tc>
          <w:tcPr>
            <w:tcW w:w="3140" w:type="dxa"/>
            <w:vAlign w:val="bottom"/>
            <w:gridSpan w:val="2"/>
          </w:tcPr>
          <w:p>
            <w:pPr>
              <w:ind w:left="20"/>
              <w:spacing w:after="0"/>
              <w:rPr>
                <w:sz w:val="20"/>
                <w:szCs w:val="20"/>
                <w:color w:val="auto"/>
              </w:rPr>
            </w:pPr>
            <w:r>
              <w:rPr>
                <w:rFonts w:ascii="Arial" w:cs="Arial" w:eastAsia="Arial" w:hAnsi="Arial"/>
                <w:sz w:val="14"/>
                <w:szCs w:val="14"/>
                <w:color w:val="auto"/>
                <w:w w:val="98"/>
              </w:rPr>
              <w:t>Net Income Attributable to Non-Controlling Interest</w:t>
            </w:r>
          </w:p>
        </w:tc>
        <w:tc>
          <w:tcPr>
            <w:tcW w:w="140" w:type="dxa"/>
            <w:vAlign w:val="bottom"/>
          </w:tcPr>
          <w:p>
            <w:pPr>
              <w:spacing w:after="0"/>
              <w:rPr>
                <w:sz w:val="17"/>
                <w:szCs w:val="17"/>
                <w:color w:val="auto"/>
              </w:rPr>
            </w:pP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3"/>
              </w:rPr>
              <w:t>1,375,623</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1,109,080</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3,684,725</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
              <w:spacing w:after="0"/>
              <w:rPr>
                <w:sz w:val="20"/>
                <w:szCs w:val="20"/>
                <w:color w:val="auto"/>
              </w:rPr>
            </w:pPr>
            <w:r>
              <w:rPr>
                <w:rFonts w:ascii="Arial" w:cs="Arial" w:eastAsia="Arial" w:hAnsi="Arial"/>
                <w:sz w:val="14"/>
                <w:szCs w:val="14"/>
                <w:color w:val="auto"/>
                <w:w w:val="93"/>
              </w:rPr>
              <w:t>2,697,352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266,543</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24%</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987,373</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183"/>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Income (Loss) Attributable to Green Thumb</w:t>
            </w:r>
          </w:p>
        </w:tc>
        <w:tc>
          <w:tcPr>
            <w:tcW w:w="140" w:type="dxa"/>
            <w:vAlign w:val="bottom"/>
            <w:shd w:val="clear" w:color="auto" w:fill="CFF0FC"/>
          </w:tcPr>
          <w:p>
            <w:pPr>
              <w:spacing w:after="0"/>
              <w:rPr>
                <w:sz w:val="15"/>
                <w:szCs w:val="15"/>
                <w:color w:val="auto"/>
              </w:rPr>
            </w:pPr>
          </w:p>
        </w:tc>
        <w:tc>
          <w:tcPr>
            <w:tcW w:w="980" w:type="dxa"/>
            <w:vAlign w:val="bottom"/>
            <w:vMerge w:val="restart"/>
            <w:shd w:val="clear" w:color="auto" w:fill="CFF0FC"/>
          </w:tcPr>
          <w:p>
            <w:pPr>
              <w:jc w:val="center"/>
              <w:ind w:left="48"/>
              <w:spacing w:after="0"/>
              <w:rPr>
                <w:sz w:val="20"/>
                <w:szCs w:val="20"/>
                <w:color w:val="auto"/>
              </w:rPr>
            </w:pPr>
            <w:r>
              <w:rPr>
                <w:rFonts w:ascii="Arial" w:cs="Arial" w:eastAsia="Arial" w:hAnsi="Arial"/>
                <w:sz w:val="14"/>
                <w:szCs w:val="14"/>
                <w:color w:val="auto"/>
                <w:w w:val="94"/>
              </w:rPr>
              <w:t>20,209,154</w:t>
            </w:r>
          </w:p>
        </w:tc>
        <w:tc>
          <w:tcPr>
            <w:tcW w:w="1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3"/>
              </w:rPr>
              <w:t>9,643,929</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1"/>
              </w:rPr>
              <w:t>52,629,811</w:t>
            </w:r>
          </w:p>
        </w:tc>
        <w:tc>
          <w:tcPr>
            <w:tcW w:w="4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4"/>
              </w:rPr>
              <w:t>(7,471,840)</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4"/>
              </w:rPr>
              <w:t>10,565,225</w:t>
            </w:r>
          </w:p>
        </w:tc>
        <w:tc>
          <w:tcPr>
            <w:tcW w:w="40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89"/>
              </w:rPr>
              <w:t>110%</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4"/>
              </w:rPr>
              <w:t>60,101,651</w:t>
            </w:r>
          </w:p>
        </w:tc>
        <w:tc>
          <w:tcPr>
            <w:tcW w:w="60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4"/>
              </w:rPr>
              <w:t>804%</w:t>
            </w:r>
          </w:p>
        </w:tc>
        <w:tc>
          <w:tcPr>
            <w:tcW w:w="0" w:type="dxa"/>
            <w:vAlign w:val="bottom"/>
          </w:tcPr>
          <w:p>
            <w:pPr>
              <w:spacing w:after="0"/>
              <w:rPr>
                <w:sz w:val="1"/>
                <w:szCs w:val="1"/>
                <w:color w:val="auto"/>
              </w:rPr>
            </w:pPr>
          </w:p>
        </w:tc>
      </w:tr>
      <w:tr>
        <w:trPr>
          <w:trHeight w:val="194"/>
        </w:trPr>
        <w:tc>
          <w:tcPr>
            <w:tcW w:w="3140" w:type="dxa"/>
            <w:vAlign w:val="bottom"/>
            <w:tcBorders>
              <w:bottom w:val="single" w:sz="8" w:color="CFF0FC"/>
            </w:tcBorders>
            <w:gridSpan w:val="2"/>
            <w:shd w:val="clear" w:color="auto" w:fill="CFF0FC"/>
          </w:tcPr>
          <w:p>
            <w:pPr>
              <w:ind w:left="20"/>
              <w:spacing w:after="0" w:line="154" w:lineRule="exact"/>
              <w:rPr>
                <w:sz w:val="20"/>
                <w:szCs w:val="20"/>
                <w:color w:val="auto"/>
              </w:rPr>
            </w:pPr>
            <w:r>
              <w:rPr>
                <w:rFonts w:ascii="Arial" w:cs="Arial" w:eastAsia="Arial" w:hAnsi="Arial"/>
                <w:sz w:val="14"/>
                <w:szCs w:val="14"/>
                <w:color w:val="auto"/>
              </w:rPr>
              <w:t>Industries Inc.</w:t>
            </w:r>
          </w:p>
        </w:tc>
        <w:tc>
          <w:tcPr>
            <w:tcW w:w="140" w:type="dxa"/>
            <w:vAlign w:val="bottom"/>
            <w:tcBorders>
              <w:bottom w:val="single" w:sz="8" w:color="CFF0FC"/>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vMerge w:val="continue"/>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CFF0FC"/>
            </w:tcBorders>
            <w:vMerge w:val="continue"/>
            <w:shd w:val="clear" w:color="auto" w:fill="CFF0FC"/>
          </w:tcPr>
          <w:p>
            <w:pPr>
              <w:spacing w:after="0"/>
              <w:rPr>
                <w:sz w:val="16"/>
                <w:szCs w:val="16"/>
                <w:color w:val="auto"/>
              </w:rPr>
            </w:pPr>
          </w:p>
        </w:tc>
        <w:tc>
          <w:tcPr>
            <w:tcW w:w="1120" w:type="dxa"/>
            <w:vAlign w:val="bottom"/>
            <w:tcBorders>
              <w:bottom w:val="single" w:sz="8" w:color="auto"/>
            </w:tcBorders>
            <w:vMerge w:val="continue"/>
            <w:shd w:val="clear" w:color="auto" w:fill="CFF0FC"/>
          </w:tcPr>
          <w:p>
            <w:pPr>
              <w:spacing w:after="0"/>
              <w:rPr>
                <w:sz w:val="16"/>
                <w:szCs w:val="16"/>
                <w:color w:val="auto"/>
              </w:rPr>
            </w:pPr>
          </w:p>
        </w:tc>
        <w:tc>
          <w:tcPr>
            <w:tcW w:w="40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Net Income (Loss) per share – 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5"/>
              </w:rPr>
              <w:t>0.09</w:t>
            </w:r>
          </w:p>
        </w:tc>
        <w:tc>
          <w:tcPr>
            <w:tcW w:w="120" w:type="dxa"/>
            <w:vAlign w:val="bottom"/>
            <w:tcBorders>
              <w:bottom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0.04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0.24</w:t>
            </w:r>
          </w:p>
        </w:tc>
        <w:tc>
          <w:tcPr>
            <w:tcW w:w="40" w:type="dxa"/>
            <w:vAlign w:val="bottom"/>
            <w:tcBorders>
              <w:bottom w:val="single" w:sz="8" w:color="auto"/>
            </w:tcBorders>
          </w:tcPr>
          <w:p>
            <w:pPr>
              <w:spacing w:after="0"/>
              <w:rPr>
                <w:sz w:val="15"/>
                <w:szCs w:val="15"/>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(0.04)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0.05</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125%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0.28</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Net Income (Loss) per share – diluted</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w w:val="95"/>
              </w:rPr>
              <w:t>0.08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0.04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87"/>
              </w:rPr>
              <w:t>0.23</w:t>
            </w:r>
          </w:p>
        </w:tc>
        <w:tc>
          <w:tcPr>
            <w:tcW w:w="16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8"/>
              </w:rPr>
              <w:t>(0.04)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5"/>
              </w:rPr>
              <w:t>0.04</w:t>
            </w:r>
          </w:p>
        </w:tc>
        <w:tc>
          <w:tcPr>
            <w:tcW w:w="4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128%</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5"/>
              </w:rPr>
              <w:t>0.27</w:t>
            </w:r>
          </w:p>
        </w:tc>
        <w:tc>
          <w:tcPr>
            <w:tcW w:w="6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675%</w:t>
            </w:r>
          </w:p>
        </w:tc>
        <w:tc>
          <w:tcPr>
            <w:tcW w:w="0" w:type="dxa"/>
            <w:vAlign w:val="bottom"/>
          </w:tcPr>
          <w:p>
            <w:pPr>
              <w:spacing w:after="0"/>
              <w:rPr>
                <w:sz w:val="1"/>
                <w:szCs w:val="1"/>
                <w:color w:val="auto"/>
              </w:rPr>
            </w:pPr>
          </w:p>
        </w:tc>
      </w:tr>
      <w:tr>
        <w:trPr>
          <w:trHeight w:val="164"/>
        </w:trPr>
        <w:tc>
          <w:tcPr>
            <w:tcW w:w="3140" w:type="dxa"/>
            <w:vAlign w:val="bottom"/>
            <w:tcBorders>
              <w:top w:val="single" w:sz="8" w:color="CFF0FC"/>
            </w:tcBorders>
            <w:gridSpan w:val="2"/>
          </w:tcPr>
          <w:p>
            <w:pPr>
              <w:ind w:left="20"/>
              <w:spacing w:after="0"/>
              <w:rPr>
                <w:sz w:val="20"/>
                <w:szCs w:val="20"/>
                <w:color w:val="auto"/>
              </w:rPr>
            </w:pPr>
            <w:r>
              <w:rPr>
                <w:rFonts w:ascii="Arial" w:cs="Arial" w:eastAsia="Arial" w:hAnsi="Arial"/>
                <w:sz w:val="14"/>
                <w:szCs w:val="14"/>
                <w:color w:val="auto"/>
                <w:w w:val="98"/>
              </w:rPr>
              <w:t>Weighted average number of shares outstanding –</w:t>
            </w:r>
          </w:p>
        </w:tc>
        <w:tc>
          <w:tcPr>
            <w:tcW w:w="140" w:type="dxa"/>
            <w:vAlign w:val="bottom"/>
            <w:tcBorders>
              <w:top w:val="single" w:sz="8" w:color="CFF0FC"/>
            </w:tcBorders>
          </w:tcPr>
          <w:p>
            <w:pPr>
              <w:spacing w:after="0"/>
              <w:rPr>
                <w:sz w:val="14"/>
                <w:szCs w:val="14"/>
                <w:color w:val="auto"/>
              </w:rPr>
            </w:pPr>
          </w:p>
        </w:tc>
        <w:tc>
          <w:tcPr>
            <w:tcW w:w="980" w:type="dxa"/>
            <w:vAlign w:val="bottom"/>
            <w:tcBorders>
              <w:top w:val="single" w:sz="8" w:color="auto"/>
            </w:tcBorders>
            <w:vMerge w:val="restart"/>
          </w:tcPr>
          <w:p>
            <w:pPr>
              <w:jc w:val="center"/>
              <w:ind w:left="28"/>
              <w:spacing w:after="0"/>
              <w:rPr>
                <w:sz w:val="20"/>
                <w:szCs w:val="20"/>
                <w:color w:val="auto"/>
              </w:rPr>
            </w:pPr>
            <w:r>
              <w:rPr>
                <w:rFonts w:ascii="Arial" w:cs="Arial" w:eastAsia="Arial" w:hAnsi="Arial"/>
                <w:sz w:val="14"/>
                <w:szCs w:val="14"/>
                <w:color w:val="auto"/>
                <w:w w:val="92"/>
              </w:rPr>
              <w:t>226,529,671</w:t>
            </w: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211,990,405</w:t>
            </w:r>
          </w:p>
        </w:tc>
        <w:tc>
          <w:tcPr>
            <w:tcW w:w="120" w:type="dxa"/>
            <w:vAlign w:val="bottom"/>
            <w:tcBorders>
              <w:top w:val="single" w:sz="8" w:color="CFF0FC"/>
            </w:tcBorders>
          </w:tcPr>
          <w:p>
            <w:pPr>
              <w:spacing w:after="0"/>
              <w:rPr>
                <w:sz w:val="14"/>
                <w:szCs w:val="14"/>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221,059,870</w:t>
            </w: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210,127,323</w:t>
            </w: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14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basic</w:t>
            </w:r>
          </w:p>
        </w:tc>
        <w:tc>
          <w:tcPr>
            <w:tcW w:w="140" w:type="dxa"/>
            <w:vAlign w:val="bottom"/>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8"/>
              </w:rPr>
              <w:t>Weighted average number of shares outstanding –</w:t>
            </w:r>
          </w:p>
        </w:tc>
        <w:tc>
          <w:tcPr>
            <w:tcW w:w="14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center"/>
              <w:ind w:left="28"/>
              <w:spacing w:after="0"/>
              <w:rPr>
                <w:sz w:val="20"/>
                <w:szCs w:val="20"/>
                <w:color w:val="auto"/>
              </w:rPr>
            </w:pPr>
            <w:r>
              <w:rPr>
                <w:rFonts w:ascii="Arial" w:cs="Arial" w:eastAsia="Arial" w:hAnsi="Arial"/>
                <w:sz w:val="14"/>
                <w:szCs w:val="14"/>
                <w:color w:val="auto"/>
                <w:w w:val="92"/>
              </w:rPr>
              <w:t>230,879,437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2"/>
              </w:rPr>
              <w:t>214,212,292</w:t>
            </w:r>
          </w:p>
        </w:tc>
        <w:tc>
          <w:tcPr>
            <w:tcW w:w="1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2"/>
              </w:rPr>
              <w:t>225,411,773</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w w:val="92"/>
              </w:rPr>
              <w:t>210,127,323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140" w:type="dxa"/>
            <w:vAlign w:val="bottom"/>
            <w:tcBorders>
              <w:bottom w:val="single" w:sz="8" w:color="CFF0FC"/>
            </w:tcBorders>
            <w:gridSpan w:val="2"/>
            <w:shd w:val="clear" w:color="auto" w:fill="CFF0FC"/>
          </w:tcPr>
          <w:p>
            <w:pPr>
              <w:ind w:left="20"/>
              <w:spacing w:after="0" w:line="154" w:lineRule="exact"/>
              <w:rPr>
                <w:sz w:val="20"/>
                <w:szCs w:val="20"/>
                <w:color w:val="auto"/>
              </w:rPr>
            </w:pPr>
            <w:r>
              <w:rPr>
                <w:rFonts w:ascii="Arial" w:cs="Arial" w:eastAsia="Arial" w:hAnsi="Arial"/>
                <w:sz w:val="14"/>
                <w:szCs w:val="14"/>
                <w:color w:val="auto"/>
              </w:rPr>
              <w:t>diluted</w:t>
            </w:r>
          </w:p>
        </w:tc>
        <w:tc>
          <w:tcPr>
            <w:tcW w:w="14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3"/>
          </w:tcPr>
          <w:p>
            <w:pPr>
              <w:ind w:left="600"/>
              <w:spacing w:after="0"/>
              <w:rPr>
                <w:sz w:val="20"/>
                <w:szCs w:val="20"/>
                <w:color w:val="auto"/>
              </w:rPr>
            </w:pPr>
            <w:r>
              <w:rPr>
                <w:rFonts w:ascii="Arial" w:cs="Arial" w:eastAsia="Arial" w:hAnsi="Arial"/>
                <w:sz w:val="14"/>
                <w:szCs w:val="14"/>
                <w:b w:val="1"/>
                <w:bCs w:val="1"/>
                <w:color w:val="auto"/>
              </w:rPr>
              <w:t>September 30, 2021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00" w:type="dxa"/>
            <w:vAlign w:val="bottom"/>
          </w:tcPr>
          <w:p>
            <w:pPr>
              <w:spacing w:after="0"/>
              <w:rPr>
                <w:sz w:val="22"/>
                <w:szCs w:val="22"/>
                <w:color w:val="auto"/>
              </w:rPr>
            </w:pPr>
          </w:p>
        </w:tc>
        <w:tc>
          <w:tcPr>
            <w:tcW w:w="9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Total Assets</w:t>
            </w:r>
          </w:p>
        </w:tc>
        <w:tc>
          <w:tcPr>
            <w:tcW w:w="14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566"/>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FF0FC"/>
          </w:tcPr>
          <w:p>
            <w:pPr>
              <w:jc w:val="center"/>
              <w:spacing w:after="0"/>
              <w:rPr>
                <w:sz w:val="20"/>
                <w:szCs w:val="20"/>
                <w:color w:val="auto"/>
              </w:rPr>
            </w:pPr>
            <w:r>
              <w:rPr>
                <w:rFonts w:ascii="Arial" w:cs="Arial" w:eastAsia="Arial" w:hAnsi="Arial"/>
                <w:sz w:val="18"/>
                <w:szCs w:val="18"/>
                <w:color w:val="auto"/>
                <w:w w:val="90"/>
              </w:rPr>
              <w:t>2,150,429,477</w:t>
            </w:r>
          </w:p>
        </w:tc>
        <w:tc>
          <w:tcPr>
            <w:tcW w:w="6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606"/>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w w:val="88"/>
              </w:rPr>
              <w:t>1,358,549,162</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2060" w:type="dxa"/>
            <w:vAlign w:val="bottom"/>
            <w:gridSpan w:val="3"/>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3"/>
          </w:tcPr>
          <w:p>
            <w:pPr>
              <w:jc w:val="right"/>
              <w:ind w:right="28"/>
              <w:spacing w:after="0"/>
              <w:rPr>
                <w:sz w:val="20"/>
                <w:szCs w:val="20"/>
                <w:color w:val="auto"/>
              </w:rPr>
            </w:pPr>
            <w:r>
              <w:rPr>
                <w:rFonts w:ascii="Arial" w:cs="Arial" w:eastAsia="Arial" w:hAnsi="Arial"/>
                <w:sz w:val="18"/>
                <w:szCs w:val="18"/>
                <w:color w:val="auto"/>
                <w:w w:val="97"/>
              </w:rPr>
              <w:t>540,012,876</w:t>
            </w:r>
          </w:p>
        </w:tc>
        <w:tc>
          <w:tcPr>
            <w:tcW w:w="60" w:type="dxa"/>
            <w:vAlign w:val="bottom"/>
          </w:tcPr>
          <w:p>
            <w:pPr>
              <w:spacing w:after="0"/>
              <w:rPr>
                <w:sz w:val="21"/>
                <w:szCs w:val="21"/>
                <w:color w:val="auto"/>
              </w:rPr>
            </w:pPr>
          </w:p>
        </w:tc>
        <w:tc>
          <w:tcPr>
            <w:tcW w:w="940" w:type="dxa"/>
            <w:vAlign w:val="bottom"/>
          </w:tcPr>
          <w:p>
            <w:pPr>
              <w:jc w:val="right"/>
              <w:ind w:right="60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88"/>
              <w:spacing w:after="0"/>
              <w:rPr>
                <w:sz w:val="20"/>
                <w:szCs w:val="20"/>
                <w:color w:val="auto"/>
              </w:rPr>
            </w:pPr>
            <w:r>
              <w:rPr>
                <w:rFonts w:ascii="Arial" w:cs="Arial" w:eastAsia="Arial" w:hAnsi="Arial"/>
                <w:sz w:val="18"/>
                <w:szCs w:val="18"/>
                <w:color w:val="auto"/>
              </w:rPr>
              <w:t>325,101,386</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-1431290</wp:posOffset>
            </wp:positionV>
            <wp:extent cx="768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-1414145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-1431290</wp:posOffset>
            </wp:positionV>
            <wp:extent cx="774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-1414145</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-1431290</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-1414145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-1431290</wp:posOffset>
            </wp:positionV>
            <wp:extent cx="137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-1414145</wp:posOffset>
            </wp:positionV>
            <wp:extent cx="137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-1431290</wp:posOffset>
            </wp:positionV>
            <wp:extent cx="1028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-1414145</wp:posOffset>
            </wp:positionV>
            <wp:extent cx="1028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-1122680</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-1105535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-1122680</wp:posOffset>
            </wp:positionV>
            <wp:extent cx="774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-1105535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-1122680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-1105535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-1122680</wp:posOffset>
            </wp:positionV>
            <wp:extent cx="137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-1105535</wp:posOffset>
            </wp:positionV>
            <wp:extent cx="137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-1122680</wp:posOffset>
            </wp:positionV>
            <wp:extent cx="1028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-1105535</wp:posOffset>
            </wp:positionV>
            <wp:extent cx="1028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-642620</wp:posOffset>
            </wp:positionV>
            <wp:extent cx="768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-625475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-642620</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-625475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-642620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-625475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-642620</wp:posOffset>
            </wp:positionV>
            <wp:extent cx="137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-625475</wp:posOffset>
            </wp:positionV>
            <wp:extent cx="137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17" w:lineRule="exact"/>
        <w:rPr>
          <w:sz w:val="20"/>
          <w:szCs w:val="20"/>
          <w:color w:val="auto"/>
        </w:rPr>
      </w:pPr>
    </w:p>
    <w:p>
      <w:pPr>
        <w:ind w:right="3760"/>
        <w:spacing w:after="0" w:line="391" w:lineRule="auto"/>
        <w:rPr>
          <w:sz w:val="20"/>
          <w:szCs w:val="20"/>
          <w:color w:val="auto"/>
        </w:rPr>
      </w:pPr>
      <w:r>
        <w:rPr>
          <w:rFonts w:ascii="Arial" w:cs="Arial" w:eastAsia="Arial" w:hAnsi="Arial"/>
          <w:sz w:val="18"/>
          <w:szCs w:val="18"/>
          <w:b w:val="1"/>
          <w:bCs w:val="1"/>
          <w:i w:val="1"/>
          <w:iCs w:val="1"/>
          <w:color w:val="auto"/>
        </w:rPr>
        <w:t xml:space="preserve">Three Months Ended September 30, 2021 Compared to the Three Months Ended September 30, 2020 </w:t>
      </w:r>
      <w:r>
        <w:rPr>
          <w:rFonts w:ascii="Arial" w:cs="Arial" w:eastAsia="Arial" w:hAnsi="Arial"/>
          <w:sz w:val="18"/>
          <w:szCs w:val="18"/>
          <w:i w:val="1"/>
          <w:iCs w:val="1"/>
          <w:color w:val="auto"/>
        </w:rPr>
        <w:t>Revenues, net of Discounts</w:t>
      </w:r>
    </w:p>
    <w:p>
      <w:pPr>
        <w:spacing w:after="0" w:line="1" w:lineRule="exact"/>
        <w:rPr>
          <w:sz w:val="20"/>
          <w:szCs w:val="20"/>
          <w:color w:val="auto"/>
        </w:rPr>
      </w:pPr>
    </w:p>
    <w:p>
      <w:pPr>
        <w:ind w:right="140" w:firstLine="509"/>
        <w:spacing w:after="0" w:line="308" w:lineRule="auto"/>
        <w:rPr>
          <w:sz w:val="20"/>
          <w:szCs w:val="20"/>
          <w:color w:val="auto"/>
        </w:rPr>
      </w:pPr>
      <w:r>
        <w:rPr>
          <w:rFonts w:ascii="Arial" w:cs="Arial" w:eastAsia="Arial" w:hAnsi="Arial"/>
          <w:sz w:val="16"/>
          <w:szCs w:val="16"/>
          <w:color w:val="auto"/>
        </w:rPr>
        <w:t>Revenue for the three months ended September 30, 2021 was $233,676,881, up 49% from $157,103,841 for the three months ended September 30, 2020; driven by contributions from both Retail and Consumer Packaged Goods, largely due to continued growth in Illinois and Pennsylvania. Key performance drivers for the Retail business for the quarter are: increased store traffic to Green Thumb’s open and operating retail stores, particularly in Illinois, and Pennsylvania, and new store openings including acquired stores, particularly in Massachusetts and Rhode Island. The Company generated revenue from 65 Retail locations during the quarter compared to 48 in the same quarter of the prior year. During the three months ended September 30, 2021, the Company acquired one new store in Rhode Island, one in Virginia and two in Massachusetts. Since September 30, 2020, the Company acquired one retail store in Connecticut, four in Massachusetts, one in Rhode Island and one in Virginia and opened ten new Retail locations in Pennsylvania, Illinois, California, Florida, New Jersey and Virginia that contributed to the increase in Retail revenues.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ind w:right="420" w:firstLine="509"/>
        <w:spacing w:after="0" w:line="314" w:lineRule="auto"/>
        <w:rPr>
          <w:sz w:val="20"/>
          <w:szCs w:val="20"/>
          <w:color w:val="auto"/>
        </w:rPr>
      </w:pPr>
      <w:r>
        <w:rPr>
          <w:rFonts w:ascii="Arial" w:cs="Arial" w:eastAsia="Arial" w:hAnsi="Arial"/>
          <w:sz w:val="16"/>
          <w:szCs w:val="16"/>
          <w:color w:val="auto"/>
        </w:rPr>
        <w:t>The key driver for the Consumer Packaged Goods increase in revenues was the sale of Green Thumb’s branded product portfolio to third-party retailers through the Company’s existing Consumer Packaged Goods cultivation and processing facilities in Illinois, Pennsylvania, Massachusetts, Maryland, Nevada, New Jersey, Ohio and Connecticut due to increased scale and efficiency. The Company also added one cultivation and processing facility in Virginia through the acquisition of Dharma Pharmaceuticals, Inc. ("</w:t>
      </w:r>
      <w:r>
        <w:rPr>
          <w:rFonts w:ascii="Arial" w:cs="Arial" w:eastAsia="Arial" w:hAnsi="Arial"/>
          <w:sz w:val="16"/>
          <w:szCs w:val="16"/>
          <w:b w:val="1"/>
          <w:bCs w:val="1"/>
          <w:color w:val="auto"/>
        </w:rPr>
        <w:t>Dharma</w:t>
      </w:r>
      <w:r>
        <w:rPr>
          <w:rFonts w:ascii="Arial" w:cs="Arial" w:eastAsia="Arial" w:hAnsi="Arial"/>
          <w:sz w:val="16"/>
          <w:szCs w:val="16"/>
          <w:color w:val="auto"/>
        </w:rPr>
        <w:t>") and received a full quarters worth of operations from its cultivation and processing facility added through the June 1, 2021 acquisition of Liberty Compassion, Inc. ("</w:t>
      </w:r>
      <w:r>
        <w:rPr>
          <w:rFonts w:ascii="Arial" w:cs="Arial" w:eastAsia="Arial" w:hAnsi="Arial"/>
          <w:sz w:val="16"/>
          <w:szCs w:val="16"/>
          <w:b w:val="1"/>
          <w:bCs w:val="1"/>
          <w:color w:val="auto"/>
        </w:rPr>
        <w:t>Liberty</w:t>
      </w:r>
      <w:r>
        <w:rPr>
          <w:rFonts w:ascii="Arial" w:cs="Arial" w:eastAsia="Arial" w:hAnsi="Arial"/>
          <w:sz w:val="16"/>
          <w:szCs w:val="16"/>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net</w:t>
      </w:r>
    </w:p>
    <w:p>
      <w:pPr>
        <w:spacing w:after="0" w:line="131" w:lineRule="exact"/>
        <w:rPr>
          <w:sz w:val="20"/>
          <w:szCs w:val="20"/>
          <w:color w:val="auto"/>
        </w:rPr>
      </w:pPr>
    </w:p>
    <w:p>
      <w:pPr>
        <w:ind w:right="160" w:firstLine="509"/>
        <w:spacing w:after="0" w:line="292" w:lineRule="auto"/>
        <w:rPr>
          <w:sz w:val="20"/>
          <w:szCs w:val="20"/>
          <w:color w:val="auto"/>
        </w:rPr>
      </w:pPr>
      <w:r>
        <w:rPr>
          <w:rFonts w:ascii="Arial" w:cs="Arial" w:eastAsia="Arial" w:hAnsi="Arial"/>
          <w:sz w:val="17"/>
          <w:szCs w:val="17"/>
          <w:color w:val="auto"/>
        </w:rPr>
        <w:t>Cost of goods sold are derived from retail purchases made by the Company from its third-party licensed producers operating within our state markets and costs related to the internal cultivation and production of cannabis. Cost of goods sold for the three months ended September 30, 2021 was $104,159,371, up 48% from $70,146,676 for the three months ended September 30, 2020, driven by increased volume in open and operating retail stores; new and acquired retail store openings in Massachusetts, Virginia, Rhode Island, New Jersey and Pennsylvania and expansion of the consumer products sales primarily in Illinois, Pennsylvania, Massachusetts and New Jersey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Gross profit for the three months ended September 30, 2021 was $129,517,510, representing a gross margin on the sale of branded cannabis flower and processed and packaged products including concentrates, edibles, topicals and other cannabis products, of 55%. This is compared to gross profit for the three months ended September 30, 2020 of $86,957,165 or a 55% gross margin. The increase in gross profit (dollars) was directly attributable to the revenue increase as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31"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Total expenses for the three months ended September 30, 2021 were $71,448,927 or 31% of revenues, net of discounts, resulting in an increase of $21,702,948. Total expenses for the three months ended September 30, 2020 were $49,745,979 or 32% of revenues, net of discounts. The increase in total expenses was attributable to Retail salaries and benefits, depreciation expense and other operational and facility expenses mainly as a result of the Company’s addition of ten new and seven acquired retail dispensaries over the prior year period. In addition, an increase in intangible amortization expense and corporate staff salaries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13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8"/>
          <w:szCs w:val="18"/>
          <w:color w:val="auto"/>
        </w:rPr>
        <w:t>Total other income (expense) for three months ended September 30, 2021 was $836,182, a change of $(1,141,973), primarily due to an increase in interest expense on the Company's April 30, 2021 Private Placement Financing as well as contingent liabilities associated with various acquisitions during the three months ended September 30,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Provision for Income Taxes and Non-Controlling Interest</w:t>
      </w:r>
    </w:p>
    <w:p>
      <w:pPr>
        <w:spacing w:after="0" w:line="131" w:lineRule="exact"/>
        <w:rPr>
          <w:sz w:val="20"/>
          <w:szCs w:val="20"/>
          <w:color w:val="auto"/>
        </w:rPr>
      </w:pPr>
    </w:p>
    <w:p>
      <w:pPr>
        <w:ind w:right="20" w:firstLine="509"/>
        <w:spacing w:after="0" w:line="293" w:lineRule="auto"/>
        <w:rPr>
          <w:sz w:val="20"/>
          <w:szCs w:val="20"/>
          <w:color w:val="auto"/>
        </w:rPr>
      </w:pPr>
      <w:r>
        <w:rPr>
          <w:rFonts w:ascii="Arial" w:cs="Arial" w:eastAsia="Arial" w:hAnsi="Arial"/>
          <w:sz w:val="18"/>
          <w:szCs w:val="18"/>
          <w:color w:val="auto"/>
        </w:rPr>
        <w:t>Income before provision for income taxes and non-controlling interest for the three months ended September 30, 2021 was $58,904,765, an increase of $19,715,424 compared to the three months ended September 30, 2020.</w:t>
      </w:r>
    </w:p>
    <w:p>
      <w:pPr>
        <w:spacing w:after="0" w:line="170" w:lineRule="exact"/>
        <w:rPr>
          <w:sz w:val="20"/>
          <w:szCs w:val="20"/>
          <w:color w:val="auto"/>
        </w:rPr>
      </w:pPr>
    </w:p>
    <w:p>
      <w:pPr>
        <w:ind w:right="360" w:firstLine="509"/>
        <w:spacing w:after="0" w:line="279" w:lineRule="auto"/>
        <w:rPr>
          <w:sz w:val="20"/>
          <w:szCs w:val="20"/>
          <w:color w:val="auto"/>
        </w:rPr>
      </w:pPr>
      <w:r>
        <w:rPr>
          <w:rFonts w:ascii="Arial" w:cs="Arial" w:eastAsia="Arial" w:hAnsi="Arial"/>
          <w:sz w:val="18"/>
          <w:szCs w:val="18"/>
          <w:color w:val="auto"/>
        </w:rPr>
        <w:t>As presented under the heading “Non-GAAP Measures” below, after adjusting for non-cash equity incentive compensation of $4,994,842 and $4,435,634, adjusted operating Earnings Before Interest, Depreciation, and Amortization ("</w:t>
      </w:r>
      <w:r>
        <w:rPr>
          <w:rFonts w:ascii="Arial" w:cs="Arial" w:eastAsia="Arial" w:hAnsi="Arial"/>
          <w:sz w:val="18"/>
          <w:szCs w:val="18"/>
          <w:b w:val="1"/>
          <w:bCs w:val="1"/>
          <w:color w:val="auto"/>
        </w:rPr>
        <w:t>EBITDA</w:t>
      </w:r>
      <w:r>
        <w:rPr>
          <w:rFonts w:ascii="Arial" w:cs="Arial" w:eastAsia="Arial" w:hAnsi="Arial"/>
          <w:sz w:val="18"/>
          <w:szCs w:val="18"/>
          <w:color w:val="auto"/>
        </w:rPr>
        <w:t>") was $81,181,167 and $53,181,696 for the three months ended September 30, 2021 and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three months ended September 30, 2021, federal and state income tax expense totaled $37,319,988 compared to expense of $28,436,332 for the three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ind w:right="3920"/>
        <w:spacing w:after="0" w:line="391" w:lineRule="auto"/>
        <w:rPr>
          <w:sz w:val="20"/>
          <w:szCs w:val="20"/>
          <w:color w:val="auto"/>
        </w:rPr>
      </w:pPr>
      <w:r>
        <w:rPr>
          <w:rFonts w:ascii="Arial" w:cs="Arial" w:eastAsia="Arial" w:hAnsi="Arial"/>
          <w:sz w:val="18"/>
          <w:szCs w:val="18"/>
          <w:b w:val="1"/>
          <w:bCs w:val="1"/>
          <w:i w:val="1"/>
          <w:iCs w:val="1"/>
          <w:color w:val="auto"/>
        </w:rPr>
        <w:t xml:space="preserve">Nine Months Ended September 30, 2021 Compared to the Nine Months Ended September 30, 2020 </w:t>
      </w:r>
      <w:r>
        <w:rPr>
          <w:rFonts w:ascii="Arial" w:cs="Arial" w:eastAsia="Arial" w:hAnsi="Arial"/>
          <w:sz w:val="18"/>
          <w:szCs w:val="18"/>
          <w:i w:val="1"/>
          <w:iCs w:val="1"/>
          <w:color w:val="auto"/>
        </w:rPr>
        <w:t>Revenues, net of Discounts</w:t>
      </w:r>
    </w:p>
    <w:p>
      <w:pPr>
        <w:spacing w:after="0" w:line="1" w:lineRule="exact"/>
        <w:rPr>
          <w:sz w:val="20"/>
          <w:szCs w:val="20"/>
          <w:color w:val="auto"/>
        </w:rPr>
      </w:pPr>
    </w:p>
    <w:p>
      <w:pPr>
        <w:ind w:right="100" w:firstLine="509"/>
        <w:spacing w:after="0" w:line="308" w:lineRule="auto"/>
        <w:rPr>
          <w:sz w:val="20"/>
          <w:szCs w:val="20"/>
          <w:color w:val="auto"/>
        </w:rPr>
      </w:pPr>
      <w:r>
        <w:rPr>
          <w:rFonts w:ascii="Arial" w:cs="Arial" w:eastAsia="Arial" w:hAnsi="Arial"/>
          <w:sz w:val="16"/>
          <w:szCs w:val="16"/>
          <w:color w:val="auto"/>
        </w:rPr>
        <w:t>Revenue for the nine months ended September 30, 2021 was $649,979,277, up 71% from $379,346,367 for the nine months ended September 30, 2020; driven by contributions from both Retail and Consumer Packaged Goods, largely due to growth in Illinois and Pennsylvania. Key performance drivers for the period are: launch of Cookies brand of cannabis products in Nevada, and increased store traffic to Green Thumb’s open and operating retail stores, particularly in Illinois and Pennsylvania and new and acquired store openings, particularly in Pennsylvania, Illinois, Massachusetts, Rhode Island and Connecticut. During the nine months ended September 30, 2021, the Company generated revenue from 65 Retail locations compared to 48 in the period during the prior year. During the nine months ended September 30, 2021, the Company opened eight new stores and acquired six stores. Since September 30, 2020, the Company acquired one retail store in Connecticut, four in Massachusetts, one in Rhode Island and one in Virginia and opened ten new Retail locations in Pennsylvania, Illinois, California, Florida, New Jersey and Virginia that contributed to the increase in Retail revenues.</w:t>
      </w:r>
    </w:p>
    <w:p>
      <w:pPr>
        <w:spacing w:after="0" w:line="163" w:lineRule="exact"/>
        <w:rPr>
          <w:sz w:val="20"/>
          <w:szCs w:val="20"/>
          <w:color w:val="auto"/>
        </w:rPr>
      </w:pPr>
    </w:p>
    <w:p>
      <w:pPr>
        <w:ind w:right="180" w:firstLine="509"/>
        <w:spacing w:after="0" w:line="272" w:lineRule="auto"/>
        <w:rPr>
          <w:sz w:val="20"/>
          <w:szCs w:val="20"/>
          <w:color w:val="auto"/>
        </w:rPr>
      </w:pPr>
      <w:r>
        <w:rPr>
          <w:rFonts w:ascii="Arial" w:cs="Arial" w:eastAsia="Arial" w:hAnsi="Arial"/>
          <w:sz w:val="18"/>
          <w:szCs w:val="18"/>
          <w:color w:val="auto"/>
        </w:rPr>
        <w:t>The key driver for the Consumer Packaged Goods revenue increase was the opening of one cultivation and processing facility in Illinois as well as expansion of sales of Green Thumb’s branded product portfolio to third-party retailers through the Company’s existing Consumer Packaged Goods cultivation and processing facilities in Illinois, Pennsylvania, Massachusetts, Maryland, Nevada New Jersey, Ohio and Connecticut due to increased scale and efficiency. The Company also added two cultivation and processing facilities through the acquisitions of Liberty and Dharma during the nine months ended September 30, 2021.</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net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Cost of goods sold are derived from retail purchases made by the Company from its third-party licensed producers operating within our state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markets and costs related to the internal cultivation and production of cannabis. Cost of goods sold for the nine months ended September 30, 2021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$286,685,443, up 63% from $175,707,874 for the nine months ended September 30, 2020, driven by increased volume in open and operating retail stores;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new retail store openings in Pennsylvania, Illinois, Massachusetts and Rhode Island and expansion of the consumer products sales primarily in Illinois,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Pennsylvania, Massachusetts, Maryland, Nevada, New Jersey, Ohio and Connecticut as described above.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1" w:lineRule="exact"/>
        <w:rPr>
          <w:sz w:val="20"/>
          <w:szCs w:val="20"/>
          <w:color w:val="auto"/>
        </w:rPr>
      </w:pPr>
    </w:p>
    <w:p>
      <w:pPr>
        <w:ind w:right="20" w:firstLine="509"/>
        <w:spacing w:after="0" w:line="272" w:lineRule="auto"/>
        <w:rPr>
          <w:sz w:val="20"/>
          <w:szCs w:val="20"/>
          <w:color w:val="auto"/>
        </w:rPr>
      </w:pPr>
      <w:r>
        <w:rPr>
          <w:rFonts w:ascii="Arial" w:cs="Arial" w:eastAsia="Arial" w:hAnsi="Arial"/>
          <w:sz w:val="18"/>
          <w:szCs w:val="18"/>
          <w:color w:val="auto"/>
        </w:rPr>
        <w:t>Gross profit for the nine months ended September 30, 2021 was $363,293,834, representing a gross margin on the sale of branded cannabis flower and processed and packaged products including concentrates, edibles, topicals and other cannabis products, of 56%. This is compared to gross profit for the nine months ended September 30, 2020 of $203,638,493 or a 54% gross margin. The Company’s increase in gross margin percentage was mainly attributed to expanded capacity in the Company’s Consumer Packaged Goods segment. The increase in gross profit was directly attributable to the revenue increase as described above.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31"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Total expenses for the nine months ended September 30, 2021 were $202,835,651 or 31% of revenues, net of discounts, resulting in an increase of $58,011,704. Total expenses for the nine months ended September 30, 2020 were $144,823,947 or 38% of revenues, net of discounts. The increase in total expenses was attributable to Retail salaries and benefits, depreciation expense and other operational and facility expenses mainly as a result of the Company’s addition of ten new and seven acquired retail dispensaries over the prior year period. In addition, an increase in intangible amortization expense and corporate staff salaries also contributed to the overall increase in total expenses. The reduction in expenses as a percent of revenue was attributable to measures deployed to control variable expenses as well as inherent operating leverage caused by the significant increase in revenue.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w:t>
      </w:r>
    </w:p>
    <w:p>
      <w:pPr>
        <w:spacing w:after="0" w:line="131" w:lineRule="exact"/>
        <w:rPr>
          <w:sz w:val="20"/>
          <w:szCs w:val="20"/>
          <w:color w:val="auto"/>
        </w:rPr>
      </w:pPr>
    </w:p>
    <w:p>
      <w:pPr>
        <w:ind w:right="180" w:firstLine="509"/>
        <w:spacing w:after="0" w:line="293" w:lineRule="auto"/>
        <w:rPr>
          <w:sz w:val="20"/>
          <w:szCs w:val="20"/>
          <w:color w:val="auto"/>
        </w:rPr>
      </w:pPr>
      <w:r>
        <w:rPr>
          <w:rFonts w:ascii="Arial" w:cs="Arial" w:eastAsia="Arial" w:hAnsi="Arial"/>
          <w:sz w:val="18"/>
          <w:szCs w:val="18"/>
          <w:color w:val="auto"/>
        </w:rPr>
        <w:t>Total other income (expense) for the nine months ended September 30, 2021 was $(5,940,749) a change of $684,238, mainly due to favorable fair value adjustments associated with the Company’s warrant liability during the nine months ended September 30,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Provision for Income Taxes and Non-Controlling Interest</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Income before provision for income taxes and non-controlling interest for the nine months ended September 30, 2021 was $154,517,434, an increase of $102,327,875 compared to the nine months ended September 30, 2020.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both"/>
        <w:ind w:right="280" w:firstLine="509"/>
        <w:spacing w:after="0" w:line="279" w:lineRule="auto"/>
        <w:rPr>
          <w:sz w:val="20"/>
          <w:szCs w:val="20"/>
          <w:color w:val="auto"/>
        </w:rPr>
      </w:pPr>
      <w:r>
        <w:rPr>
          <w:rFonts w:ascii="Arial" w:cs="Arial" w:eastAsia="Arial" w:hAnsi="Arial"/>
          <w:sz w:val="18"/>
          <w:szCs w:val="18"/>
          <w:color w:val="auto"/>
        </w:rPr>
        <w:t>As presented under the heading “Non-GAAP Measures” below, after adjusting for non-cash equity incentive compensation of $14,698,180 and $15,209,520, respectively, adjusted operating EBITDA was $231,820,863 and $114,139,330 for the nine months ended September 30, 2021 and 2020,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4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or substantively enacted at year-end. For the nine months ended September 30, 2021, federal and state income tax expense totaled $98,202,898 compared to expense of $56,964,047 for the nine months ended September 30, 2020.</w:t>
      </w: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Results of Operation by Segment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revenues net of sales discounts by segment for the three and nine months ended September 30, 2021 and 2020:</w:t>
      </w: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80" w:type="dxa"/>
            <w:vAlign w:val="bottom"/>
            <w:vMerge w:val="restart"/>
          </w:tcPr>
          <w:p>
            <w:pPr>
              <w:jc w:val="right"/>
              <w:ind w:right="73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center"/>
              <w:ind w:right="156"/>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56"/>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89"/>
              </w:rPr>
              <w:t>Change</w:t>
            </w: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5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Packaged Goods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121,073,396</w:t>
            </w:r>
          </w:p>
        </w:tc>
        <w:tc>
          <w:tcPr>
            <w:tcW w:w="9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74,702,069</w:t>
            </w:r>
          </w:p>
        </w:tc>
        <w:tc>
          <w:tcPr>
            <w:tcW w:w="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46,371,327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161,016,450</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111,948,115</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49,068,335</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Intersegment Eliminations</w:t>
            </w:r>
          </w:p>
        </w:tc>
        <w:tc>
          <w:tcPr>
            <w:tcW w:w="4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(48,412,965)</w:t>
            </w:r>
          </w:p>
        </w:tc>
        <w:tc>
          <w:tcPr>
            <w:tcW w:w="18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(29,546,343)</w:t>
            </w: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(18,866,622)</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Total Revenues, Net of Discounts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233,676,881</w:t>
            </w:r>
          </w:p>
        </w:tc>
        <w:tc>
          <w:tcPr>
            <w:tcW w:w="180" w:type="dxa"/>
            <w:vAlign w:val="bottom"/>
          </w:tcPr>
          <w:p>
            <w:pPr>
              <w:spacing w:after="0"/>
              <w:rPr>
                <w:sz w:val="21"/>
                <w:szCs w:val="21"/>
                <w:color w:val="auto"/>
              </w:rPr>
            </w:pPr>
          </w:p>
        </w:tc>
        <w:tc>
          <w:tcPr>
            <w:tcW w:w="7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157,103,841</w:t>
            </w:r>
          </w:p>
        </w:tc>
        <w:tc>
          <w:tcPr>
            <w:tcW w:w="320" w:type="dxa"/>
            <w:vAlign w:val="bottom"/>
          </w:tcPr>
          <w:p>
            <w:pPr>
              <w:spacing w:after="0"/>
              <w:rPr>
                <w:sz w:val="21"/>
                <w:szCs w:val="21"/>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76,573,040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4"/>
          </w:tcPr>
          <w:p>
            <w:pPr>
              <w:jc w:val="right"/>
              <w:ind w:right="974"/>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vMerge w:val="restart"/>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80" w:type="dxa"/>
            <w:vAlign w:val="bottom"/>
            <w:vMerge w:val="restart"/>
          </w:tcPr>
          <w:p>
            <w:pPr>
              <w:jc w:val="right"/>
              <w:ind w:right="734"/>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center"/>
              <w:ind w:right="156"/>
              <w:spacing w:after="0"/>
              <w:rPr>
                <w:sz w:val="20"/>
                <w:szCs w:val="20"/>
                <w:color w:val="auto"/>
              </w:rPr>
            </w:pPr>
            <w:r>
              <w:rPr>
                <w:rFonts w:ascii="Arial" w:cs="Arial" w:eastAsia="Arial" w:hAnsi="Arial"/>
                <w:sz w:val="14"/>
                <w:szCs w:val="14"/>
                <w:color w:val="auto"/>
              </w:rPr>
              <w:t>$</w:t>
            </w:r>
          </w:p>
        </w:tc>
        <w:tc>
          <w:tcPr>
            <w:tcW w:w="900" w:type="dxa"/>
            <w:vAlign w:val="bottom"/>
          </w:tcPr>
          <w:p>
            <w:pPr>
              <w:jc w:val="center"/>
              <w:ind w:right="56"/>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8"/>
        </w:trPr>
        <w:tc>
          <w:tcPr>
            <w:tcW w:w="34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color w:val="auto"/>
                <w:w w:val="89"/>
              </w:rPr>
              <w:t>Change</w:t>
            </w: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5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Packaged Goods</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343,014,324</w:t>
            </w:r>
          </w:p>
        </w:tc>
        <w:tc>
          <w:tcPr>
            <w:tcW w:w="9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177,355,614</w:t>
            </w:r>
          </w:p>
        </w:tc>
        <w:tc>
          <w:tcPr>
            <w:tcW w:w="7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165,658,710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441,241,047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275,451,137</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165,789,910</w:t>
            </w: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Intersegment Eliminations</w:t>
            </w:r>
          </w:p>
        </w:tc>
        <w:tc>
          <w:tcPr>
            <w:tcW w:w="4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(134,276,094)</w:t>
            </w:r>
          </w:p>
        </w:tc>
        <w:tc>
          <w:tcPr>
            <w:tcW w:w="18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(73,460,384)</w:t>
            </w:r>
          </w:p>
        </w:tc>
        <w:tc>
          <w:tcPr>
            <w:tcW w:w="32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(60,815,710)</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8"/>
                <w:szCs w:val="18"/>
                <w:b w:val="1"/>
                <w:bCs w:val="1"/>
                <w:color w:val="auto"/>
              </w:rPr>
              <w:t>Total Revenues, Net of Discounts</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649,979,277</w:t>
            </w:r>
          </w:p>
        </w:tc>
        <w:tc>
          <w:tcPr>
            <w:tcW w:w="9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379,346,367</w:t>
            </w:r>
          </w:p>
        </w:tc>
        <w:tc>
          <w:tcPr>
            <w:tcW w:w="7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76"/>
              <w:spacing w:after="0"/>
              <w:rPr>
                <w:sz w:val="20"/>
                <w:szCs w:val="20"/>
                <w:color w:val="auto"/>
              </w:rPr>
            </w:pPr>
            <w:r>
              <w:rPr>
                <w:rFonts w:ascii="Arial" w:cs="Arial" w:eastAsia="Arial" w:hAnsi="Arial"/>
                <w:sz w:val="18"/>
                <w:szCs w:val="18"/>
                <w:b w:val="1"/>
                <w:bCs w:val="1"/>
                <w:color w:val="auto"/>
              </w:rPr>
              <w:t>270,632,910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-1428115</wp:posOffset>
            </wp:positionV>
            <wp:extent cx="111125"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-1428115</wp:posOffset>
            </wp:positionV>
            <wp:extent cx="2057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5740" cy="57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-193675</wp:posOffset>
            </wp:positionV>
            <wp:extent cx="111125"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wp:posOffset>
            </wp:positionV>
            <wp:extent cx="2057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05740"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with the Three Months Ended September 30, 2020</w:t>
      </w:r>
    </w:p>
    <w:p>
      <w:pPr>
        <w:spacing w:after="0" w:line="131" w:lineRule="exact"/>
        <w:rPr>
          <w:sz w:val="20"/>
          <w:szCs w:val="20"/>
          <w:color w:val="auto"/>
        </w:rPr>
      </w:pPr>
    </w:p>
    <w:p>
      <w:pPr>
        <w:ind w:firstLine="509"/>
        <w:spacing w:after="0" w:line="303" w:lineRule="auto"/>
        <w:rPr>
          <w:sz w:val="20"/>
          <w:szCs w:val="20"/>
          <w:color w:val="auto"/>
        </w:rPr>
      </w:pPr>
      <w:r>
        <w:rPr>
          <w:rFonts w:ascii="Arial" w:cs="Arial" w:eastAsia="Arial" w:hAnsi="Arial"/>
          <w:sz w:val="17"/>
          <w:szCs w:val="17"/>
          <w:color w:val="auto"/>
        </w:rPr>
        <w:t>Revenues, net of discounts for the Retail segment were $161,016,450, an increase of $49,068,335 or 44%, compared to the three months ended September 30, 2020. The increase in Retail revenues, net of discounts, was primarily driven by increased store traffic to Green Thumb’s open and operating retail stores, particularly in Illinois, Pennsylvania, as well as acquired stores in Massachusetts and Rhode Island.</w:t>
      </w:r>
    </w:p>
    <w:p>
      <w:pPr>
        <w:spacing w:after="0" w:line="164" w:lineRule="exact"/>
        <w:rPr>
          <w:sz w:val="20"/>
          <w:szCs w:val="20"/>
          <w:color w:val="auto"/>
        </w:rPr>
      </w:pPr>
    </w:p>
    <w:p>
      <w:pPr>
        <w:jc w:val="both"/>
        <w:ind w:right="240" w:firstLine="509"/>
        <w:spacing w:after="0" w:line="279" w:lineRule="auto"/>
        <w:rPr>
          <w:sz w:val="20"/>
          <w:szCs w:val="20"/>
          <w:color w:val="auto"/>
        </w:rPr>
      </w:pPr>
      <w:r>
        <w:rPr>
          <w:rFonts w:ascii="Arial" w:cs="Arial" w:eastAsia="Arial" w:hAnsi="Arial"/>
          <w:sz w:val="18"/>
          <w:szCs w:val="18"/>
          <w:color w:val="auto"/>
        </w:rPr>
        <w:t>Revenues, net of discounts for the Consumer Packaged Goods Segment were $121,073,396, an increase of $46,371,327 or 62%, compared to the three months ended September 30, 2020. The increase in Consumer Packaged Goods revenues, net of discounts, was primarily driven by increased sales volume in established markets such as Illinois, Pennsylvania, Massachusetts and New Jersey.</w:t>
      </w:r>
    </w:p>
    <w:p>
      <w:pPr>
        <w:spacing w:after="0" w:line="18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with the Nine Months Ended September 30, 2020</w:t>
      </w:r>
    </w:p>
    <w:p>
      <w:pPr>
        <w:spacing w:after="0" w:line="131" w:lineRule="exact"/>
        <w:rPr>
          <w:sz w:val="20"/>
          <w:szCs w:val="20"/>
          <w:color w:val="auto"/>
        </w:rPr>
      </w:pPr>
    </w:p>
    <w:p>
      <w:pPr>
        <w:ind w:firstLine="509"/>
        <w:spacing w:after="0" w:line="275" w:lineRule="auto"/>
        <w:rPr>
          <w:sz w:val="20"/>
          <w:szCs w:val="20"/>
          <w:color w:val="auto"/>
        </w:rPr>
      </w:pPr>
      <w:r>
        <w:rPr>
          <w:rFonts w:ascii="Arial" w:cs="Arial" w:eastAsia="Arial" w:hAnsi="Arial"/>
          <w:sz w:val="18"/>
          <w:szCs w:val="18"/>
          <w:color w:val="auto"/>
        </w:rPr>
        <w:t>Revenues, net of discounts for the Retail segment were $441,241,047, an increase of $165,789,910 or 60%, compared to the nine months ended September 30, 2020. The increase in Retail revenues, net of discounts, was primarily driven by increased store traffic to Green Thumb’s open and operating retail stores, particularly in Pennsylvania and Illinois, as well as new store openings particularly in Illinois and Pennsylvania and new and acquired store openings, particularly in Pennsylvania, Illinois, Massachusetts, Rhode Island and Connecticut.</w:t>
      </w:r>
    </w:p>
    <w:p>
      <w:pPr>
        <w:spacing w:after="0" w:line="18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8"/>
          <w:szCs w:val="18"/>
          <w:color w:val="auto"/>
        </w:rPr>
        <w:t>Revenues, net of discounts for the Consumer Packaged Goods Segment were $343,014,324, an increase of $165,658,710 or 93%, compared to the nine months ended September 30, 2020. The increase in Consumer Packaged Goods revenues, net of discounts, was primarily driven by increased sales volume in established markets such as Illinois, Pennsylvania, Massachusetts, Nevada and New Jersey.</w:t>
      </w:r>
    </w:p>
    <w:p>
      <w:pPr>
        <w:spacing w:after="0" w:line="18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8"/>
          <w:szCs w:val="18"/>
          <w:color w:val="auto"/>
        </w:rPr>
        <w:t>Due to the vertically integrated nature of the business, the Company reviews its revenue at the Retail and Consumer Packaged Goods level while reviewing its operating results on a consolidated basis.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Drivers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firstLine="509"/>
        <w:spacing w:after="0" w:line="272" w:lineRule="auto"/>
        <w:rPr>
          <w:sz w:val="20"/>
          <w:szCs w:val="20"/>
          <w:color w:val="auto"/>
        </w:rPr>
      </w:pPr>
      <w:r>
        <w:rPr>
          <w:rFonts w:ascii="Arial" w:cs="Arial" w:eastAsia="Arial" w:hAnsi="Arial"/>
          <w:sz w:val="18"/>
          <w:szCs w:val="18"/>
          <w:color w:val="auto"/>
        </w:rPr>
        <w:t>The Company derives its revenue from two revenue streams: a Consumer Packaged Goods business in which it manufactures, sells and distributes its portfolio of Consumer Packaged Goods brands including Beboe, Dogwalkers, Dr. Solomon’s, Good Green incredibles, and Rythm, primarily to third-party Retail customers; and a Retail business in which it sells finished goods sourced primarily from third-party cannabis manufacturers in addition to the Company’s own Consumer Packaged Goods products direct to the end consumer in its retail stores, as well as direct-to-consumer delivery where applicable by state law.</w:t>
      </w:r>
    </w:p>
    <w:p>
      <w:pPr>
        <w:spacing w:after="0" w:line="191" w:lineRule="exact"/>
        <w:rPr>
          <w:sz w:val="20"/>
          <w:szCs w:val="20"/>
          <w:color w:val="auto"/>
        </w:rPr>
      </w:pPr>
    </w:p>
    <w:p>
      <w:pPr>
        <w:ind w:right="400" w:firstLine="509"/>
        <w:spacing w:after="0" w:line="279" w:lineRule="auto"/>
        <w:rPr>
          <w:sz w:val="20"/>
          <w:szCs w:val="20"/>
          <w:color w:val="auto"/>
        </w:rPr>
      </w:pPr>
      <w:r>
        <w:rPr>
          <w:rFonts w:ascii="Arial" w:cs="Arial" w:eastAsia="Arial" w:hAnsi="Arial"/>
          <w:sz w:val="18"/>
          <w:szCs w:val="18"/>
          <w:color w:val="auto"/>
        </w:rPr>
        <w:t>For the three and nine months ended September 30, 2021, revenue was contributed from Consumer Packaged Goods and Retail sales across California, Colorado, Connecticut, Florida, Illinois, Maryland, Massachusetts, Nevada, New Jersey, New York, Ohio, Pennsylvania, Rhode Island and Virginia.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31" w:lineRule="exact"/>
        <w:rPr>
          <w:sz w:val="20"/>
          <w:szCs w:val="20"/>
          <w:color w:val="auto"/>
        </w:rPr>
      </w:pPr>
    </w:p>
    <w:p>
      <w:pPr>
        <w:ind w:right="60" w:firstLine="509"/>
        <w:spacing w:after="0" w:line="272" w:lineRule="auto"/>
        <w:rPr>
          <w:sz w:val="20"/>
          <w:szCs w:val="20"/>
          <w:color w:val="auto"/>
        </w:rPr>
      </w:pPr>
      <w:r>
        <w:rPr>
          <w:rFonts w:ascii="Arial" w:cs="Arial" w:eastAsia="Arial" w:hAnsi="Arial"/>
          <w:sz w:val="18"/>
          <w:szCs w:val="18"/>
          <w:color w:val="auto"/>
        </w:rPr>
        <w:t>Gross profit is revenue less cost of goods sold. Cost of goods sold includes the costs directly attributable to product sales and includes amounts paid for finished goods, such as flower, edibles, and concentrates, as well as 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200" w:lineRule="exact"/>
        <w:rPr>
          <w:sz w:val="20"/>
          <w:szCs w:val="20"/>
          <w:color w:val="auto"/>
        </w:rPr>
      </w:pPr>
    </w:p>
    <w:p>
      <w:pPr>
        <w:spacing w:after="0" w:line="220" w:lineRule="exact"/>
        <w:rPr>
          <w:sz w:val="20"/>
          <w:szCs w:val="20"/>
          <w:color w:val="auto"/>
        </w:rPr>
      </w:pPr>
    </w:p>
    <w:p>
      <w:pPr>
        <w:ind w:right="20" w:firstLine="509"/>
        <w:spacing w:after="0" w:line="329" w:lineRule="auto"/>
        <w:rPr>
          <w:sz w:val="20"/>
          <w:szCs w:val="20"/>
          <w:color w:val="auto"/>
        </w:rPr>
      </w:pPr>
      <w:r>
        <w:rPr>
          <w:rFonts w:ascii="Arial" w:cs="Arial" w:eastAsia="Arial" w:hAnsi="Arial"/>
          <w:sz w:val="16"/>
          <w:szCs w:val="16"/>
          <w:color w:val="auto"/>
        </w:rPr>
        <w:t>During the Nine Months Ended September 30, 2021, the Company continued to be focused on creating sustainable, profitable growth of the Company’s business while pursuing expansion. Green Thumb expects to continue its growth strategy for the foreseeable future as the Company expands its Consumer Packaged Goods and Retail footprint within its current markets with acquisitions and partnerships, and scales resources into new markets.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31" w:lineRule="exact"/>
        <w:rPr>
          <w:sz w:val="20"/>
          <w:szCs w:val="20"/>
          <w:color w:val="auto"/>
        </w:rPr>
      </w:pPr>
    </w:p>
    <w:p>
      <w:pPr>
        <w:ind w:right="180" w:firstLine="509"/>
        <w:spacing w:after="0" w:line="324" w:lineRule="auto"/>
        <w:rPr>
          <w:sz w:val="20"/>
          <w:szCs w:val="20"/>
          <w:color w:val="auto"/>
        </w:rPr>
      </w:pPr>
      <w:r>
        <w:rPr>
          <w:rFonts w:ascii="Arial" w:cs="Arial" w:eastAsia="Arial" w:hAnsi="Arial"/>
          <w:sz w:val="17"/>
          <w:szCs w:val="17"/>
          <w:color w:val="auto"/>
        </w:rPr>
        <w:t>Total expenses other than the cost of goods sold consist of selling costs to support customer relationships and marketing and branding activities. It also includes a significant investment in the corporate infrastructure required to support the Company’s ongoing business.</w:t>
      </w:r>
    </w:p>
    <w:p>
      <w:pPr>
        <w:spacing w:after="0" w:line="147" w:lineRule="exact"/>
        <w:rPr>
          <w:sz w:val="20"/>
          <w:szCs w:val="20"/>
          <w:color w:val="auto"/>
        </w:rPr>
      </w:pPr>
    </w:p>
    <w:p>
      <w:pPr>
        <w:ind w:right="140" w:firstLine="509"/>
        <w:spacing w:after="0" w:line="329" w:lineRule="auto"/>
        <w:rPr>
          <w:sz w:val="20"/>
          <w:szCs w:val="20"/>
          <w:color w:val="auto"/>
        </w:rPr>
      </w:pPr>
      <w:r>
        <w:rPr>
          <w:rFonts w:ascii="Arial" w:cs="Arial" w:eastAsia="Arial" w:hAnsi="Arial"/>
          <w:sz w:val="16"/>
          <w:szCs w:val="16"/>
          <w:color w:val="auto"/>
        </w:rPr>
        <w:t>Retail selling costs generally correlate to revenue. As new locations begin operations, these locations generally experience higher selling costs as a percentage of revenue compared to more established locations, which experience a more constant rate of selling costs. As a percentage of sales, the Company expects selling costs to remain constant in the more established locations and increase in the newer locations as business continues to grow.</w:t>
      </w:r>
    </w:p>
    <w:p>
      <w:pPr>
        <w:spacing w:after="0" w:line="148" w:lineRule="exact"/>
        <w:rPr>
          <w:sz w:val="20"/>
          <w:szCs w:val="20"/>
          <w:color w:val="auto"/>
        </w:rPr>
      </w:pPr>
    </w:p>
    <w:p>
      <w:pPr>
        <w:ind w:right="20" w:firstLine="509"/>
        <w:spacing w:after="0" w:line="314" w:lineRule="auto"/>
        <w:rPr>
          <w:sz w:val="20"/>
          <w:szCs w:val="20"/>
          <w:color w:val="auto"/>
        </w:rPr>
      </w:pPr>
      <w:r>
        <w:rPr>
          <w:rFonts w:ascii="Arial" w:cs="Arial" w:eastAsia="Arial" w:hAnsi="Arial"/>
          <w:sz w:val="16"/>
          <w:szCs w:val="16"/>
          <w:color w:val="auto"/>
        </w:rPr>
        <w:t>General and administrative expenses also include costs incurred at the Company’s corporate offices, primarily related to back office personnel costs, including salaries, incentive compensation, benefits, stock-based compensation and other professional service costs. The Company expects to continue to invest considerably in this area to support aggressive expansion plans and to support the business by attracting and retaining top-tier talent. Furthermore, the Company anticipates an increase in stock-based compensation expenses related to recruiting and hiring talent, along with legal and professional fees associated with being a publicly traded company in Canada and registered with the U.S. Securities and Exchange Commission.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3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Company is subject to income taxes in the jurisdictions in which it operates and, consequently, income tax expense is a function of the allocation of taxable income by jurisdiction and the various activities that impact the timing of taxable events. As the Company operates in the federally illegal cannabis industry, it is subject to the limitations of Internal Revenue Code ("</w:t>
      </w:r>
      <w:r>
        <w:rPr>
          <w:rFonts w:ascii="Arial" w:cs="Arial" w:eastAsia="Arial" w:hAnsi="Arial"/>
          <w:sz w:val="18"/>
          <w:szCs w:val="18"/>
          <w:b w:val="1"/>
          <w:bCs w:val="1"/>
          <w:color w:val="auto"/>
        </w:rPr>
        <w:t>IRC</w:t>
      </w:r>
      <w:r>
        <w:rPr>
          <w:rFonts w:ascii="Arial" w:cs="Arial" w:eastAsia="Arial" w:hAnsi="Arial"/>
          <w:sz w:val="18"/>
          <w:szCs w:val="18"/>
          <w:color w:val="auto"/>
        </w:rPr>
        <w:t>")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Non-GAAP Measures</w:t>
      </w:r>
    </w:p>
    <w:p>
      <w:pPr>
        <w:spacing w:after="0" w:line="135" w:lineRule="exact"/>
        <w:rPr>
          <w:sz w:val="20"/>
          <w:szCs w:val="20"/>
          <w:color w:val="auto"/>
        </w:rPr>
      </w:pPr>
    </w:p>
    <w:p>
      <w:pPr>
        <w:ind w:right="120" w:firstLine="509"/>
        <w:spacing w:after="0" w:line="308" w:lineRule="auto"/>
        <w:rPr>
          <w:sz w:val="20"/>
          <w:szCs w:val="20"/>
          <w:color w:val="auto"/>
        </w:rPr>
      </w:pPr>
      <w:r>
        <w:rPr>
          <w:rFonts w:ascii="Arial" w:cs="Arial" w:eastAsia="Arial" w:hAnsi="Arial"/>
          <w:sz w:val="16"/>
          <w:szCs w:val="16"/>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22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7"/>
              </w:rPr>
              <w:t>Three Months Ended September 30,</w:t>
            </w:r>
          </w:p>
        </w:tc>
        <w:tc>
          <w:tcPr>
            <w:tcW w:w="200" w:type="dxa"/>
            <w:vAlign w:val="bottom"/>
          </w:tcPr>
          <w:p>
            <w:pPr>
              <w:spacing w:after="0"/>
              <w:rPr>
                <w:sz w:val="16"/>
                <w:szCs w:val="16"/>
                <w:color w:val="auto"/>
              </w:rPr>
            </w:pPr>
          </w:p>
        </w:tc>
        <w:tc>
          <w:tcPr>
            <w:tcW w:w="26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21,584,777</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10,753,009</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56,314,536</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(4,774,488 )</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(328,018 )</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(5,397 )</w:t>
            </w:r>
          </w:p>
        </w:tc>
        <w:tc>
          <w:tcPr>
            <w:tcW w:w="2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(673,598 )</w:t>
            </w:r>
          </w:p>
        </w:tc>
        <w:tc>
          <w:tcPr>
            <w:tcW w:w="24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(109,922 )</w:t>
            </w: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7,616,449</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4,460,125</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16,419,420</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14,236,475</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37,319,988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28,436,332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98,202,898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56,964,047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(8,124,613 )</w:t>
            </w:r>
          </w:p>
        </w:tc>
        <w:tc>
          <w:tcPr>
            <w:tcW w:w="3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(6,432,883 )</w:t>
            </w: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(9,805,073 )</w:t>
            </w:r>
          </w:p>
        </w:tc>
        <w:tc>
          <w:tcPr>
            <w:tcW w:w="24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(7,501,566 )</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17,173,066</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11,534,876</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47,239,479</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38,479,960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Earnings before interest, taxes, depreciation and</w:t>
            </w:r>
          </w:p>
        </w:tc>
        <w:tc>
          <w:tcPr>
            <w:tcW w:w="200" w:type="dxa"/>
            <w:vAlign w:val="bottom"/>
            <w:vMerge w:val="restart"/>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75,241,649</w:t>
            </w:r>
          </w:p>
        </w:tc>
        <w:tc>
          <w:tcPr>
            <w:tcW w:w="220" w:type="dxa"/>
            <w:vAlign w:val="bottom"/>
            <w:shd w:val="clear" w:color="auto" w:fill="CFF0FC"/>
          </w:tcPr>
          <w:p>
            <w:pPr>
              <w:spacing w:after="0"/>
              <w:rPr>
                <w:sz w:val="20"/>
                <w:szCs w:val="20"/>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48,746,062</w:t>
            </w:r>
          </w:p>
        </w:tc>
        <w:tc>
          <w:tcPr>
            <w:tcW w:w="240" w:type="dxa"/>
            <w:vAlign w:val="bottom"/>
            <w:shd w:val="clear" w:color="auto" w:fill="CFF0FC"/>
          </w:tcPr>
          <w:p>
            <w:pPr>
              <w:spacing w:after="0"/>
              <w:rPr>
                <w:sz w:val="20"/>
                <w:szCs w:val="20"/>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207,697,662</w:t>
            </w:r>
          </w:p>
        </w:tc>
        <w:tc>
          <w:tcPr>
            <w:tcW w:w="200" w:type="dxa"/>
            <w:vAlign w:val="bottom"/>
            <w:shd w:val="clear" w:color="auto" w:fill="CFF0FC"/>
          </w:tcPr>
          <w:p>
            <w:pPr>
              <w:spacing w:after="0"/>
              <w:rPr>
                <w:sz w:val="20"/>
                <w:szCs w:val="20"/>
                <w:color w:val="auto"/>
              </w:rPr>
            </w:pP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97,294,506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amortization (EBITDA) (non-GAAP measure)</w:t>
            </w: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vMerge w:val="continue"/>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0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Stock-based compensation, non-cash</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4,994,842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4,435,634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14,698,180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15,209,520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20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944,676</w:t>
            </w:r>
          </w:p>
        </w:tc>
        <w:tc>
          <w:tcPr>
            <w:tcW w:w="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9,425,021</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1,635,304</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2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81,181,167</w:t>
            </w:r>
          </w:p>
        </w:tc>
        <w:tc>
          <w:tcPr>
            <w:tcW w:w="220" w:type="dxa"/>
            <w:vAlign w:val="bottom"/>
            <w:tcBorders>
              <w:top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53,181,696</w:t>
            </w:r>
          </w:p>
        </w:tc>
        <w:tc>
          <w:tcPr>
            <w:tcW w:w="24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231,820,863</w:t>
            </w:r>
          </w:p>
        </w:tc>
        <w:tc>
          <w:tcPr>
            <w:tcW w:w="20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114,139,330</w:t>
            </w: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-548005</wp:posOffset>
            </wp:positionV>
            <wp:extent cx="1460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-530860</wp:posOffset>
            </wp:positionV>
            <wp:extent cx="1460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-548005</wp:posOffset>
            </wp:positionV>
            <wp:extent cx="14605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-530860</wp:posOffset>
            </wp:positionV>
            <wp:extent cx="1460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-548005</wp:posOffset>
            </wp:positionV>
            <wp:extent cx="12890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-530860</wp:posOffset>
            </wp:positionV>
            <wp:extent cx="1289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-548005</wp:posOffset>
            </wp:positionV>
            <wp:extent cx="596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-530860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-193675</wp:posOffset>
            </wp:positionV>
            <wp:extent cx="14605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-193675</wp:posOffset>
            </wp:positionV>
            <wp:extent cx="14605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-193675</wp:posOffset>
            </wp:positionV>
            <wp:extent cx="12890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-193675</wp:posOffset>
            </wp:positionV>
            <wp:extent cx="5969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and December 31, 2020 the Company had total current liabilities of $165,301,783 and $119,288,435, respectively, and cash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of $285,792,378 and $83,757,785, respectively to meet its current obligations. The Company had working capital of $255,449,456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 increase of $190,793,886 as compared to December 31, 2020. This increase in working capital was primarily driven by the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$155,498,140 sale of registered Subordinate Voting Shares pursuant to the Company’s Registration Statement on Form S-1 as well as the proceeds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issuance of notes of $175,500,047, including the the Company's April 30, 2021 Notes, partially offset by principal repayments of notes and mortgages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$64,702,508 including the May 22, 2019 Notes.</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In the first nine months of 2021, Green Thumb generated revenue from all 14 of its markets: California, Colorado, Connecticut, Florida, Illinois, Maryland, Massachusetts, Nevada, New Jersey, New York, Ohio, Pennsylvania, Rhode Island and Virginia. The Company’s Consumer Packaged Goods revenue grew approximately 3%, net of discounts, during the three months ended September 30, 2021 as compared to the three months ended June 30, 2021, primarily driven by organic growth across the Company’s Consumer Packaged Goods Business. The Company’s Retail revenue, net of discounts, increased 7% during the three months ended September 30, 2021 as compared to the three months ended June 30, 2021, primarily driven by and increased transaction activity across the Company’s 65 Retail store footprint, particularly in Illinois and Pennsylvania, as well as acquired stores in Massachusetts and Rhode Island.</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The Company is an early-stage growth company, generating cash from revenues deploying its capital reserves to acquire and develop assets capable of producing additional revenues and earnings over both the immediate and near term. Capital reserves are primarily being utilized for capital expenditures, facility improvements, strategic investment opportunities, product development and marketing, as well as customer, supplier, and investor and industry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41" w:name="page42"/>
    <w:bookmarkEnd w:id="41"/>
    <w:p>
      <w:pPr>
        <w:ind w:right="80"/>
        <w:spacing w:after="0" w:line="269" w:lineRule="auto"/>
        <w:rPr>
          <w:sz w:val="20"/>
          <w:szCs w:val="20"/>
          <w:color w:val="auto"/>
        </w:rPr>
      </w:pPr>
      <w:r>
        <w:rPr>
          <w:rFonts w:ascii="Arial" w:cs="Arial" w:eastAsia="Arial" w:hAnsi="Arial"/>
          <w:sz w:val="18"/>
          <w:szCs w:val="18"/>
          <w:color w:val="auto"/>
        </w:rPr>
        <w:t>While our revenue, gross profit and operating income were not materially impacted by COVID-19 and we maintained the consistency of our operations during the first nine months of 2021, the uncertain nature of the spread of COVID-19 may impact our business operations for reasons including the potential quarantine of our employees or those of our supply chain partners. Our ability to continue to operate without any significant negative operational impact from the COVID-19 pandemic will in part depend on our ability to protect our employees, customers and supply chain and our continued designation as an “essential” business in states where we do business that currently or in the future impose restrictions on business operations. The Company takes a cautious approach in allocating its capital to maximize its returns while ensuring appropriate liquidity. Given the current uncertainty of the future economic environment, the Company has taken additional measures in monitoring and deploying its capital to minimize the negative impact on its current operations and expansion plans.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Operating Activities, Investing and 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investing and financing activities for the nine months ended September 30, 2021 and 2020, were as follows:</w:t>
      </w:r>
    </w:p>
    <w:p>
      <w:pPr>
        <w:spacing w:after="0" w:line="321"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6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82,767,650</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71,056,200</w:t>
            </w:r>
          </w:p>
        </w:tc>
        <w:tc>
          <w:tcPr>
            <w:tcW w:w="120" w:type="dxa"/>
            <w:vAlign w:val="bottom"/>
            <w:shd w:val="clear" w:color="auto" w:fill="CFF0FC"/>
          </w:tcPr>
          <w:p>
            <w:pPr>
              <w:spacing w:after="0"/>
              <w:rPr>
                <w:sz w:val="22"/>
                <w:szCs w:val="22"/>
                <w:color w:val="auto"/>
              </w:rPr>
            </w:pPr>
          </w:p>
        </w:tc>
      </w:tr>
      <w:tr>
        <w:trPr>
          <w:trHeight w:val="250"/>
        </w:trPr>
        <w:tc>
          <w:tcPr>
            <w:tcW w:w="4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gridSpan w:val="3"/>
          </w:tcPr>
          <w:p>
            <w:pPr>
              <w:jc w:val="right"/>
              <w:ind w:right="280"/>
              <w:spacing w:after="0"/>
              <w:rPr>
                <w:sz w:val="20"/>
                <w:szCs w:val="20"/>
                <w:color w:val="auto"/>
              </w:rPr>
            </w:pPr>
            <w:r>
              <w:rPr>
                <w:rFonts w:ascii="Arial" w:cs="Arial" w:eastAsia="Arial" w:hAnsi="Arial"/>
                <w:sz w:val="18"/>
                <w:szCs w:val="18"/>
                <w:color w:val="auto"/>
              </w:rPr>
              <w:t>(148,280,250 ) $</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(37,422,417 )</w:t>
            </w:r>
          </w:p>
        </w:tc>
      </w:tr>
      <w:tr>
        <w:trPr>
          <w:trHeight w:val="263"/>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267,547,193</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(2,210,044 )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3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As of September 30, 2021, the Company does not have any off-balance-sheet arrangements that have, or are reasonably likely to have, a current or future effect on the results of operations or financial condition of the Company, including, and without limitation, such considerations as liquidity and capital resources.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35" w:lineRule="exact"/>
        <w:rPr>
          <w:sz w:val="20"/>
          <w:szCs w:val="20"/>
          <w:color w:val="auto"/>
        </w:rPr>
      </w:pPr>
    </w:p>
    <w:p>
      <w:pPr>
        <w:ind w:right="680" w:firstLine="509"/>
        <w:spacing w:after="0" w:line="293" w:lineRule="auto"/>
        <w:rPr>
          <w:sz w:val="20"/>
          <w:szCs w:val="20"/>
          <w:color w:val="auto"/>
        </w:rPr>
      </w:pPr>
      <w:r>
        <w:rPr>
          <w:rFonts w:ascii="Arial" w:cs="Arial" w:eastAsia="Arial" w:hAnsi="Arial"/>
          <w:sz w:val="18"/>
          <w:szCs w:val="18"/>
          <w:color w:val="auto"/>
        </w:rPr>
        <w:t>Refer to the discussion of recently adopted/issued accounting pronouncements under Part I, Item 1, Notes to Unaudited Interim Condensed Consolidated Financial Statements, Note 1—Overview and Basis of Presentation.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There were no material changes to our critical accounting policies and estimates from the information provided in “Management’s Discussion and Analysis of Financial Condition and Results of Operations,” included in our 2020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3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Company is an “emerging growth company” as defined in the Section 2(a) of the Exchange Act, as modified by the Jumpstart Our Business Start-ups Act of 2012, or the JOBS Act provides that an emerging growth company can take advantage of the extended transition period provided in Section 13(a) of the Exchange Act for complying with new or revised accounting standards applicable to public companies. The Company has elected to take advantage of this extended transition period and as a result of this election, our financial statements may not be comparable to companies that comply with public company effective dates.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2" w:name="page43"/>
    <w:bookmarkEnd w:id="42"/>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QUANTITAVE AND QUALITATIVE DISCLOSURES ABOUT MARKET RISK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market risk disclosures as set forth in Part II Item 7A of our 2020 Form 10-K.</w:t>
      </w:r>
    </w:p>
    <w:p>
      <w:pPr>
        <w:spacing w:after="0" w:line="200" w:lineRule="exact"/>
        <w:rPr>
          <w:sz w:val="20"/>
          <w:szCs w:val="20"/>
          <w:color w:val="auto"/>
        </w:rPr>
      </w:pPr>
    </w:p>
    <w:p>
      <w:pPr>
        <w:spacing w:after="0" w:line="37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35" w:lineRule="exact"/>
        <w:rPr>
          <w:sz w:val="20"/>
          <w:szCs w:val="20"/>
          <w:color w:val="auto"/>
        </w:rPr>
      </w:pPr>
    </w:p>
    <w:p>
      <w:pPr>
        <w:ind w:left="440" w:hanging="432"/>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31" w:lineRule="exact"/>
        <w:rPr>
          <w:sz w:val="20"/>
          <w:szCs w:val="20"/>
          <w:color w:val="auto"/>
        </w:rPr>
      </w:pPr>
    </w:p>
    <w:p>
      <w:pPr>
        <w:ind w:firstLine="509"/>
        <w:spacing w:after="0" w:line="287" w:lineRule="auto"/>
        <w:rPr>
          <w:sz w:val="20"/>
          <w:szCs w:val="20"/>
          <w:color w:val="auto"/>
        </w:rPr>
      </w:pPr>
      <w:r>
        <w:rPr>
          <w:rFonts w:ascii="Arial" w:cs="Arial" w:eastAsia="Arial" w:hAnsi="Arial"/>
          <w:sz w:val="17"/>
          <w:szCs w:val="17"/>
          <w:color w:val="auto"/>
        </w:rPr>
        <w:t>The Company evaluated the effectiveness of our disclosure controls and procedures as of September 30, 2021.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The Company recognizes that any controls and procedures, no matter how well designed and operated, can provide only reasonable assurance of achieving their objectives. As required by Rule 13a-15(b) under the Exchange Act, our management, with the participation of our Chief Executive Officer and Chief Financial Officer, has evaluated the effectiveness of our disclosure controls and procedures as of September 30, 2021, the end of the period covered by this Quarterly Report on Form 10-Q. Based upon such evaluation, our Chief Executive Officer and Chief Financial Officer have concluded that our disclosure controls and procedures were effective at the reasonable assurance level as of such date.</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35" w:lineRule="exact"/>
        <w:rPr>
          <w:sz w:val="20"/>
          <w:szCs w:val="20"/>
          <w:color w:val="auto"/>
        </w:rPr>
      </w:pPr>
    </w:p>
    <w:p>
      <w:pPr>
        <w:ind w:right="180"/>
        <w:spacing w:after="0" w:line="279" w:lineRule="auto"/>
        <w:rPr>
          <w:sz w:val="20"/>
          <w:szCs w:val="20"/>
          <w:color w:val="auto"/>
        </w:rPr>
      </w:pPr>
      <w:r>
        <w:rPr>
          <w:rFonts w:ascii="Arial" w:cs="Arial" w:eastAsia="Arial" w:hAnsi="Arial"/>
          <w:sz w:val="18"/>
          <w:szCs w:val="18"/>
          <w:color w:val="auto"/>
        </w:rPr>
        <w:t>The Company is a party to a variety of legal proceedings that arise out of operations in the normal course of business. While the results of these legal proceedings cannot be predicted with certainty, the Company believes that the final outcome of these proceedings will not have a material adverse effect, individually or in the aggregate, on our results of operations or financial condition.</w:t>
      </w:r>
    </w:p>
    <w:p>
      <w:pPr>
        <w:spacing w:after="0" w:line="2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the 2020 Form 10-K.</w:t>
      </w:r>
    </w:p>
    <w:p>
      <w:pPr>
        <w:spacing w:after="0" w:line="12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 OF EQUITY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 Voting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July 12, 2021, the Company issued 52,110 Subordinate Voting Shares for warrants exercised.</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Since July 1, 2021, the Company issued 5,709,688 Subordinate Voting Shares associated with acquisition of and related commitments to the former owners of privately held companies that own cannabis licenses for, and are engaged in, the cultivation, production and/or sale of cannabis and related products in the United States.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On July 12, 2021, the Company converted 6,000 Multiple Voting Shares into 600,000 Subordinate Voting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Multiple Voting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July 12, 2021, the Company converted 6,000 Multiple Voting Shares into 600,000 Subordinate Voting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Super Voting Shares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On July 12, 2021, the Company converted 6,000 Super Voting Shares into 6,000 Multiple Voting Shares.</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11140" w:type="dxa"/>
            <w:vAlign w:val="bottom"/>
            <w:gridSpan w:val="5"/>
          </w:tcPr>
          <w:p>
            <w:pPr>
              <w:spacing w:after="0"/>
              <w:rPr>
                <w:sz w:val="20"/>
                <w:szCs w:val="20"/>
                <w:color w:val="auto"/>
              </w:rPr>
            </w:pPr>
            <w:r>
              <w:rPr>
                <w:rFonts w:ascii="Arial" w:cs="Arial" w:eastAsia="Arial" w:hAnsi="Arial"/>
                <w:sz w:val="18"/>
                <w:szCs w:val="18"/>
                <w:color w:val="auto"/>
              </w:rPr>
              <w:t>The following exhibits are filed with this report:</w:t>
            </w:r>
          </w:p>
        </w:tc>
      </w:tr>
      <w:tr>
        <w:trPr>
          <w:trHeight w:val="473"/>
        </w:trPr>
        <w:tc>
          <w:tcPr>
            <w:tcW w:w="860" w:type="dxa"/>
            <w:vAlign w:val="bottom"/>
          </w:tcPr>
          <w:p>
            <w:pPr>
              <w:ind w:left="12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CERTIFICATE OF CHIEF EXECUTIVE OFFICER</w:t>
              </w:r>
            </w:hyperlink>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Borders>
              <w:left w:val="single" w:sz="8" w:color="0000EE"/>
            </w:tcBorders>
          </w:tcPr>
          <w:p>
            <w:pPr>
              <w:spacing w:after="0" w:line="20" w:lineRule="exact"/>
              <w:rPr>
                <w:sz w:val="1"/>
                <w:szCs w:val="1"/>
                <w:color w:val="auto"/>
              </w:rPr>
            </w:pPr>
          </w:p>
        </w:tc>
      </w:tr>
      <w:tr>
        <w:trPr>
          <w:trHeight w:val="344"/>
        </w:trPr>
        <w:tc>
          <w:tcPr>
            <w:tcW w:w="860" w:type="dxa"/>
            <w:vAlign w:val="bottom"/>
          </w:tcPr>
          <w:p>
            <w:pPr>
              <w:ind w:left="12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CERTIFICATE OF CHIEF FINANCIAL OFFICER</w:t>
              </w:r>
            </w:hyperlink>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345"/>
        </w:trPr>
        <w:tc>
          <w:tcPr>
            <w:tcW w:w="860" w:type="dxa"/>
            <w:vAlign w:val="bottom"/>
          </w:tcPr>
          <w:p>
            <w:pPr>
              <w:ind w:left="12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w w:val="94"/>
              </w:rPr>
            </w:pPr>
            <w:hyperlink w:anchor="page49">
              <w:r>
                <w:rPr>
                  <w:rFonts w:ascii="Arial" w:cs="Arial" w:eastAsia="Arial" w:hAnsi="Arial"/>
                  <w:sz w:val="18"/>
                  <w:szCs w:val="18"/>
                  <w:color w:val="0000FF"/>
                  <w:w w:val="94"/>
                </w:rPr>
                <w:t>CERTIFICATION PURSUANT TO 18 U.S.C. SECTION 1350, AS ADOPTED PURSUANT TO SECTION 906 OF THE SARBANES-</w:t>
              </w:r>
            </w:hyperlink>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8140" w:type="dxa"/>
            <w:vAlign w:val="bottom"/>
            <w:gridSpan w:val="2"/>
            <w:shd w:val="clear" w:color="auto" w:fill="0000FF"/>
          </w:tcPr>
          <w:p>
            <w:pPr>
              <w:spacing w:after="0" w:line="20" w:lineRule="exact"/>
              <w:rPr>
                <w:sz w:val="1"/>
                <w:szCs w:val="1"/>
                <w:color w:val="auto"/>
              </w:rPr>
            </w:pPr>
          </w:p>
        </w:tc>
      </w:tr>
      <w:tr>
        <w:trPr>
          <w:trHeight w:val="209"/>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60" w:type="dxa"/>
            <w:vAlign w:val="bottom"/>
            <w:gridSpan w:val="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OXLEY ACT OF 2002</w:t>
              </w:r>
            </w:hyperlink>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r>
      <w:tr>
        <w:trPr>
          <w:trHeight w:val="344"/>
        </w:trPr>
        <w:tc>
          <w:tcPr>
            <w:tcW w:w="860" w:type="dxa"/>
            <w:vAlign w:val="bottom"/>
          </w:tcPr>
          <w:p>
            <w:pPr>
              <w:ind w:left="12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24"/>
                <w:szCs w:val="24"/>
                <w:color w:val="auto"/>
              </w:rPr>
            </w:pPr>
          </w:p>
        </w:tc>
        <w:tc>
          <w:tcPr>
            <w:tcW w:w="9860" w:type="dxa"/>
            <w:vAlign w:val="bottom"/>
            <w:gridSpan w:val="3"/>
          </w:tcPr>
          <w:p>
            <w:pPr>
              <w:spacing w:after="0"/>
              <w:rPr>
                <w:rFonts w:ascii="Arial" w:cs="Arial" w:eastAsia="Arial" w:hAnsi="Arial"/>
                <w:sz w:val="18"/>
                <w:szCs w:val="18"/>
                <w:color w:val="0000FF"/>
                <w:w w:val="94"/>
              </w:rPr>
            </w:pPr>
            <w:hyperlink w:anchor="page50">
              <w:r>
                <w:rPr>
                  <w:rFonts w:ascii="Arial" w:cs="Arial" w:eastAsia="Arial" w:hAnsi="Arial"/>
                  <w:sz w:val="18"/>
                  <w:szCs w:val="18"/>
                  <w:color w:val="0000FF"/>
                  <w:w w:val="94"/>
                </w:rPr>
                <w:t>CERTIFICATION PURSUANT TO 18 U.S.C. SECTION 1350, AS ADOPTED PURSUANT TO SECTION 906 OF THE SARBANES-</w:t>
              </w:r>
            </w:hyperlink>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9860" w:type="dxa"/>
            <w:vAlign w:val="bottom"/>
            <w:gridSpan w:val="3"/>
            <w:shd w:val="clear" w:color="auto" w:fill="0000FF"/>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60" w:type="dxa"/>
            <w:vAlign w:val="bottom"/>
            <w:gridSpan w:val="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OXLEY ACT OF 2002</w:t>
              </w:r>
            </w:hyperlink>
          </w:p>
        </w:tc>
      </w:tr>
      <w:tr>
        <w:trPr>
          <w:trHeight w:val="20"/>
        </w:trPr>
        <w:tc>
          <w:tcPr>
            <w:tcW w:w="8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8140" w:type="dxa"/>
            <w:vAlign w:val="bottom"/>
            <w:gridSpan w:val="2"/>
          </w:tcPr>
          <w:p>
            <w:pPr>
              <w:spacing w:after="0" w:line="20" w:lineRule="exact"/>
              <w:rPr>
                <w:sz w:val="1"/>
                <w:szCs w:val="1"/>
                <w:color w:val="auto"/>
              </w:rPr>
            </w:pPr>
          </w:p>
        </w:tc>
      </w:tr>
      <w:tr>
        <w:trPr>
          <w:trHeight w:val="385"/>
        </w:trPr>
        <w:tc>
          <w:tcPr>
            <w:tcW w:w="860" w:type="dxa"/>
            <w:vAlign w:val="bottom"/>
          </w:tcPr>
          <w:p>
            <w:pPr>
              <w:ind w:left="20"/>
              <w:spacing w:after="0"/>
              <w:rPr>
                <w:sz w:val="20"/>
                <w:szCs w:val="20"/>
                <w:color w:val="auto"/>
              </w:rPr>
            </w:pPr>
            <w:r>
              <w:rPr>
                <w:rFonts w:ascii="Arial" w:cs="Arial" w:eastAsia="Arial" w:hAnsi="Arial"/>
                <w:sz w:val="18"/>
                <w:szCs w:val="18"/>
                <w:color w:val="auto"/>
              </w:rPr>
              <w:t>101.INS</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Instance Document</w:t>
            </w:r>
          </w:p>
        </w:tc>
      </w:tr>
      <w:tr>
        <w:trPr>
          <w:trHeight w:val="364"/>
        </w:trPr>
        <w:tc>
          <w:tcPr>
            <w:tcW w:w="860" w:type="dxa"/>
            <w:vAlign w:val="bottom"/>
          </w:tcPr>
          <w:p>
            <w:pPr>
              <w:ind w:left="20"/>
              <w:spacing w:after="0"/>
              <w:rPr>
                <w:sz w:val="20"/>
                <w:szCs w:val="20"/>
                <w:color w:val="auto"/>
              </w:rPr>
            </w:pPr>
            <w:r>
              <w:rPr>
                <w:rFonts w:ascii="Arial" w:cs="Arial" w:eastAsia="Arial" w:hAnsi="Arial"/>
                <w:sz w:val="18"/>
                <w:szCs w:val="18"/>
                <w:color w:val="auto"/>
              </w:rPr>
              <w:t>101.SCH</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65"/>
        </w:trPr>
        <w:tc>
          <w:tcPr>
            <w:tcW w:w="860" w:type="dxa"/>
            <w:vAlign w:val="bottom"/>
          </w:tcPr>
          <w:p>
            <w:pPr>
              <w:ind w:left="20"/>
              <w:spacing w:after="0"/>
              <w:rPr>
                <w:sz w:val="20"/>
                <w:szCs w:val="20"/>
                <w:color w:val="auto"/>
              </w:rPr>
            </w:pPr>
            <w:r>
              <w:rPr>
                <w:rFonts w:ascii="Arial" w:cs="Arial" w:eastAsia="Arial" w:hAnsi="Arial"/>
                <w:sz w:val="18"/>
                <w:szCs w:val="18"/>
                <w:color w:val="auto"/>
              </w:rPr>
              <w:t>101.CAL</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64"/>
        </w:trPr>
        <w:tc>
          <w:tcPr>
            <w:tcW w:w="860" w:type="dxa"/>
            <w:vAlign w:val="bottom"/>
          </w:tcPr>
          <w:p>
            <w:pPr>
              <w:ind w:left="20"/>
              <w:spacing w:after="0"/>
              <w:rPr>
                <w:sz w:val="20"/>
                <w:szCs w:val="20"/>
                <w:color w:val="auto"/>
              </w:rPr>
            </w:pPr>
            <w:r>
              <w:rPr>
                <w:rFonts w:ascii="Arial" w:cs="Arial" w:eastAsia="Arial" w:hAnsi="Arial"/>
                <w:sz w:val="18"/>
                <w:szCs w:val="18"/>
                <w:color w:val="auto"/>
              </w:rPr>
              <w:t>101.DEF</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64"/>
        </w:trPr>
        <w:tc>
          <w:tcPr>
            <w:tcW w:w="860" w:type="dxa"/>
            <w:vAlign w:val="bottom"/>
          </w:tcPr>
          <w:p>
            <w:pPr>
              <w:ind w:left="20"/>
              <w:spacing w:after="0"/>
              <w:rPr>
                <w:sz w:val="20"/>
                <w:szCs w:val="20"/>
                <w:color w:val="auto"/>
              </w:rPr>
            </w:pPr>
            <w:r>
              <w:rPr>
                <w:rFonts w:ascii="Arial" w:cs="Arial" w:eastAsia="Arial" w:hAnsi="Arial"/>
                <w:sz w:val="18"/>
                <w:szCs w:val="18"/>
                <w:color w:val="auto"/>
              </w:rPr>
              <w:t>101.LAB</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65"/>
        </w:trPr>
        <w:tc>
          <w:tcPr>
            <w:tcW w:w="860" w:type="dxa"/>
            <w:vAlign w:val="bottom"/>
          </w:tcPr>
          <w:p>
            <w:pPr>
              <w:ind w:left="20"/>
              <w:spacing w:after="0"/>
              <w:rPr>
                <w:sz w:val="20"/>
                <w:szCs w:val="20"/>
                <w:color w:val="auto"/>
              </w:rPr>
            </w:pPr>
            <w:r>
              <w:rPr>
                <w:rFonts w:ascii="Arial" w:cs="Arial" w:eastAsia="Arial" w:hAnsi="Arial"/>
                <w:sz w:val="18"/>
                <w:szCs w:val="18"/>
                <w:color w:val="auto"/>
              </w:rPr>
              <w:t>101.PRE</w:t>
            </w:r>
          </w:p>
        </w:tc>
        <w:tc>
          <w:tcPr>
            <w:tcW w:w="42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4" w:lineRule="exact"/>
        <w:rPr>
          <w:sz w:val="20"/>
          <w:szCs w:val="20"/>
          <w:color w:val="auto"/>
        </w:rPr>
      </w:pPr>
    </w:p>
    <w:p>
      <w:pPr>
        <w:ind w:left="1260" w:hanging="1239"/>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Cover Page Interactive Data File (embedded with Inline XBRL File)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45" w:name="page46"/>
    <w:bookmarkEnd w:id="45"/>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requirements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289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Benjamin Kovler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/s/Anthony Georgiadis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8289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Anthony Georgiadis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4" w:right="619" w:bottom="1440" w:gutter="0" w:footer="0" w:header="0"/>
        </w:sectPr>
      </w:pPr>
    </w:p>
    <w:bookmarkStart w:id="46" w:name="page47"/>
    <w:bookmarkEnd w:id="46"/>
    <w:p>
      <w:pPr>
        <w:ind w:left="10260"/>
        <w:spacing w:after="0"/>
        <w:rPr>
          <w:sz w:val="20"/>
          <w:szCs w:val="20"/>
          <w:color w:val="auto"/>
        </w:rPr>
      </w:pPr>
      <w:r>
        <w:rPr>
          <w:rFonts w:ascii="Arial" w:cs="Arial" w:eastAsia="Arial" w:hAnsi="Arial"/>
          <w:sz w:val="16"/>
          <w:szCs w:val="16"/>
          <w:b w:val="1"/>
          <w:bCs w:val="1"/>
          <w:color w:val="auto"/>
        </w:rPr>
        <w:t>Exhibit 31.1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Benjamin Kovler, certify that:</w:t>
      </w:r>
    </w:p>
    <w:p>
      <w:pPr>
        <w:spacing w:after="0" w:line="131" w:lineRule="exact"/>
        <w:rPr>
          <w:sz w:val="20"/>
          <w:szCs w:val="20"/>
          <w:color w:val="auto"/>
        </w:rPr>
      </w:pPr>
    </w:p>
    <w:p>
      <w:pPr>
        <w:ind w:left="1080" w:hanging="443"/>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1080" w:right="120" w:hanging="443"/>
        <w:spacing w:after="0" w:line="27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80" w:right="420" w:hanging="443"/>
        <w:spacing w:after="0" w:line="359"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80" w:right="40" w:hanging="443"/>
        <w:spacing w:after="0" w:line="27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2240" w:right="20" w:hanging="450"/>
        <w:spacing w:after="0" w:line="329" w:lineRule="auto"/>
        <w:tabs>
          <w:tab w:leader="none" w:pos="22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2240" w:right="440" w:hanging="450"/>
        <w:spacing w:after="0" w:line="329" w:lineRule="auto"/>
        <w:tabs>
          <w:tab w:leader="none" w:pos="22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jc w:val="both"/>
        <w:ind w:left="2240" w:hanging="450"/>
        <w:spacing w:after="0" w:line="279" w:lineRule="auto"/>
        <w:tabs>
          <w:tab w:leader="none" w:pos="22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2240" w:right="20" w:hanging="450"/>
        <w:spacing w:after="0" w:line="303" w:lineRule="auto"/>
        <w:tabs>
          <w:tab w:leader="none" w:pos="22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rFonts w:ascii="Arial" w:cs="Arial" w:eastAsia="Arial" w:hAnsi="Arial"/>
          <w:sz w:val="17"/>
          <w:szCs w:val="17"/>
          <w:color w:val="auto"/>
        </w:rPr>
      </w:pPr>
    </w:p>
    <w:p>
      <w:pPr>
        <w:ind w:left="1080" w:hanging="443"/>
        <w:spacing w:after="0" w:line="359"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240" w:right="280" w:hanging="450"/>
        <w:spacing w:after="0" w:line="279" w:lineRule="auto"/>
        <w:tabs>
          <w:tab w:leader="none" w:pos="22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2240" w:right="660" w:hanging="450"/>
        <w:spacing w:after="0" w:line="293" w:lineRule="auto"/>
        <w:tabs>
          <w:tab w:leader="none" w:pos="22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/s/Benjamin Kovler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Benjamin Kovler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47" w:name="page48"/>
    <w:bookmarkEnd w:id="47"/>
    <w:p>
      <w:pPr>
        <w:ind w:left="10260"/>
        <w:spacing w:after="0"/>
        <w:rPr>
          <w:sz w:val="20"/>
          <w:szCs w:val="20"/>
          <w:color w:val="auto"/>
        </w:rPr>
      </w:pPr>
      <w:r>
        <w:rPr>
          <w:rFonts w:ascii="Arial" w:cs="Arial" w:eastAsia="Arial" w:hAnsi="Arial"/>
          <w:sz w:val="16"/>
          <w:szCs w:val="16"/>
          <w:b w:val="1"/>
          <w:bCs w:val="1"/>
          <w:color w:val="auto"/>
        </w:rPr>
        <w:t>Exhibit 31.2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Anthony Georgiadis, certify that:</w:t>
      </w:r>
    </w:p>
    <w:p>
      <w:pPr>
        <w:spacing w:after="0" w:line="131" w:lineRule="exact"/>
        <w:rPr>
          <w:sz w:val="20"/>
          <w:szCs w:val="20"/>
          <w:color w:val="auto"/>
        </w:rPr>
      </w:pPr>
    </w:p>
    <w:p>
      <w:pPr>
        <w:ind w:left="1080" w:hanging="443"/>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Green Thumb Industries Inc.;</w:t>
      </w:r>
    </w:p>
    <w:p>
      <w:pPr>
        <w:spacing w:after="0" w:line="130" w:lineRule="exact"/>
        <w:rPr>
          <w:rFonts w:ascii="Arial" w:cs="Arial" w:eastAsia="Arial" w:hAnsi="Arial"/>
          <w:sz w:val="18"/>
          <w:szCs w:val="18"/>
          <w:color w:val="auto"/>
        </w:rPr>
      </w:pPr>
    </w:p>
    <w:p>
      <w:pPr>
        <w:ind w:left="1080" w:right="120" w:hanging="443"/>
        <w:spacing w:after="0" w:line="27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80" w:right="420" w:hanging="443"/>
        <w:spacing w:after="0" w:line="359"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80" w:right="40" w:hanging="443"/>
        <w:spacing w:after="0" w:line="27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2240" w:right="20" w:hanging="450"/>
        <w:spacing w:after="0" w:line="329" w:lineRule="auto"/>
        <w:tabs>
          <w:tab w:leader="none" w:pos="22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6"/>
          <w:szCs w:val="16"/>
          <w:color w:val="auto"/>
        </w:rPr>
      </w:pPr>
    </w:p>
    <w:p>
      <w:pPr>
        <w:ind w:left="2240" w:right="440" w:hanging="450"/>
        <w:spacing w:after="0" w:line="329" w:lineRule="auto"/>
        <w:tabs>
          <w:tab w:leader="none" w:pos="2240" w:val="left"/>
        </w:tabs>
        <w:numPr>
          <w:ilvl w:val="1"/>
          <w:numId w:val="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6"/>
          <w:szCs w:val="16"/>
          <w:color w:val="auto"/>
        </w:rPr>
      </w:pPr>
    </w:p>
    <w:p>
      <w:pPr>
        <w:jc w:val="both"/>
        <w:ind w:left="2240" w:hanging="450"/>
        <w:spacing w:after="0" w:line="279" w:lineRule="auto"/>
        <w:tabs>
          <w:tab w:leader="none" w:pos="2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2240" w:right="20" w:hanging="450"/>
        <w:spacing w:after="0" w:line="303" w:lineRule="auto"/>
        <w:tabs>
          <w:tab w:leader="none" w:pos="2240"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6" w:lineRule="exact"/>
        <w:rPr>
          <w:rFonts w:ascii="Arial" w:cs="Arial" w:eastAsia="Arial" w:hAnsi="Arial"/>
          <w:sz w:val="17"/>
          <w:szCs w:val="17"/>
          <w:color w:val="auto"/>
        </w:rPr>
      </w:pPr>
    </w:p>
    <w:p>
      <w:pPr>
        <w:ind w:left="1080" w:hanging="443"/>
        <w:spacing w:after="0" w:line="359"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2240" w:right="280" w:hanging="450"/>
        <w:spacing w:after="0" w:line="279" w:lineRule="auto"/>
        <w:tabs>
          <w:tab w:leader="none" w:pos="2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4" w:lineRule="exact"/>
        <w:rPr>
          <w:rFonts w:ascii="Arial" w:cs="Arial" w:eastAsia="Arial" w:hAnsi="Arial"/>
          <w:sz w:val="18"/>
          <w:szCs w:val="18"/>
          <w:color w:val="auto"/>
        </w:rPr>
      </w:pPr>
    </w:p>
    <w:p>
      <w:pPr>
        <w:ind w:left="2240" w:right="660" w:hanging="450"/>
        <w:spacing w:after="0" w:line="293" w:lineRule="auto"/>
        <w:tabs>
          <w:tab w:leader="none" w:pos="22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/s/Anthony Georgiadis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Anthony Georgiadis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0" w:firstLine="509"/>
        <w:spacing w:after="0" w:line="292" w:lineRule="auto"/>
        <w:rPr>
          <w:sz w:val="20"/>
          <w:szCs w:val="20"/>
          <w:color w:val="auto"/>
        </w:rPr>
      </w:pPr>
      <w:r>
        <w:rPr>
          <w:rFonts w:ascii="Arial" w:cs="Arial" w:eastAsia="Arial" w:hAnsi="Arial"/>
          <w:sz w:val="17"/>
          <w:szCs w:val="17"/>
          <w:color w:val="auto"/>
        </w:rPr>
        <w:t>In connection with the Quarterly Report of Green Thumb Industries Inc. (the “Company”) on Form 10-Q for the three and nine months ended September 30, 2021 as filed with the Securities and Exchange Commission on the date hereof (the “Report”), I, Benjamin Kovler, Chief Executive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/s/Benjamin Kovler</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Benjamin Kovler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60" w:firstLine="509"/>
        <w:spacing w:after="0" w:line="314" w:lineRule="auto"/>
        <w:rPr>
          <w:sz w:val="20"/>
          <w:szCs w:val="20"/>
          <w:color w:val="auto"/>
        </w:rPr>
      </w:pPr>
      <w:r>
        <w:rPr>
          <w:rFonts w:ascii="Arial" w:cs="Arial" w:eastAsia="Arial" w:hAnsi="Arial"/>
          <w:sz w:val="16"/>
          <w:szCs w:val="16"/>
          <w:color w:val="auto"/>
        </w:rPr>
        <w:t>In connection with the Quarterly Report of Green Thumb Industries Inc. (the “Company”) on Form 10-Q for the three and nine months ended September 30, 2021 as filed with the Securities and Exchange Commission on the date hereof (the “Report”), I, Anthony Georgiadis, Chief Financial Officer, certify pursuant to 18 U.S.C. Section 1350, as adopted pursuant to Section 906 of the Sarbanes-Oxley Act of 2002, that, to the best of my knowledge, the Report fully complies with the requirements of Section 13(a) or 15(d) of the Securities Exchange Act of 1934, as amended, and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GREEN THUMB INDUSTRIES INC.</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/s/Anthony Georgiadis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Anthony Georgiadis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1."/>
      <w:numFmt w:val="decimal"/>
      <w:start w:val="1"/>
    </w:lvl>
  </w:abstractNum>
  <w:abstractNum w:abstractNumId="3">
    <w:nsid w:val="22221A70"/>
    <w:multiLevelType w:val="hybridMultilevel"/>
    <w:lvl w:ilvl="0">
      <w:lvlJc w:val="left"/>
      <w:lvlText w:val="(%1)"/>
      <w:numFmt w:val="lowerLetter"/>
      <w:start w:val="1"/>
    </w:lvl>
  </w:abstractNum>
  <w:abstractNum w:abstractNumId="4">
    <w:nsid w:val="4516DDE9"/>
    <w:multiLevelType w:val="hybridMultilevel"/>
    <w:lvl w:ilvl="0">
      <w:lvlJc w:val="left"/>
      <w:lvlText w:val="(%1)"/>
      <w:numFmt w:val="lowerLetter"/>
      <w:start w:val="2"/>
    </w:lvl>
  </w:abstractNum>
  <w:abstractNum w:abstractNumId="5">
    <w:nsid w:val="3006C83E"/>
    <w:multiLevelType w:val="hybridMultilevel"/>
    <w:lvl w:ilvl="0">
      <w:lvlJc w:val="left"/>
      <w:lvlText w:val="(%1)"/>
      <w:numFmt w:val="lowerLetter"/>
      <w:start w:val="3"/>
    </w:lvl>
  </w:abstractNum>
  <w:abstractNum w:abstractNumId="6">
    <w:nsid w:val="614FD4A1"/>
    <w:multiLevelType w:val="hybridMultilevel"/>
    <w:lvl w:ilvl="0">
      <w:lvlJc w:val="left"/>
      <w:lvlText w:val="(%1)"/>
      <w:numFmt w:val="lowerLetter"/>
      <w:start w:val="4"/>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1)"/>
      <w:numFmt w:val="lowerLetter"/>
      <w:start w:val="5"/>
    </w:lvl>
    <w:lvl w:ilvl="1">
      <w:lvlJc w:val="left"/>
      <w:lvlText w:val="(%2)"/>
      <w:numFmt w:val="lowerRoman"/>
      <w:start w:val="1"/>
    </w:lvl>
  </w:abstractNum>
  <w:abstractNum w:abstractNumId="9">
    <w:nsid w:val="440BADFC"/>
    <w:multiLevelType w:val="hybridMultilevel"/>
    <w:lvl w:ilvl="0">
      <w:lvlJc w:val="left"/>
      <w:lvlText w:val="(%1)"/>
      <w:numFmt w:val="lowerLetter"/>
      <w:start w:val="3"/>
    </w:lvl>
    <w:lvl w:ilvl="1">
      <w:lvlJc w:val="left"/>
      <w:lvlText w:val="(%2)"/>
      <w:numFmt w:val="lowerRoman"/>
      <w:start w:val="1"/>
    </w:lvl>
  </w:abstractNum>
  <w:abstractNum w:abstractNumId="10">
    <w:nsid w:val="5072367"/>
    <w:multiLevelType w:val="hybridMultilevel"/>
    <w:lvl w:ilvl="0">
      <w:lvlJc w:val="left"/>
      <w:lvlText w:val="(%1)"/>
      <w:numFmt w:val="lowerLetter"/>
      <w:start w:val="2"/>
    </w:lvl>
  </w:abstractNum>
  <w:abstractNum w:abstractNumId="11">
    <w:nsid w:val="3804823E"/>
    <w:multiLevelType w:val="hybridMultilevel"/>
    <w:lvl w:ilvl="0">
      <w:lvlJc w:val="left"/>
      <w:lvlText w:val="%1."/>
      <w:numFmt w:val="decimal"/>
      <w:start w:val="2"/>
    </w:lvl>
  </w:abstractNum>
  <w:abstractNum w:abstractNumId="12">
    <w:nsid w:val="77465F01"/>
    <w:multiLevelType w:val="hybridMultilevel"/>
    <w:lvl w:ilvl="0">
      <w:lvlJc w:val="left"/>
      <w:lvlText w:val="%1."/>
      <w:numFmt w:val="decimal"/>
      <w:start w:val="3"/>
    </w:lvl>
  </w:abstractNum>
  <w:abstractNum w:abstractNumId="13">
    <w:nsid w:val="7724C67E"/>
    <w:multiLevelType w:val="hybridMultilevel"/>
    <w:lvl w:ilvl="0">
      <w:lvlJc w:val="left"/>
      <w:lvlText w:val="%1."/>
      <w:numFmt w:val="decimal"/>
      <w:start w:val="4"/>
    </w:lvl>
  </w:abstractNum>
  <w:abstractNum w:abstractNumId="14">
    <w:nsid w:val="5C482A97"/>
    <w:multiLevelType w:val="hybridMultilevel"/>
    <w:lvl w:ilvl="0">
      <w:lvlJc w:val="left"/>
      <w:lvlText w:val="(%1)"/>
      <w:numFmt w:val="lowerRoman"/>
      <w:start w:val="1"/>
    </w:lvl>
  </w:abstractNum>
  <w:abstractNum w:abstractNumId="15">
    <w:nsid w:val="2463B9EA"/>
    <w:multiLevelType w:val="hybridMultilevel"/>
    <w:lvl w:ilvl="0">
      <w:lvlJc w:val="left"/>
      <w:lvlText w:val="%1."/>
      <w:numFmt w:val="decimal"/>
      <w:start w:val="4"/>
    </w:lvl>
  </w:abstractNum>
  <w:abstractNum w:abstractNumId="16">
    <w:nsid w:val="5E884ADC"/>
    <w:multiLevelType w:val="hybridMultilevel"/>
    <w:lvl w:ilvl="0">
      <w:lvlJc w:val="left"/>
      <w:lvlText w:val="(%1)"/>
      <w:numFmt w:val="lowerRoman"/>
      <w:start w:val="2"/>
    </w:lvl>
  </w:abstractNum>
  <w:abstractNum w:abstractNumId="17">
    <w:nsid w:val="51EAD36B"/>
    <w:multiLevelType w:val="hybridMultilevel"/>
    <w:lvl w:ilvl="0">
      <w:lvlJc w:val="left"/>
      <w:lvlText w:val="(%1)"/>
      <w:numFmt w:val="lowerRoman"/>
      <w:start w:val="3"/>
    </w:lvl>
  </w:abstractNum>
  <w:abstractNum w:abstractNumId="18">
    <w:nsid w:val="2D517796"/>
    <w:multiLevelType w:val="hybridMultilevel"/>
    <w:lvl w:ilvl="0">
      <w:lvlJc w:val="left"/>
      <w:lvlText w:val="(%1)"/>
      <w:numFmt w:val="lowerRoman"/>
      <w:start w:val="4"/>
    </w:lvl>
  </w:abstractNum>
  <w:abstractNum w:abstractNumId="19">
    <w:nsid w:val="580BD78F"/>
    <w:multiLevelType w:val="hybridMultilevel"/>
    <w:lvl w:ilvl="0">
      <w:lvlJc w:val="left"/>
      <w:lvlText w:val="%1."/>
      <w:numFmt w:val="decimal"/>
      <w:start w:val="5"/>
    </w:lvl>
  </w:abstractNum>
  <w:abstractNum w:abstractNumId="20">
    <w:nsid w:val="153EA438"/>
    <w:multiLevelType w:val="hybridMultilevel"/>
    <w:lvl w:ilvl="0">
      <w:lvlJc w:val="left"/>
      <w:lvlText w:val="%1."/>
      <w:numFmt w:val="decimal"/>
      <w:start w:val="6"/>
    </w:lvl>
  </w:abstractNum>
  <w:abstractNum w:abstractNumId="21">
    <w:nsid w:val="3855585C"/>
    <w:multiLevelType w:val="hybridMultilevel"/>
    <w:lvl w:ilvl="0">
      <w:lvlJc w:val="left"/>
      <w:lvlText w:val="%1."/>
      <w:numFmt w:val="decimal"/>
      <w:start w:val="7"/>
    </w:lvl>
    <w:lvl w:ilvl="1">
      <w:lvlJc w:val="left"/>
      <w:lvlText w:val="(%2)"/>
      <w:numFmt w:val="lowerLetter"/>
      <w:start w:val="1"/>
    </w:lvl>
  </w:abstractNum>
  <w:abstractNum w:abstractNumId="22">
    <w:nsid w:val="70A64E2A"/>
    <w:multiLevelType w:val="hybridMultilevel"/>
    <w:lvl w:ilvl="0">
      <w:lvlJc w:val="left"/>
      <w:lvlText w:val="(%1)"/>
      <w:numFmt w:val="lowerLetter"/>
      <w:start w:val="2"/>
    </w:lvl>
  </w:abstractNum>
  <w:abstractNum w:abstractNumId="23">
    <w:nsid w:val="6A2342EC"/>
    <w:multiLevelType w:val="hybridMultilevel"/>
    <w:lvl w:ilvl="0">
      <w:lvlJc w:val="left"/>
      <w:lvlText w:val="%1."/>
      <w:numFmt w:val="decimal"/>
      <w:start w:val="8"/>
    </w:lvl>
  </w:abstractNum>
  <w:abstractNum w:abstractNumId="24">
    <w:nsid w:val="2A487CB0"/>
    <w:multiLevelType w:val="hybridMultilevel"/>
    <w:lvl w:ilvl="0">
      <w:lvlJc w:val="left"/>
      <w:lvlText w:val="(%1)"/>
      <w:numFmt w:val="lowerLetter"/>
    </w:lvl>
    <w:lvl w:ilvl="1">
      <w:lvlJc w:val="left"/>
      <w:lvlText w:val="1"/>
      <w:numFmt w:val="bullet"/>
      <w:start w:val="1"/>
    </w:lvl>
  </w:abstractNum>
  <w:abstractNum w:abstractNumId="25">
    <w:nsid w:val="1D4ED43B"/>
    <w:multiLevelType w:val="hybridMultilevel"/>
    <w:lvl w:ilvl="0">
      <w:lvlJc w:val="left"/>
      <w:lvlText w:val="%1."/>
      <w:numFmt w:val="decimal"/>
      <w:start w:val="8"/>
    </w:lvl>
  </w:abstractNum>
  <w:abstractNum w:abstractNumId="26">
    <w:nsid w:val="725A06FB"/>
    <w:multiLevelType w:val="hybridMultilevel"/>
    <w:lvl w:ilvl="0">
      <w:lvlJc w:val="left"/>
      <w:lvlText w:val="(%1)"/>
      <w:numFmt w:val="lowerLetter"/>
      <w:start w:val="2"/>
    </w:lvl>
  </w:abstractNum>
  <w:abstractNum w:abstractNumId="27">
    <w:nsid w:val="2CD89A32"/>
    <w:multiLevelType w:val="hybridMultilevel"/>
    <w:lvl w:ilvl="0">
      <w:lvlJc w:val="left"/>
      <w:lvlText w:val="%1."/>
      <w:numFmt w:val="decimal"/>
      <w:start w:val="9"/>
    </w:lvl>
  </w:abstractNum>
  <w:abstractNum w:abstractNumId="28">
    <w:nsid w:val="57E4CCAF"/>
    <w:multiLevelType w:val="hybridMultilevel"/>
    <w:lvl w:ilvl="0">
      <w:lvlJc w:val="left"/>
      <w:lvlText w:val="(%1)"/>
      <w:numFmt w:val="lowerLetter"/>
      <w:start w:val="1"/>
    </w:lvl>
  </w:abstractNum>
  <w:abstractNum w:abstractNumId="29">
    <w:nsid w:val="7A6D8D3C"/>
    <w:multiLevelType w:val="hybridMultilevel"/>
    <w:lvl w:ilvl="0">
      <w:lvlJc w:val="left"/>
      <w:lvlText w:val="%1."/>
      <w:numFmt w:val="decimal"/>
      <w:start w:val="9"/>
    </w:lvl>
  </w:abstractNum>
  <w:abstractNum w:abstractNumId="30">
    <w:nsid w:val="4B588F54"/>
    <w:multiLevelType w:val="hybridMultilevel"/>
    <w:lvl w:ilvl="0">
      <w:lvlJc w:val="left"/>
      <w:lvlText w:val="(%1)"/>
      <w:numFmt w:val="lowerLetter"/>
      <w:start w:val="2"/>
    </w:lvl>
  </w:abstractNum>
  <w:abstractNum w:abstractNumId="31">
    <w:nsid w:val="542289EC"/>
    <w:multiLevelType w:val="hybridMultilevel"/>
    <w:lvl w:ilvl="0">
      <w:lvlJc w:val="left"/>
      <w:lvlText w:val="%1."/>
      <w:numFmt w:val="decimal"/>
      <w:start w:val="10"/>
    </w:lvl>
  </w:abstractNum>
  <w:abstractNum w:abstractNumId="32">
    <w:nsid w:val="6DE91B18"/>
    <w:multiLevelType w:val="hybridMultilevel"/>
    <w:lvl w:ilvl="0">
      <w:lvlJc w:val="left"/>
      <w:lvlText w:val="(%1)"/>
      <w:numFmt w:val="lowerLetter"/>
      <w:start w:val="1"/>
    </w:lvl>
  </w:abstractNum>
  <w:abstractNum w:abstractNumId="33">
    <w:nsid w:val="38437FDB"/>
    <w:multiLevelType w:val="hybridMultilevel"/>
    <w:lvl w:ilvl="0">
      <w:lvlJc w:val="left"/>
      <w:lvlText w:val="(%1)"/>
      <w:numFmt w:val="lowerRoman"/>
      <w:start w:val="1"/>
    </w:lvl>
  </w:abstractNum>
  <w:abstractNum w:abstractNumId="34">
    <w:nsid w:val="7644A45C"/>
    <w:multiLevelType w:val="hybridMultilevel"/>
    <w:lvl w:ilvl="0">
      <w:lvlJc w:val="left"/>
      <w:lvlText w:val="(%1)"/>
      <w:numFmt w:val="lowerRoman"/>
      <w:start w:val="2"/>
    </w:lvl>
  </w:abstractNum>
  <w:abstractNum w:abstractNumId="35">
    <w:nsid w:val="32FFF902"/>
    <w:multiLevelType w:val="hybridMultilevel"/>
    <w:lvl w:ilvl="0">
      <w:lvlJc w:val="left"/>
      <w:lvlText w:val="(%1)"/>
      <w:numFmt w:val="lowerRoman"/>
      <w:start w:val="3"/>
    </w:lvl>
  </w:abstractNum>
  <w:abstractNum w:abstractNumId="36">
    <w:nsid w:val="684A481A"/>
    <w:multiLevelType w:val="hybridMultilevel"/>
    <w:lvl w:ilvl="0">
      <w:lvlJc w:val="left"/>
      <w:lvlText w:val="(%1)"/>
      <w:numFmt w:val="lowerLetter"/>
      <w:start w:val="2"/>
    </w:lvl>
  </w:abstractNum>
  <w:abstractNum w:abstractNumId="37">
    <w:nsid w:val="579478FE"/>
    <w:multiLevelType w:val="hybridMultilevel"/>
    <w:lvl w:ilvl="0">
      <w:lvlJc w:val="left"/>
      <w:lvlText w:val="%1."/>
      <w:numFmt w:val="decimal"/>
      <w:start w:val="10"/>
    </w:lvl>
  </w:abstractNum>
  <w:abstractNum w:abstractNumId="38">
    <w:nsid w:val="749ABB43"/>
    <w:multiLevelType w:val="hybridMultilevel"/>
    <w:lvl w:ilvl="0">
      <w:lvlJc w:val="left"/>
      <w:lvlText w:val="(%1)"/>
      <w:numFmt w:val="lowerLetter"/>
      <w:start w:val="2"/>
    </w:lvl>
    <w:lvl w:ilvl="1">
      <w:lvlJc w:val="left"/>
      <w:lvlText w:val="(%2)"/>
      <w:numFmt w:val="lowerLetter"/>
      <w:start w:val="9"/>
    </w:lvl>
  </w:abstractNum>
  <w:abstractNum w:abstractNumId="39">
    <w:nsid w:val="3DC240FB"/>
    <w:multiLevelType w:val="hybridMultilevel"/>
    <w:lvl w:ilvl="0">
      <w:lvlJc w:val="left"/>
      <w:lvlText w:val="(%1)"/>
      <w:numFmt w:val="lowerRoman"/>
      <w:start w:val="2"/>
    </w:lvl>
  </w:abstractNum>
  <w:abstractNum w:abstractNumId="40">
    <w:nsid w:val="1BA026FA"/>
    <w:multiLevelType w:val="hybridMultilevel"/>
    <w:lvl w:ilvl="0">
      <w:lvlJc w:val="left"/>
      <w:lvlText w:val="%1."/>
      <w:numFmt w:val="decimal"/>
      <w:start w:val="10"/>
    </w:lvl>
    <w:lvl w:ilvl="1">
      <w:lvlJc w:val="left"/>
      <w:lvlText w:val="(%2)"/>
      <w:numFmt w:val="lowerLetter"/>
      <w:start w:val="2"/>
    </w:lvl>
  </w:abstractNum>
  <w:abstractNum w:abstractNumId="41">
    <w:nsid w:val="79A1DEAA"/>
    <w:multiLevelType w:val="hybridMultilevel"/>
    <w:lvl w:ilvl="0">
      <w:lvlJc w:val="left"/>
      <w:lvlText w:val="(%1)"/>
      <w:numFmt w:val="lowerRoman"/>
      <w:start w:val="3"/>
    </w:lvl>
  </w:abstractNum>
  <w:abstractNum w:abstractNumId="42">
    <w:nsid w:val="75C6C33A"/>
    <w:multiLevelType w:val="hybridMultilevel"/>
    <w:lvl w:ilvl="0">
      <w:lvlJc w:val="left"/>
      <w:lvlText w:val="(%1)"/>
      <w:numFmt w:val="lowerRoman"/>
      <w:start w:val="4"/>
    </w:lvl>
  </w:abstractNum>
  <w:abstractNum w:abstractNumId="43">
    <w:nsid w:val="12E685FB"/>
    <w:multiLevelType w:val="hybridMultilevel"/>
    <w:lvl w:ilvl="0">
      <w:lvlJc w:val="left"/>
      <w:lvlText w:val="(%1)"/>
      <w:numFmt w:val="lowerLetter"/>
      <w:start w:val="4"/>
    </w:lvl>
  </w:abstractNum>
  <w:abstractNum w:abstractNumId="44">
    <w:nsid w:val="70C6A529"/>
    <w:multiLevelType w:val="hybridMultilevel"/>
    <w:lvl w:ilvl="0">
      <w:lvlJc w:val="left"/>
      <w:lvlText w:val="%1."/>
      <w:numFmt w:val="decimal"/>
      <w:start w:val="10"/>
    </w:lvl>
  </w:abstractNum>
  <w:abstractNum w:abstractNumId="45">
    <w:nsid w:val="520EEDD1"/>
    <w:multiLevelType w:val="hybridMultilevel"/>
    <w:lvl w:ilvl="0">
      <w:lvlJc w:val="left"/>
      <w:lvlText w:val="(%1)"/>
      <w:numFmt w:val="lowerLetter"/>
      <w:start w:val="3"/>
    </w:lvl>
  </w:abstractNum>
  <w:abstractNum w:abstractNumId="46">
    <w:nsid w:val="374A3FE6"/>
    <w:multiLevelType w:val="hybridMultilevel"/>
    <w:lvl w:ilvl="0">
      <w:lvlJc w:val="left"/>
      <w:lvlText w:val="%1."/>
      <w:numFmt w:val="decimal"/>
      <w:start w:val="10"/>
    </w:lvl>
    <w:lvl w:ilvl="1">
      <w:lvlJc w:val="left"/>
      <w:lvlText w:val="(%2)"/>
      <w:numFmt w:val="lowerLetter"/>
      <w:start w:val="3"/>
    </w:lvl>
  </w:abstractNum>
  <w:abstractNum w:abstractNumId="47">
    <w:nsid w:val="4F4EF005"/>
    <w:multiLevelType w:val="hybridMultilevel"/>
    <w:lvl w:ilvl="0">
      <w:lvlJc w:val="left"/>
      <w:lvlText w:val="%1."/>
      <w:numFmt w:val="decimal"/>
      <w:start w:val="11"/>
    </w:lvl>
  </w:abstractNum>
  <w:abstractNum w:abstractNumId="48">
    <w:nsid w:val="23F9C13C"/>
    <w:multiLevelType w:val="hybridMultilevel"/>
    <w:lvl w:ilvl="0">
      <w:lvlJc w:val="left"/>
      <w:lvlText w:val="%1."/>
      <w:numFmt w:val="decimal"/>
      <w:start w:val="12"/>
    </w:lvl>
  </w:abstractNum>
  <w:abstractNum w:abstractNumId="49">
    <w:nsid w:val="649BB77C"/>
    <w:multiLevelType w:val="hybridMultilevel"/>
    <w:lvl w:ilvl="0">
      <w:lvlJc w:val="left"/>
      <w:lvlText w:val="%1."/>
      <w:numFmt w:val="decimal"/>
      <w:start w:val="13"/>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2"/>
    </w:lvl>
  </w:abstractNum>
  <w:abstractNum w:abstractNumId="52">
    <w:nsid w:val="1CF10FD8"/>
    <w:multiLevelType w:val="hybridMultilevel"/>
    <w:lvl w:ilvl="0">
      <w:lvlJc w:val="left"/>
      <w:lvlText w:val="(%1)"/>
      <w:numFmt w:val="lowerLetter"/>
      <w:start w:val="3"/>
    </w:lvl>
  </w:abstractNum>
  <w:abstractNum w:abstractNumId="53">
    <w:nsid w:val="180115BE"/>
    <w:multiLevelType w:val="hybridMultilevel"/>
    <w:lvl w:ilvl="0">
      <w:lvlJc w:val="left"/>
      <w:lvlText w:val="%1."/>
      <w:numFmt w:val="decimal"/>
      <w:start w:val="14"/>
    </w:lvl>
  </w:abstractNum>
  <w:abstractNum w:abstractNumId="54">
    <w:nsid w:val="235BA861"/>
    <w:multiLevelType w:val="hybridMultilevel"/>
    <w:lvl w:ilvl="0">
      <w:lvlJc w:val="left"/>
      <w:lvlText w:val="%1."/>
      <w:numFmt w:val="decimal"/>
      <w:start w:val="15"/>
    </w:lvl>
  </w:abstractNum>
  <w:abstractNum w:abstractNumId="55">
    <w:nsid w:val="47398C89"/>
    <w:multiLevelType w:val="hybridMultilevel"/>
    <w:lvl w:ilvl="0">
      <w:lvlJc w:val="left"/>
      <w:lvlText w:val="%1."/>
      <w:numFmt w:val="decimal"/>
      <w:start w:val="15"/>
    </w:lvl>
  </w:abstractNum>
  <w:abstractNum w:abstractNumId="56">
    <w:nsid w:val="354FE9F9"/>
    <w:multiLevelType w:val="hybridMultilevel"/>
    <w:lvl w:ilvl="0">
      <w:lvlJc w:val="left"/>
      <w:lvlText w:val="%1."/>
      <w:numFmt w:val="decimal"/>
      <w:start w:val="16"/>
    </w:lvl>
  </w:abstractNum>
  <w:abstractNum w:abstractNumId="57">
    <w:nsid w:val="15B5AF5C"/>
    <w:multiLevelType w:val="hybridMultilevel"/>
    <w:lvl w:ilvl="0">
      <w:lvlJc w:val="left"/>
      <w:lvlText w:val="(%1)"/>
      <w:numFmt w:val="lowerLetter"/>
      <w:start w:val="1"/>
    </w:lvl>
  </w:abstractNum>
  <w:abstractNum w:abstractNumId="58">
    <w:nsid w:val="741226BB"/>
    <w:multiLevelType w:val="hybridMultilevel"/>
    <w:lvl w:ilvl="0">
      <w:lvlJc w:val="left"/>
      <w:lvlText w:val="%1"/>
      <w:numFmt w:val="decimal"/>
      <w:start w:val="104"/>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2021-11-12T08:17:09Z</dcterms:created>
  <dcterms:modified xsi:type="dcterms:W3CDTF">2021-11-12T08:17:09Z</dcterms:modified>
</cp:coreProperties>
</file>