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2025, Green Thumb Industries Inc. issued a press release announcing its financial results for the quarter ended December 31, 2024, a copy of which is attached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1732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156845</wp:posOffset>
            </wp:positionV>
            <wp:extent cx="31286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 Thumb Industries Reports Fourth Quarter and Full Year 2024 Results</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CHICAGO and VANCOUVER, British Columbia, February 26, 2025 (GLOBE NEWSWIRE) – Green Thumb Industries Inc. (“Green Thumb” or the “Company”) (CSE: GTII) (OTCQX: GTBIF), a leading national cannabis consumer packaged goods company and owner of RISE Dispensaries, today reported its financial results for the quarter and full year ended December 31, 2024. Financial results are reported in accordance with U.S. generally accepted accounting principles (“GAAP”) and all currency is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fourth quarter ended December 31, 2024:</w:t>
      </w:r>
    </w:p>
    <w:p>
      <w:pPr>
        <w:spacing w:after="0" w:line="33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$294 million, an increase of 6% over the prior year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quarter end totaled $172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$13 million or $0.05 per basic and $0.04 per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$98 million or 33%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1.2 million of the Company’s Subordinate Voting Shares for $9.6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three RISE Dispensaries: one each in Florida, Minnesota and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year ended December 31, 2024:</w:t>
      </w:r>
    </w:p>
    <w:p>
      <w:pPr>
        <w:spacing w:after="0" w:line="33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$1.1 billion, an increase of 8% over the prior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$195 million, net of $131 million of tax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$73 million or $0.31 per basic and $0.30 per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$371 million or 33% of revenue, a 14% increase year-over-year.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3.9 million of the Company’s Subordinate Voting Shares for $43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ten RISE Dispensaries for a total of 101 retail locations nationwide.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balance sheet and disciplined capital allocation to support future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Green Thumb team delivered another year of impressive results in 2024. In the fourth quarter, we achieved record high revenue and Adjusted EBITDA of $294 million and $98 million, respectively, and full year cash flow from operations of $195 million, net of the $131 million paid in taxes. We ended the year with a strong balance sheet including $172 million in cash after repurchasing $43 million of company shares,” said Green Thumb Founder, Chairman and Chief Executive Officer Ben Kovler. “Demand for THC in America is at an all-time high, and Green Thumb is well-positioned to deliver on this opportunity. Meanwhile, alcohol consumption trends in America are not positive, as the Surgeon General recently warned of the harms of alcohol and its link to cancer. In contrast, cannabis—now available to more Americans in more locations than ever—is enhancing the well-being of tens of millions across the nation. Over the past decade, our exceptional team has been consistently delivering best-in-class brands and experiences to promote well-being, and we are excited by the promising opportunity that lies ahead.”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Green Thumb President Anthony Georgiadis added, “We are incredibly proud of our team and the results we achieved together in 2024. We opened 10 new stores, bringing our total to 101 RISE Dispensaries across 14 states. We made tremendous progress elevating our brand awareness by connecting consumers to unique and memorable experiences, including our first-of-its-kind partnership with beloved Chicago music and entertainment venue, The Salt Shed, our expanded collaboration with New York’s iconic Magnolia Bakery, and our multi-brand partnership with influential media company, Barstool Sports. As we look ahead, we are confident that our focus on thoughtful capital allocation, operational excellence, superior product quality and brands that resonate with consumers is a winning combination for Green Thumb.”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fourth quarter was $294.3 million, up 5.8% from the prior year period. For the full year 2024, total revenue increased 7.8% to $1.1 billion. Revenue growth in the fourth quarter was driven by contributions from both the Retail and Consumer Packaged Goods segments.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retail revenue increased 0.5% versus the fourth quarter of 2023 and 4.2% for the full year 2023, reflecting continued growth in our existing markets of New York, Florida and Maryland, the addition of adult-use sales in Ohio, and the opening of 10 incremental RISE Dispensaries since the prior year period. The increase was partially offset by continued price compression in certain markets. Fourth quarter 2024 comparable sales (stores open at least 12 months) decreased 2.6% versus the prior year on a base of 84 stores.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Packaged Goods’ gross revenue for the fourth quarter increased 19.9% versus the prior year period and 15.9% compared to the full year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by continued growth in our existing markets of New York and New Jersey, and the addition of adult-use sales in Ohio.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fourth quarter was $158.1 million or 53.7% of revenue, up from $142.7 million or 51.3% of revenue over the prior year period. For the full year, gross profit was $601.1 million or 52.9% of revenue, up from $526.5 million or 49.9% in 2023. The Company was able to offset price compression headwinds through operational efficiencies.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for the fourth quarter were $101.0 million or 34.3% of revenue, compared to $92.3 million or 33.2% of revenue for the fourth quarter 2023. Total selling, general and administrative expenses for the full year 2024 were $376.7 million or 33.1% of revenue, compared to $341.9 million or 32.4% of revenue in the prior year, primarily due to increased compensation costs during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fourth quarter was $12.7 million or $0.05 and $0.04 per basic and diluted share, respectively, up from net income of $3.2 million, or $0.01 per basic and diluted share in the prior year period. Net income for the full year 2024 increased to $73.1 million or $0.31 per basic and $0.30 per diluted share, versus net income of $36.3 million or $0.15 per basic and diluted share in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EBITDA was $86.1 million or 29.2% of revenue, versus $77.8 million or 28% of revenue for the comparable prior year period. Adjusted EBITDA, which excluded non-cash stock-based compensation of $9.6 million and other non-operating adjustments of $2.1 million, was $97.8 million or 33.2% of revenue, up from $90.8 million or 32.6% of revenue for the fourth quarter 2023. Adjusted EBITDA for the full year 2024 increased to $371.3 million or 32.7% of revenue, compared to $325.8 million or 30.9% of revenue in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non-GAAP financial measures discussed above, see under “Non-GAAP Financial Information”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current assets were $403.9 million, including cash and cash equivalents of $171.7 million. Total debt outstanding was $255.0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December 31, 2024, were 236.8 million shares and 239.1 million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13, 2024, the Company’s Board of Directors authorized up to $50 million to be used to repurchase up to 10,573,860 of the Company’s Subordinate Voting Shares from September 23, 2024, through September 22,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the Company repurchased approximately 1.2 million Subordinate Voting Shares for $9.6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Business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the Company opened three retail stores:</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Carson City, Nevada on US HWY 50; profits from the grand opening were donated to The Boys &amp; Girls Clubs of Western Nevada.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Brooklyn Park, Minnesota; profits from the grand opening were donated to Metro Meals on Wheels.</w:t>
      </w:r>
    </w:p>
    <w:p>
      <w:pPr>
        <w:spacing w:after="0" w:line="33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Orlando, Florida on Good Homes Road; profits from the grand opening were donated to Florida Rights Restoration Coalition.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Earnings before interest, taxes, depreciation, and amortization, adjusted for other income, non-cash stock-based compensation, one-time transaction related expenses, or other non-operating costs.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Green Thumb will host a conference call on Wednesday, February 26, 2025, at 5:00 pm Eastern Time to discuss its results for the fourth quarter and full year ended December 31, 2024. The earnings call may be accessed by dialing 844-883-3895 (toll-free) or 412-317-5797 (international). A live audio webcast of the call will also be available on the Investor Relations section of Green Thumb’s website at https://investors.gtigrows.com and will be archived for replay.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a national chain of retail cannabis stores under the brand name of RISE Dispensary. Headquartered in Chicago, Illinois, Green Thumb has 20 manufacturing facilities, 101 open retail locations and operations across 14 U.S. markets. Established in 2014, Green Thumb employs approximately 4,800 people and serves millions of patients and customers each year. More information is available at www.gtigrows.com.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4 of 7</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have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it conducts business; the Company faces intense competition; the Company faces competition from the illicit market as well as hemp products that are actually or purportedly compliant with the Agricultural Improvement Act of 2018 (the Farm Bill); the Company is dependent upon the popularity and consumer acceptance of its brand portfolio; the Company has limited trademark protections; as a cannabis business, the Company is subject to unfavorable tax treatment and may incur significant tax liability; as a cannabis business, the Company may be subject to civil asset forfeiture;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and similar claims; the Company’s products may be subject to product recalls; the Company may face unfavorable publicity or consumer perception; the Company may be adversely impacted by rising or volatile energy costs and availability;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relies on the expertise of its management team and other employees experienced in the cannabis industry, and the loss of key personnel could negatively affect its business; the Company’s voting control is concentrated; the Company’s capital structure and voting control may cause unpredictability; and sales of substantial amounts Subordinate Voting Shares by the Company’s shareholders in the public market may have an adverse effect on the market price of the Company’s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5 of 7</w:t>
      </w:r>
    </w:p>
    <w:p>
      <w:pPr>
        <w:spacing w:after="0" w:line="203" w:lineRule="exact"/>
        <w:rPr>
          <w:sz w:val="20"/>
          <w:szCs w:val="20"/>
          <w:color w:val="auto"/>
        </w:rPr>
      </w:pPr>
    </w:p>
    <w:p>
      <w:pPr>
        <w:ind w:right="4580"/>
        <w:spacing w:after="0" w:line="317" w:lineRule="auto"/>
        <w:rPr>
          <w:sz w:val="20"/>
          <w:szCs w:val="20"/>
          <w:color w:val="auto"/>
        </w:rPr>
      </w:pPr>
      <w:r>
        <w:rPr>
          <w:rFonts w:ascii="Times New Roman" w:cs="Times New Roman" w:eastAsia="Times New Roman" w:hAnsi="Times New Roman"/>
          <w:sz w:val="17"/>
          <w:szCs w:val="17"/>
          <w:b w:val="1"/>
          <w:bCs w:val="1"/>
          <w:color w:val="auto"/>
        </w:rPr>
        <w:t>Highlights from Unaudited Interim Condensed Consolidated Statements of Operations For the For the Three and Twelve Months Ended December 31, 2024 and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87"/>
        </w:trPr>
        <w:tc>
          <w:tcPr>
            <w:tcW w:w="542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6"/>
                <w:szCs w:val="16"/>
                <w:color w:val="auto"/>
              </w:rPr>
            </w:pPr>
          </w:p>
        </w:tc>
        <w:tc>
          <w:tcPr>
            <w:tcW w:w="12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6"/>
                <w:szCs w:val="16"/>
                <w:color w:val="auto"/>
              </w:rPr>
            </w:pPr>
          </w:p>
        </w:tc>
        <w:tc>
          <w:tcPr>
            <w:tcW w:w="12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(Unaudited)</w:t>
            </w:r>
          </w:p>
        </w:tc>
      </w:tr>
      <w:tr>
        <w:trPr>
          <w:trHeight w:val="216"/>
        </w:trPr>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$294,323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$278,231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$1,137,141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$1,054,553</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(135,543)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(528,058)</w:t>
            </w:r>
          </w:p>
        </w:tc>
      </w:tr>
      <w:tr>
        <w:trPr>
          <w:trHeight w:val="209"/>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601,109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526,495</w:t>
            </w:r>
          </w:p>
        </w:tc>
      </w:tr>
      <w:tr>
        <w:trPr>
          <w:trHeight w:val="210"/>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r>
      <w:tr>
        <w:trPr>
          <w:trHeight w:val="209"/>
        </w:trPr>
        <w:tc>
          <w:tcPr>
            <w:tcW w:w="54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184,632</w:t>
            </w:r>
          </w:p>
        </w:tc>
      </w:tr>
      <w:tr>
        <w:trPr>
          <w:trHeight w:val="209"/>
        </w:trPr>
        <w:tc>
          <w:tcPr>
            <w:tcW w:w="54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(16,207)</w:t>
            </w:r>
          </w:p>
        </w:tc>
      </w:tr>
      <w:tr>
        <w:trPr>
          <w:trHeight w:val="216"/>
        </w:trPr>
        <w:tc>
          <w:tcPr>
            <w:tcW w:w="5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16"/>
        </w:trPr>
        <w:tc>
          <w:tcPr>
            <w:tcW w:w="5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(19,073)</w:t>
            </w:r>
          </w:p>
        </w:tc>
      </w:tr>
      <w:tr>
        <w:trPr>
          <w:trHeight w:val="209"/>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(28,583)</w:t>
            </w:r>
          </w:p>
        </w:tc>
      </w:tr>
      <w:tr>
        <w:trPr>
          <w:trHeight w:val="209"/>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194"/>
        </w:trPr>
        <w:tc>
          <w:tcPr>
            <w:tcW w:w="54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200,139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156,049</w:t>
            </w:r>
          </w:p>
        </w:tc>
      </w:tr>
      <w:tr>
        <w:trPr>
          <w:trHeight w:val="216"/>
        </w:trPr>
        <w:tc>
          <w:tcPr>
            <w:tcW w:w="5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118,630</w:t>
            </w:r>
          </w:p>
        </w:tc>
      </w:tr>
      <w:tr>
        <w:trPr>
          <w:trHeight w:val="210"/>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37,419</w:t>
            </w:r>
          </w:p>
        </w:tc>
      </w:tr>
      <w:tr>
        <w:trPr>
          <w:trHeight w:val="216"/>
        </w:trPr>
        <w:tc>
          <w:tcPr>
            <w:tcW w:w="5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09"/>
        </w:trPr>
        <w:tc>
          <w:tcPr>
            <w:tcW w:w="54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$36,267</w:t>
            </w: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236,848,914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236,934,348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236,827,774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237,927,867</w:t>
            </w: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239,061,803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239,162,831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241,925,957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239,827,390</w:t>
            </w: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960"/>
        </w:trPr>
        <w:tc>
          <w:tcPr>
            <w:tcW w:w="5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-4653915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-4653915</wp:posOffset>
            </wp:positionV>
            <wp:extent cx="128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-4653915</wp:posOffset>
            </wp:positionV>
            <wp:extent cx="179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-4371340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-4371340</wp:posOffset>
            </wp:positionV>
            <wp:extent cx="128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-4371340</wp:posOffset>
            </wp:positionV>
            <wp:extent cx="179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6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the Unaudited Interim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3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6"/>
        </w:trPr>
        <w:tc>
          <w:tcPr>
            <w:tcW w:w="93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0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$171,687</w:t>
            </w: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232,213</w:t>
            </w: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716,014</w:t>
            </w: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246,281</w:t>
            </w: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488,287</w:t>
            </w: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589,691</w:t>
            </w: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92,839</w:t>
            </w:r>
          </w:p>
        </w:tc>
      </w:tr>
      <w:tr>
        <w:trPr>
          <w:trHeight w:val="249"/>
        </w:trPr>
        <w:tc>
          <w:tcPr>
            <w:tcW w:w="9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$2,537,012</w:t>
            </w:r>
          </w:p>
        </w:tc>
      </w:tr>
      <w:tr>
        <w:trPr>
          <w:trHeight w:val="197"/>
        </w:trPr>
        <w:tc>
          <w:tcPr>
            <w:tcW w:w="9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$164,969</w:t>
            </w: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242,896</w:t>
            </w: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261,446</w:t>
            </w: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78,621</w:t>
            </w: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1,789,080</w:t>
            </w:r>
          </w:p>
        </w:tc>
      </w:tr>
      <w:tr>
        <w:trPr>
          <w:trHeight w:val="250"/>
        </w:trPr>
        <w:tc>
          <w:tcPr>
            <w:tcW w:w="9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$2,537,012</w:t>
            </w:r>
          </w:p>
        </w:tc>
      </w:tr>
      <w:tr>
        <w:trPr>
          <w:trHeight w:val="959"/>
        </w:trPr>
        <w:tc>
          <w:tcPr>
            <w:tcW w:w="9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7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For the Three and Twelve Months Ended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42804"/>
        </w:rPr>
        <w:t>EBITDA, and Adjusted EBITDA are non-GAAP measures and do not have standardized definitions under GAAP. We define each term as follows:</w:t>
      </w:r>
    </w:p>
    <w:p>
      <w:pPr>
        <w:spacing w:after="0" w:line="22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EBITDA is defined as earnings before interest, taxes, other income or expense and depreciation and amortization.</w:t>
      </w:r>
    </w:p>
    <w:p>
      <w:pPr>
        <w:spacing w:after="0" w:line="27" w:lineRule="exact"/>
        <w:rPr>
          <w:rFonts w:ascii="Times New Roman" w:cs="Times New Roman" w:eastAsia="Times New Roman" w:hAnsi="Times New Roman"/>
          <w:sz w:val="18"/>
          <w:szCs w:val="18"/>
          <w:color w:val="042804"/>
        </w:rPr>
      </w:pPr>
    </w:p>
    <w:p>
      <w:pPr>
        <w:ind w:right="640" w:firstLine="8"/>
        <w:spacing w:after="0" w:line="260" w:lineRule="auto"/>
        <w:tabs>
          <w:tab w:leader="none" w:pos="255" w:val="left"/>
        </w:tabs>
        <w:numPr>
          <w:ilvl w:val="0"/>
          <w:numId w:val="5"/>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Adjusted EBITDA is defined as earnings before interest, taxes, depreciation, and amortization, adjusted for other income, non-cash share-based compensation, one-time transaction related expenses, or other non-operating (income) or costs.</w:t>
      </w:r>
    </w:p>
    <w:p>
      <w:pPr>
        <w:spacing w:after="0" w:line="1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042804"/>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13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13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 (GAAP)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118,630</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113,210</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100,790</w:t>
            </w:r>
          </w:p>
        </w:tc>
        <w:tc>
          <w:tcPr>
            <w:tcW w:w="0" w:type="dxa"/>
            <w:vAlign w:val="bottom"/>
          </w:tcPr>
          <w:p>
            <w:pPr>
              <w:spacing w:after="0"/>
              <w:rPr>
                <w:sz w:val="1"/>
                <w:szCs w:val="1"/>
                <w:color w:val="auto"/>
              </w:rPr>
            </w:pPr>
          </w:p>
        </w:tc>
      </w:tr>
      <w:tr>
        <w:trPr>
          <w:trHeight w:val="187"/>
        </w:trPr>
        <w:tc>
          <w:tcPr>
            <w:tcW w:w="55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$86,068</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$77,767</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$337,635</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$285,422</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(EBITDA) (non-GAAP measure)</w:t>
            </w:r>
          </w:p>
        </w:tc>
        <w:tc>
          <w:tcPr>
            <w:tcW w:w="136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Non-Cash</w:t>
            </w: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9,607</w:t>
            </w:r>
          </w:p>
        </w:tc>
        <w:tc>
          <w:tcPr>
            <w:tcW w:w="14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7,354</w:t>
            </w:r>
          </w:p>
        </w:tc>
        <w:tc>
          <w:tcPr>
            <w:tcW w:w="14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33,312</w:t>
            </w:r>
          </w:p>
        </w:tc>
        <w:tc>
          <w:tcPr>
            <w:tcW w:w="14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28,189</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(Income) Costs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0" w:type="dxa"/>
            <w:vAlign w:val="bottom"/>
          </w:tcPr>
          <w:p>
            <w:pPr>
              <w:spacing w:after="0"/>
              <w:rPr>
                <w:sz w:val="1"/>
                <w:szCs w:val="1"/>
                <w:color w:val="auto"/>
              </w:rPr>
            </w:pPr>
          </w:p>
        </w:tc>
      </w:tr>
      <w:tr>
        <w:trPr>
          <w:trHeight w:val="25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$90,800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$371,318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$325,839</w:t>
            </w:r>
          </w:p>
        </w:tc>
        <w:tc>
          <w:tcPr>
            <w:tcW w:w="0" w:type="dxa"/>
            <w:vAlign w:val="bottom"/>
          </w:tcPr>
          <w:p>
            <w:pPr>
              <w:spacing w:after="0"/>
              <w:rPr>
                <w:sz w:val="1"/>
                <w:szCs w:val="1"/>
                <w:color w:val="auto"/>
              </w:rPr>
            </w:pPr>
          </w:p>
        </w:tc>
      </w:tr>
      <w:tr>
        <w:trPr>
          <w:trHeight w:val="1175"/>
        </w:trPr>
        <w:tc>
          <w:tcPr>
            <w:tcW w:w="5520" w:type="dxa"/>
            <w:vAlign w:val="bottom"/>
            <w:tcBorders>
              <w:top w:val="single" w:sz="8" w:color="CFF0FC"/>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-1499870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-1499870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-1499870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-796290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-779780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-779780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-779780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2025-02-26T15:22:25Z</dcterms:created>
  <dcterms:modified xsi:type="dcterms:W3CDTF">2025-02-26T15:22:25Z</dcterms:modified>
</cp:coreProperties>
</file>