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granted in the form of Restricted Share Units that vest in one-third increments annually over a three-year period beginning on the first anniversary of the grant date, as described in the Green Thumb Industries Inc. Current Report Form 8-K filed with the Commission on October 25, 2024.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2024-11-04T15:59:39Z</dcterms:created>
  <dcterms:modified xsi:type="dcterms:W3CDTF">2024-11-04T15:59:39Z</dcterms:modified>
</cp:coreProperties>
</file>