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4"/>
        <w:spacing w:after="0"/>
        <w:rPr>
          <w:sz w:val="20"/>
          <w:szCs w:val="20"/>
          <w:color w:val="auto"/>
        </w:rPr>
      </w:pPr>
      <w:r>
        <w:rPr>
          <w:rFonts w:ascii="Arial" w:cs="Arial" w:eastAsia="Arial" w:hAnsi="Arial"/>
          <w:sz w:val="21"/>
          <w:szCs w:val="21"/>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384"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60" w:type="dxa"/>
            <w:vAlign w:val="bottom"/>
          </w:tcPr>
          <w:p>
            <w:pPr>
              <w:ind w:left="1520"/>
              <w:spacing w:after="0"/>
              <w:rPr>
                <w:sz w:val="20"/>
                <w:szCs w:val="20"/>
                <w:color w:val="auto"/>
              </w:rPr>
            </w:pPr>
            <w:r>
              <w:rPr>
                <w:rFonts w:ascii="Arial" w:cs="Arial" w:eastAsia="Arial" w:hAnsi="Arial"/>
                <w:sz w:val="14"/>
                <w:szCs w:val="14"/>
                <w:b w:val="1"/>
                <w:bCs w:val="1"/>
                <w:color w:val="auto"/>
              </w:rPr>
              <w:t>Trading</w:t>
            </w:r>
          </w:p>
        </w:tc>
        <w:tc>
          <w:tcPr>
            <w:tcW w:w="2580" w:type="dxa"/>
            <w:vAlign w:val="bottom"/>
          </w:tcPr>
          <w:p>
            <w:pPr>
              <w:jc w:val="center"/>
              <w:ind w:left="1308"/>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6"/>
        </w:trPr>
        <w:tc>
          <w:tcPr>
            <w:tcW w:w="2600" w:type="dxa"/>
            <w:vAlign w:val="bottom"/>
            <w:vMerge w:val="continue"/>
          </w:tcPr>
          <w:p>
            <w:pPr>
              <w:spacing w:after="0"/>
              <w:rPr>
                <w:sz w:val="16"/>
                <w:szCs w:val="16"/>
                <w:color w:val="auto"/>
              </w:rPr>
            </w:pPr>
          </w:p>
        </w:tc>
        <w:tc>
          <w:tcPr>
            <w:tcW w:w="3360" w:type="dxa"/>
            <w:vAlign w:val="bottom"/>
          </w:tcPr>
          <w:p>
            <w:pPr>
              <w:ind w:left="1520"/>
              <w:spacing w:after="0"/>
              <w:rPr>
                <w:sz w:val="20"/>
                <w:szCs w:val="20"/>
                <w:color w:val="auto"/>
              </w:rPr>
            </w:pPr>
            <w:r>
              <w:rPr>
                <w:rFonts w:ascii="Arial" w:cs="Arial" w:eastAsia="Arial" w:hAnsi="Arial"/>
                <w:sz w:val="14"/>
                <w:szCs w:val="14"/>
                <w:b w:val="1"/>
                <w:bCs w:val="1"/>
                <w:color w:val="auto"/>
              </w:rPr>
              <w:t>Symbol</w:t>
            </w:r>
          </w:p>
        </w:tc>
        <w:tc>
          <w:tcPr>
            <w:tcW w:w="2580" w:type="dxa"/>
            <w:vAlign w:val="bottom"/>
          </w:tcPr>
          <w:p>
            <w:pPr>
              <w:jc w:val="center"/>
              <w:ind w:left="130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784"/>
        <w:spacing w:after="0"/>
        <w:rPr>
          <w:sz w:val="20"/>
          <w:szCs w:val="20"/>
          <w:color w:val="auto"/>
        </w:rPr>
      </w:pPr>
      <w:r>
        <w:rPr>
          <w:rFonts w:ascii="Arial" w:cs="Arial" w:eastAsia="Arial" w:hAnsi="Arial"/>
          <w:sz w:val="18"/>
          <w:szCs w:val="18"/>
          <w:b w:val="1"/>
          <w:bCs w:val="1"/>
          <w:color w:val="auto"/>
        </w:rPr>
        <w:t>N/A</w:t>
      </w:r>
    </w:p>
    <w:p>
      <w:pPr>
        <w:spacing w:after="0" w:line="223" w:lineRule="exact"/>
        <w:rPr>
          <w:sz w:val="24"/>
          <w:szCs w:val="24"/>
          <w:color w:val="auto"/>
        </w:rPr>
      </w:pPr>
    </w:p>
    <w:p>
      <w:pPr>
        <w:ind w:left="4"/>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6, 2020, the Board of Directors of Green Thumb Industries Inc. (the “Company”) appointed Mathew Faulkner, age 47, as its first Chief Accounting Officer. Mr. Faulkner joined the Company on May 7, 2018 as the Senior Vice President of Accounting. Prior to joining the Company, he was with Walgreens Boots Alliance Corporation, most recently serving as its Senior Director of Retail and Finance Transformation beginning in 2016, and its Retail Accounting Controller from 2012 to 2016. In the role of Chief Accounting officer, Mr. Faulkner will continue to be employed on an at-will basis, reporting to Anthony Georgiadis, the Company’s Chief Financial Officer, and receive compensation and benefits commensurate with other executives at the same level within the Company.</w:t>
      </w:r>
    </w:p>
    <w:p>
      <w:pPr>
        <w:spacing w:after="0" w:line="19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There are no family relationships existing between Mr. Faulkner and any director or executive officer of the Company. There have been no transactions, and no transactions are currently proposed, in which the Company was or is to be a participant and in which Mr. Faulkner or any member of his immediate family had or will have any interest, that are required to be disclosed by Item 404(a) of Regulation S-K.</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GREEN THUMB INDUSTRIES INC.</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Date: August 10, 2020</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Anthony Georgiadis</w:t>
            </w:r>
          </w:p>
        </w:tc>
      </w:tr>
      <w:tr>
        <w:trPr>
          <w:trHeight w:val="195"/>
        </w:trPr>
        <w:tc>
          <w:tcPr>
            <w:tcW w:w="57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Anthony Georgiadis</w:t>
            </w:r>
          </w:p>
        </w:tc>
      </w:tr>
      <w:tr>
        <w:trPr>
          <w:trHeight w:val="230"/>
        </w:trPr>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2020-08-10T06:35:19Z</dcterms:created>
  <dcterms:modified xsi:type="dcterms:W3CDTF">2020-08-10T06:35:19Z</dcterms:modified>
</cp:coreProperties>
</file>