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form4-05142026_040501.xml.htm"/>
      <w:bookmarkStart w:id="1" w:name="ksform405142026_040501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Kovler Benjamin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325 WEST HURON STREET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SUITE 700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CHICAGO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IL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60654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Green Thumb Industries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GTII/GTBIF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1"/>
              <w:gridCol w:w="1030"/>
              <w:gridCol w:w="441"/>
              <w:gridCol w:w="1030"/>
            </w:tblGrid>
            <w:tr>
              <w:trPr/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5" name="Image5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5" name="Image5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8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/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CHAIRMAN &amp; CEO</w:t>
                  </w:r>
                  <w:r>
                    <w:rPr/>
                    <w:t xml:space="preserve"> 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05/12/2026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6" name="Image6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6" name="Image6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9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238"/>
        <w:gridCol w:w="928"/>
        <w:gridCol w:w="796"/>
        <w:gridCol w:w="616"/>
        <w:gridCol w:w="344"/>
        <w:gridCol w:w="820"/>
        <w:gridCol w:w="426"/>
        <w:gridCol w:w="656"/>
        <w:gridCol w:w="1128"/>
        <w:gridCol w:w="975"/>
        <w:gridCol w:w="1278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238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28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9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60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02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28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7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1278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238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8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9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1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2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28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7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278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238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Super Voting Shares</w:t>
            </w:r>
          </w:p>
        </w:tc>
        <w:tc>
          <w:tcPr>
            <w:tcW w:w="92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05/12/2026</w:t>
            </w:r>
          </w:p>
        </w:tc>
        <w:tc>
          <w:tcPr>
            <w:tcW w:w="79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1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4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2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2,500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6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780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112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52,612</w:t>
            </w:r>
          </w:p>
        </w:tc>
        <w:tc>
          <w:tcPr>
            <w:tcW w:w="97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127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238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Super Voting Shares</w:t>
            </w:r>
          </w:p>
        </w:tc>
        <w:tc>
          <w:tcPr>
            <w:tcW w:w="92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9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1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4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2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2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5,000</w:t>
            </w:r>
          </w:p>
        </w:tc>
        <w:tc>
          <w:tcPr>
            <w:tcW w:w="97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127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By BK 2021 Descendant Trust</w:t>
            </w:r>
          </w:p>
        </w:tc>
      </w:tr>
      <w:tr>
        <w:trPr/>
        <w:tc>
          <w:tcPr>
            <w:tcW w:w="2238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Super Voting Shares</w:t>
            </w:r>
          </w:p>
        </w:tc>
        <w:tc>
          <w:tcPr>
            <w:tcW w:w="92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9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1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4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2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2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80,642</w:t>
            </w:r>
          </w:p>
        </w:tc>
        <w:tc>
          <w:tcPr>
            <w:tcW w:w="97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127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By Outsiders Capital LLC</w:t>
            </w:r>
          </w:p>
        </w:tc>
      </w:tr>
      <w:tr>
        <w:trPr/>
        <w:tc>
          <w:tcPr>
            <w:tcW w:w="2238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Subordinate Voting Shares</w:t>
            </w:r>
          </w:p>
        </w:tc>
        <w:tc>
          <w:tcPr>
            <w:tcW w:w="92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9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1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4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2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2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726,757</w:t>
            </w:r>
          </w:p>
        </w:tc>
        <w:tc>
          <w:tcPr>
            <w:tcW w:w="97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127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238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Subordinate Voting Shares</w:t>
            </w:r>
          </w:p>
        </w:tc>
        <w:tc>
          <w:tcPr>
            <w:tcW w:w="92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9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1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4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2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2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158,130</w:t>
            </w:r>
          </w:p>
        </w:tc>
        <w:tc>
          <w:tcPr>
            <w:tcW w:w="97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127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By Outsiders Capital LLC</w:t>
            </w:r>
          </w:p>
        </w:tc>
      </w:tr>
      <w:tr>
        <w:trPr/>
        <w:tc>
          <w:tcPr>
            <w:tcW w:w="2238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Subordinate Voting Shares</w:t>
            </w:r>
          </w:p>
        </w:tc>
        <w:tc>
          <w:tcPr>
            <w:tcW w:w="92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9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1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4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2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5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2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66</w:t>
            </w:r>
          </w:p>
        </w:tc>
        <w:tc>
          <w:tcPr>
            <w:tcW w:w="97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127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KP Capital, LLC</w:t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The price per Super Voting Share was determined based on a price of $7.80 per underlying Subordinate Voting Share.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Kathryn A. Lloyd,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05/14/2026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803392" TargetMode="External"/><Relationship Id="rId5" Type="http://schemas.openxmlformats.org/officeDocument/2006/relationships/hyperlink" Target="http://www.sec.gov/cgi-bin/browse-edgar?action=getcompany&amp;CIK=0001795139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image" Target="https://cdn.kscope.io/box-checked.jpg" TargetMode="External"/><Relationship Id="rId9" Type="http://schemas.openxmlformats.org/officeDocument/2006/relationships/image" Target="https://cdn.kscope.io/box-checked.jpg" TargetMode="External"/><Relationship Id="rId10" Type="http://schemas.openxmlformats.org/officeDocument/2006/relationships/fontTable" Target="fontTable.xml"/><Relationship Id="rId11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625</Words>
  <Characters>3380</Characters>
  <CharactersWithSpaces>3926</CharactersWithSpaces>
  <Paragraphs>117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