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44"/>
        <w:spacing w:after="0"/>
        <w:rPr>
          <w:sz w:val="20"/>
          <w:szCs w:val="20"/>
          <w:color w:val="auto"/>
        </w:rPr>
      </w:pPr>
      <w:r>
        <w:rPr>
          <w:rFonts w:ascii="Arial" w:cs="Arial" w:eastAsia="Arial" w:hAnsi="Arial"/>
          <w:sz w:val="21"/>
          <w:szCs w:val="21"/>
          <w:b w:val="1"/>
          <w:bCs w:val="1"/>
          <w:color w:val="auto"/>
        </w:rPr>
        <w:t>Date of Report (Date of earliest event reported): June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4"/>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3">
            <w:col w:w="4504" w:space="720"/>
            <w:col w:w="2880" w:space="720"/>
            <w:col w:w="1900"/>
          </w:cols>
          <w:pgMar w:left="436" w:top="368" w:right="7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040"/>
          </w:cols>
          <w:pgMar w:left="436" w:top="368" w:right="739" w:bottom="1440" w:gutter="0" w:footer="0" w:header="0"/>
          <w:type w:val="continuous"/>
        </w:sectPr>
      </w:pPr>
    </w:p>
    <w:p>
      <w:pPr>
        <w:spacing w:after="0" w:line="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425 West Huron Street, Suite 412</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(312) 563-5600</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p>
      <w:pPr>
        <w:ind w:left="1384"/>
        <w:spacing w:after="0"/>
        <w:tabs>
          <w:tab w:leader="none" w:pos="5224" w:val="left"/>
          <w:tab w:leader="none" w:pos="8124"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Trading Symbol</w:t>
      </w:r>
      <w:r>
        <w:rPr>
          <w:sz w:val="20"/>
          <w:szCs w:val="20"/>
          <w:color w:val="auto"/>
        </w:rPr>
        <w:tab/>
      </w:r>
      <w:r>
        <w:rPr>
          <w:rFonts w:ascii="Arial" w:cs="Arial" w:eastAsia="Arial" w:hAnsi="Arial"/>
          <w:sz w:val="12"/>
          <w:szCs w:val="12"/>
          <w:b w:val="1"/>
          <w:bCs w:val="1"/>
          <w:u w:val="single" w:color="auto"/>
          <w:color w:val="auto"/>
        </w:rPr>
        <w:t>Name of exchange on which registered</w:t>
      </w:r>
    </w:p>
    <w:p>
      <w:pPr>
        <w:spacing w:after="0" w:line="25" w:lineRule="exact"/>
        <w:rPr>
          <w:sz w:val="24"/>
          <w:szCs w:val="24"/>
          <w:color w:val="auto"/>
        </w:rPr>
      </w:pPr>
    </w:p>
    <w:p>
      <w:pPr>
        <w:ind w:left="1784"/>
        <w:spacing w:after="0"/>
        <w:rPr>
          <w:sz w:val="20"/>
          <w:szCs w:val="20"/>
          <w:color w:val="auto"/>
        </w:rPr>
      </w:pPr>
      <w:r>
        <w:rPr>
          <w:rFonts w:ascii="Arial" w:cs="Arial" w:eastAsia="Arial" w:hAnsi="Arial"/>
          <w:sz w:val="18"/>
          <w:szCs w:val="18"/>
          <w:b w:val="1"/>
          <w:bCs w:val="1"/>
          <w:color w:val="auto"/>
        </w:rPr>
        <w:t>N/A</w:t>
      </w:r>
    </w:p>
    <w:p>
      <w:pPr>
        <w:spacing w:after="0" w:line="209" w:lineRule="exact"/>
        <w:rPr>
          <w:sz w:val="24"/>
          <w:szCs w:val="24"/>
          <w:color w:val="auto"/>
        </w:rPr>
      </w:pPr>
    </w:p>
    <w:p>
      <w:pPr>
        <w:ind w:left="4"/>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the 2020 Annual General Meeting of Shareholders of Green Thumb Industries Inc. (the “Company”) held on June 23, 2020, the Company’s shareholders voted on three proposals as set for the below. All director nominees were elected and all of the other proposals submitted to the Company’s shareholders were approved.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Proposal No. 1:</w:t>
            </w:r>
          </w:p>
        </w:tc>
        <w:tc>
          <w:tcPr>
            <w:tcW w:w="5340" w:type="dxa"/>
            <w:vAlign w:val="bottom"/>
            <w:gridSpan w:val="3"/>
          </w:tcPr>
          <w:p>
            <w:pPr>
              <w:spacing w:after="0"/>
              <w:rPr>
                <w:sz w:val="20"/>
                <w:szCs w:val="20"/>
                <w:color w:val="auto"/>
              </w:rPr>
            </w:pPr>
            <w:r>
              <w:rPr>
                <w:rFonts w:ascii="Arial" w:cs="Arial" w:eastAsia="Arial" w:hAnsi="Arial"/>
                <w:sz w:val="18"/>
                <w:szCs w:val="18"/>
                <w:color w:val="auto"/>
              </w:rPr>
              <w:t>Setting the number of directors of the Company at seven:</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2"/>
          </w:tcPr>
          <w:p>
            <w:pPr>
              <w:jc w:val="center"/>
              <w:ind w:right="4240"/>
              <w:spacing w:after="0"/>
              <w:rPr>
                <w:sz w:val="20"/>
                <w:szCs w:val="20"/>
                <w:color w:val="auto"/>
              </w:rPr>
            </w:pPr>
            <w:r>
              <w:rPr>
                <w:rFonts w:ascii="Arial" w:cs="Arial" w:eastAsia="Arial" w:hAnsi="Arial"/>
                <w:sz w:val="14"/>
                <w:szCs w:val="14"/>
                <w:b w:val="1"/>
                <w:bCs w:val="1"/>
                <w:color w:val="auto"/>
              </w:rPr>
              <w:t>FOR</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AGAINST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400,677,833</w:t>
            </w:r>
          </w:p>
        </w:tc>
        <w:tc>
          <w:tcPr>
            <w:tcW w:w="4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389,466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Proposal No. 2:</w:t>
            </w:r>
          </w:p>
        </w:tc>
        <w:tc>
          <w:tcPr>
            <w:tcW w:w="5340" w:type="dxa"/>
            <w:vAlign w:val="bottom"/>
            <w:gridSpan w:val="3"/>
          </w:tcPr>
          <w:p>
            <w:pPr>
              <w:spacing w:after="0"/>
              <w:rPr>
                <w:sz w:val="20"/>
                <w:szCs w:val="20"/>
                <w:color w:val="auto"/>
              </w:rPr>
            </w:pPr>
            <w:r>
              <w:rPr>
                <w:rFonts w:ascii="Arial" w:cs="Arial" w:eastAsia="Arial" w:hAnsi="Arial"/>
                <w:sz w:val="18"/>
                <w:szCs w:val="18"/>
                <w:color w:val="auto"/>
              </w:rPr>
              <w:t>Election of directors: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FOR</w:t>
            </w: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WITHHOLD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NON VOTES</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0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Benjamin Kovler</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381,018,504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871,773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6"/>
          </w:tcPr>
          <w:p>
            <w:pPr>
              <w:spacing w:after="0"/>
              <w:rPr>
                <w:sz w:val="20"/>
                <w:szCs w:val="20"/>
                <w:color w:val="auto"/>
              </w:rPr>
            </w:pPr>
            <w:r>
              <w:rPr>
                <w:rFonts w:ascii="Arial" w:cs="Arial" w:eastAsia="Arial" w:hAnsi="Arial"/>
                <w:sz w:val="18"/>
                <w:szCs w:val="18"/>
                <w:color w:val="auto"/>
              </w:rPr>
              <w:t>Anthony Georgiadis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379,686,907</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2,203,370</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Wendy Berger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375,846,861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6,043,416</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6"/>
          </w:tcPr>
          <w:p>
            <w:pPr>
              <w:spacing w:after="0"/>
              <w:rPr>
                <w:sz w:val="20"/>
                <w:szCs w:val="20"/>
                <w:color w:val="auto"/>
              </w:rPr>
            </w:pPr>
            <w:r>
              <w:rPr>
                <w:rFonts w:ascii="Arial" w:cs="Arial" w:eastAsia="Arial" w:hAnsi="Arial"/>
                <w:sz w:val="18"/>
                <w:szCs w:val="18"/>
                <w:color w:val="auto"/>
              </w:rPr>
              <w:t>William Gruver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379,475,084</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2,415,193</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Westley Moore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380,608,292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1,281,985</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87"/>
              </w:rPr>
              <w:t>Glen Senk</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380,582,692</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1,307,585</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377,924,439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3,965,838</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19,177,022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640" w:right="200" w:hanging="1646"/>
        <w:spacing w:after="0" w:line="277" w:lineRule="auto"/>
        <w:tabs>
          <w:tab w:leader="none" w:pos="1620" w:val="left"/>
        </w:tabs>
        <w:rPr>
          <w:sz w:val="20"/>
          <w:szCs w:val="20"/>
          <w:color w:val="auto"/>
        </w:rPr>
      </w:pPr>
      <w:r>
        <w:rPr>
          <w:rFonts w:ascii="Arial" w:cs="Arial" w:eastAsia="Arial" w:hAnsi="Arial"/>
          <w:sz w:val="18"/>
          <w:szCs w:val="18"/>
          <w:b w:val="1"/>
          <w:bCs w:val="1"/>
          <w:u w:val="single" w:color="auto"/>
          <w:color w:val="auto"/>
        </w:rPr>
        <w:t>Proposal No. 3</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Ratification of the appointment of Macias, Gini &amp; O’Connell LLP as the Company’s independent registered public accounting firm for fiscal year 2020 and authorization for the directors to affix their remuneration:</w:t>
      </w:r>
    </w:p>
    <w:p>
      <w:pPr>
        <w:spacing w:after="0" w:line="193"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640" w:type="dxa"/>
            <w:vAlign w:val="bottom"/>
            <w:gridSpan w:val="2"/>
          </w:tcPr>
          <w:p>
            <w:pPr>
              <w:jc w:val="center"/>
              <w:ind w:right="574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r>
      <w:tr>
        <w:trPr>
          <w:trHeight w:val="209"/>
        </w:trPr>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400,186,194</w:t>
            </w:r>
          </w:p>
        </w:tc>
        <w:tc>
          <w:tcPr>
            <w:tcW w:w="5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881,105</w:t>
            </w:r>
          </w:p>
        </w:tc>
      </w:tr>
    </w:tbl>
    <w:p>
      <w:pPr>
        <w:sectPr>
          <w:pgSz w:w="11900" w:h="16838" w:orient="portrait"/>
          <w:cols w:equalWidth="0" w:num="1">
            <w:col w:w="10960"/>
          </w:cols>
          <w:pgMar w:left="440" w:top="270"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GREEN THUMB INDUSTRIES INC.</w:t>
      </w:r>
    </w:p>
    <w:p>
      <w:pPr>
        <w:spacing w:after="0" w:line="22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June 25, 2020</w:t>
      </w:r>
      <w:r>
        <w:rPr>
          <w:sz w:val="20"/>
          <w:szCs w:val="20"/>
          <w:color w:val="auto"/>
        </w:rPr>
        <w:tab/>
      </w:r>
      <w:r>
        <w:rPr>
          <w:rFonts w:ascii="Arial" w:cs="Arial" w:eastAsia="Arial" w:hAnsi="Arial"/>
          <w:sz w:val="16"/>
          <w:szCs w:val="16"/>
          <w:color w:val="auto"/>
        </w:rPr>
        <w:t>/s/ Beth E.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Beth E. Burk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2020-06-26T15:07:47Z</dcterms:created>
  <dcterms:modified xsi:type="dcterms:W3CDTF">2020-06-26T15:07:47Z</dcterms:modified>
</cp:coreProperties>
</file>